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October 31,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8" w:lineRule="exact"/>
        <w:rPr>
          <w:sz w:val="24"/>
          <w:szCs w:val="24"/>
          <w:color w:val="auto"/>
        </w:rPr>
      </w:pPr>
    </w:p>
    <w:tbl>
      <w:tblPr>
        <w:tblLayout w:type="fixed"/>
        <w:tblInd w:w="1740" w:type="dxa"/>
        <w:tblCellMar>
          <w:top w:w="0" w:type="dxa"/>
          <w:left w:w="0" w:type="dxa"/>
          <w:bottom w:w="0" w:type="dxa"/>
          <w:right w:w="0" w:type="dxa"/>
        </w:tblCellMar>
      </w:tblPr>
      <w:tr>
        <w:trPr>
          <w:trHeight w:val="222"/>
        </w:trPr>
        <w:tc>
          <w:tcPr>
            <w:tcW w:w="6080" w:type="dxa"/>
            <w:vAlign w:val="bottom"/>
          </w:tcPr>
          <w:p>
            <w:pPr>
              <w:jc w:val="center"/>
              <w:ind w:left="1770"/>
              <w:spacing w:after="0"/>
              <w:rPr>
                <w:sz w:val="20"/>
                <w:szCs w:val="20"/>
                <w:color w:val="auto"/>
              </w:rPr>
            </w:pPr>
            <w:r>
              <w:rPr>
                <w:rFonts w:ascii="Arial" w:cs="Arial" w:eastAsia="Arial" w:hAnsi="Arial"/>
                <w:sz w:val="18"/>
                <w:szCs w:val="18"/>
                <w:color w:val="auto"/>
                <w:w w:val="89"/>
              </w:rPr>
              <w:t>Commission File Number: 0-14338</w:t>
            </w:r>
          </w:p>
        </w:tc>
        <w:tc>
          <w:tcPr>
            <w:tcW w:w="1400" w:type="dxa"/>
            <w:vAlign w:val="bottom"/>
          </w:tcPr>
          <w:p>
            <w:pPr>
              <w:spacing w:after="0"/>
              <w:rPr>
                <w:sz w:val="19"/>
                <w:szCs w:val="19"/>
                <w:color w:val="auto"/>
              </w:rPr>
            </w:pPr>
          </w:p>
        </w:tc>
      </w:tr>
      <w:tr>
        <w:trPr>
          <w:trHeight w:val="651"/>
        </w:trPr>
        <w:tc>
          <w:tcPr>
            <w:tcW w:w="6080" w:type="dxa"/>
            <w:vAlign w:val="bottom"/>
          </w:tcPr>
          <w:p>
            <w:pPr>
              <w:jc w:val="center"/>
              <w:ind w:left="1770"/>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74"/>
        </w:trPr>
        <w:tc>
          <w:tcPr>
            <w:tcW w:w="6080" w:type="dxa"/>
            <w:vAlign w:val="bottom"/>
          </w:tcPr>
          <w:p>
            <w:pPr>
              <w:jc w:val="center"/>
              <w:ind w:left="17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400" w:type="dxa"/>
            <w:vAlign w:val="bottom"/>
          </w:tcPr>
          <w:p>
            <w:pPr>
              <w:spacing w:after="0"/>
              <w:rPr>
                <w:sz w:val="15"/>
                <w:szCs w:val="15"/>
                <w:color w:val="auto"/>
              </w:rPr>
            </w:pPr>
          </w:p>
        </w:tc>
      </w:tr>
      <w:tr>
        <w:trPr>
          <w:trHeight w:val="393"/>
        </w:trPr>
        <w:tc>
          <w:tcPr>
            <w:tcW w:w="6080" w:type="dxa"/>
            <w:vAlign w:val="bottom"/>
          </w:tcPr>
          <w:p>
            <w:pPr>
              <w:jc w:val="center"/>
              <w:ind w:right="3730"/>
              <w:spacing w:after="0"/>
              <w:rPr>
                <w:sz w:val="20"/>
                <w:szCs w:val="20"/>
                <w:color w:val="auto"/>
              </w:rPr>
            </w:pPr>
            <w:r>
              <w:rPr>
                <w:rFonts w:ascii="Arial" w:cs="Arial" w:eastAsia="Arial" w:hAnsi="Arial"/>
                <w:sz w:val="18"/>
                <w:szCs w:val="18"/>
                <w:b w:val="1"/>
                <w:bCs w:val="1"/>
                <w:color w:val="auto"/>
                <w:w w:val="88"/>
              </w:rPr>
              <w:t>Delaware</w:t>
            </w:r>
          </w:p>
        </w:tc>
        <w:tc>
          <w:tcPr>
            <w:tcW w:w="1400" w:type="dxa"/>
            <w:vAlign w:val="bottom"/>
          </w:tcPr>
          <w:p>
            <w:pPr>
              <w:jc w:val="right"/>
              <w:ind w:right="44"/>
              <w:spacing w:after="0"/>
              <w:rPr>
                <w:sz w:val="20"/>
                <w:szCs w:val="20"/>
                <w:color w:val="auto"/>
              </w:rPr>
            </w:pPr>
            <w:r>
              <w:rPr>
                <w:rFonts w:ascii="Arial" w:cs="Arial" w:eastAsia="Arial" w:hAnsi="Arial"/>
                <w:sz w:val="18"/>
                <w:szCs w:val="18"/>
                <w:b w:val="1"/>
                <w:bCs w:val="1"/>
                <w:color w:val="auto"/>
              </w:rPr>
              <w:t>94-2819853</w:t>
            </w:r>
          </w:p>
        </w:tc>
      </w:tr>
      <w:tr>
        <w:trPr>
          <w:trHeight w:val="149"/>
        </w:trPr>
        <w:tc>
          <w:tcPr>
            <w:tcW w:w="6080" w:type="dxa"/>
            <w:vAlign w:val="bottom"/>
          </w:tcPr>
          <w:p>
            <w:pPr>
              <w:jc w:val="center"/>
              <w:ind w:right="375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0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080" w:type="dxa"/>
            <w:vAlign w:val="bottom"/>
          </w:tcPr>
          <w:p>
            <w:pPr>
              <w:jc w:val="center"/>
              <w:ind w:right="3750"/>
              <w:spacing w:after="0"/>
              <w:rPr>
                <w:sz w:val="20"/>
                <w:szCs w:val="20"/>
                <w:color w:val="auto"/>
              </w:rPr>
            </w:pPr>
            <w:r>
              <w:rPr>
                <w:rFonts w:ascii="Arial" w:cs="Arial" w:eastAsia="Arial" w:hAnsi="Arial"/>
                <w:sz w:val="14"/>
                <w:szCs w:val="14"/>
                <w:b w:val="1"/>
                <w:bCs w:val="1"/>
                <w:color w:val="auto"/>
                <w:w w:val="88"/>
              </w:rPr>
              <w:t>incorporation or organization)</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6080" w:type="dxa"/>
            <w:vAlign w:val="bottom"/>
          </w:tcPr>
          <w:p>
            <w:pPr>
              <w:jc w:val="center"/>
              <w:ind w:right="3750"/>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1"/>
        </w:trPr>
        <w:tc>
          <w:tcPr>
            <w:tcW w:w="6080" w:type="dxa"/>
            <w:vAlign w:val="bottom"/>
          </w:tcPr>
          <w:p>
            <w:pPr>
              <w:jc w:val="center"/>
              <w:ind w:right="3750"/>
              <w:spacing w:after="0"/>
              <w:rPr>
                <w:sz w:val="20"/>
                <w:szCs w:val="20"/>
                <w:color w:val="auto"/>
              </w:rPr>
            </w:pPr>
            <w:r>
              <w:rPr>
                <w:rFonts w:ascii="Arial" w:cs="Arial" w:eastAsia="Arial" w:hAnsi="Arial"/>
                <w:sz w:val="18"/>
                <w:szCs w:val="18"/>
                <w:b w:val="1"/>
                <w:bCs w:val="1"/>
                <w:color w:val="auto"/>
                <w:w w:val="90"/>
              </w:rPr>
              <w:t>San Rafael, California</w:t>
            </w:r>
          </w:p>
        </w:tc>
        <w:tc>
          <w:tcPr>
            <w:tcW w:w="1400" w:type="dxa"/>
            <w:vAlign w:val="bottom"/>
          </w:tcPr>
          <w:p>
            <w:pPr>
              <w:jc w:val="right"/>
              <w:ind w:right="244"/>
              <w:spacing w:after="0"/>
              <w:rPr>
                <w:sz w:val="20"/>
                <w:szCs w:val="20"/>
                <w:color w:val="auto"/>
              </w:rPr>
            </w:pPr>
            <w:r>
              <w:rPr>
                <w:rFonts w:ascii="Arial" w:cs="Arial" w:eastAsia="Arial" w:hAnsi="Arial"/>
                <w:sz w:val="18"/>
                <w:szCs w:val="18"/>
                <w:b w:val="1"/>
                <w:bCs w:val="1"/>
                <w:color w:val="auto"/>
              </w:rPr>
              <w:t>94903</w:t>
            </w:r>
          </w:p>
        </w:tc>
      </w:tr>
      <w:tr>
        <w:trPr>
          <w:trHeight w:val="174"/>
        </w:trPr>
        <w:tc>
          <w:tcPr>
            <w:tcW w:w="6080" w:type="dxa"/>
            <w:vAlign w:val="bottom"/>
          </w:tcPr>
          <w:p>
            <w:pPr>
              <w:jc w:val="center"/>
              <w:ind w:right="375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08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(415) 507-5000</w:t>
            </w:r>
          </w:p>
        </w:tc>
        <w:tc>
          <w:tcPr>
            <w:tcW w:w="1400" w:type="dxa"/>
            <w:vAlign w:val="bottom"/>
          </w:tcPr>
          <w:p>
            <w:pPr>
              <w:spacing w:after="0"/>
              <w:rPr>
                <w:sz w:val="24"/>
                <w:szCs w:val="24"/>
                <w:color w:val="auto"/>
              </w:rPr>
            </w:pPr>
          </w:p>
        </w:tc>
      </w:tr>
      <w:tr>
        <w:trPr>
          <w:trHeight w:val="174"/>
        </w:trPr>
        <w:tc>
          <w:tcPr>
            <w:tcW w:w="6080" w:type="dxa"/>
            <w:vAlign w:val="bottom"/>
          </w:tcPr>
          <w:p>
            <w:pPr>
              <w:jc w:val="center"/>
              <w:ind w:left="177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400" w:type="dxa"/>
            <w:vAlign w:val="bottom"/>
          </w:tcPr>
          <w:p>
            <w:pPr>
              <w:spacing w:after="0"/>
              <w:rPr>
                <w:sz w:val="15"/>
                <w:szCs w:val="15"/>
                <w:color w:val="auto"/>
              </w:rPr>
            </w:pPr>
          </w:p>
        </w:tc>
      </w:tr>
    </w:tbl>
    <w:p>
      <w:pPr>
        <w:spacing w:after="0" w:line="141"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73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730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140" w:type="dxa"/>
            <w:vAlign w:val="bottom"/>
          </w:tcPr>
          <w:p>
            <w:pPr>
              <w:jc w:val="right"/>
              <w:spacing w:after="0"/>
              <w:rPr>
                <w:sz w:val="20"/>
                <w:szCs w:val="20"/>
                <w:color w:val="auto"/>
              </w:rPr>
            </w:pPr>
            <w:r>
              <w:rPr>
                <w:rFonts w:ascii="Arial" w:cs="Arial" w:eastAsia="Arial" w:hAnsi="Arial"/>
                <w:sz w:val="18"/>
                <w:szCs w:val="18"/>
                <w:color w:val="auto"/>
                <w:w w:val="96"/>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9060" w:type="dxa"/>
            <w:vAlign w:val="bottom"/>
            <w:gridSpan w:val="2"/>
          </w:tcPr>
          <w:p>
            <w:pPr>
              <w:ind w:left="460"/>
              <w:spacing w:after="0" w:line="207" w:lineRule="exact"/>
              <w:rPr>
                <w:sz w:val="20"/>
                <w:szCs w:val="20"/>
                <w:color w:val="auto"/>
              </w:rPr>
            </w:pPr>
            <w:r>
              <w:rPr>
                <w:rFonts w:ascii="Arial" w:cs="Arial" w:eastAsia="Arial" w:hAnsi="Arial"/>
                <w:sz w:val="18"/>
                <w:szCs w:val="18"/>
                <w:color w:val="auto"/>
                <w:w w:val="89"/>
              </w:rPr>
              <w:t xml:space="preserve">Indicate by check mark whether the registrant is a shell company (as defined in Rule 12b-2 of the Exchange Act). Yes </w:t>
            </w:r>
            <w:r>
              <w:rPr>
                <w:rFonts w:ascii="MS PGothic" w:cs="MS PGothic" w:eastAsia="MS PGothic" w:hAnsi="MS PGothic"/>
                <w:sz w:val="18"/>
                <w:szCs w:val="18"/>
                <w:color w:val="auto"/>
                <w:w w:val="89"/>
              </w:rPr>
              <w:t>☐</w:t>
            </w:r>
          </w:p>
        </w:tc>
        <w:tc>
          <w:tcPr>
            <w:tcW w:w="2140" w:type="dxa"/>
            <w:vAlign w:val="bottom"/>
          </w:tcPr>
          <w:p>
            <w:pPr>
              <w:jc w:val="right"/>
              <w:ind w:right="1492"/>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r>
      <w:tr>
        <w:trPr>
          <w:trHeight w:val="358"/>
        </w:trPr>
        <w:tc>
          <w:tcPr>
            <w:tcW w:w="9060" w:type="dxa"/>
            <w:vAlign w:val="bottom"/>
            <w:gridSpan w:val="2"/>
          </w:tcPr>
          <w:p>
            <w:pPr>
              <w:ind w:left="460"/>
              <w:spacing w:after="0"/>
              <w:rPr>
                <w:sz w:val="20"/>
                <w:szCs w:val="20"/>
                <w:color w:val="auto"/>
              </w:rPr>
            </w:pPr>
            <w:r>
              <w:rPr>
                <w:rFonts w:ascii="Arial" w:cs="Arial" w:eastAsia="Arial" w:hAnsi="Arial"/>
                <w:sz w:val="18"/>
                <w:szCs w:val="18"/>
                <w:color w:val="auto"/>
              </w:rPr>
              <w:t>As of November 30, 2010, there were 227,394,939 shares of the registrant’s Common Stock outstanding.</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5"/>
        </w:trPr>
        <w:tc>
          <w:tcPr>
            <w:tcW w:w="1760" w:type="dxa"/>
            <w:vAlign w:val="bottom"/>
            <w:tcBorders>
              <w:bottom w:val="single" w:sz="8" w:color="auto"/>
            </w:tcBorders>
          </w:tcPr>
          <w:p>
            <w:pPr>
              <w:spacing w:after="0"/>
              <w:rPr>
                <w:sz w:val="17"/>
                <w:szCs w:val="17"/>
                <w:color w:val="auto"/>
              </w:rPr>
            </w:pPr>
          </w:p>
        </w:tc>
        <w:tc>
          <w:tcPr>
            <w:tcW w:w="73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34"/>
        </w:trPr>
        <w:tc>
          <w:tcPr>
            <w:tcW w:w="176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10"/>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580" w:type="dxa"/>
            <w:vAlign w:val="bottom"/>
            <w:gridSpan w:val="2"/>
            <w:vMerge w:val="restart"/>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Page No.</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tcBorders>
              <w:bottom w:val="single" w:sz="8" w:color="0000EE"/>
            </w:tcBorders>
            <w:gridSpan w:val="10"/>
            <w:vMerge w:val="continue"/>
          </w:tcPr>
          <w:p>
            <w:pPr>
              <w:spacing w:after="0"/>
              <w:rPr>
                <w:sz w:val="14"/>
                <w:szCs w:val="14"/>
                <w:color w:val="auto"/>
              </w:rPr>
            </w:pPr>
          </w:p>
        </w:tc>
        <w:tc>
          <w:tcPr>
            <w:tcW w:w="35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40" w:type="dxa"/>
            <w:vAlign w:val="bottom"/>
            <w:tcBorders>
              <w:bottom w:val="single" w:sz="8" w:color="0000EE"/>
            </w:tcBorders>
            <w:gridSpan w:val="7"/>
          </w:tcPr>
          <w:p>
            <w:pPr>
              <w:spacing w:after="0"/>
              <w:rPr>
                <w:rFonts w:ascii="Arial" w:cs="Arial" w:eastAsia="Arial" w:hAnsi="Arial"/>
                <w:sz w:val="18"/>
                <w:szCs w:val="18"/>
                <w:b w:val="1"/>
                <w:bCs w:val="1"/>
                <w:color w:val="0000EE"/>
                <w:w w:val="87"/>
              </w:rPr>
            </w:pPr>
            <w:hyperlink w:anchor="page3">
              <w:r>
                <w:rPr>
                  <w:rFonts w:ascii="Arial" w:cs="Arial" w:eastAsia="Arial" w:hAnsi="Arial"/>
                  <w:sz w:val="18"/>
                  <w:szCs w:val="18"/>
                  <w:b w:val="1"/>
                  <w:bCs w:val="1"/>
                  <w:color w:val="0000EE"/>
                  <w:w w:val="87"/>
                </w:rPr>
                <w:t>Financial Statements:</w:t>
              </w:r>
            </w:hyperlink>
          </w:p>
        </w:tc>
        <w:tc>
          <w:tcPr>
            <w:tcW w:w="8080" w:type="dxa"/>
            <w:vAlign w:val="bottom"/>
            <w:gridSpan w:val="18"/>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58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Operations</w:t>
              </w:r>
            </w:hyperlink>
          </w:p>
        </w:tc>
        <w:tc>
          <w:tcPr>
            <w:tcW w:w="614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gridSpan w:val="2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and Nine Months Ended October 31, 2010 and 2009</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972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October 31, 2010 and January 31, 2010</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972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3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Nine Months Ended October 31, 2010 and 2009</w:t>
              </w:r>
            </w:hyperlink>
          </w:p>
        </w:tc>
        <w:tc>
          <w:tcPr>
            <w:tcW w:w="20" w:type="dxa"/>
            <w:vAlign w:val="bottom"/>
            <w:tcBorders>
              <w:top w:val="single" w:sz="8" w:color="0000EE"/>
            </w:tcBorders>
          </w:tcPr>
          <w:p>
            <w:pPr>
              <w:spacing w:after="0"/>
              <w:rPr>
                <w:sz w:val="17"/>
                <w:szCs w:val="17"/>
                <w:color w:val="auto"/>
              </w:rPr>
            </w:pPr>
          </w:p>
        </w:tc>
        <w:tc>
          <w:tcPr>
            <w:tcW w:w="610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900" w:type="dxa"/>
            <w:vAlign w:val="bottom"/>
            <w:tcBorders>
              <w:bottom w:val="single" w:sz="8" w:color="0000EE"/>
            </w:tcBorders>
            <w:gridSpan w:val="18"/>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82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720" w:type="dxa"/>
            <w:vAlign w:val="bottom"/>
            <w:gridSpan w:val="25"/>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bottom w:val="single" w:sz="8" w:color="0000EE"/>
            </w:tcBorders>
            <w:gridSpan w:val="21"/>
          </w:tcPr>
          <w:p>
            <w:pPr>
              <w:spacing w:after="0"/>
              <w:rPr>
                <w:rFonts w:ascii="Arial" w:cs="Arial" w:eastAsia="Arial" w:hAnsi="Arial"/>
                <w:sz w:val="18"/>
                <w:szCs w:val="18"/>
                <w:b w:val="1"/>
                <w:bCs w:val="1"/>
                <w:color w:val="0000EE"/>
                <w:w w:val="89"/>
              </w:rPr>
            </w:pPr>
            <w:hyperlink w:anchor="page40">
              <w:r>
                <w:rPr>
                  <w:rFonts w:ascii="Arial" w:cs="Arial" w:eastAsia="Arial" w:hAnsi="Arial"/>
                  <w:sz w:val="18"/>
                  <w:szCs w:val="18"/>
                  <w:b w:val="1"/>
                  <w:bCs w:val="1"/>
                  <w:color w:val="0000EE"/>
                  <w:w w:val="89"/>
                </w:rPr>
                <w:t>Quantitative and Qualitative Disclosures About Market Risk</w:t>
              </w:r>
            </w:hyperlink>
          </w:p>
        </w:tc>
        <w:tc>
          <w:tcPr>
            <w:tcW w:w="2100" w:type="dxa"/>
            <w:vAlign w:val="bottom"/>
            <w:tcBorders>
              <w:top w:val="single" w:sz="8" w:color="0000EE"/>
            </w:tcBorders>
            <w:gridSpan w:val="3"/>
          </w:tcPr>
          <w:p>
            <w:pPr>
              <w:spacing w:after="0"/>
              <w:rPr>
                <w:sz w:val="24"/>
                <w:szCs w:val="24"/>
                <w:color w:val="auto"/>
              </w:rPr>
            </w:pPr>
          </w:p>
        </w:tc>
        <w:tc>
          <w:tcPr>
            <w:tcW w:w="30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720" w:type="dxa"/>
            <w:vAlign w:val="bottom"/>
            <w:gridSpan w:val="25"/>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OTHER INFORMATION</w:t>
              </w:r>
            </w:hyperlink>
          </w:p>
        </w:tc>
        <w:tc>
          <w:tcPr>
            <w:tcW w:w="372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720" w:type="dxa"/>
            <w:vAlign w:val="bottom"/>
            <w:gridSpan w:val="25"/>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6"/>
              </w:rPr>
            </w:pPr>
            <w:hyperlink w:anchor="page42">
              <w:r>
                <w:rPr>
                  <w:rFonts w:ascii="Arial" w:cs="Arial" w:eastAsia="Arial" w:hAnsi="Arial"/>
                  <w:sz w:val="18"/>
                  <w:szCs w:val="18"/>
                  <w:b w:val="1"/>
                  <w:bCs w:val="1"/>
                  <w:color w:val="0000EE"/>
                  <w:w w:val="86"/>
                </w:rPr>
                <w:t>Risk Factors</w:t>
              </w:r>
            </w:hyperlink>
          </w:p>
        </w:tc>
        <w:tc>
          <w:tcPr>
            <w:tcW w:w="400" w:type="dxa"/>
            <w:vAlign w:val="bottom"/>
            <w:tcBorders>
              <w:top w:val="single" w:sz="8" w:color="0000EE"/>
            </w:tcBorders>
          </w:tcPr>
          <w:p>
            <w:pPr>
              <w:spacing w:after="0"/>
              <w:rPr>
                <w:sz w:val="24"/>
                <w:szCs w:val="24"/>
                <w:color w:val="auto"/>
              </w:rPr>
            </w:pPr>
          </w:p>
        </w:tc>
        <w:tc>
          <w:tcPr>
            <w:tcW w:w="8360" w:type="dxa"/>
            <w:vAlign w:val="bottom"/>
            <w:gridSpan w:val="2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460" w:type="dxa"/>
            <w:vAlign w:val="bottom"/>
            <w:tcBorders>
              <w:bottom w:val="single" w:sz="8" w:color="0000EE"/>
            </w:tcBorders>
            <w:gridSpan w:val="20"/>
          </w:tcPr>
          <w:p>
            <w:pPr>
              <w:spacing w:after="0"/>
              <w:rPr>
                <w:rFonts w:ascii="Arial" w:cs="Arial" w:eastAsia="Arial" w:hAnsi="Arial"/>
                <w:sz w:val="18"/>
                <w:szCs w:val="18"/>
                <w:b w:val="1"/>
                <w:bCs w:val="1"/>
                <w:color w:val="0000EE"/>
                <w:w w:val="85"/>
              </w:rPr>
            </w:pPr>
            <w:hyperlink w:anchor="page52">
              <w:r>
                <w:rPr>
                  <w:rFonts w:ascii="Arial" w:cs="Arial" w:eastAsia="Arial" w:hAnsi="Arial"/>
                  <w:sz w:val="18"/>
                  <w:szCs w:val="18"/>
                  <w:b w:val="1"/>
                  <w:bCs w:val="1"/>
                  <w:color w:val="0000EE"/>
                  <w:w w:val="85"/>
                </w:rPr>
                <w:t>Unregistered Sales of Equity Securities and Use of Proceeds</w:t>
              </w:r>
            </w:hyperlink>
          </w:p>
        </w:tc>
        <w:tc>
          <w:tcPr>
            <w:tcW w:w="526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720" w:type="dxa"/>
            <w:vAlign w:val="bottom"/>
            <w:gridSpan w:val="25"/>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Defaults Upon Senior Securities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38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Removed and Reserved</w:t>
              </w:r>
            </w:hyperlink>
          </w:p>
        </w:tc>
        <w:tc>
          <w:tcPr>
            <w:tcW w:w="7340" w:type="dxa"/>
            <w:vAlign w:val="bottom"/>
            <w:gridSpan w:val="1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2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2"/>
              </w:rPr>
            </w:pPr>
            <w:hyperlink w:anchor="page52">
              <w:r>
                <w:rPr>
                  <w:rFonts w:ascii="Arial" w:cs="Arial" w:eastAsia="Arial" w:hAnsi="Arial"/>
                  <w:sz w:val="18"/>
                  <w:szCs w:val="18"/>
                  <w:b w:val="1"/>
                  <w:bCs w:val="1"/>
                  <w:color w:val="0000EE"/>
                  <w:w w:val="92"/>
                </w:rPr>
                <w:t>Other Information</w:t>
              </w:r>
            </w:hyperlink>
          </w:p>
        </w:tc>
        <w:tc>
          <w:tcPr>
            <w:tcW w:w="340" w:type="dxa"/>
            <w:vAlign w:val="bottom"/>
            <w:tcBorders>
              <w:top w:val="single" w:sz="8" w:color="0000EE"/>
            </w:tcBorders>
            <w:gridSpan w:val="2"/>
          </w:tcPr>
          <w:p>
            <w:pPr>
              <w:spacing w:after="0"/>
              <w:rPr>
                <w:sz w:val="24"/>
                <w:szCs w:val="24"/>
                <w:color w:val="auto"/>
              </w:rPr>
            </w:pPr>
          </w:p>
        </w:tc>
        <w:tc>
          <w:tcPr>
            <w:tcW w:w="7960" w:type="dxa"/>
            <w:vAlign w:val="bottom"/>
            <w:gridSpan w:val="1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720" w:type="dxa"/>
            <w:vAlign w:val="bottom"/>
            <w:gridSpan w:val="25"/>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920" w:type="dxa"/>
            <w:vAlign w:val="bottom"/>
            <w:gridSpan w:val="2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800" w:type="dxa"/>
            <w:vAlign w:val="bottom"/>
            <w:tcBorders>
              <w:bottom w:val="single" w:sz="8" w:color="0000EE"/>
            </w:tcBorders>
            <w:gridSpan w:val="3"/>
          </w:tcPr>
          <w:p>
            <w:pPr>
              <w:spacing w:after="0"/>
              <w:rPr>
                <w:rFonts w:ascii="Arial" w:cs="Arial" w:eastAsia="Arial" w:hAnsi="Arial"/>
                <w:sz w:val="18"/>
                <w:szCs w:val="18"/>
                <w:b w:val="1"/>
                <w:bCs w:val="1"/>
                <w:color w:val="0000EE"/>
                <w:w w:val="83"/>
              </w:rPr>
            </w:pPr>
            <w:hyperlink w:anchor="page53">
              <w:r>
                <w:rPr>
                  <w:rFonts w:ascii="Arial" w:cs="Arial" w:eastAsia="Arial" w:hAnsi="Arial"/>
                  <w:sz w:val="18"/>
                  <w:szCs w:val="18"/>
                  <w:b w:val="1"/>
                  <w:bCs w:val="1"/>
                  <w:color w:val="0000EE"/>
                  <w:w w:val="83"/>
                </w:rPr>
                <w:t>Signatures</w:t>
              </w:r>
            </w:hyperlink>
          </w:p>
        </w:tc>
        <w:tc>
          <w:tcPr>
            <w:tcW w:w="8920" w:type="dxa"/>
            <w:vAlign w:val="bottom"/>
            <w:gridSpan w:val="2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83"/>
        </w:trPr>
        <w:tc>
          <w:tcPr>
            <w:tcW w:w="1100" w:type="dxa"/>
            <w:vAlign w:val="bottom"/>
          </w:tcPr>
          <w:p>
            <w:pPr>
              <w:spacing w:after="0"/>
              <w:rPr>
                <w:sz w:val="24"/>
                <w:szCs w:val="24"/>
                <w:color w:val="auto"/>
              </w:rPr>
            </w:pPr>
          </w:p>
        </w:tc>
        <w:tc>
          <w:tcPr>
            <w:tcW w:w="6000" w:type="dxa"/>
            <w:vAlign w:val="bottom"/>
            <w:gridSpan w:val="22"/>
          </w:tcPr>
          <w:p>
            <w:pPr>
              <w:ind w:left="45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58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License and other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282.0</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236.1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842.5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180.8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860"/>
              <w:spacing w:after="0"/>
              <w:rPr>
                <w:sz w:val="20"/>
                <w:szCs w:val="20"/>
                <w:color w:val="auto"/>
              </w:rPr>
            </w:pPr>
            <w:r>
              <w:rPr>
                <w:rFonts w:ascii="Arial" w:cs="Arial" w:eastAsia="Arial" w:hAnsi="Arial"/>
                <w:sz w:val="18"/>
                <w:szCs w:val="18"/>
                <w:color w:val="auto"/>
              </w:rPr>
              <w:t>Total net revenue</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476.7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416.9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1,424.1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Cost of license and other revenue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maintenance revenue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371.9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1,275.9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180.3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goodwill</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345.6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1,076.1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1,100.7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basic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232.9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ind w:left="42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1,470.8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1,379.6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Computer equipment, software, furniture and leasehold improvements,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549.7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2,581.1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vMerge w:val="restart"/>
          </w:tcPr>
          <w:p>
            <w:pPr>
              <w:ind w:left="266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86.1</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Long term income taxes payable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Common stock and additional paid-in capital</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1,242.1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1,556.1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2,581.1</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2,447.2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$ 150.4</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jc w:val="right"/>
              <w:spacing w:after="0"/>
              <w:rPr>
                <w:sz w:val="20"/>
                <w:szCs w:val="20"/>
                <w:color w:val="auto"/>
              </w:rPr>
            </w:pPr>
            <w:r>
              <w:rPr>
                <w:rFonts w:ascii="Arial" w:cs="Arial" w:eastAsia="Arial" w:hAnsi="Arial"/>
                <w:sz w:val="18"/>
                <w:szCs w:val="18"/>
                <w:color w:val="auto"/>
              </w:rPr>
              <w:t>79.6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Restructuring charges, net</w:t>
            </w: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goodwill</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Gain on disposition of assets</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(112.3)</w:t>
            </w:r>
          </w:p>
        </w:tc>
        <w:tc>
          <w:tcPr>
            <w:tcW w:w="0" w:type="dxa"/>
            <w:vAlign w:val="bottom"/>
          </w:tcPr>
          <w:p>
            <w:pPr>
              <w:spacing w:after="0"/>
              <w:rPr>
                <w:sz w:val="1"/>
                <w:szCs w:val="1"/>
                <w:color w:val="auto"/>
              </w:rPr>
            </w:pPr>
          </w:p>
        </w:tc>
      </w:tr>
      <w:tr>
        <w:trPr>
          <w:trHeight w:val="230"/>
        </w:trPr>
        <w:tc>
          <w:tcPr>
            <w:tcW w:w="97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marketable securities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Maturities of marketable securities</w:t>
            </w:r>
          </w:p>
        </w:tc>
        <w:tc>
          <w:tcPr>
            <w:tcW w:w="540" w:type="dxa"/>
            <w:vAlign w:val="bottom"/>
          </w:tcPr>
          <w:p>
            <w:pPr>
              <w:jc w:val="right"/>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 of equity investment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combinations, net of cash acquired</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Other investing activities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(319.1)</w:t>
            </w:r>
          </w:p>
        </w:tc>
        <w:tc>
          <w:tcPr>
            <w:tcW w:w="0" w:type="dxa"/>
            <w:vAlign w:val="bottom"/>
          </w:tcPr>
          <w:p>
            <w:pPr>
              <w:spacing w:after="0"/>
              <w:rPr>
                <w:sz w:val="1"/>
                <w:szCs w:val="1"/>
                <w:color w:val="auto"/>
              </w:rPr>
            </w:pP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net of issuance costs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Repurchases of common stock</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Draws on line of credit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Repayments of line of credit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80" w:type="dxa"/>
            <w:vAlign w:val="bottom"/>
            <w:gridSpan w:val="2"/>
            <w:vMerge w:val="continue"/>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and cash equivalents at beginning of fiscal year</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$ 904.3</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8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Autodesk, Inc. (“Autodesk” or the “Company”) as of October 31, 2010, and for the three and nine months ended October 31, 2010,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has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nine months ended October 31, 2010 are not necessarily indicative of the results for the entire fiscal year ending January 31, 2011,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2010 (the “2010 Form 10-K”) filed on March 19, 2010.</w:t>
      </w: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first quarter of fiscal 2011, Autodesk reclassified certain costs of revenue, which primarily included reclassifying shipping and fulfillment expenses from “Cost of license and other revenue” to “Cost of maintenance revenue,” due to a change in the Company’s cost allocation methodology. These expenses have been reclassified in the Condensed Consolidated Statement of Operations for the three and nine months ended October 31, 2009 to conform to the current period presentation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4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95"/>
              </w:rPr>
              <w:t>Three Months</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Nine Months</w:t>
            </w:r>
          </w:p>
        </w:tc>
      </w:tr>
      <w:tr>
        <w:trPr>
          <w:trHeight w:val="149"/>
        </w:trPr>
        <w:tc>
          <w:tcPr>
            <w:tcW w:w="8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8280" w:type="dxa"/>
            <w:vAlign w:val="bottom"/>
          </w:tcPr>
          <w:p>
            <w:pPr>
              <w:spacing w:after="0"/>
              <w:rPr>
                <w:sz w:val="20"/>
                <w:szCs w:val="20"/>
                <w:color w:val="auto"/>
              </w:rPr>
            </w:pPr>
            <w:r>
              <w:rPr>
                <w:rFonts w:ascii="Arial" w:cs="Arial" w:eastAsia="Arial" w:hAnsi="Arial"/>
                <w:sz w:val="14"/>
                <w:szCs w:val="14"/>
                <w:b w:val="1"/>
                <w:bCs w:val="1"/>
                <w:color w:val="auto"/>
              </w:rPr>
              <w:t>Increase (Decrease) to Expense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October 31,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10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October 31,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license and other revenue</w:t>
            </w:r>
          </w:p>
        </w:tc>
        <w:tc>
          <w:tcPr>
            <w:tcW w:w="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1"/>
              </w:rPr>
              <w:t>(0.3)</w:t>
            </w:r>
          </w:p>
        </w:tc>
        <w:tc>
          <w:tcPr>
            <w:tcW w:w="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(8.0)</w:t>
            </w:r>
          </w:p>
        </w:tc>
      </w:tr>
      <w:tr>
        <w:trPr>
          <w:trHeight w:val="222"/>
        </w:trPr>
        <w:tc>
          <w:tcPr>
            <w:tcW w:w="8280" w:type="dxa"/>
            <w:vAlign w:val="bottom"/>
          </w:tcPr>
          <w:p>
            <w:pPr>
              <w:ind w:left="440"/>
              <w:spacing w:after="0"/>
              <w:rPr>
                <w:sz w:val="20"/>
                <w:szCs w:val="20"/>
                <w:color w:val="auto"/>
              </w:rPr>
            </w:pPr>
            <w:r>
              <w:rPr>
                <w:rFonts w:ascii="Arial" w:cs="Arial" w:eastAsia="Arial" w:hAnsi="Arial"/>
                <w:sz w:val="18"/>
                <w:szCs w:val="18"/>
                <w:color w:val="auto"/>
              </w:rPr>
              <w:t>Cost of maintenance revenue</w:t>
            </w: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0.3</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bl>
    <w:p>
      <w:pPr>
        <w:spacing w:after="0" w:line="26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With the exception of those discussed below, there have been no recent accounting pronouncements or changes in accounting pronouncements during the nine months ended October 31, 2010, as compared to the accounting pronouncements described in Autodesk’s Annual Report on Form 10-K for the fiscal year ended January 31, 2010, that are of significance, or potential significance, to the Company.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October 2009, the Financial Accounting Standards Board (“FASB”) issued Accounting Standards Update (“ASU”) 2009-13 regarding Accounting Standards Codification (“ASC”) Subtopic 605-25 “Revenue Recognition—Multiple-element Arrangements.” This ASU addresses criteria for separating the consideration in multiple-element arrangements. ASU 2009-13 will require companies to allocate the overall consideration to each deliverable by using a best estimate of the selling price of individual deliverables in the arrangement in the absence of vendor-specific objective evidence or other third-party evidence of the selling price. In October 2009, the FASB also issued ASU 2009-14 regarding ASC Topic 985 “Software: Certain Revenue Arrangements That Include Software Elements.” This ASU modifies the scope of ASC Subtopic 985-605, “Software Revenue Recognition,” to exclude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 The changes under ASU 2009-13 and 2009-14 will be effective prospectively for revenue arrangements entered into or materially modified in fiscal years beginning on or after June 15, 2010. Autodesk currently plans to adopt the changes under ASU 2009-13 and 2009-14 effective February 1, 2011. Autodesk is currently assessing the impact that the adoption of these new accounting pronouncements will have on its consolidated financial position, results of operations and cash flows.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January 2010, the FASB issued ASU 2010-06 regarding ASC Topic 820 “Fair Value Measurements and Disclosures.” This ASU requires additional disclosure regarding significant transfers in and out of Levels 1 and 2 fair value measurements and the reasons for the transfers. In addition, this ASU requires the Company to present separately information about purchases, sales, issuances, and settlements, (on a gross basis rather than as one net number), in the reconciliation for fair value measurements using significant unobservable inputs (Level 3). ASU 2010-06 clarifies existing disclosures regarding fair value measurement for each class of assets and liabilities and the valuation techniques and inputs used to measure fair value for recurring and nonrecurring fair value measurements that fall in either Level 2 or Level 3. This update also includes conforming amendments to the guidance on employers’ disclosures about postretirement benefit plan asset (Subtopic 715-20). The changes under ASU 2010-06 were effective for Autodesk’s fiscal year beginning February 1, 2010, except for the disclosures about purchases, sales, issuances and settlements in the roll forward of activity in Level 3 fair value measurements, which are effective for Autodesk’s fiscal year beginning February 1, 2011. The adoption of the portion of this ASU that was effective as of February 1, 2010 did not have a material impact on Autodesk’s consolidated financial position, results of operations or cash flows. Autodesk believes that the adoption of the remaining portion of the ASU that is effective for Autodesk’s fiscal year beginning February 1, 2011 will not have a material impact on its consolidated financial position, results of operations or cash flows.</w:t>
      </w:r>
    </w:p>
    <w:p>
      <w:pPr>
        <w:spacing w:after="0" w:line="24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Concentration of Credit Risks and Significant Customers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It is Autodesk’s policy that its cash, cash equivalents and marketable securities are held with, and in the custody of, financial institutions with high credit standing. Autodesk’s cash and cash equivalents are held by diversified institutions globally. Autodesk’s primary commercial banking relationship is with Citibank and its global affiliates (“Citibank”). In addition, Citicorp USA, Inc., an affiliate of Citibank, is the lead lender and agent in the syndicate of the Company’s $250.0 million U.S. line of credit. It is Autodesk’s policy to limit the amounts invested with any one institution by type of security and issuer.</w:t>
      </w:r>
    </w:p>
    <w:p>
      <w:pPr>
        <w:spacing w:after="0" w:line="11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Total sales to the distributors Tech Data Corporation and its global affiliates (“Tech Data”) accounted for 15% and 16% of Autodesk’s consolidated net revenue for the three and nine months ended October 31, 2010, respectively, and 14% and 13% of Autodesk’s consolidated net revenue for the three and nine months ended October 31, 2009, respectively. The majority of the net revenue from sales to Tech Data relates to Autodesk’s Platform Solutions and Emerging Business segment and comes from outside the U.S. In addition, Tech Data accounted for 16% and 15% of gross accounts receivable at October 31, 2010 and January 31, 2010, respectively. Autodesk’s business is not substantially dependent on Tech Data. Autodesk’s actual customers through Tech Data are the resellers and end users who purchase Autodesk’s software licenses and services. Should any of the agreements between Autodesk and Tech Data be terminated for any reason, Autodesk believes that arrangements could be made so that the resellers and end users who currently purchase Autodesk’s products through Tech Data would be able to continue to do so under substantially the same terms from one of the many other distributors of Autodesk without substantial disruption to Autodesk.</w:t>
      </w:r>
    </w:p>
    <w:p>
      <w:pPr>
        <w:spacing w:after="0" w:line="241" w:lineRule="exact"/>
        <w:rPr>
          <w:sz w:val="20"/>
          <w:szCs w:val="20"/>
          <w:color w:val="auto"/>
        </w:rPr>
      </w:pPr>
    </w:p>
    <w:p>
      <w:pPr>
        <w:ind w:left="240" w:right="7640" w:hanging="232"/>
        <w:spacing w:after="0" w:line="344" w:lineRule="auto"/>
        <w:tabs>
          <w:tab w:leader="none" w:pos="45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Instruments and Hedging Activities </w:t>
      </w:r>
      <w:r>
        <w:rPr>
          <w:rFonts w:ascii="Arial" w:cs="Arial" w:eastAsia="Arial" w:hAnsi="Arial"/>
          <w:sz w:val="18"/>
          <w:szCs w:val="18"/>
          <w:i w:val="1"/>
          <w:iCs w:val="1"/>
          <w:color w:val="auto"/>
        </w:rPr>
        <w:t>Financial Instruments</w:t>
      </w:r>
    </w:p>
    <w:p>
      <w:pPr>
        <w:spacing w:after="0" w:line="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Market values were determined for each individual security in the investment portfolio. The cost and fair value of Autodesk’s financial instruments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October 31, 2010</w:t>
            </w:r>
          </w:p>
        </w:tc>
        <w:tc>
          <w:tcPr>
            <w:tcW w:w="300" w:type="dxa"/>
            <w:vAlign w:val="bottom"/>
          </w:tcPr>
          <w:p>
            <w:pPr>
              <w:spacing w:after="0"/>
              <w:rPr>
                <w:sz w:val="14"/>
                <w:szCs w:val="14"/>
                <w:color w:val="auto"/>
              </w:rPr>
            </w:pPr>
          </w:p>
        </w:tc>
        <w:tc>
          <w:tcPr>
            <w:tcW w:w="1880" w:type="dxa"/>
            <w:vAlign w:val="bottom"/>
            <w:gridSpan w:val="4"/>
          </w:tcPr>
          <w:p>
            <w:pPr>
              <w:ind w:left="240"/>
              <w:spacing w:after="0"/>
              <w:rPr>
                <w:sz w:val="20"/>
                <w:szCs w:val="20"/>
                <w:color w:val="auto"/>
              </w:rPr>
            </w:pPr>
            <w:r>
              <w:rPr>
                <w:rFonts w:ascii="Arial" w:cs="Arial" w:eastAsia="Arial" w:hAnsi="Arial"/>
                <w:sz w:val="14"/>
                <w:szCs w:val="14"/>
                <w:b w:val="1"/>
                <w:bCs w:val="1"/>
                <w:color w:val="auto"/>
              </w:rPr>
              <w:t>January 31, 2010</w:t>
            </w:r>
          </w:p>
        </w:tc>
      </w:tr>
      <w:tr>
        <w:trPr>
          <w:trHeight w:val="142"/>
        </w:trPr>
        <w:tc>
          <w:tcPr>
            <w:tcW w:w="49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5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Fair Value</w:t>
            </w:r>
          </w:p>
        </w:tc>
        <w:tc>
          <w:tcPr>
            <w:tcW w:w="58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5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Fair Value</w:t>
            </w:r>
          </w:p>
        </w:tc>
        <w:tc>
          <w:tcPr>
            <w:tcW w:w="100" w:type="dxa"/>
            <w:vAlign w:val="bottom"/>
          </w:tcPr>
          <w:p>
            <w:pPr>
              <w:spacing w:after="0"/>
              <w:rPr>
                <w:sz w:val="12"/>
                <w:szCs w:val="12"/>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w:t>
            </w: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904.3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838.7</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Marketable securities - short-term</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231.9</w:t>
            </w:r>
          </w:p>
        </w:tc>
        <w:tc>
          <w:tcPr>
            <w:tcW w:w="1760" w:type="dxa"/>
            <w:vAlign w:val="bottom"/>
            <w:gridSpan w:val="3"/>
          </w:tcPr>
          <w:p>
            <w:pPr>
              <w:jc w:val="right"/>
              <w:ind w:right="580"/>
              <w:spacing w:after="0"/>
              <w:rPr>
                <w:sz w:val="20"/>
                <w:szCs w:val="20"/>
                <w:color w:val="auto"/>
              </w:rPr>
            </w:pPr>
            <w:r>
              <w:rPr>
                <w:rFonts w:ascii="Arial" w:cs="Arial" w:eastAsia="Arial" w:hAnsi="Arial"/>
                <w:sz w:val="18"/>
                <w:szCs w:val="18"/>
                <w:color w:val="auto"/>
              </w:rPr>
              <w:t>232.5</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long-term</w:t>
            </w:r>
          </w:p>
        </w:tc>
        <w:tc>
          <w:tcPr>
            <w:tcW w:w="1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199.8</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8"/>
                <w:szCs w:val="18"/>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Foreign currency forward and option contracts</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Autodesk has marketable securities that are classified as either “available-for-sale securities” or “trading securities.” At October 31, 2010 and January 31, 2010, Autodesk’s short-term investment portfolio included $30.6 million and $26.3 million, respectively, of “trading securities” invested in a defined set of mutual funds as directed by the participants in the Company’s Deferred Compensation Plan. At October 31, 2010, these securities had net unrealized gains of $0.4 million and a cost basis of $30.2 million, and at January 31, 2010, these securities had net unrealized losses of $3.1 million and a cost basis of $29.4 million (see Note 8, “Deferred Compensation”).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Marketable securities classified as “available-for-sale securities” include the following securities at October 31, 2010 and January 31,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October 31, 2010</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74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4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r>
      <w:tr>
        <w:trPr>
          <w:trHeight w:val="161"/>
        </w:trPr>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Cost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4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77.0</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300"/>
              <w:spacing w:after="0"/>
              <w:rPr>
                <w:sz w:val="20"/>
                <w:szCs w:val="20"/>
                <w:color w:val="auto"/>
              </w:rPr>
            </w:pPr>
            <w:r>
              <w:rPr>
                <w:rFonts w:ascii="Arial" w:cs="Arial" w:eastAsia="Arial" w:hAnsi="Arial"/>
                <w:sz w:val="18"/>
                <w:szCs w:val="18"/>
                <w:color w:val="auto"/>
                <w:w w:val="79"/>
              </w:rPr>
              <w:t>0.1</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0.1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Sovereign debt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22"/>
        </w:trPr>
        <w:tc>
          <w:tcPr>
            <w:tcW w:w="74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201.7</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300"/>
              <w:spacing w:after="0"/>
              <w:rPr>
                <w:sz w:val="20"/>
                <w:szCs w:val="20"/>
                <w:color w:val="auto"/>
              </w:rPr>
            </w:pPr>
            <w:r>
              <w:rPr>
                <w:rFonts w:ascii="Arial" w:cs="Arial" w:eastAsia="Arial" w:hAnsi="Arial"/>
                <w:sz w:val="18"/>
                <w:szCs w:val="18"/>
                <w:color w:val="auto"/>
                <w:w w:val="79"/>
              </w:rPr>
              <w:t>0.2</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201.9</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Long-term available-for-sale securities: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162.3</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300"/>
              <w:spacing w:after="0"/>
              <w:rPr>
                <w:sz w:val="20"/>
                <w:szCs w:val="20"/>
                <w:color w:val="auto"/>
              </w:rPr>
            </w:pPr>
            <w:r>
              <w:rPr>
                <w:rFonts w:ascii="Arial" w:cs="Arial" w:eastAsia="Arial" w:hAnsi="Arial"/>
                <w:sz w:val="18"/>
                <w:szCs w:val="18"/>
                <w:color w:val="auto"/>
                <w:w w:val="79"/>
              </w:rPr>
              <w:t>2.4</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164.7</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Arial" w:cs="Arial" w:eastAsia="Arial" w:hAnsi="Arial"/>
                <w:sz w:val="18"/>
                <w:szCs w:val="18"/>
                <w:color w:val="auto"/>
                <w:w w:val="79"/>
              </w:rPr>
              <w:t>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Taxable auction-rate securities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Arial" w:cs="Arial" w:eastAsia="Arial" w:hAnsi="Arial"/>
                <w:sz w:val="18"/>
                <w:szCs w:val="18"/>
                <w:color w:val="auto"/>
                <w:w w:val="79"/>
              </w:rPr>
              <w:t>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Sovereign debt</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0.1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22"/>
        </w:trPr>
        <w:tc>
          <w:tcPr>
            <w:tcW w:w="74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196.8</w:t>
            </w: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300"/>
              <w:spacing w:after="0"/>
              <w:rPr>
                <w:sz w:val="20"/>
                <w:szCs w:val="20"/>
                <w:color w:val="auto"/>
              </w:rPr>
            </w:pPr>
            <w:r>
              <w:rPr>
                <w:rFonts w:ascii="Arial" w:cs="Arial" w:eastAsia="Arial" w:hAnsi="Arial"/>
                <w:sz w:val="18"/>
                <w:szCs w:val="18"/>
                <w:color w:val="auto"/>
                <w:w w:val="79"/>
              </w:rPr>
              <w:t>3.0</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199.8</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7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January 31, 2010</w:t>
            </w: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7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74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4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r>
      <w:tr>
        <w:trPr>
          <w:trHeight w:val="161"/>
        </w:trPr>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Cost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4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88.8</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300"/>
              <w:spacing w:after="0"/>
              <w:rPr>
                <w:sz w:val="20"/>
                <w:szCs w:val="20"/>
                <w:color w:val="auto"/>
              </w:rPr>
            </w:pPr>
            <w:r>
              <w:rPr>
                <w:rFonts w:ascii="Arial" w:cs="Arial" w:eastAsia="Arial" w:hAnsi="Arial"/>
                <w:sz w:val="18"/>
                <w:szCs w:val="18"/>
                <w:color w:val="auto"/>
                <w:w w:val="79"/>
              </w:rPr>
              <w:t>0.2</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r>
      <w:tr>
        <w:trPr>
          <w:trHeight w:val="222"/>
        </w:trPr>
        <w:tc>
          <w:tcPr>
            <w:tcW w:w="74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135.4</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300"/>
              <w:spacing w:after="0"/>
              <w:rPr>
                <w:sz w:val="20"/>
                <w:szCs w:val="20"/>
                <w:color w:val="auto"/>
              </w:rPr>
            </w:pPr>
            <w:r>
              <w:rPr>
                <w:rFonts w:ascii="Arial" w:cs="Arial" w:eastAsia="Arial" w:hAnsi="Arial"/>
                <w:sz w:val="18"/>
                <w:szCs w:val="18"/>
                <w:color w:val="auto"/>
                <w:w w:val="79"/>
              </w:rPr>
              <w:t>0.2</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135.6</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Long-term available-for-sale securities: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Corporate securities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94.9</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300"/>
              <w:spacing w:after="0"/>
              <w:rPr>
                <w:sz w:val="20"/>
                <w:szCs w:val="20"/>
                <w:color w:val="auto"/>
              </w:rPr>
            </w:pPr>
            <w:r>
              <w:rPr>
                <w:rFonts w:ascii="Arial" w:cs="Arial" w:eastAsia="Arial" w:hAnsi="Arial"/>
                <w:sz w:val="18"/>
                <w:szCs w:val="18"/>
                <w:color w:val="auto"/>
                <w:w w:val="79"/>
              </w:rPr>
              <w:t>1.0</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0.1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Taxable auction-rate securities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0.1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23"/>
        </w:trPr>
        <w:tc>
          <w:tcPr>
            <w:tcW w:w="740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1.2</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125.6</w:t>
            </w:r>
          </w:p>
        </w:tc>
        <w:tc>
          <w:tcPr>
            <w:tcW w:w="100" w:type="dxa"/>
            <w:vAlign w:val="bottom"/>
            <w:shd w:val="clear" w:color="auto" w:fill="CCEEFF"/>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sales of “available-for-sale securities” resulted in no gross gains or losses during the three and nine month periods ended October 31, 2010 and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cost of securities sold is based on the specific identification method.</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At October 31, 2010 and January 31, 2010, Autodesk was invested in The Reserve International Liquidity Fund (the “International Fund”) with an estimated fair value of $10.0 million. In mid-September of 2008, the International Fund ceased redemptions after net asset values of the funds decreased below $1 per share. This occurred as a result of the International Fund revaluing their holdings of debt securities issued by Lehman Brothers Holdings, Inc. (“Lehman Brothers”), which filed for Chapter 11 bankruptcy on September 15, 2008, and the resulting unusually high redemption requests on the International Fund.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 third party court appointed supervisor is overseeing, but not managing, the accounting and payment administration of the International Fund. Based on currently available information, Autodesk expects to recover substantially all of its current holdings, net of reserves, from the International Fund within the next 12 months. Accordingly, the International Fund is classified in current “Marketable securities” in the Condensed Consolidated Balance Sheets.</w:t>
      </w:r>
    </w:p>
    <w:p>
      <w:pPr>
        <w:spacing w:after="0" w:line="10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At October 31, 2010 and January 31, 2010, Autodesk owned auction rate securities with an estimated fair value of $4.2 million and $7.6 million, respectively. During the 3 months ended October 31, 2010 Autodesk redeemed one of its two auction rate securities with a fair value of $3.4 million. Autodesk’s remaining auction rate security is a variable rate debt instrument that has underlying securities with contractual maturities greater than ten years and interest rates that were structured to reset at auction every 28 days. The security, which met Autodesk’s investment guidelines at the time the investment was made, has failed to settle in auction since August 2007 and has earned a premium interest rate since that time. While Autodesk expects to recover substantially all of its current holdings, net of reserves, in the remaining auction rate security, it cannot predict when this will occur or the amount the Company will receive. Due to the lack of liquidity of this investment in an active market, it is included in non-current “Marketable securities” on the accompanying Condensed Consolidated Balance Sheets. The Company will continue to evaluate its accounting for this investment quarterly.</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summarizes the estimated fair value of our available-for-sale marketable securities, classified by the contractual maturity date of the security as of October 31, 2010:</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700" w:type="dxa"/>
            <w:vAlign w:val="bottom"/>
            <w:gridSpan w:val="5"/>
          </w:tcPr>
          <w:p>
            <w:pPr>
              <w:ind w:left="320"/>
              <w:spacing w:after="0"/>
              <w:rPr>
                <w:sz w:val="20"/>
                <w:szCs w:val="20"/>
                <w:color w:val="auto"/>
              </w:rPr>
            </w:pPr>
            <w:r>
              <w:rPr>
                <w:rFonts w:ascii="Arial" w:cs="Arial" w:eastAsia="Arial" w:hAnsi="Arial"/>
                <w:sz w:val="14"/>
                <w:szCs w:val="14"/>
                <w:b w:val="1"/>
                <w:bCs w:val="1"/>
                <w:color w:val="auto"/>
              </w:rPr>
              <w:t>October 31, 2010</w:t>
            </w: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Cost</w:t>
            </w:r>
          </w:p>
        </w:tc>
        <w:tc>
          <w:tcPr>
            <w:tcW w:w="5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Due in 1 year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$201.7</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Due in 1 year through 5 years</w:t>
            </w:r>
          </w:p>
        </w:tc>
        <w:tc>
          <w:tcPr>
            <w:tcW w:w="500" w:type="dxa"/>
            <w:vAlign w:val="bottom"/>
          </w:tcPr>
          <w:p>
            <w:pPr>
              <w:jc w:val="right"/>
              <w:spacing w:after="0"/>
              <w:rPr>
                <w:sz w:val="20"/>
                <w:szCs w:val="20"/>
                <w:color w:val="auto"/>
              </w:rPr>
            </w:pPr>
            <w:r>
              <w:rPr>
                <w:rFonts w:ascii="Arial" w:cs="Arial" w:eastAsia="Arial" w:hAnsi="Arial"/>
                <w:sz w:val="18"/>
                <w:szCs w:val="18"/>
                <w:color w:val="auto"/>
              </w:rPr>
              <w:t>192.6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Due in 5 years through 10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Due after 10 years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398.5</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401.7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right="320" w:firstLine="228"/>
        <w:spacing w:after="0" w:line="391" w:lineRule="auto"/>
        <w:rPr>
          <w:sz w:val="20"/>
          <w:szCs w:val="20"/>
          <w:color w:val="auto"/>
        </w:rPr>
      </w:pPr>
      <w:r>
        <w:rPr>
          <w:rFonts w:ascii="Arial" w:cs="Arial" w:eastAsia="Arial" w:hAnsi="Arial"/>
          <w:sz w:val="18"/>
          <w:szCs w:val="18"/>
          <w:color w:val="auto"/>
        </w:rPr>
        <w:t xml:space="preserve">As of October 31, 2010 and January 31, 2010, Autodesk did not have any securities in a continuous unrealized loss position for greater than 12 months. </w:t>
      </w:r>
      <w:r>
        <w:rPr>
          <w:rFonts w:ascii="Arial" w:cs="Arial" w:eastAsia="Arial" w:hAnsi="Arial"/>
          <w:sz w:val="18"/>
          <w:szCs w:val="18"/>
          <w:i w:val="1"/>
          <w:iCs w:val="1"/>
          <w:color w:val="auto"/>
        </w:rPr>
        <w:t>Derivative Financial Instruments</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its risk management strategy, Autodesk uses derivative instruments to manage its short-term exposures to fluctuations in foreign currency exchange rates, which exist as part of ongoing international business operations. Autodesk’s general practice is to use two types of derivative instruments, option collars and forward contracts, to hedge a majority of transaction exposures denominated in Euros, Japanese yen, Swiss francs, British pounds and Canadian dollars. These instruments have maturities between 1 to 12 months in the future. Autodesk does not enter into any transactions for derivative instruments for trading or speculative purposes.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does not have any master netting arrangements in place with collateral features.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 Hedges</w:t>
      </w:r>
    </w:p>
    <w:p>
      <w:pPr>
        <w:spacing w:after="0" w:line="96"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Autodesk utilizes foreign currency contracts to reduce the exchange rate impact on a portion of the net revenue or operating expense of certain anticipated transactions. These contracts, which are designated and documented as cash flow hedges, qualify for special hedge accounting treatment. The effectiveness of the cash flow hedge contracts is assessed quarterly using regression analysis as well as other timing and probability criteria. To receive special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 (loss)” to “Interest and other income (expense), net” in the Company’s Condensed Consolidated Financial Statements at that time.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notional amount of these contracts was $306.4 million at October 31, 2010 and $239.1 million at January 31, 2010. Outstanding contracts are recognized as either assets or liabilities on the balance sheet at fair value. The entire net loss of $7.7 million remaining in “Accumulated other comprehensive income (loss)” as of October 31, 2010 is expected to be recognized into earnings within the next 12 months.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Balance Sheet Hedges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addition to the cash flow hedges described above, Autodesk uses contracts which are not designated as hedging instruments to reduce the exchange rate risk associated primarily with receivables and payables. Forward contracts are marked-to-market at the end of each fiscal quarter, with gains and losses recognized as “Interest and other income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notional amounts of foreign currency contracts were $24.9 million at October 31, 2010 and $19.6 million at January 31, 2010.</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derivative instruments in Autodesk’s Condensed Consolidated Balance Sheets were as follows as of October 31, 2010 and January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Derivative Instruments in Condensed Consolidated Balance Sheet as of October 31, 2010 and January 31,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1"/>
              </w:rPr>
              <w:t>Fair Value at</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0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October 31,</w:t>
            </w:r>
          </w:p>
        </w:tc>
        <w:tc>
          <w:tcPr>
            <w:tcW w:w="50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January 31,</w:t>
            </w:r>
          </w:p>
        </w:tc>
        <w:tc>
          <w:tcPr>
            <w:tcW w:w="100" w:type="dxa"/>
            <w:vAlign w:val="bottom"/>
          </w:tcPr>
          <w:p>
            <w:pPr>
              <w:spacing w:after="0"/>
              <w:rPr>
                <w:sz w:val="11"/>
                <w:szCs w:val="11"/>
                <w:color w:val="auto"/>
              </w:rPr>
            </w:pPr>
          </w:p>
        </w:tc>
      </w:tr>
      <w:tr>
        <w:trPr>
          <w:trHeight w:val="161"/>
        </w:trPr>
        <w:tc>
          <w:tcPr>
            <w:tcW w:w="7000" w:type="dxa"/>
            <w:vAlign w:val="bottom"/>
          </w:tcPr>
          <w:p>
            <w:pPr>
              <w:spacing w:after="0"/>
              <w:rPr>
                <w:sz w:val="14"/>
                <w:szCs w:val="14"/>
                <w:color w:val="auto"/>
              </w:rPr>
            </w:pPr>
          </w:p>
        </w:tc>
        <w:tc>
          <w:tcPr>
            <w:tcW w:w="19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Balance Sheet Location</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000" w:type="dxa"/>
            <w:vAlign w:val="bottom"/>
          </w:tcPr>
          <w:p>
            <w:pPr>
              <w:ind w:left="440"/>
              <w:spacing w:after="0"/>
              <w:rPr>
                <w:sz w:val="20"/>
                <w:szCs w:val="20"/>
                <w:color w:val="auto"/>
              </w:rPr>
            </w:pPr>
            <w:r>
              <w:rPr>
                <w:rFonts w:ascii="Arial" w:cs="Arial" w:eastAsia="Arial" w:hAnsi="Arial"/>
                <w:sz w:val="18"/>
                <w:szCs w:val="18"/>
                <w:color w:val="auto"/>
              </w:rPr>
              <w:t>Foreign currency contracts designated as cash flow hedges</w:t>
            </w:r>
          </w:p>
        </w:tc>
        <w:tc>
          <w:tcPr>
            <w:tcW w:w="1960" w:type="dxa"/>
            <w:vAlign w:val="bottom"/>
          </w:tcPr>
          <w:p>
            <w:pPr>
              <w:ind w:left="40"/>
              <w:spacing w:after="0"/>
              <w:rPr>
                <w:sz w:val="20"/>
                <w:szCs w:val="20"/>
                <w:color w:val="auto"/>
              </w:rPr>
            </w:pPr>
            <w:r>
              <w:rPr>
                <w:rFonts w:ascii="Arial" w:cs="Arial" w:eastAsia="Arial" w:hAnsi="Arial"/>
                <w:sz w:val="18"/>
                <w:szCs w:val="18"/>
                <w:color w:val="auto"/>
                <w:w w:val="84"/>
              </w:rPr>
              <w:t>Prepaid expenses and other</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000" w:type="dxa"/>
            <w:vAlign w:val="bottom"/>
          </w:tcPr>
          <w:p>
            <w:pPr>
              <w:spacing w:after="0"/>
              <w:rPr>
                <w:sz w:val="19"/>
                <w:szCs w:val="19"/>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17"/>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Derivatives not designated as hedging instruments</w:t>
            </w:r>
          </w:p>
        </w:tc>
        <w:tc>
          <w:tcPr>
            <w:tcW w:w="1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000" w:type="dxa"/>
            <w:vAlign w:val="bottom"/>
          </w:tcPr>
          <w:p>
            <w:pPr>
              <w:ind w:left="880"/>
              <w:spacing w:after="0"/>
              <w:rPr>
                <w:sz w:val="20"/>
                <w:szCs w:val="20"/>
                <w:color w:val="auto"/>
              </w:rPr>
            </w:pPr>
            <w:r>
              <w:rPr>
                <w:rFonts w:ascii="Arial" w:cs="Arial" w:eastAsia="Arial" w:hAnsi="Arial"/>
                <w:sz w:val="18"/>
                <w:szCs w:val="18"/>
                <w:color w:val="auto"/>
              </w:rPr>
              <w:t>Total derivative assets</w:t>
            </w:r>
          </w:p>
        </w:tc>
        <w:tc>
          <w:tcPr>
            <w:tcW w:w="1960" w:type="dxa"/>
            <w:vAlign w:val="bottom"/>
          </w:tcPr>
          <w:p>
            <w:pPr>
              <w:spacing w:after="0"/>
              <w:rPr>
                <w:sz w:val="19"/>
                <w:szCs w:val="19"/>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Foreign currency contracts designated as cash flow hedges</w:t>
            </w:r>
          </w:p>
        </w:tc>
        <w:tc>
          <w:tcPr>
            <w:tcW w:w="196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Derivatives not designated as hedging instruments</w:t>
            </w:r>
          </w:p>
        </w:tc>
        <w:tc>
          <w:tcPr>
            <w:tcW w:w="1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000" w:type="dxa"/>
            <w:vAlign w:val="bottom"/>
          </w:tcPr>
          <w:p>
            <w:pPr>
              <w:ind w:left="880"/>
              <w:spacing w:after="0"/>
              <w:rPr>
                <w:sz w:val="20"/>
                <w:szCs w:val="20"/>
                <w:color w:val="auto"/>
              </w:rPr>
            </w:pPr>
            <w:r>
              <w:rPr>
                <w:rFonts w:ascii="Arial" w:cs="Arial" w:eastAsia="Arial" w:hAnsi="Arial"/>
                <w:sz w:val="18"/>
                <w:szCs w:val="18"/>
                <w:color w:val="auto"/>
              </w:rPr>
              <w:t>Total derivative liabilities</w:t>
            </w:r>
          </w:p>
        </w:tc>
        <w:tc>
          <w:tcPr>
            <w:tcW w:w="1960" w:type="dxa"/>
            <w:vAlign w:val="bottom"/>
          </w:tcPr>
          <w:p>
            <w:pPr>
              <w:spacing w:after="0"/>
              <w:rPr>
                <w:sz w:val="19"/>
                <w:szCs w:val="19"/>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effects of derivative instruments on Autodesk’s Condensed Consolidated Statements of Operations were as follows for the three and nine months ended October 31, 2010 and 2009, respectively (amounts presented include any income tax effects).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Effects of Derivative Instruments on Income and Other Comprehensive Income (“OCI”) Derivatives Designated as Hedging Instruments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58"/>
              <w:spacing w:after="0"/>
              <w:rPr>
                <w:sz w:val="20"/>
                <w:szCs w:val="20"/>
                <w:color w:val="auto"/>
              </w:rPr>
            </w:pPr>
            <w:r>
              <w:rPr>
                <w:rFonts w:ascii="Arial" w:cs="Arial" w:eastAsia="Arial" w:hAnsi="Arial"/>
                <w:sz w:val="14"/>
                <w:szCs w:val="14"/>
                <w:b w:val="1"/>
                <w:bCs w:val="1"/>
                <w:color w:val="auto"/>
                <w:w w:val="90"/>
              </w:rPr>
              <w:t>Foreign Currency Contracts</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5"/>
          </w:tcPr>
          <w:p>
            <w:pPr>
              <w:jc w:val="right"/>
              <w:ind w:right="860"/>
              <w:spacing w:after="0" w:line="142" w:lineRule="exact"/>
              <w:rPr>
                <w:sz w:val="20"/>
                <w:szCs w:val="20"/>
                <w:color w:val="auto"/>
              </w:rPr>
            </w:pPr>
            <w:r>
              <w:rPr>
                <w:rFonts w:ascii="Arial" w:cs="Arial" w:eastAsia="Arial" w:hAnsi="Arial"/>
                <w:sz w:val="14"/>
                <w:szCs w:val="14"/>
                <w:b w:val="1"/>
                <w:bCs w:val="1"/>
                <w:color w:val="auto"/>
                <w:w w:val="89"/>
              </w:rPr>
              <w:t>Three Months Ended October 31,</w:t>
            </w:r>
          </w:p>
        </w:tc>
        <w:tc>
          <w:tcPr>
            <w:tcW w:w="140" w:type="dxa"/>
            <w:vAlign w:val="bottom"/>
          </w:tcPr>
          <w:p>
            <w:pPr>
              <w:spacing w:after="0"/>
              <w:rPr>
                <w:sz w:val="12"/>
                <w:szCs w:val="12"/>
                <w:color w:val="auto"/>
              </w:rPr>
            </w:pPr>
          </w:p>
        </w:tc>
        <w:tc>
          <w:tcPr>
            <w:tcW w:w="2100" w:type="dxa"/>
            <w:vAlign w:val="bottom"/>
            <w:gridSpan w:val="4"/>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Nine Months Ended October 31,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8"/>
              </w:rPr>
              <w:t>Amount of Gain (Loss) Recognized in Accumulated OCI on Derivatives</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(Effective Portion)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 and Location of Gain (Loss) Reclassified from Accumulated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20"/>
              <w:spacing w:after="0"/>
              <w:rPr>
                <w:sz w:val="20"/>
                <w:szCs w:val="20"/>
                <w:color w:val="auto"/>
              </w:rPr>
            </w:pPr>
            <w:r>
              <w:rPr>
                <w:rFonts w:ascii="Arial" w:cs="Arial" w:eastAsia="Arial" w:hAnsi="Arial"/>
                <w:sz w:val="18"/>
                <w:szCs w:val="18"/>
                <w:b w:val="1"/>
                <w:bCs w:val="1"/>
                <w:color w:val="auto"/>
              </w:rPr>
              <w:t>OCI into Income (Effective Portion)</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 and Location of Gain (Loss) Recognized in Income 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220"/>
              <w:spacing w:after="0"/>
              <w:rPr>
                <w:sz w:val="20"/>
                <w:szCs w:val="20"/>
                <w:color w:val="auto"/>
              </w:rPr>
            </w:pPr>
            <w:r>
              <w:rPr>
                <w:rFonts w:ascii="Arial" w:cs="Arial" w:eastAsia="Arial" w:hAnsi="Arial"/>
                <w:sz w:val="18"/>
                <w:szCs w:val="18"/>
                <w:b w:val="1"/>
                <w:bCs w:val="1"/>
                <w:color w:val="auto"/>
              </w:rPr>
              <w:t>Derivatives (Ineffective Portion and Amount Excluded from</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20"/>
              <w:spacing w:after="0"/>
              <w:rPr>
                <w:sz w:val="20"/>
                <w:szCs w:val="20"/>
                <w:color w:val="auto"/>
              </w:rPr>
            </w:pPr>
            <w:r>
              <w:rPr>
                <w:rFonts w:ascii="Arial" w:cs="Arial" w:eastAsia="Arial" w:hAnsi="Arial"/>
                <w:sz w:val="18"/>
                <w:szCs w:val="18"/>
                <w:b w:val="1"/>
                <w:bCs w:val="1"/>
                <w:color w:val="auto"/>
              </w:rPr>
              <w:t>Effectiveness Testing)</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and other income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 xml:space="preserve">0.1 </w:t>
            </w:r>
            <w:r>
              <w:rPr>
                <w:rFonts w:ascii="Arial" w:cs="Arial" w:eastAsia="Arial" w:hAnsi="Arial"/>
                <w:sz w:val="11"/>
                <w:szCs w:val="1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2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$0.1 million loss and $0.9 million gain recognized for the three and nine months ended October 31, 2009, respectively, due to previously forecasted transactions that did not occur within the originally specified time period or the additional period of time allowed.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146"/>
              <w:spacing w:after="0"/>
              <w:rPr>
                <w:sz w:val="20"/>
                <w:szCs w:val="20"/>
                <w:color w:val="auto"/>
              </w:rPr>
            </w:pPr>
            <w:r>
              <w:rPr>
                <w:rFonts w:ascii="Arial" w:cs="Arial" w:eastAsia="Arial" w:hAnsi="Arial"/>
                <w:sz w:val="14"/>
                <w:szCs w:val="14"/>
                <w:b w:val="1"/>
                <w:bCs w:val="1"/>
                <w:color w:val="auto"/>
                <w:w w:val="91"/>
              </w:rPr>
              <w:t>Foreign Exchange Contracts</w:t>
            </w: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w w:val="90"/>
              </w:rPr>
              <w:t>Three Months Ended October 31,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w w:val="97"/>
              </w:rPr>
              <w:t>Nine Months Ended October 31,</w:t>
            </w:r>
          </w:p>
        </w:tc>
        <w:tc>
          <w:tcPr>
            <w:tcW w:w="100" w:type="dxa"/>
            <w:vAlign w:val="bottom"/>
          </w:tcPr>
          <w:p>
            <w:pPr>
              <w:spacing w:after="0"/>
              <w:rPr>
                <w:sz w:val="12"/>
                <w:szCs w:val="12"/>
                <w:color w:val="auto"/>
              </w:rPr>
            </w:pPr>
          </w:p>
        </w:tc>
      </w:tr>
      <w:tr>
        <w:trPr>
          <w:trHeight w:val="142"/>
        </w:trPr>
        <w:tc>
          <w:tcPr>
            <w:tcW w:w="5160" w:type="dxa"/>
            <w:vAlign w:val="bottom"/>
          </w:tcPr>
          <w:p>
            <w:pPr>
              <w:spacing w:after="0" w:line="142" w:lineRule="exact"/>
              <w:rPr>
                <w:sz w:val="20"/>
                <w:szCs w:val="20"/>
                <w:color w:val="auto"/>
              </w:rPr>
            </w:pPr>
            <w:r>
              <w:rPr>
                <w:rFonts w:ascii="Arial" w:cs="Arial" w:eastAsia="Arial" w:hAnsi="Arial"/>
                <w:sz w:val="14"/>
                <w:szCs w:val="14"/>
                <w:b w:val="1"/>
                <w:bCs w:val="1"/>
                <w:color w:val="auto"/>
              </w:rPr>
              <w:t>Amount and Location of Gain (Loss) Recognized in Income on Derivative</w:t>
            </w:r>
          </w:p>
        </w:tc>
        <w:tc>
          <w:tcPr>
            <w:tcW w:w="9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bl>
    <w:p>
      <w:pPr>
        <w:spacing w:after="0" w:line="27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a recurring basis, Autodesk measures certain financial assets and liabilities, which consist of cash equivalents, marketable securities and foreign currency contracts, at fair value. Autodesk uses a three-tier value hierarchy, which prioritizes the inputs used in measuring fair value as follows: (Level 1) observable inputs such as quoted prices in active markets; (Level 2) inputs other than the quoted prices in active markets that are observable either directly or indirectly in active markets; and (Level 3) unobservable inputs in which there is little or no market data, which requires Autodesk to develop its own assumptions. Whenever possible, Autodesk uses observable market data, and relies on unobservable inputs only when observable market data is not available, when determining fair value. A financial asset or liability’s classification within the hierarchy is determined based on the lowest level input that is significant to the fair value measurement.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transfers between fair value measurement levels during the three months ended October 31, 2010.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October 31,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8"/>
          </w:tcPr>
          <w:p>
            <w:pPr>
              <w:ind w:left="740"/>
              <w:spacing w:after="0"/>
              <w:rPr>
                <w:sz w:val="20"/>
                <w:szCs w:val="20"/>
                <w:color w:val="auto"/>
              </w:rPr>
            </w:pPr>
            <w:r>
              <w:rPr>
                <w:rFonts w:ascii="Arial" w:cs="Arial" w:eastAsia="Arial" w:hAnsi="Arial"/>
                <w:sz w:val="14"/>
                <w:szCs w:val="14"/>
                <w:b w:val="1"/>
                <w:bCs w:val="1"/>
                <w:color w:val="auto"/>
                <w:w w:val="93"/>
              </w:rPr>
              <w:t>Fair Value Measurements at October 31, 2010 Using</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40" w:type="dxa"/>
            <w:vAlign w:val="bottom"/>
          </w:tcPr>
          <w:p>
            <w:pPr>
              <w:spacing w:after="0"/>
              <w:rPr>
                <w:sz w:val="11"/>
                <w:szCs w:val="11"/>
                <w:color w:val="auto"/>
              </w:rPr>
            </w:pPr>
          </w:p>
        </w:tc>
        <w:tc>
          <w:tcPr>
            <w:tcW w:w="148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12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in Active</w:t>
            </w:r>
          </w:p>
        </w:tc>
        <w:tc>
          <w:tcPr>
            <w:tcW w:w="100" w:type="dxa"/>
            <w:vAlign w:val="bottom"/>
          </w:tcPr>
          <w:p>
            <w:pPr>
              <w:spacing w:after="0"/>
              <w:rPr>
                <w:sz w:val="12"/>
                <w:szCs w:val="12"/>
                <w:color w:val="auto"/>
              </w:rPr>
            </w:pPr>
          </w:p>
        </w:tc>
        <w:tc>
          <w:tcPr>
            <w:tcW w:w="11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4"/>
              </w:rPr>
              <w:t>Identical Assets</w:t>
            </w:r>
          </w:p>
        </w:tc>
        <w:tc>
          <w:tcPr>
            <w:tcW w:w="100" w:type="dxa"/>
            <w:vAlign w:val="bottom"/>
          </w:tcPr>
          <w:p>
            <w:pPr>
              <w:spacing w:after="0"/>
              <w:rPr>
                <w:sz w:val="14"/>
                <w:szCs w:val="14"/>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Inputs</w:t>
            </w:r>
          </w:p>
        </w:tc>
        <w:tc>
          <w:tcPr>
            <w:tcW w:w="8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(Level 1)</w:t>
            </w:r>
          </w:p>
        </w:tc>
        <w:tc>
          <w:tcPr>
            <w:tcW w:w="58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(Level 2)</w:t>
            </w: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8"/>
              </w:rPr>
              <w:t>(Level 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419.6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235.8</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Sovereign debt</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765.7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14.2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(3)</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“Prepaid expenses and other current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“Other accrued liabilities” in the accompanying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January 31,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w w:val="94"/>
              </w:rPr>
              <w:t>Fair Value Measurements at January 31, 2010 Using</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8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in Active</w:t>
            </w:r>
          </w:p>
        </w:tc>
        <w:tc>
          <w:tcPr>
            <w:tcW w:w="100" w:type="dxa"/>
            <w:vAlign w:val="bottom"/>
          </w:tcPr>
          <w:p>
            <w:pPr>
              <w:spacing w:after="0"/>
              <w:rPr>
                <w:sz w:val="12"/>
                <w:szCs w:val="12"/>
                <w:color w:val="auto"/>
              </w:rPr>
            </w:pPr>
          </w:p>
        </w:tc>
        <w:tc>
          <w:tcPr>
            <w:tcW w:w="5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0"/>
              </w:rPr>
              <w:t>Other</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4"/>
              </w:rPr>
              <w:t>Identical Assets</w:t>
            </w:r>
          </w:p>
        </w:tc>
        <w:tc>
          <w:tcPr>
            <w:tcW w:w="100" w:type="dxa"/>
            <w:vAlign w:val="bottom"/>
          </w:tcPr>
          <w:p>
            <w:pPr>
              <w:spacing w:after="0"/>
              <w:rPr>
                <w:sz w:val="14"/>
                <w:szCs w:val="14"/>
                <w:color w:val="auto"/>
              </w:rPr>
            </w:pPr>
          </w:p>
        </w:tc>
        <w:tc>
          <w:tcPr>
            <w:tcW w:w="560" w:type="dxa"/>
            <w:vAlign w:val="bottom"/>
          </w:tcPr>
          <w:p>
            <w:pPr>
              <w:jc w:val="center"/>
              <w:ind w:right="14"/>
              <w:spacing w:after="0"/>
              <w:rPr>
                <w:sz w:val="20"/>
                <w:szCs w:val="20"/>
                <w:color w:val="auto"/>
              </w:rPr>
            </w:pPr>
            <w:r>
              <w:rPr>
                <w:rFonts w:ascii="Arial" w:cs="Arial" w:eastAsia="Arial" w:hAnsi="Arial"/>
                <w:sz w:val="14"/>
                <w:szCs w:val="14"/>
                <w:b w:val="1"/>
                <w:bCs w:val="1"/>
                <w:color w:val="auto"/>
                <w:w w:val="90"/>
              </w:rPr>
              <w:t>Inputs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(Level 1)</w:t>
            </w:r>
          </w:p>
        </w:tc>
        <w:tc>
          <w:tcPr>
            <w:tcW w:w="58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8"/>
              </w:rPr>
              <w:t>(Level 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1"/>
                <w:szCs w:val="11"/>
                <w:color w:val="auto"/>
              </w:rPr>
              <w:t>(1)</w:t>
            </w: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880"/>
              <w:spacing w:after="0"/>
              <w:rPr>
                <w:sz w:val="20"/>
                <w:szCs w:val="20"/>
                <w:color w:val="auto"/>
              </w:rPr>
            </w:pPr>
            <w:r>
              <w:rPr>
                <w:rFonts w:ascii="Arial" w:cs="Arial" w:eastAsia="Arial" w:hAnsi="Arial"/>
                <w:sz w:val="18"/>
                <w:szCs w:val="18"/>
                <w:color w:val="auto"/>
              </w:rPr>
              <w:t>Commercial paper</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299.5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880"/>
              <w:spacing w:after="0"/>
              <w:rPr>
                <w:sz w:val="20"/>
                <w:szCs w:val="20"/>
                <w:color w:val="auto"/>
              </w:rPr>
            </w:pPr>
            <w:r>
              <w:rPr>
                <w:rFonts w:ascii="Arial" w:cs="Arial" w:eastAsia="Arial" w:hAnsi="Arial"/>
                <w:sz w:val="18"/>
                <w:szCs w:val="18"/>
                <w:color w:val="auto"/>
              </w:rPr>
              <w:t>Municipal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Marketable securities: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government agency securities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880"/>
              <w:spacing w:after="0"/>
              <w:rPr>
                <w:sz w:val="20"/>
                <w:szCs w:val="20"/>
                <w:color w:val="auto"/>
              </w:rPr>
            </w:pPr>
            <w:r>
              <w:rPr>
                <w:rFonts w:ascii="Arial" w:cs="Arial" w:eastAsia="Arial" w:hAnsi="Arial"/>
                <w:sz w:val="18"/>
                <w:szCs w:val="18"/>
                <w:color w:val="auto"/>
              </w:rPr>
              <w:t>Municipal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880"/>
              <w:spacing w:after="0"/>
              <w:rPr>
                <w:sz w:val="20"/>
                <w:szCs w:val="20"/>
                <w:color w:val="auto"/>
              </w:rPr>
            </w:pPr>
            <w:r>
              <w:rPr>
                <w:rFonts w:ascii="Arial" w:cs="Arial" w:eastAsia="Arial" w:hAnsi="Arial"/>
                <w:sz w:val="18"/>
                <w:szCs w:val="18"/>
                <w:color w:val="auto"/>
              </w:rPr>
              <w:t>Taxable auction-rate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 and sovereign debt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88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(2)</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tcPr>
          <w:p>
            <w:pPr>
              <w:ind w:left="880"/>
              <w:spacing w:after="0"/>
              <w:rPr>
                <w:sz w:val="20"/>
                <w:szCs w:val="20"/>
                <w:color w:val="auto"/>
              </w:rPr>
            </w:pPr>
            <w:r>
              <w:rPr>
                <w:rFonts w:ascii="Arial" w:cs="Arial" w:eastAsia="Arial" w:hAnsi="Arial"/>
                <w:sz w:val="18"/>
                <w:szCs w:val="18"/>
                <w:color w:val="auto"/>
              </w:rPr>
              <w:t>Total</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635.6</w:t>
            </w: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17.6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(3)</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Included in “Prepaid expenses and other current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Included in “Other accrued liabilities” in the accompanying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Autodesk’s cash equivalents and marketable securities are primarily classified within Level 1 or Level 2 of the fair value hierarchy because they are valued primarily using quoted market prices, or alternative pricing sources and models utilizing market observable inputs with reasonable levels of price transparency. The Company’s investments held in the International Fund and auction rate securities are designated as a Level 3. The Company conducted its fair value assessment of the International Fund using Level 1 and Level 3 inputs. Management has reviewed the International Fund’s underlying portfolio, which is substantially comprised of cash deposited into the U.S. District Court’s Registry at the Federal Reserve Bank of New York. Normally, the Company would classify such investments within Level 1 of the fair value hierarchy. Management evaluated the fair value of its unit interest in the International Fund, considering risk of collection, timing and other factors. These assumptions are inherently subjective and involve significant management judgment. As a result, the Company has classified its holdings in the International Fund within Level 3 of the fair value hierarchy. Autodesk’s investments in auction rate securities are classified within Level 3 because they are valued using a discounted cash flow model, and some of the inputs to this model are unobservable in the market. There have been no significant changes in the valuation input assumptions since January 31, 2010.</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change in Autodesk’s Level 3 items for the nine months ended October 31, 2010 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ind w:left="420"/>
              <w:spacing w:after="0"/>
              <w:rPr>
                <w:sz w:val="20"/>
                <w:szCs w:val="20"/>
                <w:color w:val="auto"/>
              </w:rPr>
            </w:pPr>
            <w:r>
              <w:rPr>
                <w:rFonts w:ascii="Arial" w:cs="Arial" w:eastAsia="Arial" w:hAnsi="Arial"/>
                <w:sz w:val="14"/>
                <w:szCs w:val="14"/>
                <w:b w:val="1"/>
                <w:bCs w:val="1"/>
                <w:color w:val="auto"/>
                <w:w w:val="95"/>
              </w:rPr>
              <w:t>Fair Value Measurements Using</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160"/>
              <w:spacing w:after="0"/>
              <w:rPr>
                <w:sz w:val="20"/>
                <w:szCs w:val="20"/>
                <w:color w:val="auto"/>
              </w:rPr>
            </w:pPr>
            <w:r>
              <w:rPr>
                <w:rFonts w:ascii="Arial" w:cs="Arial" w:eastAsia="Arial" w:hAnsi="Arial"/>
                <w:sz w:val="14"/>
                <w:szCs w:val="14"/>
                <w:b w:val="1"/>
                <w:bCs w:val="1"/>
                <w:color w:val="auto"/>
                <w:w w:val="88"/>
              </w:rPr>
              <w:t>Significant Unobservable Inputs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right="660"/>
              <w:spacing w:after="0" w:line="142" w:lineRule="exact"/>
              <w:rPr>
                <w:sz w:val="20"/>
                <w:szCs w:val="20"/>
                <w:color w:val="auto"/>
              </w:rPr>
            </w:pPr>
            <w:r>
              <w:rPr>
                <w:rFonts w:ascii="Arial" w:cs="Arial" w:eastAsia="Arial" w:hAnsi="Arial"/>
                <w:sz w:val="14"/>
                <w:szCs w:val="14"/>
                <w:b w:val="1"/>
                <w:bCs w:val="1"/>
                <w:color w:val="auto"/>
                <w:w w:val="87"/>
              </w:rPr>
              <w:t>(Level 3)</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8"/>
              </w:rPr>
              <w:t>Taxable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Auction-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Money Market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Rate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Funds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6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520" w:type="dxa"/>
            <w:vAlign w:val="bottom"/>
            <w:gridSpan w:val="2"/>
            <w:shd w:val="clear" w:color="auto" w:fill="CCEEFF"/>
          </w:tcPr>
          <w:p>
            <w:pPr>
              <w:jc w:val="center"/>
              <w:ind w:left="27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$17.6</w:t>
            </w: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Transfers into (out of) Level 3</w:t>
            </w:r>
          </w:p>
        </w:tc>
        <w:tc>
          <w:tcPr>
            <w:tcW w:w="18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purchases (sales) of investments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23"/>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Total realized/unrealized gains (losses) included in earnings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520" w:type="dxa"/>
            <w:vAlign w:val="bottom"/>
            <w:gridSpan w:val="2"/>
            <w:shd w:val="clear" w:color="auto" w:fill="CCEEFF"/>
          </w:tcPr>
          <w:p>
            <w:pPr>
              <w:jc w:val="center"/>
              <w:ind w:left="27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14.2</w:t>
            </w: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240" w:right="8980" w:hanging="232"/>
        <w:spacing w:after="0" w:line="387" w:lineRule="auto"/>
        <w:tabs>
          <w:tab w:leader="none" w:pos="458"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i w:val="1"/>
          <w:iCs w:val="1"/>
          <w:color w:val="auto"/>
        </w:rPr>
        <w:t>Stock Plans</w:t>
      </w:r>
    </w:p>
    <w:p>
      <w:pPr>
        <w:spacing w:after="0" w:line="1"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As of October 31, 2010, Autodesk maintained two active stock plans for the purpose of granting stock awards to employees and to non-employee members of Autodesk’s Board of Directors: the 2008 Employee Stock Plan, as amended and restated (“2008 Plan”), which is available only to employees, and the 2010 Outside Directors’ Option Plan, as amended (“2010 Plan”), which is available only to non-employee directors. Additionally, there are seven expired or terminated plans with options outstanding. The exercise price of all stock options granted under these plans was equal to the fair market value of the stock on the grant date.</w:t>
      </w:r>
    </w:p>
    <w:p>
      <w:pPr>
        <w:spacing w:after="0" w:line="71"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2008 Plan was approved by Autodesk’s stockholders in November 2007 and was amended by the stockholders on June 10, 2010. As amended, the 2008 Plan has reserved 16.0 million shares of Autodesk common stock for issuance and will expire in June 2013. The 2008 Plan permits the grant of stock options, restricted stock units and restricted stock awards; however, no more than 2.5 million of the shares reserved for issuance under the 2008 Plan may be issued pursuant to awards of restricted stock and restricted stock units. Options and restricted stock units granted under the 2008 Plan vest over periods ranging from immediately upon grant to over a four year period and options expire within four to ten years from the date of grant. At October 31, 2010, 15.9 million shares were available for future issuance under the 2008 Plan.</w:t>
      </w:r>
    </w:p>
    <w:p>
      <w:pPr>
        <w:spacing w:after="0" w:line="9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2010 Plan, which was approved by the stockholders and replaced the 2000 Directors’ Option Plan (“2000 Plan”) in June 2009, became effective March 16, 2010. The 2010 Plan permits the grant of stock options and restricted stock awards to non-employee members of Autodesk’s Board of Directors. Options and awards granted under the 2010 Plan vest over periods ranging from one year to over a four year period and options expire within seven years from the date of grant. The 2010 Plan reserved 3.0 million shares of Autodesk common stock. At October 31, 2010, 2.8 million shares were available for future issuance. The 2010 Plan will expire in March 2020.</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At October 31, 2010, a total of 46.4 million shares of Autodesk’s common stock have been reserved for future issuance under existing stock option and stock purchase plans.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sections, Stock Options and Restricted Stock, summarize activity under Autodesk’s stock plans.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nine months ended October 31, 2010 was as follows: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Average Price</w:t>
            </w: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31, 2010</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29,083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Granted</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6,539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46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(2,005)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440"/>
              <w:spacing w:after="0"/>
              <w:rPr>
                <w:sz w:val="20"/>
                <w:szCs w:val="20"/>
                <w:color w:val="auto"/>
              </w:rPr>
            </w:pPr>
            <w:r>
              <w:rPr>
                <w:rFonts w:ascii="Arial" w:cs="Arial" w:eastAsia="Arial" w:hAnsi="Arial"/>
                <w:sz w:val="18"/>
                <w:szCs w:val="18"/>
                <w:color w:val="auto"/>
              </w:rPr>
              <w:t>Cancelled</w:t>
            </w:r>
          </w:p>
        </w:tc>
        <w:tc>
          <w:tcPr>
            <w:tcW w:w="3040" w:type="dxa"/>
            <w:vAlign w:val="bottom"/>
          </w:tcPr>
          <w:p>
            <w:pPr>
              <w:spacing w:after="0"/>
              <w:rPr>
                <w:sz w:val="19"/>
                <w:szCs w:val="19"/>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October 31, 2010</w:t>
            </w:r>
          </w:p>
        </w:tc>
        <w:tc>
          <w:tcPr>
            <w:tcW w:w="30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Options exercisable at October 31, 2010</w:t>
            </w:r>
          </w:p>
        </w:tc>
        <w:tc>
          <w:tcPr>
            <w:tcW w:w="3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vMerge w:val="continue"/>
          </w:tcPr>
          <w:p>
            <w:pPr>
              <w:spacing w:after="0"/>
              <w:rPr>
                <w:sz w:val="18"/>
                <w:szCs w:val="18"/>
                <w:color w:val="auto"/>
              </w:rPr>
            </w:pP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19,486</w:t>
            </w:r>
          </w:p>
        </w:tc>
        <w:tc>
          <w:tcPr>
            <w:tcW w:w="7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 at October 31, 2010</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040" w:type="dxa"/>
            <w:vAlign w:val="bottom"/>
            <w:vMerge w:val="restart"/>
          </w:tcPr>
          <w:p>
            <w:pPr>
              <w:jc w:val="right"/>
              <w:ind w:right="2092"/>
              <w:spacing w:after="0"/>
              <w:rPr>
                <w:sz w:val="20"/>
                <w:szCs w:val="20"/>
                <w:color w:val="auto"/>
              </w:rPr>
            </w:pPr>
            <w:r>
              <w:rPr>
                <w:rFonts w:ascii="Arial" w:cs="Arial" w:eastAsia="Arial" w:hAnsi="Arial"/>
                <w:sz w:val="18"/>
                <w:szCs w:val="18"/>
                <w:color w:val="auto"/>
              </w:rPr>
              <w:t>14</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October 31, 2010, the total compensation cost of $68.3 million related to non-vested options is expected to be recognized over a weighted average period of 2.1 years. The intrinsic value of options exercised is calculated as the difference between the exercise price of the option and the market value of the stock on the date of exercise. The weighted average grant date fair value of stock options granted is calculated, as of the stock option grant date, using the Black-Scholes-Merton option-pricing model.</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w:t>
            </w:r>
          </w:p>
        </w:tc>
      </w:tr>
      <w:tr>
        <w:trPr>
          <w:trHeight w:val="149"/>
        </w:trPr>
        <w:tc>
          <w:tcPr>
            <w:tcW w:w="7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8"/>
              </w:rPr>
              <w:t>Ended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Months Ended</w:t>
            </w:r>
          </w:p>
        </w:tc>
      </w:tr>
      <w:tr>
        <w:trPr>
          <w:trHeight w:val="149"/>
        </w:trPr>
        <w:tc>
          <w:tcPr>
            <w:tcW w:w="7800" w:type="dxa"/>
            <w:vAlign w:val="bottom"/>
          </w:tcPr>
          <w:p>
            <w:pPr>
              <w:spacing w:after="0"/>
              <w:rPr>
                <w:sz w:val="12"/>
                <w:szCs w:val="12"/>
                <w:color w:val="auto"/>
              </w:rPr>
            </w:pPr>
          </w:p>
        </w:tc>
        <w:tc>
          <w:tcPr>
            <w:tcW w:w="174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90"/>
              </w:rPr>
              <w:t>October 31,</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October 31,</w:t>
            </w:r>
          </w:p>
        </w:tc>
      </w:tr>
      <w:tr>
        <w:trPr>
          <w:trHeight w:val="161"/>
        </w:trPr>
        <w:tc>
          <w:tcPr>
            <w:tcW w:w="7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2010</w:t>
            </w: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Pre-tax intrinsic value of options exercised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Weighted average grant date fair value per share of stock options granted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92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r>
      <w:tr>
        <w:trPr>
          <w:trHeight w:val="346"/>
        </w:trPr>
        <w:tc>
          <w:tcPr>
            <w:tcW w:w="7800" w:type="dxa"/>
            <w:vAlign w:val="bottom"/>
          </w:tcPr>
          <w:p>
            <w:pPr>
              <w:spacing w:after="0"/>
              <w:rPr>
                <w:sz w:val="24"/>
                <w:szCs w:val="24"/>
                <w:color w:val="auto"/>
              </w:rPr>
            </w:pPr>
          </w:p>
        </w:tc>
        <w:tc>
          <w:tcPr>
            <w:tcW w:w="174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8"/>
              </w:rPr>
              <w:t>Nine Months</w:t>
            </w: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7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7800" w:type="dxa"/>
            <w:vAlign w:val="bottom"/>
          </w:tcPr>
          <w:p>
            <w:pPr>
              <w:spacing w:after="0"/>
              <w:rPr>
                <w:sz w:val="12"/>
                <w:szCs w:val="12"/>
                <w:color w:val="auto"/>
              </w:rPr>
            </w:pPr>
          </w:p>
        </w:tc>
        <w:tc>
          <w:tcPr>
            <w:tcW w:w="174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October 31,</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October 31,</w:t>
            </w:r>
          </w:p>
        </w:tc>
      </w:tr>
      <w:tr>
        <w:trPr>
          <w:trHeight w:val="161"/>
        </w:trPr>
        <w:tc>
          <w:tcPr>
            <w:tcW w:w="7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2010</w:t>
            </w: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Pre-tax intrinsic value of options exercised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Weighted average grant date fair value per share of stock options granted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92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options outstanding and exercisable at October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w w:val="92"/>
              </w:rPr>
              <w:t>Options Exercisable</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w w:val="99"/>
              </w:rPr>
              <w:t>Options Outstanding</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2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34"/>
        </w:trPr>
        <w:tc>
          <w:tcPr>
            <w:tcW w:w="4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Contractual</w:t>
            </w:r>
          </w:p>
        </w:tc>
        <w:tc>
          <w:tcPr>
            <w:tcW w:w="14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9"/>
              <w:spacing w:after="0" w:line="135" w:lineRule="exact"/>
              <w:rPr>
                <w:sz w:val="20"/>
                <w:szCs w:val="20"/>
                <w:color w:val="auto"/>
              </w:rPr>
            </w:pPr>
            <w:r>
              <w:rPr>
                <w:rFonts w:ascii="Arial" w:cs="Arial" w:eastAsia="Arial" w:hAnsi="Arial"/>
                <w:sz w:val="14"/>
                <w:szCs w:val="14"/>
                <w:b w:val="1"/>
                <w:bCs w:val="1"/>
                <w:color w:val="auto"/>
                <w:w w:val="91"/>
              </w:rPr>
              <w:t>Intrinsic</w:t>
            </w:r>
          </w:p>
        </w:tc>
        <w:tc>
          <w:tcPr>
            <w:tcW w:w="2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Contractual</w:t>
            </w:r>
          </w:p>
        </w:tc>
        <w:tc>
          <w:tcPr>
            <w:tcW w:w="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3"/>
              </w:rPr>
              <w:t>Average</w:t>
            </w:r>
          </w:p>
        </w:tc>
      </w:tr>
      <w:tr>
        <w:trPr>
          <w:trHeight w:val="163"/>
        </w:trPr>
        <w:tc>
          <w:tcPr>
            <w:tcW w:w="47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49"/>
              <w:spacing w:after="0" w:line="163" w:lineRule="exact"/>
              <w:rPr>
                <w:sz w:val="20"/>
                <w:szCs w:val="20"/>
                <w:color w:val="auto"/>
              </w:rPr>
            </w:pPr>
            <w:r>
              <w:rPr>
                <w:rFonts w:ascii="Arial" w:cs="Arial" w:eastAsia="Arial" w:hAnsi="Arial"/>
                <w:sz w:val="12"/>
                <w:szCs w:val="12"/>
                <w:b w:val="1"/>
                <w:bCs w:val="1"/>
                <w:color w:val="auto"/>
                <w:w w:val="98"/>
              </w:rPr>
              <w:t>Value</w:t>
            </w:r>
            <w:r>
              <w:rPr>
                <w:rFonts w:ascii="Arial" w:cs="Arial" w:eastAsia="Arial" w:hAnsi="Arial"/>
                <w:sz w:val="18"/>
                <w:szCs w:val="18"/>
                <w:b w:val="1"/>
                <w:bCs w:val="1"/>
                <w:color w:val="auto"/>
                <w:w w:val="98"/>
                <w:vertAlign w:val="superscript"/>
              </w:rPr>
              <w:t>(1)</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Life</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Exercise</w:t>
            </w:r>
          </w:p>
        </w:tc>
      </w:tr>
      <w:tr>
        <w:trPr>
          <w:trHeight w:val="161"/>
        </w:trPr>
        <w:tc>
          <w:tcPr>
            <w:tcW w:w="47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6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(in Years)</w:t>
            </w:r>
          </w:p>
        </w:tc>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 Millions)</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(in Thousands)</w:t>
            </w:r>
          </w:p>
        </w:tc>
        <w:tc>
          <w:tcPr>
            <w:tcW w:w="2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(in Years)</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Range of per-share exercise prices:</w:t>
            </w: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$0.61 — $16.53</w:t>
            </w:r>
          </w:p>
        </w:tc>
        <w:tc>
          <w:tcPr>
            <w:tcW w:w="880" w:type="dxa"/>
            <w:vAlign w:val="bottom"/>
          </w:tcPr>
          <w:p>
            <w:pPr>
              <w:jc w:val="right"/>
              <w:spacing w:after="0"/>
              <w:rPr>
                <w:sz w:val="20"/>
                <w:szCs w:val="20"/>
                <w:color w:val="auto"/>
              </w:rPr>
            </w:pPr>
            <w:r>
              <w:rPr>
                <w:rFonts w:ascii="Arial" w:cs="Arial" w:eastAsia="Arial" w:hAnsi="Arial"/>
                <w:sz w:val="18"/>
                <w:szCs w:val="18"/>
                <w:color w:val="auto"/>
              </w:rPr>
              <w:t>4,109</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$ 11.18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8,040</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$ 12.91</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$17.37 — $29.49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$29.50 — $34.53</w:t>
            </w:r>
          </w:p>
        </w:tc>
        <w:tc>
          <w:tcPr>
            <w:tcW w:w="880" w:type="dxa"/>
            <w:vAlign w:val="bottom"/>
          </w:tcPr>
          <w:p>
            <w:pPr>
              <w:jc w:val="right"/>
              <w:spacing w:after="0"/>
              <w:rPr>
                <w:sz w:val="20"/>
                <w:szCs w:val="20"/>
                <w:color w:val="auto"/>
              </w:rPr>
            </w:pPr>
            <w:r>
              <w:rPr>
                <w:rFonts w:ascii="Arial" w:cs="Arial" w:eastAsia="Arial" w:hAnsi="Arial"/>
                <w:sz w:val="18"/>
                <w:szCs w:val="18"/>
                <w:color w:val="auto"/>
              </w:rPr>
              <w:t>3,620</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6,573</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$35.00 — $45.29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00" w:type="dxa"/>
            <w:vAlign w:val="bottom"/>
            <w:shd w:val="clear" w:color="auto" w:fill="CCEEFF"/>
          </w:tcPr>
          <w:p>
            <w:pPr>
              <w:spacing w:after="0"/>
              <w:rPr>
                <w:sz w:val="18"/>
                <w:szCs w:val="18"/>
                <w:color w:val="auto"/>
              </w:rPr>
            </w:pPr>
          </w:p>
        </w:tc>
      </w:tr>
      <w:tr>
        <w:trPr>
          <w:trHeight w:val="223"/>
        </w:trPr>
        <w:tc>
          <w:tcPr>
            <w:tcW w:w="4720" w:type="dxa"/>
            <w:vAlign w:val="bottom"/>
          </w:tcPr>
          <w:p>
            <w:pPr>
              <w:ind w:left="440"/>
              <w:spacing w:after="0"/>
              <w:rPr>
                <w:sz w:val="20"/>
                <w:szCs w:val="20"/>
                <w:color w:val="auto"/>
              </w:rPr>
            </w:pPr>
            <w:r>
              <w:rPr>
                <w:rFonts w:ascii="Arial" w:cs="Arial" w:eastAsia="Arial" w:hAnsi="Arial"/>
                <w:sz w:val="18"/>
                <w:szCs w:val="18"/>
                <w:color w:val="auto"/>
              </w:rPr>
              <w:t>$47.24 — $49.80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48.57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9"/>
                <w:szCs w:val="19"/>
                <w:color w:val="auto"/>
              </w:rPr>
            </w:pPr>
          </w:p>
        </w:tc>
      </w:tr>
      <w:tr>
        <w:trPr>
          <w:trHeight w:val="216"/>
        </w:trPr>
        <w:tc>
          <w:tcPr>
            <w:tcW w:w="47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19,486</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$ 30.53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32,476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$ 28.57</w:t>
            </w:r>
          </w:p>
        </w:tc>
        <w:tc>
          <w:tcPr>
            <w:tcW w:w="10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300" w:hanging="452"/>
        <w:spacing w:after="0" w:line="228"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Represents the total pre-tax intrinsic value, based on Autodesk’s closing stock price of $36.20 per share as of October 31, 2010, which would have been received by the option holders had all option holders exercised their options as of that date.</w:t>
      </w:r>
    </w:p>
    <w:p>
      <w:pPr>
        <w:spacing w:after="0" w:line="15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These options will expire if not exercised prior to specific dates ranging through June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award and restricted stock unit activity for the nine months ended October 31, 2010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Unreleased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Restricted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Unreleased restricted stock at January 31, 2010</w:t>
            </w:r>
          </w:p>
        </w:tc>
        <w:tc>
          <w:tcPr>
            <w:tcW w:w="6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Awarded</w:t>
            </w:r>
          </w:p>
        </w:tc>
        <w:tc>
          <w:tcPr>
            <w:tcW w:w="6240" w:type="dxa"/>
            <w:vAlign w:val="bottom"/>
            <w:gridSpan w:val="3"/>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Released</w:t>
            </w:r>
          </w:p>
        </w:tc>
        <w:tc>
          <w:tcPr>
            <w:tcW w:w="6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5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Unreleased restricted stock at October 31, 2010</w:t>
            </w:r>
          </w:p>
        </w:tc>
        <w:tc>
          <w:tcPr>
            <w:tcW w:w="53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300" w:type="dxa"/>
            <w:vAlign w:val="bottom"/>
            <w:vMerge w:val="restart"/>
          </w:tcPr>
          <w:p>
            <w:pPr>
              <w:jc w:val="right"/>
              <w:ind w:right="4132"/>
              <w:spacing w:after="0"/>
              <w:rPr>
                <w:sz w:val="20"/>
                <w:szCs w:val="20"/>
                <w:color w:val="auto"/>
              </w:rPr>
            </w:pPr>
            <w:r>
              <w:rPr>
                <w:rFonts w:ascii="Arial" w:cs="Arial" w:eastAsia="Arial" w:hAnsi="Arial"/>
                <w:sz w:val="18"/>
                <w:szCs w:val="18"/>
                <w:color w:val="auto"/>
              </w:rPr>
              <w:t>15</w:t>
            </w: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nine months ended October 31, 2010, Autodesk granted approximately 44,000 restricted stock units under the 2008 Plan. The restricted stock units vest over periods ranging from immediately upon grant to the third anniversary of the date of grant. Restricted stock units are not considered outstanding stock at the time of grant, as the holders of these units are not entitled to any of the rights of a stockholder, including voting rights. The fair value of the restricted stock units are expensed ratably over the vesting period. Autodesk recorded stock-based compensation expense related to restricted stock units of $1.9 million and $5.8 million during the three and nine months ended October 31, 2010, respectively. Autodesk recorded stock-based compensation expense related to restricted stock units of $0.3 million and $0.8 million during the three and nine months ended October 31, 2009, respectively. As of October 31, 2010, total compensation cost related to non-vested awards, not yet recognized of $8.2 million, is expected to be recognized over a weighted average period of 1.1 years. At October 31, 2010, the number of units granted but unreleased was approximately 854,000.</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nine months ended October 31, 2010, Autodesk granted approximately 23,000 restricted stock awards under the 2010 Plan. Restricted stock awards granted under the 2010 Plan vest on the first anniversary of the date of grant. Restricted stock awards are considered outstanding at the time of grant, as the stock award holders are entitled to many of the rights of a stockholder, including voting rights. The fair value of the restricted stock awards are expensed ratably over the vesting period. Autodesk recorded stock-based compensation expense related to restricted stock awards of $0.1 million and $0.5 million during the three and nine months ended October 31, 2010, respectively, and $0.2 million and $0.6 million during the three and nine months ended October 31, 2009, respectively. As of October 31, 2010, total compensation cost related to non-vested awards, not yet recognized of $0.3 million, is expected to be recognized over a weighted average period of 0.6 years. At October 31, 2010, the number of awards granted but unreleased was approximately 23,000.</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October 31, 2010, a total of 27.8 million shares were available for future issuance. This amount automatically increases on the first trading day of each fiscal year by an amount equal to the lesser of 10 million shares or 2.0% of the total of (1) outstanding shares plus (2) any shares repurchased by Autodesk during the prior fiscal year. Under the ESP Plan, the Company issues shares on the first trading day following March 31 and September 30 of each fiscal year. The ESP Plan will expire in January 2018.</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Autodesk issued 1.5 million and 3.2 million shares under the ESP Plan during the three and nine months ended October 31, 2010, respectively, at average prices of $14.91 and $14.77 per share, respectively. During the three and nine months ended October 31, 2009, Autodesk issued 1.4 million and 3.1 million shares under the ESP Plan, respectively, at average prices of $14.54 and $14.41 per share, respectively. The weighted average grant date fair values of awards granted under the ESP Plan during the three and nine months ended October 31, 2010, calculated as of the award grant date using the Black-Scholes-Merton option-pricing model, were $7.60 and $7.22 per share, respectively. The weighted average grant date fair values of awards granted under the ESP Plan during the three and nine months ended October 31, 2009, calculated as of the award grant date using the Black-Scholes-Merton option-pricing model, were $8.35 and $7.19 per share,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summarizes stock-based compensation expense for the three and nine months ended October 31, 2010 and 2009, respectively,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9"/>
              </w:rPr>
              <w:t>Three Months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October 31,</w:t>
            </w:r>
          </w:p>
        </w:tc>
        <w:tc>
          <w:tcPr>
            <w:tcW w:w="54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Ended October 31,</w:t>
            </w: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2010</w:t>
            </w: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and other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Marketing and sales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19"/>
                <w:szCs w:val="19"/>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0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5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Nine Months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October 31,</w:t>
            </w:r>
          </w:p>
        </w:tc>
        <w:tc>
          <w:tcPr>
            <w:tcW w:w="54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Ended October 31,</w:t>
            </w: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2010</w:t>
            </w: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and other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Marketing and sales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19"/>
                <w:szCs w:val="19"/>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(17.6)</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r>
      <w:tr>
        <w:trPr>
          <w:trHeight w:val="20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5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Autodesk used the Black-Scholes-Merton option-pricing model to estimate the fair value of stock-based awards and the fair value of awards under the ESP Plan based on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6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89"/>
              </w:rPr>
              <w:t>Three Months</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r>
      <w:tr>
        <w:trPr>
          <w:trHeight w:val="161"/>
        </w:trPr>
        <w:tc>
          <w:tcPr>
            <w:tcW w:w="40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Ended October 31, 2010</w:t>
            </w:r>
          </w:p>
        </w:tc>
        <w:tc>
          <w:tcPr>
            <w:tcW w:w="200" w:type="dxa"/>
            <w:vAlign w:val="bottom"/>
          </w:tcPr>
          <w:p>
            <w:pPr>
              <w:spacing w:after="0"/>
              <w:rPr>
                <w:sz w:val="14"/>
                <w:szCs w:val="14"/>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Ended October 31, 2009</w:t>
            </w:r>
          </w:p>
        </w:tc>
      </w:tr>
      <w:tr>
        <w:trPr>
          <w:trHeight w:val="129"/>
        </w:trPr>
        <w:tc>
          <w:tcPr>
            <w:tcW w:w="40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4"/>
                <w:szCs w:val="14"/>
                <w:b w:val="1"/>
                <w:bCs w:val="1"/>
                <w:color w:val="auto"/>
                <w:w w:val="94"/>
              </w:rPr>
              <w:t>Stock Option</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61"/>
        </w:trPr>
        <w:tc>
          <w:tcPr>
            <w:tcW w:w="40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Plans</w:t>
            </w:r>
          </w:p>
        </w:tc>
        <w:tc>
          <w:tcPr>
            <w:tcW w:w="220" w:type="dxa"/>
            <w:vAlign w:val="bottom"/>
          </w:tcPr>
          <w:p>
            <w:pPr>
              <w:spacing w:after="0"/>
              <w:rPr>
                <w:sz w:val="14"/>
                <w:szCs w:val="14"/>
                <w:color w:val="auto"/>
              </w:rPr>
            </w:pPr>
          </w:p>
        </w:tc>
        <w:tc>
          <w:tcPr>
            <w:tcW w:w="9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ESP Plan</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220" w:type="dxa"/>
            <w:vAlign w:val="bottom"/>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4000" w:type="dxa"/>
            <w:vAlign w:val="bottom"/>
            <w:gridSpan w:val="2"/>
            <w:shd w:val="clear" w:color="auto" w:fill="CCEEFF"/>
          </w:tcPr>
          <w:p>
            <w:pPr>
              <w:jc w:val="center"/>
              <w:ind w:left="2992"/>
              <w:spacing w:after="0"/>
              <w:rPr>
                <w:sz w:val="20"/>
                <w:szCs w:val="20"/>
                <w:color w:val="auto"/>
              </w:rPr>
            </w:pPr>
            <w:r>
              <w:rPr>
                <w:rFonts w:ascii="Arial" w:cs="Arial" w:eastAsia="Arial" w:hAnsi="Arial"/>
                <w:sz w:val="18"/>
                <w:szCs w:val="18"/>
                <w:color w:val="auto"/>
                <w:w w:val="88"/>
              </w:rPr>
              <w:t>43 - 44%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- 47%</w:t>
            </w:r>
          </w:p>
        </w:tc>
        <w:tc>
          <w:tcPr>
            <w:tcW w:w="11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8"/>
              </w:rPr>
              <w:t>45 - 47%</w:t>
            </w:r>
          </w:p>
        </w:tc>
        <w:tc>
          <w:tcPr>
            <w:tcW w:w="1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43 - 55%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4000" w:type="dxa"/>
            <w:vAlign w:val="bottom"/>
            <w:gridSpan w:val="2"/>
          </w:tcPr>
          <w:p>
            <w:pPr>
              <w:jc w:val="center"/>
              <w:ind w:left="2992"/>
              <w:spacing w:after="0"/>
              <w:rPr>
                <w:sz w:val="20"/>
                <w:szCs w:val="20"/>
                <w:color w:val="auto"/>
              </w:rPr>
            </w:pPr>
            <w:r>
              <w:rPr>
                <w:rFonts w:ascii="Arial" w:cs="Arial" w:eastAsia="Arial" w:hAnsi="Arial"/>
                <w:sz w:val="18"/>
                <w:szCs w:val="18"/>
                <w:color w:val="auto"/>
                <w:w w:val="90"/>
              </w:rPr>
              <w:t>3.5 - 4.4</w:t>
            </w:r>
          </w:p>
        </w:tc>
        <w:tc>
          <w:tcPr>
            <w:tcW w:w="1140" w:type="dxa"/>
            <w:vAlign w:val="bottom"/>
            <w:gridSpan w:val="3"/>
          </w:tcPr>
          <w:p>
            <w:pPr>
              <w:jc w:val="center"/>
              <w:ind w:left="112"/>
              <w:spacing w:after="0"/>
              <w:rPr>
                <w:sz w:val="20"/>
                <w:szCs w:val="20"/>
                <w:color w:val="auto"/>
              </w:rPr>
            </w:pPr>
            <w:r>
              <w:rPr>
                <w:rFonts w:ascii="Arial" w:cs="Arial" w:eastAsia="Arial" w:hAnsi="Arial"/>
                <w:sz w:val="18"/>
                <w:szCs w:val="18"/>
                <w:color w:val="auto"/>
                <w:w w:val="87"/>
              </w:rPr>
              <w:t>0.5 - 2.0</w:t>
            </w: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2.7 - 4.0</w:t>
            </w:r>
          </w:p>
        </w:tc>
        <w:tc>
          <w:tcPr>
            <w:tcW w:w="114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0.50 - 2.0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4000" w:type="dxa"/>
            <w:vAlign w:val="bottom"/>
            <w:gridSpan w:val="2"/>
            <w:shd w:val="clear" w:color="auto" w:fill="CCEEFF"/>
          </w:tcPr>
          <w:p>
            <w:pPr>
              <w:jc w:val="center"/>
              <w:ind w:left="2992"/>
              <w:spacing w:after="0"/>
              <w:rPr>
                <w:sz w:val="20"/>
                <w:szCs w:val="20"/>
                <w:color w:val="auto"/>
              </w:rPr>
            </w:pPr>
            <w:r>
              <w:rPr>
                <w:rFonts w:ascii="Arial" w:cs="Arial" w:eastAsia="Arial" w:hAnsi="Arial"/>
                <w:sz w:val="18"/>
                <w:szCs w:val="18"/>
                <w:color w:val="auto"/>
                <w:w w:val="92"/>
              </w:rPr>
              <w:t>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w w:val="84"/>
              </w:rPr>
              <w:t>0%</w:t>
            </w:r>
          </w:p>
        </w:tc>
        <w:tc>
          <w:tcPr>
            <w:tcW w:w="11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2"/>
              </w:rPr>
              <w:t>0%</w:t>
            </w:r>
          </w:p>
        </w:tc>
        <w:tc>
          <w:tcPr>
            <w:tcW w:w="1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2"/>
              </w:rPr>
              <w:t>0%</w:t>
            </w:r>
          </w:p>
        </w:tc>
      </w:tr>
      <w:tr>
        <w:trPr>
          <w:trHeight w:val="208"/>
        </w:trPr>
        <w:tc>
          <w:tcPr>
            <w:tcW w:w="402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3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0.20 -</w:t>
            </w:r>
          </w:p>
        </w:tc>
      </w:tr>
      <w:tr>
        <w:trPr>
          <w:trHeight w:val="222"/>
        </w:trPr>
        <w:tc>
          <w:tcPr>
            <w:tcW w:w="4020" w:type="dxa"/>
            <w:vAlign w:val="bottom"/>
          </w:tcPr>
          <w:p>
            <w:pPr>
              <w:spacing w:after="0"/>
              <w:rPr>
                <w:sz w:val="19"/>
                <w:szCs w:val="19"/>
                <w:color w:val="auto"/>
              </w:rPr>
            </w:pPr>
          </w:p>
        </w:tc>
        <w:tc>
          <w:tcPr>
            <w:tcW w:w="4540" w:type="dxa"/>
            <w:vAlign w:val="bottom"/>
            <w:gridSpan w:val="4"/>
          </w:tcPr>
          <w:p>
            <w:pPr>
              <w:jc w:val="right"/>
              <w:spacing w:after="0"/>
              <w:rPr>
                <w:sz w:val="20"/>
                <w:szCs w:val="20"/>
                <w:color w:val="auto"/>
              </w:rPr>
            </w:pPr>
            <w:r>
              <w:rPr>
                <w:rFonts w:ascii="Arial" w:cs="Arial" w:eastAsia="Arial" w:hAnsi="Arial"/>
                <w:sz w:val="18"/>
                <w:szCs w:val="18"/>
                <w:color w:val="auto"/>
              </w:rPr>
              <w:t>0.86 -1.19%   0.20</w:t>
            </w:r>
          </w:p>
        </w:tc>
        <w:tc>
          <w:tcPr>
            <w:tcW w:w="600" w:type="dxa"/>
            <w:vAlign w:val="bottom"/>
          </w:tcPr>
          <w:p>
            <w:pPr>
              <w:ind w:left="20"/>
              <w:spacing w:after="0"/>
              <w:rPr>
                <w:sz w:val="20"/>
                <w:szCs w:val="20"/>
                <w:color w:val="auto"/>
              </w:rPr>
            </w:pPr>
            <w:r>
              <w:rPr>
                <w:rFonts w:ascii="Arial" w:cs="Arial" w:eastAsia="Arial" w:hAnsi="Arial"/>
                <w:sz w:val="18"/>
                <w:szCs w:val="18"/>
                <w:color w:val="auto"/>
                <w:w w:val="90"/>
              </w:rPr>
              <w:t>- 0.45%</w:t>
            </w: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1.25 - 1.98%</w:t>
            </w:r>
          </w:p>
        </w:tc>
        <w:tc>
          <w:tcPr>
            <w:tcW w:w="114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0.98%</w:t>
            </w:r>
          </w:p>
        </w:tc>
      </w:tr>
      <w:tr>
        <w:trPr>
          <w:trHeight w:val="218"/>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4000" w:type="dxa"/>
            <w:vAlign w:val="bottom"/>
            <w:gridSpan w:val="2"/>
            <w:shd w:val="clear" w:color="auto" w:fill="CCEEFF"/>
          </w:tcPr>
          <w:p>
            <w:pPr>
              <w:jc w:val="center"/>
              <w:ind w:left="2992"/>
              <w:spacing w:after="0"/>
              <w:rPr>
                <w:sz w:val="20"/>
                <w:szCs w:val="20"/>
                <w:color w:val="auto"/>
              </w:rPr>
            </w:pPr>
            <w:r>
              <w:rPr>
                <w:rFonts w:ascii="Arial" w:cs="Arial" w:eastAsia="Arial" w:hAnsi="Arial"/>
                <w:sz w:val="18"/>
                <w:szCs w:val="18"/>
                <w:color w:val="auto"/>
                <w:w w:val="86"/>
              </w:rPr>
              <w:t>10.5%</w:t>
            </w:r>
          </w:p>
        </w:tc>
        <w:tc>
          <w:tcPr>
            <w:tcW w:w="114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0"/>
              </w:rPr>
              <w:t>10.5%</w:t>
            </w: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13.5%</w:t>
            </w:r>
          </w:p>
        </w:tc>
        <w:tc>
          <w:tcPr>
            <w:tcW w:w="1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6"/>
              </w:rPr>
              <w:t>13.5%</w:t>
            </w:r>
          </w:p>
        </w:tc>
      </w:tr>
      <w:tr>
        <w:trPr>
          <w:trHeight w:val="352"/>
        </w:trPr>
        <w:tc>
          <w:tcPr>
            <w:tcW w:w="40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6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88"/>
              </w:rPr>
              <w:t>Nine Months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w:t>
            </w:r>
          </w:p>
        </w:tc>
      </w:tr>
      <w:tr>
        <w:trPr>
          <w:trHeight w:val="161"/>
        </w:trPr>
        <w:tc>
          <w:tcPr>
            <w:tcW w:w="40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Ended October 31, 2010</w:t>
            </w:r>
          </w:p>
        </w:tc>
        <w:tc>
          <w:tcPr>
            <w:tcW w:w="200" w:type="dxa"/>
            <w:vAlign w:val="bottom"/>
          </w:tcPr>
          <w:p>
            <w:pPr>
              <w:spacing w:after="0"/>
              <w:rPr>
                <w:sz w:val="14"/>
                <w:szCs w:val="14"/>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Ended October 31, 2009</w:t>
            </w:r>
          </w:p>
        </w:tc>
      </w:tr>
      <w:tr>
        <w:trPr>
          <w:trHeight w:val="129"/>
        </w:trPr>
        <w:tc>
          <w:tcPr>
            <w:tcW w:w="40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4"/>
                <w:szCs w:val="14"/>
                <w:b w:val="1"/>
                <w:bCs w:val="1"/>
                <w:color w:val="auto"/>
                <w:w w:val="94"/>
              </w:rPr>
              <w:t>Stock Option</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61"/>
        </w:trPr>
        <w:tc>
          <w:tcPr>
            <w:tcW w:w="40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Plans</w:t>
            </w:r>
          </w:p>
        </w:tc>
        <w:tc>
          <w:tcPr>
            <w:tcW w:w="220" w:type="dxa"/>
            <w:vAlign w:val="bottom"/>
          </w:tcPr>
          <w:p>
            <w:pPr>
              <w:spacing w:after="0"/>
              <w:rPr>
                <w:sz w:val="14"/>
                <w:szCs w:val="14"/>
                <w:color w:val="auto"/>
              </w:rPr>
            </w:pPr>
          </w:p>
        </w:tc>
        <w:tc>
          <w:tcPr>
            <w:tcW w:w="9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ESP Plan</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220" w:type="dxa"/>
            <w:vAlign w:val="bottom"/>
          </w:tcPr>
          <w:p>
            <w:pPr>
              <w:spacing w:after="0"/>
              <w:rPr>
                <w:sz w:val="14"/>
                <w:szCs w:val="1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4000" w:type="dxa"/>
            <w:vAlign w:val="bottom"/>
            <w:gridSpan w:val="2"/>
            <w:shd w:val="clear" w:color="auto" w:fill="CCEEFF"/>
          </w:tcPr>
          <w:p>
            <w:pPr>
              <w:jc w:val="center"/>
              <w:ind w:left="2992"/>
              <w:spacing w:after="0"/>
              <w:rPr>
                <w:sz w:val="20"/>
                <w:szCs w:val="20"/>
                <w:color w:val="auto"/>
              </w:rPr>
            </w:pPr>
            <w:r>
              <w:rPr>
                <w:rFonts w:ascii="Arial" w:cs="Arial" w:eastAsia="Arial" w:hAnsi="Arial"/>
                <w:sz w:val="18"/>
                <w:szCs w:val="18"/>
                <w:color w:val="auto"/>
                <w:w w:val="88"/>
              </w:rPr>
              <w:t>40 - 44%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- 47%</w:t>
            </w:r>
          </w:p>
        </w:tc>
        <w:tc>
          <w:tcPr>
            <w:tcW w:w="11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8"/>
              </w:rPr>
              <w:t>45 - 55%</w:t>
            </w:r>
          </w:p>
        </w:tc>
        <w:tc>
          <w:tcPr>
            <w:tcW w:w="1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43 - 73%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4000" w:type="dxa"/>
            <w:vAlign w:val="bottom"/>
            <w:gridSpan w:val="2"/>
          </w:tcPr>
          <w:p>
            <w:pPr>
              <w:jc w:val="center"/>
              <w:ind w:left="2992"/>
              <w:spacing w:after="0"/>
              <w:rPr>
                <w:sz w:val="20"/>
                <w:szCs w:val="20"/>
                <w:color w:val="auto"/>
              </w:rPr>
            </w:pPr>
            <w:r>
              <w:rPr>
                <w:rFonts w:ascii="Arial" w:cs="Arial" w:eastAsia="Arial" w:hAnsi="Arial"/>
                <w:sz w:val="18"/>
                <w:szCs w:val="18"/>
                <w:color w:val="auto"/>
                <w:w w:val="90"/>
              </w:rPr>
              <w:t>2.7 - 4.4</w:t>
            </w:r>
          </w:p>
        </w:tc>
        <w:tc>
          <w:tcPr>
            <w:tcW w:w="1140" w:type="dxa"/>
            <w:vAlign w:val="bottom"/>
            <w:gridSpan w:val="3"/>
          </w:tcPr>
          <w:p>
            <w:pPr>
              <w:jc w:val="center"/>
              <w:ind w:left="112"/>
              <w:spacing w:after="0"/>
              <w:rPr>
                <w:sz w:val="20"/>
                <w:szCs w:val="20"/>
                <w:color w:val="auto"/>
              </w:rPr>
            </w:pPr>
            <w:r>
              <w:rPr>
                <w:rFonts w:ascii="Arial" w:cs="Arial" w:eastAsia="Arial" w:hAnsi="Arial"/>
                <w:sz w:val="18"/>
                <w:szCs w:val="18"/>
                <w:color w:val="auto"/>
                <w:w w:val="86"/>
              </w:rPr>
              <w:t>0.50 - 2.0</w:t>
            </w: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2.7 - 4.0</w:t>
            </w:r>
          </w:p>
        </w:tc>
        <w:tc>
          <w:tcPr>
            <w:tcW w:w="114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0.50 - 2.0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4000" w:type="dxa"/>
            <w:vAlign w:val="bottom"/>
            <w:gridSpan w:val="2"/>
            <w:shd w:val="clear" w:color="auto" w:fill="CCEEFF"/>
          </w:tcPr>
          <w:p>
            <w:pPr>
              <w:jc w:val="center"/>
              <w:ind w:left="2992"/>
              <w:spacing w:after="0"/>
              <w:rPr>
                <w:sz w:val="20"/>
                <w:szCs w:val="20"/>
                <w:color w:val="auto"/>
              </w:rPr>
            </w:pPr>
            <w:r>
              <w:rPr>
                <w:rFonts w:ascii="Arial" w:cs="Arial" w:eastAsia="Arial" w:hAnsi="Arial"/>
                <w:sz w:val="18"/>
                <w:szCs w:val="18"/>
                <w:color w:val="auto"/>
                <w:w w:val="92"/>
              </w:rPr>
              <w:t>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w w:val="84"/>
              </w:rPr>
              <w:t>0%</w:t>
            </w:r>
          </w:p>
        </w:tc>
        <w:tc>
          <w:tcPr>
            <w:tcW w:w="11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2"/>
              </w:rPr>
              <w:t>0%</w:t>
            </w:r>
          </w:p>
        </w:tc>
        <w:tc>
          <w:tcPr>
            <w:tcW w:w="1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2"/>
              </w:rPr>
              <w:t>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4000" w:type="dxa"/>
            <w:vAlign w:val="bottom"/>
            <w:gridSpan w:val="2"/>
          </w:tcPr>
          <w:p>
            <w:pPr>
              <w:jc w:val="center"/>
              <w:ind w:left="2992"/>
              <w:spacing w:after="0"/>
              <w:rPr>
                <w:sz w:val="20"/>
                <w:szCs w:val="20"/>
                <w:color w:val="auto"/>
              </w:rPr>
            </w:pPr>
            <w:r>
              <w:rPr>
                <w:rFonts w:ascii="Arial" w:cs="Arial" w:eastAsia="Arial" w:hAnsi="Arial"/>
                <w:sz w:val="18"/>
                <w:szCs w:val="18"/>
                <w:color w:val="auto"/>
                <w:w w:val="90"/>
              </w:rPr>
              <w:t>0.86 - 1.85%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600" w:type="dxa"/>
            <w:vAlign w:val="bottom"/>
          </w:tcPr>
          <w:p>
            <w:pPr>
              <w:ind w:left="20"/>
              <w:spacing w:after="0"/>
              <w:rPr>
                <w:sz w:val="20"/>
                <w:szCs w:val="20"/>
                <w:color w:val="auto"/>
              </w:rPr>
            </w:pPr>
            <w:r>
              <w:rPr>
                <w:rFonts w:ascii="Arial" w:cs="Arial" w:eastAsia="Arial" w:hAnsi="Arial"/>
                <w:sz w:val="18"/>
                <w:szCs w:val="18"/>
                <w:color w:val="auto"/>
                <w:w w:val="90"/>
              </w:rPr>
              <w:t>- 1.05%</w:t>
            </w:r>
          </w:p>
        </w:tc>
        <w:tc>
          <w:tcPr>
            <w:tcW w:w="2260" w:type="dxa"/>
            <w:vAlign w:val="bottom"/>
            <w:gridSpan w:val="4"/>
          </w:tcPr>
          <w:p>
            <w:pPr>
              <w:jc w:val="center"/>
              <w:ind w:left="132"/>
              <w:spacing w:after="0"/>
              <w:rPr>
                <w:sz w:val="20"/>
                <w:szCs w:val="20"/>
                <w:color w:val="auto"/>
              </w:rPr>
            </w:pPr>
            <w:r>
              <w:rPr>
                <w:rFonts w:ascii="Arial" w:cs="Arial" w:eastAsia="Arial" w:hAnsi="Arial"/>
                <w:sz w:val="18"/>
                <w:szCs w:val="18"/>
                <w:color w:val="auto"/>
                <w:w w:val="93"/>
              </w:rPr>
              <w:t>1.21 - 2.42%   0.20 - 0.98%</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forfeitures</w:t>
            </w:r>
          </w:p>
        </w:tc>
        <w:tc>
          <w:tcPr>
            <w:tcW w:w="4000" w:type="dxa"/>
            <w:vAlign w:val="bottom"/>
            <w:gridSpan w:val="2"/>
            <w:shd w:val="clear" w:color="auto" w:fill="CCEEFF"/>
          </w:tcPr>
          <w:p>
            <w:pPr>
              <w:jc w:val="center"/>
              <w:ind w:left="2992"/>
              <w:spacing w:after="0"/>
              <w:rPr>
                <w:sz w:val="20"/>
                <w:szCs w:val="20"/>
                <w:color w:val="auto"/>
              </w:rPr>
            </w:pPr>
            <w:r>
              <w:rPr>
                <w:rFonts w:ascii="Arial" w:cs="Arial" w:eastAsia="Arial" w:hAnsi="Arial"/>
                <w:sz w:val="18"/>
                <w:szCs w:val="18"/>
                <w:color w:val="auto"/>
                <w:w w:val="90"/>
              </w:rPr>
              <w:t>10.5 - 13.5%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- 13.5%</w:t>
            </w: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13.5%</w:t>
            </w:r>
          </w:p>
        </w:tc>
        <w:tc>
          <w:tcPr>
            <w:tcW w:w="11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6"/>
              </w:rPr>
              <w:t>13.5%</w:t>
            </w:r>
          </w:p>
        </w:tc>
      </w:tr>
      <w:tr>
        <w:trPr>
          <w:trHeight w:val="363"/>
        </w:trPr>
        <w:tc>
          <w:tcPr>
            <w:tcW w:w="4020" w:type="dxa"/>
            <w:vAlign w:val="bottom"/>
          </w:tcPr>
          <w:p>
            <w:pPr>
              <w:spacing w:after="0"/>
              <w:rPr>
                <w:sz w:val="24"/>
                <w:szCs w:val="24"/>
                <w:color w:val="auto"/>
              </w:rPr>
            </w:pPr>
          </w:p>
        </w:tc>
        <w:tc>
          <w:tcPr>
            <w:tcW w:w="3080" w:type="dxa"/>
            <w:vAlign w:val="bottom"/>
          </w:tcPr>
          <w:p>
            <w:pPr>
              <w:jc w:val="right"/>
              <w:ind w:right="1212"/>
              <w:spacing w:after="0"/>
              <w:rPr>
                <w:sz w:val="20"/>
                <w:szCs w:val="20"/>
                <w:color w:val="auto"/>
              </w:rPr>
            </w:pPr>
            <w:r>
              <w:rPr>
                <w:rFonts w:ascii="Arial" w:cs="Arial" w:eastAsia="Arial" w:hAnsi="Arial"/>
                <w:sz w:val="18"/>
                <w:szCs w:val="18"/>
                <w:color w:val="auto"/>
              </w:rPr>
              <w:t>17</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Autodesk measures all stock-based payments to employees and directors, including grants of employee stock options, employee stock purchases related to the ESP Plan, and restricted stock units and restricted stock, using a fair-value based method, and records the expense in Autodesk’s Condensed Consolidated Statements of Operations. The estimated fair value of stock-based awards is amortized to expense on a straight-line basis over the awards’ vesting period.</w:t>
      </w:r>
    </w:p>
    <w:p>
      <w:pPr>
        <w:spacing w:after="0" w:line="6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Autodesk estimates expected volatility for stock-based awards granted under the Company’s stock plans and ESP Plan awards based on the average of two measures. The first is a measure of historical volatility in the trading market for the Company’s common stock, and the second is the implied volatility of traded forward call options to purchase shares of the Company’s common stock.</w:t>
      </w:r>
    </w:p>
    <w:p>
      <w:pPr>
        <w:spacing w:after="0" w:line="11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Autodesk estimates the expected life of stock-based awards granted under the Company’s stock plans using both exercise behavior and post-vesting termination behavior, as well as consideration of outstanding options.</w:t>
      </w:r>
    </w:p>
    <w:p>
      <w:pPr>
        <w:spacing w:after="0" w:line="10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Autodesk does not currently pay, and does not anticipate paying, any cash dividends in the foreseeable future. Consequently, an expected dividend yield of zero is used in the Black-Scholes-Merton option valuation model.</w:t>
      </w:r>
    </w:p>
    <w:p>
      <w:pPr>
        <w:spacing w:after="0" w:line="10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risk-free interest rate used in the Black-Scholes-Merton option valuation model for stock-based awards granted under the Company’s stock plans and ESP Plan awards is the current yield at the date of the grant on U.S. Treasury securities with equivalent remaining lives.</w:t>
      </w:r>
    </w:p>
    <w:p>
      <w:pPr>
        <w:spacing w:after="0" w:line="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Autodesk only recognizes expense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9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Autodesk’s effective tax rate was 25% and 24% during the three and nine months ended October 31, 2010, respectively. Autodesk’s effective tax rate was 8% and 70% during the three and nine months ended October 31, 2009, respectively. Autodesk’s effective tax rate increased 17 percentage points during the three months ended October 31, 2010 as compared to the same period in the prior fiscal year primarily due to a discrete tax benefit of $4.4 million related to additional stock-based compensation expense recorded during the third quarter of fiscal 2010. Autodesk’s effective tax rate during the nine months ended October 31, 2010 decreased 46 percentage points as compared to the same period in the prior fiscal year primarily due to a $20.9 million discrete non-cash tax charge as a result of a change in expected future tax rates and establishment of a valuation allowance against certain California deferred tax assets recorded during the first quarter of fiscal 2010, partially offset by a discrete tax benefit of $7.7 million associated with the impairment of goodwill recorded during the first quarter of fiscal 2010, and a discrete tax benefit of $4.4 million related to additional stock-based compensation expense recorded during the third quarter of fiscal 2010. During the first quarter of fiscal 2010, the State of California enacted legislation significantly altering California tax law. As a result of the legislation, we expect that in fiscal years 2012 and beyond, income subject to tax in California will be less than under prior tax law and accordingly, deferred tax assets are less likely to be realized. Excluding the impact of discrete tax items, the effective tax rate for the three and nine months ended October 31, 2010 was lower than the Federal statutory tax rate of 35% primarily due to foreign income taxed at lower rates partially offset by the impact of stock-based compensation expense.</w:t>
      </w:r>
    </w:p>
    <w:p>
      <w:pPr>
        <w:spacing w:after="0" w:line="9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October 31, 2010, the Company had $185.8 million of gross unrecognized tax benefits, excluding interest, of which approximately $173.4 million represents the amount of unrecognized tax benefits that would impact the effective tax rate, if recognized. The remaining $12.4 million relates to items that would result in balance sheet reclassification with no impact to income tax expense. It is possible that the amount of unrecognized tax benefits will change in the next twelve months; however an estimate of the range of the possible change cannot be made at this time.</w:t>
      </w:r>
    </w:p>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October 31, 2010, Autodesk had net deferred tax assets of $152.4 million. The Company believes that it will generate sufficient future taxable income in appropriate tax jurisdictions to realize these assets.</w:t>
      </w:r>
    </w:p>
    <w:p>
      <w:pPr>
        <w:spacing w:after="0" w:line="18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Deferred Compensation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October 31, 2010, Autodesk had marketable securities totaling $432.3 million, of which $30.6 million related to investments in debt and equity securities that are held in a rabbi trust under non-qualified deferred compensation plans. The total related deferred compensation liability was $30.6 million at October 31, 2010, of which $1.4 million was classified as current and $29.2 million was classified as non-current liabilities. The value of debt and equity securities held in the rabbi trust at January 31, 2010 was $26.3 million. The total related deferred compensation liability at January 31, 2010 was $26.3 million, of which $1.1 million was classified as current and $25.2 million was classified as non-current liabilities. The current and non-current portions of the liability are recorded in the Condensed Consolidated Balance Sheets under “Accrued compensation” and “Other liabilities,”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Computer Equipment, Software, Furniture and Leasehold Improvements,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Computer software and hardware, leasehold improvements, furniture and equipment and the related accumulated depreciation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at cost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Computer hardware, at cost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land and buildings, at cost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Furniture and equipment, at cost</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392.4</w:t>
            </w: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(322.8)</w:t>
            </w: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(290.8)</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hardware, leasehold improvements, furniture and equipment,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Intangible Assets,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Other intangible assets include purchased technologies, customer relationships, trade names and the related accumulated amortization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Purchased technologies, at cost </w:t>
            </w:r>
            <w:r>
              <w:rPr>
                <w:rFonts w:ascii="Arial" w:cs="Arial" w:eastAsia="Arial" w:hAnsi="Arial"/>
                <w:sz w:val="11"/>
                <w:szCs w:val="11"/>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 xml:space="preserve">Customer relationships and trade names, at cost </w:t>
            </w:r>
            <w:r>
              <w:rPr>
                <w:rFonts w:ascii="Arial" w:cs="Arial" w:eastAsia="Arial" w:hAnsi="Arial"/>
                <w:sz w:val="11"/>
                <w:szCs w:val="11"/>
                <w:color w:val="auto"/>
              </w:rPr>
              <w:t>(2)</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488.0</w:t>
            </w: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(358.2)</w:t>
            </w: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(314.9)</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140" w:hanging="452"/>
        <w:spacing w:after="0" w:line="241"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Purchased technologies include zero and $4.3 million of in-process research and development technology as of October 31, 2010 and January 31, 2010, respectively. During the quarter ended October 31, 2010, $4.3 million of in-process research and development reached technological feasibility and began being amortized. In-process research and development technology is an indefinite lived asset that is held and tested at least annually for impairment until such time that technological feasibility is achieved. Once technological feasibility is achieved, the technology will be amortized to expense over an applicable useful life.</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Customer relationships and trade names are included in “Other assets” in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-847090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during the nine months ended October 31, 2010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Platform</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Solutions and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Architecture,</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Emerging</w:t>
            </w:r>
          </w:p>
        </w:tc>
        <w:tc>
          <w:tcPr>
            <w:tcW w:w="5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Engineering and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7"/>
              </w:rPr>
              <w:t>Media and</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41"/>
              <w:spacing w:after="0"/>
              <w:rPr>
                <w:sz w:val="20"/>
                <w:szCs w:val="20"/>
                <w:color w:val="auto"/>
              </w:rPr>
            </w:pPr>
            <w:r>
              <w:rPr>
                <w:rFonts w:ascii="Arial" w:cs="Arial" w:eastAsia="Arial" w:hAnsi="Arial"/>
                <w:sz w:val="14"/>
                <w:szCs w:val="14"/>
                <w:b w:val="1"/>
                <w:bCs w:val="1"/>
                <w:color w:val="auto"/>
                <w:w w:val="80"/>
              </w:rPr>
              <w:t>Business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9"/>
              <w:spacing w:after="0"/>
              <w:rPr>
                <w:sz w:val="20"/>
                <w:szCs w:val="20"/>
                <w:color w:val="auto"/>
              </w:rPr>
            </w:pPr>
            <w:r>
              <w:rPr>
                <w:rFonts w:ascii="Arial" w:cs="Arial" w:eastAsia="Arial" w:hAnsi="Arial"/>
                <w:sz w:val="14"/>
                <w:szCs w:val="14"/>
                <w:b w:val="1"/>
                <w:bCs w:val="1"/>
                <w:color w:val="auto"/>
                <w:w w:val="87"/>
              </w:rPr>
              <w:t>Construction</w:t>
            </w:r>
          </w:p>
        </w:tc>
        <w:tc>
          <w:tcPr>
            <w:tcW w:w="320" w:type="dxa"/>
            <w:vAlign w:val="bottom"/>
          </w:tcPr>
          <w:p>
            <w:pPr>
              <w:spacing w:after="0"/>
              <w:rPr>
                <w:sz w:val="14"/>
                <w:szCs w:val="14"/>
                <w:color w:val="auto"/>
              </w:rPr>
            </w:pPr>
          </w:p>
        </w:tc>
        <w:tc>
          <w:tcPr>
            <w:tcW w:w="1140" w:type="dxa"/>
            <w:vAlign w:val="bottom"/>
            <w:gridSpan w:val="3"/>
          </w:tcPr>
          <w:p>
            <w:pPr>
              <w:ind w:left="260"/>
              <w:spacing w:after="0"/>
              <w:rPr>
                <w:sz w:val="20"/>
                <w:szCs w:val="20"/>
                <w:color w:val="auto"/>
              </w:rPr>
            </w:pPr>
            <w:r>
              <w:rPr>
                <w:rFonts w:ascii="Arial" w:cs="Arial" w:eastAsia="Arial" w:hAnsi="Arial"/>
                <w:sz w:val="14"/>
                <w:szCs w:val="14"/>
                <w:b w:val="1"/>
                <w:bCs w:val="1"/>
                <w:color w:val="auto"/>
                <w:w w:val="89"/>
              </w:rPr>
              <w:t>Manufacturing</w:t>
            </w:r>
          </w:p>
        </w:tc>
        <w:tc>
          <w:tcPr>
            <w:tcW w:w="5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7"/>
              </w:rPr>
              <w:t>Entertainment</w:t>
            </w:r>
          </w:p>
        </w:tc>
        <w:tc>
          <w:tcPr>
            <w:tcW w:w="58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Addition arising from acquisitions</w:t>
            </w:r>
          </w:p>
        </w:tc>
        <w:tc>
          <w:tcPr>
            <w:tcW w:w="10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foreign currency translation, purchase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accounting adjustments and other</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Balance as of October 31, 2010</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40.7</w:t>
            </w: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224.3</w:t>
            </w:r>
          </w:p>
        </w:tc>
        <w:tc>
          <w:tcPr>
            <w:tcW w:w="320" w:type="dxa"/>
            <w:vAlign w:val="bottom"/>
          </w:tcPr>
          <w:p>
            <w:pPr>
              <w:spacing w:after="0"/>
              <w:rPr>
                <w:sz w:val="19"/>
                <w:szCs w:val="19"/>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279.2</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Autodesk assesses goodwill annually for impairment in the fourth quarter of each fiscal year or sooner should events or changes in circumstances indicate potential impairment. When assessing goodwill for impairment, Autodesk uses discounted cash flow models that include assumptions regarding projected cash flows (“Income Approach”) and corroborates them with the estimated consideration that the Company would receive if there were to be a sale of the reporting segment (“Market Approach”).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The process of evaluating the potential impairment of goodwill is subjective and requires significant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judgment at many points during the analysis. The value of Autodesk’s goodwill could also be impacted by future adverse changes such as: (i) declines in Autodesk’s actual operating results, (ii) a sustained decline in Autodesk’s market capitalization, (iii) significant slowdown in the worldwide economy or the industries Autodesk serves, or (iv) changes in Autodesk’s business strategy or internal operating results forecasts. As of October 31, 2010, a hypothetical 10% decrease in the fair value of our Platform Solutions and Emerging Business; Manufacturing; Architecture, Engineering and Construction; or Media and Entertainment reporting units would not have an impact on the carrying value, nor result in impairment, of goodwill for the respective reporting units.</w:t>
      </w:r>
    </w:p>
    <w:p>
      <w:pPr>
        <w:spacing w:after="0" w:line="23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Borrowing Arrangements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Autodesk’s U.S. line of credit facility permits unsecured short-term borrowings of up to $250.0 million and is available for working capital or other business needs. The credit agreement contains customary covenants, which could restrict liens, certain types of additional debt and dispositions of assets if Autodesk fails to maintain its financial covenants. The line of credit is syndicated with various financial institutions, including Citicorp USA, Inc., a Citibank affiliate, which is the lead lender and agent. Autodesk had no outstanding borrowings on this line as of October 31, 2010. This facility expires in August 2012.</w:t>
      </w:r>
    </w:p>
    <w:p>
      <w:pPr>
        <w:spacing w:after="0" w:line="23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Restructuring Reserve</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During the first quarter of fiscal 2011, Autodesk initiated a restructuring plan in order to further reduce operating costs. The restructuring plan is expected to result in targeted staff reductions of approximately 210 to 230 positions. In connection with the restructuring plan, Autodesk expects to record restructuring charges of approximately $10.0 million to $12.0 million. No leased facilities were consolidated as part of this restructuring (“Fiscal 2011 Plan”).</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connection with the Fiscal 2011 Plan, during the three and nine months ended October 31, 2010 Autodesk reduced the number of employees by approximately 20 positions and 190 positions, respectively, and recorded restructuring charges of close to zero and $9.0 million, respectively, which primarily related to one-time employee termination benefits. The remainder of the termination benefits will be substantially paid during fiscal 2011. In connection with the fiscal 2009 and 2010 restructuring plans, Autodesk expects to pay the facility related liabilities through fiscal 2018.</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restructuring activity recorded in the Condensed Consolidated Balance Sheets during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October 31,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22"/>
                <w:szCs w:val="22"/>
                <w:b w:val="1"/>
                <w:bCs w:val="1"/>
                <w:color w:val="auto"/>
                <w:vertAlign w:val="superscript"/>
              </w:rPr>
              <w:t>(1)</w:t>
            </w:r>
          </w:p>
        </w:tc>
        <w:tc>
          <w:tcPr>
            <w:tcW w:w="14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January 31, 2010</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Additions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1520" w:type="dxa"/>
            <w:vAlign w:val="bottom"/>
            <w:gridSpan w:val="3"/>
            <w:vMerge w:val="continue"/>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4"/>
              </w:rPr>
              <w:t>October 31, 2010</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Fiscal 2011 Plan</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Employee Termination Costs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Fiscal 2010 Plan</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Employee Termination Costs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Termination and Asset Costs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Fiscal 2009 Plan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Termination Costs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Lease Termination and Asset Costs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Employee Termination Costs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Termination and Asset Costs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c>
          <w:tcPr>
            <w:tcW w:w="6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(19.0)</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r>
              <w:rPr>
                <w:rFonts w:ascii="Arial" w:cs="Arial" w:eastAsia="Arial" w:hAnsi="Arial"/>
                <w:sz w:val="11"/>
                <w:szCs w:val="11"/>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Non-current portion</w:t>
            </w:r>
            <w:r>
              <w:rPr>
                <w:rFonts w:ascii="Arial" w:cs="Arial" w:eastAsia="Arial" w:hAnsi="Arial"/>
                <w:sz w:val="11"/>
                <w:szCs w:val="11"/>
                <w:color w:val="auto"/>
              </w:rPr>
              <w:t>(2)</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Adjustments include the impact of foreign currency translation.</w:t>
      </w:r>
    </w:p>
    <w:p>
      <w:pPr>
        <w:spacing w:after="0" w:line="7" w:lineRule="exact"/>
        <w:rPr>
          <w:rFonts w:ascii="Arial" w:cs="Arial" w:eastAsia="Arial" w:hAnsi="Arial"/>
          <w:sz w:val="22"/>
          <w:szCs w:val="22"/>
          <w:color w:val="auto"/>
          <w:vertAlign w:val="superscript"/>
        </w:rPr>
      </w:pPr>
    </w:p>
    <w:p>
      <w:pPr>
        <w:ind w:left="460" w:right="200" w:hanging="452"/>
        <w:spacing w:after="0" w:line="221"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The current and non-current portion of the reserve is recorded in the Condensed Consolidated Balance Sheet under “Other accrued liabilities” and “Other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Guarantees and Indemnifications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Autodesk’s products or services. Autodesk accrues for known indemnification issues if a loss is probable and can be reasonably estimated. Historically, costs related to these indemnifications have not been significant, but because potential future costs are highly variable, Autodesk is unable to estimate the maximum potential effect of these indemnifications on its future results of operations.</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connection with the purchase, sale or license transactions of assets or businesses with third parties, Autodesk has received or assumed customary indemnification agreements related to the assets or businesses purchased, sold or licensed. Historically, costs related to indemnifications or guarantees assumed have not been significant, but because potential future costs are highly variable, Autodesk is unable to estimate the maximum potential effect of these indemnifications on its future results of operations.</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not significant.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Autodesk is involved in a variety of claims, suits, investigations and proceedings in the normal course of business activities including claims of alleged infringement of intellectual property rights, commercial, employment, piracy prosecution and other matters. In the Company’s opinion, resolution of pending matters is not expected to have a material adverse impact on its consolidated results of operations, cash flows or its financial position. However, it is possible that an unfavorable resolution of one or more such proceedings could in the future materially affect its future results of operations, cash flows or financial position in a particular period.</w:t>
      </w:r>
    </w:p>
    <w:p>
      <w:pPr>
        <w:spacing w:after="0" w:line="26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Common Stock Repurchase Program</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Autodesk has a stock repurchase program that helps offset the dilution to net income per share caused by the issuance of stock under the Company’s employee stock plans and returns excess cash generated from its business to stockholders. The number of shares acquired and the timing of the purchases are based on several factors, including general market conditions, the volume of employee stock option exercises and the issuance of shares through the ESP Plan, the pool of existing outstanding options and the grant of new options, the trading price of Autodesk common stock, cash on hand and available in the United States, and company defined trading windows.</w:t>
      </w:r>
    </w:p>
    <w:p>
      <w:pPr>
        <w:spacing w:after="0" w:line="14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During the three and nine months ended October 31, 2010, Autodesk repurchased 2.5 million and 7.0 million respective shares of its common stock on the open market at average repurchase prices of $29.93 per share and $29.13 per share, respectively, and subsequently retired those shares. Common stock and additional paid-in capital and retained earnings were reduced by $35.7 million and $39.2 million, respectively, during the three months ended October 31, 2010, as a result of the stock repurchases. Common stock and additional paid-in-capital and retained earnings were reduced by $99.0 million and $105.1 million, respectively, during the nine months ended October 31, 2010. As of October 31, 2010, 6.5 million shares remained available for repurchase under this program.</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i w:val="1"/>
          <w:iCs w:val="1"/>
          <w:color w:val="auto"/>
        </w:rPr>
        <w:t>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other comprehensive income (loss), net of taxes,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70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93"/>
              </w:rPr>
              <w:t>Three Months Ended</w:t>
            </w:r>
          </w:p>
        </w:tc>
        <w:tc>
          <w:tcPr>
            <w:tcW w:w="14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b w:val="1"/>
                <w:bCs w:val="1"/>
                <w:color w:val="auto"/>
              </w:rPr>
              <w:t>October 31,</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0"/>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3"/>
          </w:tcPr>
          <w:p>
            <w:pPr>
              <w:jc w:val="right"/>
              <w:ind w:right="3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29.5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gain (loss) on derivative instruments, net of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Change in net unrealized gain (loss) on available-for-sale securities, net of tax</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cumulative foreign currency translation gain (loss)</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Total other comprehensive income (loss)</w:t>
            </w: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440"/>
              <w:spacing w:after="0"/>
              <w:rPr>
                <w:sz w:val="20"/>
                <w:szCs w:val="20"/>
                <w:color w:val="auto"/>
              </w:rPr>
            </w:pPr>
            <w:r>
              <w:rPr>
                <w:rFonts w:ascii="Arial" w:cs="Arial" w:eastAsia="Arial" w:hAnsi="Arial"/>
                <w:sz w:val="18"/>
                <w:szCs w:val="18"/>
                <w:color w:val="auto"/>
              </w:rPr>
              <w:t>Accumulated other comprehensive income (loss), net of taxes, was comprised of the following: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3"/>
              </w:rPr>
              <w:t>October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85"/>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derivative instruments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800" w:type="dxa"/>
            <w:vAlign w:val="bottom"/>
            <w:gridSpan w:val="3"/>
            <w:shd w:val="clear" w:color="auto" w:fill="CCEEFF"/>
          </w:tcPr>
          <w:p>
            <w:pPr>
              <w:jc w:val="center"/>
              <w:ind w:left="498"/>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unrealized gain on available-for-sale securities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Unfunded portion of pension plans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0" w:type="dxa"/>
            <w:vAlign w:val="bottom"/>
            <w:gridSpan w:val="3"/>
            <w:shd w:val="clear" w:color="auto" w:fill="CCEEFF"/>
          </w:tcPr>
          <w:p>
            <w:pPr>
              <w:jc w:val="center"/>
              <w:ind w:left="498"/>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Income Per Share</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Basic net income per share is computed using the weighted average number of shares of common stock outstanding for the period, including restricted stock awards and excluding unvested stock options and restricted stock units. Diluted net income per share is based upon the weighted average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300" w:type="dxa"/>
            <w:vAlign w:val="bottom"/>
            <w:gridSpan w:val="5"/>
          </w:tcPr>
          <w:p>
            <w:pPr>
              <w:ind w:left="20"/>
              <w:spacing w:after="0"/>
              <w:rPr>
                <w:sz w:val="20"/>
                <w:szCs w:val="20"/>
                <w:color w:val="auto"/>
              </w:rPr>
            </w:pPr>
            <w:r>
              <w:rPr>
                <w:rFonts w:ascii="Arial" w:cs="Arial" w:eastAsia="Arial" w:hAnsi="Arial"/>
                <w:sz w:val="14"/>
                <w:szCs w:val="14"/>
                <w:b w:val="1"/>
                <w:bCs w:val="1"/>
                <w:color w:val="auto"/>
                <w:w w:val="90"/>
              </w:rPr>
              <w:t>Three Months Ended</w:t>
            </w:r>
          </w:p>
        </w:tc>
        <w:tc>
          <w:tcPr>
            <w:tcW w:w="280" w:type="dxa"/>
            <w:vAlign w:val="bottom"/>
          </w:tcPr>
          <w:p>
            <w:pPr>
              <w:spacing w:after="0"/>
              <w:rPr>
                <w:sz w:val="14"/>
                <w:szCs w:val="14"/>
                <w:color w:val="auto"/>
              </w:rPr>
            </w:pPr>
          </w:p>
        </w:tc>
        <w:tc>
          <w:tcPr>
            <w:tcW w:w="14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October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53.6</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29.5</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Denominator for basic net income per share - weighted average shares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226.5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40" w:type="dxa"/>
            <w:vAlign w:val="bottom"/>
          </w:tcPr>
          <w:p>
            <w:pPr>
              <w:ind w:left="440"/>
              <w:spacing w:after="0"/>
              <w:rPr>
                <w:sz w:val="20"/>
                <w:szCs w:val="20"/>
                <w:color w:val="auto"/>
              </w:rPr>
            </w:pPr>
            <w:r>
              <w:rPr>
                <w:rFonts w:ascii="Arial" w:cs="Arial" w:eastAsia="Arial" w:hAnsi="Arial"/>
                <w:sz w:val="18"/>
                <w:szCs w:val="18"/>
                <w:color w:val="auto"/>
              </w:rPr>
              <w:t>Denominator for dilutive net income per share</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232.4</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232.9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233.4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0.23</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computation of diluted net income per share does not include shares that are anti-dilutive under the treasury stock method because their exercise prices are higher than the average market value of Autodesk’s stock during the period. For the three months ended October 31, 2010 and 2009, 20.2 million and</w:t>
      </w:r>
    </w:p>
    <w:p>
      <w:pPr>
        <w:jc w:val="both"/>
        <w:ind w:right="360"/>
        <w:spacing w:after="0" w:line="255" w:lineRule="auto"/>
        <w:rPr>
          <w:sz w:val="20"/>
          <w:szCs w:val="20"/>
          <w:color w:val="auto"/>
        </w:rPr>
      </w:pPr>
      <w:r>
        <w:rPr>
          <w:rFonts w:ascii="Arial" w:cs="Arial" w:eastAsia="Arial" w:hAnsi="Arial"/>
          <w:sz w:val="18"/>
          <w:szCs w:val="18"/>
          <w:color w:val="auto"/>
        </w:rPr>
        <w:t>17.6 million potentially anti-dilutive weighted shares, respectively, were excluded from the computation of diluted net income per share. For the nine months ended October 31, 2010 and 2009, 19.9 million and 22.3 million potentially anti-dilutive weighted shares were excluded from the computation of diluted net income per share.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Segments</w:t>
      </w:r>
    </w:p>
    <w:p>
      <w:pPr>
        <w:spacing w:after="0" w:line="90"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Platform Solutions and Emerging Business (“PSEB”), Architecture, Engineering and Construction (“AEC”), Manufacturing (“MFG”) and Media and Entertainment (“M&amp;E”). Autodesk has no material inter-segment revenue.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The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PSEB includes Autodesk’s horizontal design product, AutoCAD. Autodesk’s AutoCAD product is a platform product that underpins the Company’s vertical design product offerings for the industries it serves. For example, AEC and MFG offer tailored versions of AutoCAD software for the industries they serve. Autodesk’s AutoCAD product also provides a platform for Autodesk’s developer partners to build custom solutions for a range of diverse design-oriented markets. PSEB’s revenue primarily includes revenue from sales of licenses of Autodesk’s horizontal design products, AutoCAD and AutoCAD LT, as well as many of Autodesk’s vertical design products.</w:t>
      </w:r>
    </w:p>
    <w:p>
      <w:pPr>
        <w:spacing w:after="0" w:line="14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Revit, AutoCAD Civil 3D, AutoCAD Architecture and AutoCAD Map 3D products.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MFG provides manufacturers in automotive and transportation, industrial machinery, consumer products and building products with comprehensive digital prototyping solutions that brings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Inventor, AutoCAD Mechanical and Autodesk Moldflow products.</w:t>
      </w:r>
    </w:p>
    <w:p>
      <w:pPr>
        <w:spacing w:after="0" w:line="11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M&amp;E is comprised of two product groups: Animation (including design visualization) and Creative Finishing (formerly known as Advanced Systems). Animation products, such as Autodesk 3ds Max and Autodesk Maya, provide tools for digital sculpting, modeling, animation, effects, rendering, and compositing, for design visualization, visual effects and games production. Creative Finishing products provide editing, finishing and visual effects design and color grading.</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All of Autodesk’s reportable segments distribute their respective products primarily through authorized resellers and distributors and, to a lesser extent, through direct sales to end-users. The accounting policies of the reportable segments are the same as those described in Note 1, “Business and Summary of Significant Accounting Policies” of our 2010 Form 10-K. Autodesk evaluates each segment’s performance on the basis of gross profit. Autodesk currently does not separately accumulate and report asset information by segment, except for goodwill, which is disclosed in Note 11, “Goodwill.”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the operations of Autodesk’s reportable segments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8060" w:type="dxa"/>
            <w:vAlign w:val="bottom"/>
          </w:tcPr>
          <w:p>
            <w:pPr>
              <w:spacing w:after="0"/>
              <w:rPr>
                <w:sz w:val="14"/>
                <w:szCs w:val="14"/>
                <w:color w:val="auto"/>
              </w:rPr>
            </w:pPr>
          </w:p>
        </w:tc>
        <w:tc>
          <w:tcPr>
            <w:tcW w:w="15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5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$ 173.3</w:t>
            </w:r>
          </w:p>
        </w:tc>
        <w:tc>
          <w:tcPr>
            <w:tcW w:w="1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$ 154.3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534.6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Manufacturing</w:t>
            </w:r>
          </w:p>
        </w:tc>
        <w:tc>
          <w:tcPr>
            <w:tcW w:w="520" w:type="dxa"/>
            <w:vAlign w:val="bottom"/>
          </w:tcPr>
          <w:p>
            <w:pPr>
              <w:jc w:val="right"/>
              <w:spacing w:after="0"/>
              <w:rPr>
                <w:sz w:val="20"/>
                <w:szCs w:val="20"/>
                <w:color w:val="auto"/>
              </w:rPr>
            </w:pPr>
            <w:r>
              <w:rPr>
                <w:rFonts w:ascii="Arial" w:cs="Arial" w:eastAsia="Arial" w:hAnsi="Arial"/>
                <w:sz w:val="18"/>
                <w:szCs w:val="18"/>
                <w:color w:val="auto"/>
              </w:rPr>
              <w:t>116.7</w:t>
            </w:r>
          </w:p>
        </w:tc>
        <w:tc>
          <w:tcPr>
            <w:tcW w:w="1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23"/>
        </w:trPr>
        <w:tc>
          <w:tcPr>
            <w:tcW w:w="8060" w:type="dxa"/>
            <w:vAlign w:val="bottom"/>
          </w:tcPr>
          <w:p>
            <w:pPr>
              <w:ind w:left="4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$ 476.7</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$ 416.9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1,424.1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1,257.6</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$ 164.1</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$ 146.5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20" w:type="dxa"/>
            <w:vAlign w:val="bottom"/>
          </w:tcPr>
          <w:p>
            <w:pPr>
              <w:jc w:val="right"/>
              <w:spacing w:after="0"/>
              <w:rPr>
                <w:sz w:val="20"/>
                <w:szCs w:val="20"/>
                <w:color w:val="auto"/>
              </w:rPr>
            </w:pPr>
            <w:r>
              <w:rPr>
                <w:rFonts w:ascii="Arial" w:cs="Arial" w:eastAsia="Arial" w:hAnsi="Arial"/>
                <w:sz w:val="18"/>
                <w:szCs w:val="18"/>
                <w:color w:val="auto"/>
              </w:rPr>
              <w:t>124.5</w:t>
            </w:r>
          </w:p>
        </w:tc>
        <w:tc>
          <w:tcPr>
            <w:tcW w:w="1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520" w:type="dxa"/>
            <w:vAlign w:val="bottom"/>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Unallocated </w:t>
            </w:r>
            <w:r>
              <w:rPr>
                <w:rFonts w:ascii="Arial" w:cs="Arial" w:eastAsia="Arial" w:hAnsi="Arial"/>
                <w:sz w:val="11"/>
                <w:szCs w:val="11"/>
                <w:color w:val="auto"/>
              </w:rPr>
              <w:t>(1)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$ 428.2</w:t>
            </w:r>
          </w:p>
        </w:tc>
        <w:tc>
          <w:tcPr>
            <w:tcW w:w="18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$ 371.9</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1,275.9</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1,110.2</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460" w:hanging="452"/>
        <w:spacing w:after="0" w:line="228"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Unallocated amounts primarily relate to corporate expenses and other costs and expenses that are managed outside the reportable segments, including amortization of purchased technology and stock-based compensation expense.</w:t>
      </w:r>
    </w:p>
    <w:p>
      <w:pPr>
        <w:spacing w:after="0" w:line="15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Information regarding Autodesk’s net revenue by geographic area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8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October 31,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Americas</w:t>
            </w:r>
          </w:p>
        </w:tc>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w:t>
            </w:r>
          </w:p>
        </w:tc>
        <w:tc>
          <w:tcPr>
            <w:tcW w:w="4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$ 142.8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$ 131.9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860"/>
              <w:spacing w:after="0"/>
              <w:rPr>
                <w:sz w:val="20"/>
                <w:szCs w:val="20"/>
                <w:color w:val="auto"/>
              </w:rPr>
            </w:pPr>
            <w:r>
              <w:rPr>
                <w:rFonts w:ascii="Arial" w:cs="Arial" w:eastAsia="Arial" w:hAnsi="Arial"/>
                <w:sz w:val="18"/>
                <w:szCs w:val="18"/>
                <w:color w:val="auto"/>
              </w:rPr>
              <w:t>Other Americas</w:t>
            </w:r>
          </w:p>
        </w:tc>
        <w:tc>
          <w:tcPr>
            <w:tcW w:w="39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Americas</w:t>
            </w:r>
          </w:p>
        </w:tc>
        <w:tc>
          <w:tcPr>
            <w:tcW w:w="39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Europe, Middle East and Africa</w:t>
            </w:r>
          </w:p>
        </w:tc>
        <w:tc>
          <w:tcPr>
            <w:tcW w:w="4740" w:type="dxa"/>
            <w:vAlign w:val="bottom"/>
            <w:gridSpan w:val="3"/>
          </w:tcPr>
          <w:p>
            <w:pPr>
              <w:jc w:val="right"/>
              <w:ind w:right="300"/>
              <w:spacing w:after="0"/>
              <w:rPr>
                <w:sz w:val="20"/>
                <w:szCs w:val="20"/>
                <w:color w:val="auto"/>
              </w:rPr>
            </w:pPr>
            <w:r>
              <w:rPr>
                <w:rFonts w:ascii="Arial" w:cs="Arial" w:eastAsia="Arial" w:hAnsi="Arial"/>
                <w:sz w:val="18"/>
                <w:szCs w:val="18"/>
                <w:color w:val="auto"/>
              </w:rPr>
              <w:t>182.9</w:t>
            </w:r>
          </w:p>
        </w:tc>
        <w:tc>
          <w:tcPr>
            <w:tcW w:w="560" w:type="dxa"/>
            <w:vAlign w:val="bottom"/>
          </w:tcPr>
          <w:p>
            <w:pPr>
              <w:jc w:val="right"/>
              <w:spacing w:after="0"/>
              <w:rPr>
                <w:sz w:val="20"/>
                <w:szCs w:val="20"/>
                <w:color w:val="auto"/>
              </w:rPr>
            </w:pPr>
            <w:r>
              <w:rPr>
                <w:rFonts w:ascii="Arial" w:cs="Arial" w:eastAsia="Arial" w:hAnsi="Arial"/>
                <w:sz w:val="18"/>
                <w:szCs w:val="18"/>
                <w:color w:val="auto"/>
              </w:rPr>
              <w:t>159.3</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570.3</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Asia Pacific</w:t>
            </w:r>
          </w:p>
        </w:tc>
        <w:tc>
          <w:tcPr>
            <w:tcW w:w="39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color w:val="auto"/>
              </w:rPr>
              <w:t>Japan</w:t>
            </w:r>
          </w:p>
        </w:tc>
        <w:tc>
          <w:tcPr>
            <w:tcW w:w="4740" w:type="dxa"/>
            <w:vAlign w:val="bottom"/>
            <w:gridSpan w:val="3"/>
          </w:tcPr>
          <w:p>
            <w:pPr>
              <w:jc w:val="right"/>
              <w:ind w:right="300"/>
              <w:spacing w:after="0"/>
              <w:rPr>
                <w:sz w:val="20"/>
                <w:szCs w:val="20"/>
                <w:color w:val="auto"/>
              </w:rPr>
            </w:pPr>
            <w:r>
              <w:rPr>
                <w:rFonts w:ascii="Arial" w:cs="Arial" w:eastAsia="Arial" w:hAnsi="Arial"/>
                <w:sz w:val="18"/>
                <w:szCs w:val="18"/>
                <w:color w:val="auto"/>
              </w:rPr>
              <w:t>47.6</w:t>
            </w:r>
          </w:p>
        </w:tc>
        <w:tc>
          <w:tcPr>
            <w:tcW w:w="560" w:type="dxa"/>
            <w:vAlign w:val="bottom"/>
          </w:tcPr>
          <w:p>
            <w:pPr>
              <w:jc w:val="right"/>
              <w:spacing w:after="0"/>
              <w:rPr>
                <w:sz w:val="20"/>
                <w:szCs w:val="20"/>
                <w:color w:val="auto"/>
              </w:rPr>
            </w:pPr>
            <w:r>
              <w:rPr>
                <w:rFonts w:ascii="Arial" w:cs="Arial" w:eastAsia="Arial" w:hAnsi="Arial"/>
                <w:sz w:val="18"/>
                <w:szCs w:val="18"/>
                <w:color w:val="auto"/>
              </w:rPr>
              <w:t>39.9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Asia Pacific</w:t>
            </w:r>
          </w:p>
        </w:tc>
        <w:tc>
          <w:tcPr>
            <w:tcW w:w="39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Total Asia Pacific</w:t>
            </w:r>
          </w:p>
        </w:tc>
        <w:tc>
          <w:tcPr>
            <w:tcW w:w="392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30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$ 476.7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$ 416.9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1,424.1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920" w:type="dxa"/>
            <w:vAlign w:val="bottom"/>
            <w:vMerge w:val="restart"/>
          </w:tcPr>
          <w:p>
            <w:pPr>
              <w:jc w:val="right"/>
              <w:ind w:right="2192"/>
              <w:spacing w:after="0"/>
              <w:rPr>
                <w:sz w:val="20"/>
                <w:szCs w:val="20"/>
                <w:color w:val="auto"/>
              </w:rPr>
            </w:pPr>
            <w:r>
              <w:rPr>
                <w:rFonts w:ascii="Arial" w:cs="Arial" w:eastAsia="Arial" w:hAnsi="Arial"/>
                <w:sz w:val="18"/>
                <w:szCs w:val="18"/>
                <w:color w:val="auto"/>
              </w:rPr>
              <w:t>24</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business and sale model changes, anticipated future operating results and operating expenses, the impact of our restructuring activities, the impact of acquisitions and investment activities, the effect of fluctuations in exchange rates and our hedging strategy on our financial results, the impact of economic volatility and geopolitical activities in certain countries, particularly emerging economy countries, and the resulting effect on our financial results, our ability to successfully expand adoption of our horizontal design products, our vertical design products and model-based design products, and our ability to successfully increase sales of product suites as part of our overall sales strategy. In addition, forward-looking statements also consist of statements involving expectations regarding product acceptance, continuation of our stock repurchase program, short-term and long-term cash requirements, cash flows from operations, and revenues from upgrades and our maintenance program,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goal is to be the world’s leading design, engineering, and entertainment software and services company for the architecture, engineering and construction, manufacturing, and digital media and entertainment markets. Worldwide business trends such as globalization, sustainability, investment in infrastructure, and the increasing desire to keep data digital, are creating pressure on our customers to improve innovation while enhancing productivity. We enable customer innovation by delivering the broadest portfolio of products and services for the digital design, visualization, and simulation of real-world project performance. Our products help our customers increase efficiency and productivity while solving business challenges. Our customers are seeking differentiation through design, and we believe our products provide them with a competitive advantage to succeed in this environment.</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To achieve our goal, we believe that we can capitalize on our competitive advantages, including our ability to make technology available to mainstream markets. By innovating in existing technology categories, we bring powerful design products to volume markets. Our products are designed to be easy to learn and use and to provide customers low cost of deployment, low total cost of ownership and rapid return on their investment. In addition, our software architecture allows for extensibility and integration with other products. We believe that our technological leadership, brand recognition, breadth of product line and large installed base position us well for long-term growth.</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believe that our large global network of distributors and resellers, third-party developers, customers and students is also a competitive advantage. These relationships provide us with a broad reach into volume markets. Our distributor and reseller network is extensive and provides our customers with global resources for the purchase and support of our products as well as resources for effective and cost-efficient training services. We believe that our network of channel partners positions us well for longer-term growth. In addition, we have a significant number of registered third-party developers that create products that operate with our software products, further extending our reach into volume markets. Users trained on our products are broadly available from both educational institutions and the existing workforce, providing us with a student community of next-generation professional users and reducing the cost of training for our customers. To train the next generation of users, we offer education programs including classroom support, standardized curricula, instructor development, and specially priced software-licensing options.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growth strategy includes continually increasing the business value of our design tools in a number of ways, and improving the performance and functionality of our existing products with each new release. Beyond our non-industry or discipline specific horizontal design products, AutoCAD and AutoCAD LT, we develop products addressing industry or discipline-specific needs through our vertical design and model-based design product offerings. We continually strive to improve our product functionality and specialization, by industry, while increasing product interoperability and usability. We also strive to create innovative ways of delivering better user experiences to our customers. We believe this ultimately increases our customers’ satisfaction, increases the usefulness of our products to our customers and drives customer loyalty. We have recently increased our focus on delivering product suites (“Suites”) as a means to deliver additional product interoperability, add value and price performance to our customers.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expanding our horizontal design product customers’ portfolios to include our vertical design products and model-based design products, and now our Suites, presents a meaningful growth opportunity and is an important part of our overall strategy. For example, for each of the three and nine months ended October 31, 2010, revenue from model-based design products increased 17% and 15% respectively, as compared to the same periods in the prior fiscal year. Model-based design product revenue represented 30% as a percentage of total revenue during each of the three and nine months ended October 31, 2010 and 29% during each of the three and nine months ended October 31, 2009. For the three and nine months ended October 31, 2010, revenue from Suites increased 24% and 26% respectively, as compared to the same periods in the prior fiscal year. Suites revenue represented 22% as a percentage of total revenue during each of the three and nine months ended October 31, 2010, and 21% and 20% during the three and nine months ended October 31, 2009, respectively. We believe that the adoption of vertical design products and model-based design products by our customers in all industries will increase their productivity, as well as result in richer design data.</w:t>
      </w:r>
    </w:p>
    <w:p>
      <w:pPr>
        <w:spacing w:after="0" w:line="6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Expanding our geographic coverage is another key element of our growth strategy. We believe that emerging economies continue to present long-term growth opportunities for us. Revenue from emerging economies increased 23% and 17% during each of the three and nine months ended October 31, 2010, respectively, as compared to the same periods of the prior fiscal year. Revenue from emerging economies represented 16% and 15% of net revenue during the three and nine months ended October 31, 2010, respectively, and 15% during each of the three and nine months ended October 31, 2009. While we believe there are long-term growth opportunities in emerging economies, conducting business in these countries presents significant challenges, including economic volatility, geopolitical risk, intellectual property protection and software piracy.</w:t>
      </w:r>
    </w:p>
    <w:p>
      <w:pPr>
        <w:spacing w:after="0" w:line="6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selectively acquire products, technology and businesses as compelling opportunities that promote our strategy become available. The pace at which we make such investments will vary depending upon our business needs, the availability of suitable sellers and technology, and our own financial condition.</w:t>
      </w:r>
    </w:p>
    <w:p>
      <w:pPr>
        <w:spacing w:after="0" w:line="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Global demand for our products improved during the three and nine months ended October 31, 2010, as compared to the respective periods of the prior fiscal year. We saw demand for our products and services increase in all of the geographies and industries we serve during the three and nine months ended October 31, 2010 as compared to the same periods of the prior fiscal year. This has positively impacted our financial results. Our operating margins are sensitive to changes in revenue, given the relatively fixed nature of most of our expenses, which consist primarily of employee-related expenditures, facilities costs, and depreciation and amortization expense. We took actions in fiscal 2010, and continue to take actions in fiscal 2011, to help improve our financial condition in fiscal 2011 and beyond. We believe that by continuing to execute our strategy we can achieve our goal of being the world’s leading design and engineering software and services company for the architecture, engineering, and construction, manufacturing, geospatial mapping, and digital media and entertainment markets.</w:t>
      </w:r>
    </w:p>
    <w:p>
      <w:pPr>
        <w:spacing w:after="0" w:line="6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and resellers, third-party developers, customers,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We have described our significant accounting policies in Note 1, “Business and Summary of Significant Accounting Policies,” in the Notes to Consolidated Financial Statements in our Form 10-K for the fiscal year ended January 31, 2010 (the “2010 Form 10-K”). In addition, we highlighted those policies that involve a higher degree of judgment and complexity with further discussion of these judgmental areas in Item 7, “Management’s Discussion and Analysis of Financial Condition and Results of Operations” in our 2010 Form 10-K. We believe these policies are the most critical to aid in fully understanding and evaluating our financial condition and results of operations. Please refer to Note 1, “Business and Summary of Significant Accounting Policies,” in the Notes to Consolidated Financial Statements and Item 7, “Management’s Discussion and Analysis of Financial Condition and Results of Operations” in our 2010 Form 10-K filed on March 19, 2010. Updates on the relevant periodic financial disclosures related to these policies are provided below.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 Goodwill consists of the excess of cost over the fair value of net assets acquired in business combinations. As of October 31, 2010, a</w:t>
      </w:r>
      <w:r>
        <w:rPr>
          <w:rFonts w:ascii="Arial" w:cs="Arial" w:eastAsia="Arial" w:hAnsi="Arial"/>
          <w:sz w:val="16"/>
          <w:szCs w:val="16"/>
          <w:i w:val="1"/>
          <w:iCs w:val="1"/>
          <w:color w:val="auto"/>
        </w:rPr>
        <w:t xml:space="preserve"> </w:t>
      </w:r>
      <w:r>
        <w:rPr>
          <w:rFonts w:ascii="Arial" w:cs="Arial" w:eastAsia="Arial" w:hAnsi="Arial"/>
          <w:sz w:val="16"/>
          <w:szCs w:val="16"/>
          <w:color w:val="auto"/>
        </w:rPr>
        <w:t>hypothetical 10% decrease in the fair value of our Platform Solutions and Emerging Business; Manufacturing; Architecture, Engineering and Construction or Media and Entertainment reporting units would not have an impact on the carrying value, nor result in impairment, of goodwill for the respective reporting units.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Product Returns Reserves. </w:t>
      </w:r>
      <w:r>
        <w:rPr>
          <w:rFonts w:ascii="Arial" w:cs="Arial" w:eastAsia="Arial" w:hAnsi="Arial"/>
          <w:sz w:val="16"/>
          <w:szCs w:val="16"/>
          <w:color w:val="auto"/>
        </w:rPr>
        <w:t>We permit our distributors and resellers to return products up to a percentage of prior quarter purchases. The product returns</w:t>
      </w:r>
      <w:r>
        <w:rPr>
          <w:rFonts w:ascii="Arial" w:cs="Arial" w:eastAsia="Arial" w:hAnsi="Arial"/>
          <w:sz w:val="16"/>
          <w:szCs w:val="16"/>
          <w:i w:val="1"/>
          <w:iCs w:val="1"/>
          <w:color w:val="auto"/>
        </w:rPr>
        <w:t xml:space="preserve"> </w:t>
      </w:r>
      <w:r>
        <w:rPr>
          <w:rFonts w:ascii="Arial" w:cs="Arial" w:eastAsia="Arial" w:hAnsi="Arial"/>
          <w:sz w:val="16"/>
          <w:szCs w:val="16"/>
          <w:color w:val="auto"/>
        </w:rPr>
        <w:t>reserve is based on historical experience of actual product returns, estimated channel inventory levels, the timing of new product introductions and promotions, channel sell-in for applicable markets and other factors. Our product returns reserves were $10.1 million at October 31, 2010 and $11.8 million at January 31, 2010. Actual product returns as a percentage of applicable revenue were 3.4% and 5.0% for the three months ended October 31, 2010 and 2009, respectively, and 4.4% and 5.4% for the nine months ended October 31, 2010 and 2009, respectively. During the three months ended October 31, 2010 and 2009, we recorded additions to our product returns reserve of $8.0 million and $12.3 million, respectively, which reduced our revenue. During the nine months ended October 31, 2010 and 2009, we recorded additions to our product returns reserve of $29.3 million and $34.2 million, respectively, which reduced our revenue.</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At October 31, 2010, we had $152.4 million of net deferred tax assets, primarily a result of tax credits, net operating losses, and timing</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differences for reserves, accrued liabilities, stock options, purchased technologies and capitalized software, partially offset by the establishment of U.S. deferred tax liabilities on unremitted earnings from certain foreign subsidiaries and acquired intangibles and valuation allowances against California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A change in future profitability may require material adjustments to these net deferred tax assets, resulting in an adjustment to net income in the period when such determination is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Nine Months Ended October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Three Months</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Three Months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As a % of Net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As a % of Net</w:t>
            </w:r>
          </w:p>
        </w:tc>
        <w:tc>
          <w:tcPr>
            <w:tcW w:w="0" w:type="dxa"/>
            <w:vAlign w:val="bottom"/>
          </w:tcPr>
          <w:p>
            <w:pPr>
              <w:spacing w:after="0"/>
              <w:rPr>
                <w:sz w:val="1"/>
                <w:szCs w:val="1"/>
                <w:color w:val="auto"/>
              </w:rPr>
            </w:pPr>
          </w:p>
        </w:tc>
      </w:tr>
      <w:tr>
        <w:trPr>
          <w:trHeight w:val="161"/>
        </w:trPr>
        <w:tc>
          <w:tcPr>
            <w:tcW w:w="36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8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5"/>
              </w:rPr>
              <w:t>October 31, 2010</w:t>
            </w:r>
          </w:p>
        </w:tc>
        <w:tc>
          <w:tcPr>
            <w:tcW w:w="6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Revenue</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October 31, 2009</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476.7</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416.9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48.5</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45.0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428.2</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371.9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359.0</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345.6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69.2</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Nine Months</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Nine Months</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As a % of Net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As a % of Net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October 31, 2010</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Revenue</w:t>
            </w:r>
          </w:p>
        </w:tc>
        <w:tc>
          <w:tcPr>
            <w:tcW w:w="30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October 31, 2009</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1,424.1</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1,257.6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148.2</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147.4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1,275.9</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1,110.2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1,076.1</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1,100.7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199.8</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results for the three and nine months ended October 31, 2010 reflect recent improvements in the global demand environment, as compared to the same periods in the prior fiscal year when the economic downturn had decreased demand for our products and services, and customers reduced their workforces. While some global macroeconomic indicators improved modestly during the three and nine months ended October 31, 2010, unemployment remains high in several important geographies, including the U.S. Additionally, there are a number of mixed data points as to whether credit has become more readily available, and it is unclear whether and how the availability of credit continues to impact our customers and partners.</w:t>
      </w:r>
    </w:p>
    <w:p>
      <w:pPr>
        <w:spacing w:after="0" w:line="116"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Our business grew year over year as evidenced by our increases in revenue, gross profit and income from operations. Contributing to the year over year increases in revenue were increases in revenue from new seat licenses, maintenance revenue, revenue for most of our major products, all of our reportable segments, and all of our geographies during the three and nine months ended October 31, 2010 as compared to the same periods of the prior fiscal year. In addition, we continued to make progress in controlling our operating costs, which led to year over year improvements in profitability. We believe that the improvements in these areas are indications of a broad-based stabilization of our business.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During the three and nine months ended October 31, 2010, as compared to the same periods of the prior fiscal year, net revenue increased, gross profit increased and income from operations increased. The increase in income from operations during the three months ended October 31, 2010, as compared to the same period in the prior fiscal year, was due to the increase in our net revenue. The increase in income from operations during the nine months ended October 31, 2010, as compared to the same period in the prior fiscal year, was due to the increase in our net revenue along with decreases in total spend, defined as the cost of revenue plus operating expenses. The majority of our costs are relatively fixed in the short term as they relate primarily to our workforce. In an attempt to adjust our cost structure, we initiated restructuring plans that resulted in the recognition of restructuring expenses of close to zero and $9.0 million during the three and nine months ended October 31, 2010, respectively, as compared to the $4.9 million and $47.8 million recorded in the respective periods of the prior fiscal year. In addition, during the nine months ended October 31, 2009 we recorded a goodwill impairment charge of $21.0 million associated with our M&amp;E segment. The favorable impacts of the increase in revenue and decrease in restructuring and impairment charges during the three and nine months ended October 31, 2010, as compared to the same period of the prior fiscal year, were partially offset by the increase in operating costs associated with higher revenue. Our spending decisions are based in part on our expectations for future revenue and are not directly variable with fluctuations in revenue. Accordingly, our inability to immediately adjust our operating costs for any revenue shortfall below expectations could have an immediate and significant adverse effect on our profitability. We constantly monitor and adjust our cost structure to align with our recent and anticipated financial results. In addition to restructuring activities, other actions that we have taken to adjust our cost structure include reductions in discretionary spending and contingent labor costs.</w:t>
      </w:r>
    </w:p>
    <w:p>
      <w:pPr>
        <w:spacing w:after="0" w:line="12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Net revenue for the three months ended October 31, 2010 increased $59.8 million, or 14%, as compared to the same period in the prior fiscal year due to a 19% increase in license and other revenue and an 8% increase in maintenance revenue. We experienced increases in net revenue in all of our major geographies during the three months ended October 31, 2010 as compared to the same period in the prior fiscal year. Net revenue for the nine months ended October 31, 2010 increased $166.5 million, or 13%, as compared to the same period in the prior fiscal year due to a 19% increase in license and other revenue and a 6% increase in maintenance revenue. We experienced increases in net revenue in all of our major geographies during the nine months ended October 31, 2010 as compared to the same period in the prior fiscal year.</w:t>
      </w:r>
    </w:p>
    <w:p>
      <w:pPr>
        <w:spacing w:after="0" w:line="12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generate a significant amount of our revenue in the U.S., Japan, Germany, the United Kingdom, France, Canada, Italy, South Korea, Australia and China. Included in the overall increase in revenue were impacts associated with foreign currency. Our revenue was negatively impacted by foreign exchange rate changes during the three months ended October 31, 2010, as compared to the same period of the prior fiscal year. Our net revenue benefited from foreign exchange rate changes during the nine months ended October 31, 2010, as compared to the same period of the prior fiscal year. Had applicable exchange rates from the three months ended October 31, 2009 been in effect through October 31, 2010, and had we excluded foreign exchange hedge gains and losses from the three months ended October 31, 2010, (“on a constant currency basis”), net revenue for the three months ended October 31, 2010 would have increased 15% compared to the same period of the prior fiscal year. Operating expenses during the three months ended October 31, 2010 increased 4% compared to the same period of the prior fiscal year both as reported and on a constant currency basis. During the nine months ended October 31, 2010 net revenue would have increased 12% compared to the same period of the prior fiscal year on a constant currency basis. During the nine months ended October 31, 2010, operating expenses decreased 2% compared to the same period of the prior fiscal year as reported and decreased 3% on a constant currency basis. Changes in the value of the U.S. dollar may have a significant effect on net revenue, operating expenses and income from operations in future periods. We use foreign currency contracts to reduce the exchange rate effect on a portion of the net revenue of certain anticipated transactions, but do not attempt to completely mitigate the impact of fluctuation of such foreign currency against the U.S. dollar.</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rely significantly on major distributors and resellers in both the U.S. and international regions, including Tech Data Corporation and its global affiliates (collectively, “Tech Data”). Tech Data accounted for 15% and 16% of our consolidated net revenue for the three and nine months ended October 31, 2010, respectively, and 14% and 13% for the respective periods of the prior fiscal year.</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total spend increased by $16.9 million, or 4%, during the three months ended October 31, 2010, as compared to the same period of the prior fiscal year. During the nine months ended October 31, 2010, our total spend decreased by $23.8 million, or 2%, as compared to the same period of the prior fiscal year. Our total spend of $407.5 million for the third quarter of fiscal 2011 included $17.0 million of stock-based compensation expenses, $8.4 million attributable to amortization of developed technology for acquisitions subsequent to December 2005 and $5.7 million attributable to amortization of customer relationships and trade names for acquisitions subsequent to December 2005. Our total spend of $1,224.3 million for the nine months ended October 31, 2010 included $62.3 million of stock-based compensation expenses, $23.8 million attributable to amortization of developed technology for acquisitions subsequent to December 2005, $17.8 million attributable to amortization of customer relationships and trade names for acquisitions subsequent to December 2005 and $9.0 million for restructuring charges.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total operating margin increased from $26.3 million, or 6%, during the three months ended October 31, 2009, to $69.2 million, or 15%, during the three months ended October 31, 2010. Our total operating margin increased from $9.5 million, or 1%, during the nine months ended October 31, 2009, to $199.8 million, or 14%, during the nine months ended October 31, 2010. The increase in our operating margin during the three and nine months ended October 31, 2010 was primarily due to net revenue increasing more rapidly than the increase in our costs due to our cost saving initiatives during fiscal 2010 and 2011. Also contributing to the increase in total operating margin were the decreases in stock-based compensation charges and restructuring charges during the three and nine months ended October 31, 2010 as compared to the same period of the prior fiscal year and the decrease in goodwill impairment charges during the nine months ended October 31, 2010. During the three months ended October 31, 2010, our operating margin increased due to the $13.3 million decrease in stock-based compensation and the $4.9 million decrease in restructuring charges. During the nine months ended October 31, 2010 our operating margin increased due to the $38.8 million decrease in restructuring charges and due to the $21.0 million decrease in goodwill impairment charges. These decreases were partially offset by an increase in expenses due to the return of some previously suppressed costs and costs associated with higher revenue.</w:t>
      </w:r>
    </w:p>
    <w:p>
      <w:pPr>
        <w:spacing w:after="0" w:line="12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primary financial goals for the remainder of fiscal 2011 are to grow revenue and improve operating margin percentage by delivering our market-leading products and solutions to our customers and investing in product functionality and new product lines, including Suites offerings. However, there can be no assurance that we will achieve our financial goals and improve our financial results.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October 31, 2010, we had $1,336.6 million in cash and marketable securities. We completed the quarter ended October 31, 2010 with a lower deferred revenue balance and a lower accounts receivable balance as compared to the quarter ended January 31, 2010. Our deferred revenue balance at October 31, 2010 included $450.3 million of customer maintenance contracts, which will be recognized as revenue ratably over the life of the contracts, which is predominantly one year. We repurchased 2.5 million shares of our common stock for $74.9 million during the three months ended October 31, 2010 and 7.0 million shares of our common stock for $204.1 million during the nine months ended October 31, 2010. Comparatively, we repurchased 1.7 million shares of our common stock for $39.4 million during the three and nine months ended October 31,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4"/>
              </w:rPr>
              <w:t>Increase (Decrease)</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6"/>
              </w:rPr>
              <w:t>Increase (Decrease)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Compared to</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Three Months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160" w:type="dxa"/>
            <w:vAlign w:val="bottom"/>
          </w:tcPr>
          <w:p>
            <w:pPr>
              <w:spacing w:after="0"/>
              <w:rPr>
                <w:sz w:val="12"/>
                <w:szCs w:val="12"/>
                <w:color w:val="auto"/>
              </w:rPr>
            </w:pPr>
          </w:p>
        </w:tc>
        <w:tc>
          <w:tcPr>
            <w:tcW w:w="14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Compared to</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9"/>
              </w:rPr>
              <w:t>Prior Period</w:t>
            </w:r>
          </w:p>
        </w:tc>
        <w:tc>
          <w:tcPr>
            <w:tcW w:w="20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4"/>
                <w:szCs w:val="14"/>
                <w:color w:val="auto"/>
              </w:rPr>
            </w:pPr>
          </w:p>
        </w:tc>
        <w:tc>
          <w:tcPr>
            <w:tcW w:w="1400" w:type="dxa"/>
            <w:vAlign w:val="bottom"/>
            <w:gridSpan w:val="4"/>
          </w:tcPr>
          <w:p>
            <w:pPr>
              <w:ind w:left="80"/>
              <w:spacing w:after="0"/>
              <w:rPr>
                <w:sz w:val="20"/>
                <w:szCs w:val="20"/>
                <w:color w:val="auto"/>
              </w:rPr>
            </w:pPr>
            <w:r>
              <w:rPr>
                <w:rFonts w:ascii="Arial" w:cs="Arial" w:eastAsia="Arial" w:hAnsi="Arial"/>
                <w:sz w:val="14"/>
                <w:szCs w:val="14"/>
                <w:b w:val="1"/>
                <w:bCs w:val="1"/>
                <w:color w:val="auto"/>
              </w:rPr>
              <w:t>Prior Period</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2"/>
        </w:trPr>
        <w:tc>
          <w:tcPr>
            <w:tcW w:w="318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6"/>
              </w:rPr>
              <w:t>October 31, 2010</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October 31, 2009</w:t>
            </w:r>
          </w:p>
        </w:tc>
        <w:tc>
          <w:tcPr>
            <w:tcW w:w="24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2010</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October 31, 2009</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45.9</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236.1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842.5</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$ 131.8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581.6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80" w:type="dxa"/>
            <w:vAlign w:val="bottom"/>
          </w:tcPr>
          <w:p>
            <w:pPr>
              <w:spacing w:after="0"/>
              <w:rPr>
                <w:sz w:val="19"/>
                <w:szCs w:val="19"/>
                <w:color w:val="auto"/>
              </w:rPr>
            </w:pP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476.7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c>
          <w:tcPr>
            <w:tcW w:w="840" w:type="dxa"/>
            <w:vAlign w:val="bottom"/>
            <w:gridSpan w:val="3"/>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416.9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1,424.1</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$ 166.5</w:t>
            </w:r>
          </w:p>
        </w:tc>
        <w:tc>
          <w:tcPr>
            <w:tcW w:w="78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revenue by geographic area:</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Americas</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163.4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508.9</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22.6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 Middle East and Africa</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570.3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Asia Pacific</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344.9</w:t>
            </w:r>
          </w:p>
        </w:tc>
        <w:tc>
          <w:tcPr>
            <w:tcW w:w="1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57.0</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1,424.1</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6"/>
              </w:rPr>
              <w:t>$ 166.5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8"/>
                <w:szCs w:val="18"/>
                <w:color w:val="auto"/>
              </w:rPr>
              <w:t>Net revenue by operating segment:</w:t>
            </w: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Business</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534.6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80" w:type="dxa"/>
            <w:vAlign w:val="bottom"/>
          </w:tcPr>
          <w:p>
            <w:pPr>
              <w:ind w:left="440"/>
              <w:spacing w:after="0"/>
              <w:rPr>
                <w:sz w:val="20"/>
                <w:szCs w:val="20"/>
                <w:color w:val="auto"/>
              </w:rPr>
            </w:pPr>
            <w:r>
              <w:rPr>
                <w:rFonts w:ascii="Arial" w:cs="Arial" w:eastAsia="Arial" w:hAnsi="Arial"/>
                <w:sz w:val="18"/>
                <w:szCs w:val="18"/>
                <w:color w:val="auto"/>
              </w:rPr>
              <w:t>Architecture, Engineering and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660"/>
              <w:spacing w:after="0"/>
              <w:rPr>
                <w:sz w:val="20"/>
                <w:szCs w:val="20"/>
                <w:color w:val="auto"/>
              </w:rPr>
            </w:pPr>
            <w:r>
              <w:rPr>
                <w:rFonts w:ascii="Arial" w:cs="Arial" w:eastAsia="Arial" w:hAnsi="Arial"/>
                <w:sz w:val="18"/>
                <w:szCs w:val="18"/>
                <w:color w:val="auto"/>
              </w:rPr>
              <w:t>Construction</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406.3</w:t>
            </w:r>
          </w:p>
        </w:tc>
        <w:tc>
          <w:tcPr>
            <w:tcW w:w="16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30.4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337.3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58.3</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145.9</w:t>
            </w:r>
          </w:p>
        </w:tc>
        <w:tc>
          <w:tcPr>
            <w:tcW w:w="1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180" w:type="dxa"/>
            <w:vAlign w:val="bottom"/>
          </w:tcPr>
          <w:p>
            <w:pPr>
              <w:spacing w:after="0"/>
              <w:rPr>
                <w:sz w:val="19"/>
                <w:szCs w:val="19"/>
                <w:color w:val="auto"/>
              </w:rPr>
            </w:pP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476.7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c>
          <w:tcPr>
            <w:tcW w:w="840" w:type="dxa"/>
            <w:vAlign w:val="bottom"/>
            <w:gridSpan w:val="3"/>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416.9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1,424.1</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$ 166.5</w:t>
            </w:r>
          </w:p>
        </w:tc>
        <w:tc>
          <w:tcPr>
            <w:tcW w:w="78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Other Revenue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License and other revenue is comprised of two components: all forms of product license revenue and other revenue. Product license revenue includes revenue from the sale of new seat licenses, upgrades and crossgrades. Other revenue consists of revenue from Creative Finishing, consulting and training services, and Autodesk Collaborative Solution hosting.</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Total license and other revenue increased 19% during the three months ended October 31, 2010, as compared to the same period of the prior fiscal year. This increase was primarily due to the 33% increase in commercial new seat revenue during the three months ended October 31, 2010. During the three months ended October 31, 2010, 25 percentage points of the 33% increase were due to increases in the number of seats sold, in addition to 8 percentage points due to higher average net revenue per seat. Commercial new seat revenue, as a percentage of license and other revenue, was 70% and 63% for the three months ended October 31, 2010 and 2009, respectively.</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Total license and other revenue increased 19% during the nine months ended October 31, 2010, as compared to the same period of the prior fiscal year. This increase was primarily due to the 34% increase in commercial new seat revenue during the nine months ended October 31, 2010. This 34% increase in commercial new seat revenue was due to increases in the number of seats sold. Commercial new seat revenue, as a percentage of license and other revenue, was 69% and 61% for the nine months ended October 31, 2010 and 2009, respectively.</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Also contributing to the increase in license and other revenue during the three months ended October 31, 2010, as compared to the same period of the prior fiscal year, was the 20% increase in upgrade revenue, which includes crossgrade revenue. Upgrade revenue increased 5% during the nine months ended October 31, 2010 as compared to the same period of the prior fiscal year. During the first quarter of fiscal 2011, upgrade revenue included a one-time increase in upgrades in response to a promotion in advance of the March 2010 increase in upgrade pricing. Over the long term, we expect revenue from upgrades to decrease as we continue to move customers onto our maintenance program.</w:t>
      </w:r>
    </w:p>
    <w:p>
      <w:pPr>
        <w:spacing w:after="0" w:line="1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3% of net revenue for all periods presented.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Revenue</w:t>
      </w:r>
    </w:p>
    <w:p>
      <w:pPr>
        <w:spacing w:after="0" w:line="90"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Our maintenance revenue relates to a program known by our user community as the Subscription Program.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technical support. We recognize maintenance revenue ratably over the maintenance contract periods.</w:t>
      </w:r>
    </w:p>
    <w:p>
      <w:pPr>
        <w:spacing w:after="0" w:line="9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Maintenance revenue increased 8% and 6% during the three and nine months ended October 31, 2010, respectively, as compared to the same period of the prior fiscal year. The increase in maintenance revenue for the three and nine months ended October 31, 2010 is primarily due to an 8% and 7% increase in commercial maintenance revenue, respectively. Total Subscription program enrollment at October 31, 2010 and January 31, 2010 consisted of about 2.8 million users and 2.2 million users, respectively.</w:t>
      </w:r>
    </w:p>
    <w:p>
      <w:pPr>
        <w:spacing w:after="0" w:line="14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During the three months ended October 31, 2010, the 8% increase in commercial maintenance revenue was due to a 5 percentage point increase in commercial enrollment during the corresponding maintenance contract term and a 3 percentage point increase in net revenue per maintenance seat. During the nine months ended October 31, 2010, the 7% increase in commercial maintenance revenue was due to higher net revenue per maintenance seat. Commercial maintenance revenue represented 98% of maintenance revenue during the three and nine months ended October 31, 2010 and 2009.</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Changes in maintenance revenue lag changes in net billings for maintenance contracts because we recognize revenue from those contracts ratably over their contract terms, which are predominantly one year, but may be two or three year, or occasionally as long as five year terms. Net maintenance billings increased 11% and 15% during the three and nine months ended October 31, 2010, respectively, as compared to the same periods of the prior fiscal year. These increases were due to more new seats sold, an increase in the renewal rates and the impact from the upgrade pricing promotion mentioned above. The increase in net maintenance billings during the first three quarters of fiscal 2011 will have a positive impact on future maintenance revenue, however year over year decreases in net maintenance billings during the second and third quarters of fiscal 2010, and the impact of other factors such as the amount, timing and mix of contract terms of future net maintenance billings, could cause downward pressure on future maintenance revenue.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Aggregate backlog at October 31, 2010 and January 31, 2010 was $523.3 million and $542.5 million, respectively, of which $507.1 million and $516.5 million, respectively, represented deferred revenue. Backlog related to current software license product orders that had not shipped at the end of the quarter, decreased by $9.8 million during the first three quarters of fiscal 2011 from $26.0 million at January 31, 2010 to $16.2 million at October 31, 2010. Deferred revenue consists primarily of deferred maintenance revenue. To a lesser extent, deferred revenue consists of deferred license and other revenue derived from collaborative project management services, consulting services and deferred license sales.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Geographic Area</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Net revenue in the Americas region increased by 10% during the three months ended October 31, 2010, as compared to the same period in the prior fiscal year. The increase in net revenue in the Americas was primarily due to the 30% increase in new seat revenue. Net revenue in the Americas region increased by 5% during the nine months ended October 31, 2010, as compared to the same period in the prior fiscal year primarily due to the 34% increase in new seat revenue. This increase was partially offset by a 15% decrease in upgrade revenue in the Americas during the nine months ended October 31, 2010 as compared to the same period in the prior fiscal year.</w:t>
      </w:r>
    </w:p>
    <w:p>
      <w:pPr>
        <w:spacing w:after="0" w:line="14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Net revenue in the Europe, Middle East and Africa (“EMEA”) geography increased 15% during the three months ended October 31, 2010, as compared to the same period of the prior fiscal year, primarily due to a 15% increase in new seat revenue and a 9% increase in maintenance revenue. This increase was primarily due to revenue growth in most countries in the region, led by Germany, Italy, Belgium, France, and Russia. During the nine months ended October 31, 2010, net revenue in the EMEA geography increased 18% primarily due to a 29% increase in new seat revenue, a 10% increase in maintenance revenue and an 18% increase in revenue from upgrades as compared to the same period in the prior fiscal year. These increases were primarily due to revenue growth in most countries in the region, led by Germany, France, Belgium the United Kingdom, and Italy. Also contributing to the increase was the increase in revenue from emerging economy countries within the EMEA geography. On a constant currency basis, revenue in the EMEA geography would have increased 19% and 16% for the three and nine months ended October 31, 2010, respectively, as compared to the same periods of the prior fiscal year.</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Net revenue in the Asia Pacific (“APAC”) geography increased by 22% during the three months ended October 31, 2010, as compared to the same period of the prior fiscal year, primarily due to a 29% increase in new seat revenue. In addition, we had an increase in maintenance revenue of 9% during the three months ended October 31, 2010 as compared to the same period of the prior fiscal year. The increase in net revenue in the APAC geography during the three months ended October 31, 2010 occurred in all countries, led by Japan and followed by China, Singapore, India and Australia. During the nine months ended October 31, 2010, net revenue in the APAC geography increased by 20% as compared to the same period of the prior fiscal year, primarily due to a 27% increase in new seat revenue, and 5% increase in maintenance revenue. The increase in net revenue in the APAC geography during the nine months ended October 31, 2010 occurred in all countries, led by Japan and followed by South Korea, Australia, China, and India. On a constant currency basis, revenue in the APAC geography would have increased 19% and 16% during the three and nine month periods ended October 31, 2010, as compared to the same periods in the prior fiscal year.</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Net revenue in emerging economies increased 23% during the three months ended October 31, 2010, as compared to the same period of the prior fiscal year, primarily due to revenue from China, the Russian Federation, Brazil and India. Net revenue in emerging economies increased 17% during the nine months ended October 31, 2010, as compared to the same period of the prior fiscal year, primarily due to revenue from China, India, the Russian Federation and Brazil. This growth was a significant factor in our international sales growth during the three and nine months ended October 31, 2010. Revenue from emerging economies represented 16% and 15% of net revenue during the three and nine months ended October 31, 2010, respectively, as compared to 15% during the same periods of the prior fiscal year.</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international revenue will continue to comprise a majority of our total net revenue. The economic conditions in the countries that contribute a significant portion of our net revenue may have an adverse effect on our business in those countries and our overall financial performance. International net revenue represented 70% and 71% of our net revenue during the three and nine months ended October 31, 2010, respectively, as compared to 68% and 69% during the respective periods of the prior fiscal year. We remain cautious regarding our fiscal 2011 financial prospects primarily due to the continued negative business reports in a number of countries around the world.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Operating Segment</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have four reportable segments: Platform Solutions and Emerging Business (“PSEB”), Architecture, Engineering and Construction (“AEC”), Manufacturing (“MFG”) and Media and Entertainment (“M&amp;E”). We have no material inter-segment revenue.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Net revenue for PSEB increased 12% during the three months ended October 31, 2010, as compared to the same period of the prior fiscal year, primarily due to a 27% increase in revenue from our AutoCAD products and a 12% increase in revenue from our AutoCAD LT products. During the nine months ended October 31, 2010, net revenue for PSEB increased 16% as compared to the same period of the prior fiscal year, primarily due to a 23% increase in revenue from our AutoCAD products and a 20% increase in revenue from our AutoCAD LT products.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Net revenue for AEC increased 9% during the three months ended October 31, 2010, as compared to the same period of the prior fiscal year, primarily due to a 22% increase in revenue from our Revit products and a 17% increase in revenue from our AutoCAD Architecture products. During the nine months ended October 31, 2010, net revenue for AEC increased 8% as compared to the same period of the prior fiscal year, primarily due to an 18% increase in revenue from our Revit products and a 10% increase in revenue from our ACAD Architecture products.</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Net revenue for MFG increased 30% during the three months ended October 31, 2010, as compared to the same period of the prior fiscal year, primarily due to a 29% increase in revenue from our Autodesk Inventor products and a 47% increase in revenue from our Autodesk Mechanical products. During the nine months ended October 31, 2010, net revenue for MFG increased 21% as compared to the same period of the prior fiscal year, primarily due to a 23% increase in revenue from our Autodesk Inventor products and a 31% increase in revenue from our Autodesk Mechanical products.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revenue for M&amp;E increased 5% during the three months ended October 31, 2010, as compared to the same period of the prior fiscal year, primarily due to a 21% increase in revenue from Creative Finishing, partially offset by a 2% decrease in revenue from our Animation product group. During the nine months ended October 31, 2010, net revenue for M&amp;E increased 2% as compared to the same period of the prior fiscal year primarily due to a 5% increase in our Animation product group led by growth in our Entertainment Creation Suite, partially offset by a 3% decrease in revenue from Creative Finishing.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4"/>
              </w:rPr>
              <w:t>Increase (Decrease)</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Increase (Decrease)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2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Three Months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Compared to</w:t>
            </w:r>
          </w:p>
        </w:tc>
        <w:tc>
          <w:tcPr>
            <w:tcW w:w="13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9"/>
              </w:rPr>
              <w:t>Prior Period</w:t>
            </w:r>
          </w:p>
        </w:tc>
        <w:tc>
          <w:tcPr>
            <w:tcW w:w="200" w:type="dxa"/>
            <w:vAlign w:val="bottom"/>
          </w:tcPr>
          <w:p>
            <w:pPr>
              <w:spacing w:after="0"/>
              <w:rPr>
                <w:sz w:val="14"/>
                <w:szCs w:val="14"/>
                <w:color w:val="auto"/>
              </w:rPr>
            </w:pPr>
          </w:p>
        </w:tc>
        <w:tc>
          <w:tcPr>
            <w:tcW w:w="11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ind w:left="120"/>
              <w:spacing w:after="0"/>
              <w:rPr>
                <w:sz w:val="20"/>
                <w:szCs w:val="20"/>
                <w:color w:val="auto"/>
              </w:rPr>
            </w:pPr>
            <w:r>
              <w:rPr>
                <w:rFonts w:ascii="Arial" w:cs="Arial" w:eastAsia="Arial" w:hAnsi="Arial"/>
                <w:sz w:val="14"/>
                <w:szCs w:val="14"/>
                <w:b w:val="1"/>
                <w:bCs w:val="1"/>
                <w:color w:val="auto"/>
                <w:w w:val="89"/>
              </w:rPr>
              <w:t>Prior Period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2"/>
        </w:trPr>
        <w:tc>
          <w:tcPr>
            <w:tcW w:w="276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1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2010</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1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2009</w:t>
            </w:r>
          </w:p>
        </w:tc>
        <w:tc>
          <w:tcPr>
            <w:tcW w:w="1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2010</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96"/>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2009</w:t>
            </w: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40.3</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41.7</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122.0</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48.5</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45.0</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148.2</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net revenue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Cost of license and other revenue includes labor costs of order fulfillment and costs of fulfilling consulting and training services contracts and Autodesk Collaborative Solution hosting contracts. Cost of license and other 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printing of user manuals and packaging materials and shipping and handling costs.</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first quarter of fiscal 2011, Autodesk reclassified certain costs of revenue, which primarily included reclassifying certain shipping and fulfillment expenses from “Cost of license and other revenue” to “Cost of maintenance revenue”, due to a change in our cost allocation methodology. These expenses have been updated in the statement of operations, which included reclassifying $0.3 million and $8.0 million from cost of license to cost of maintenance revenue during the three and nine months ended October 31, 2009, respectively. See Note 1, “Basis of Presentation,” in the Notes to Condensed Consolidated Financial Statements for further discussion.</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Cost of license and other revenue decreased 3% and 7% during the three and nine months ended October 31, 2010, respectively, as compared to the same periods of the prior fiscal year, primarily due to savings on shipping and handling costs caused by the switch to a lower cost vendor as well as an increase in electronic order fulfillment.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 of maintenance revenue includes labor costs of providing product support to our maintenance customers, including stock-based compensation expense for these employees, rent and occupancy, shipping and handling costs and professional services fees. Cost of maintenance revenue increased 148% and 56% during the three and nine months ended October 31, 2010, respectively, as compared to the same periods of the prior fiscal year, due to an increase in maintenance support headcount. These increases were partially offset by savings on freight and materials costs as fewer maintenance customers require physical shipments than in the past due to electronic fulfillment.</w:t>
      </w:r>
    </w:p>
    <w:p>
      <w:pPr>
        <w:spacing w:after="0" w:line="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 We expect our cost of revenue to increase in absolute dollars during the fourth quarter of fiscal 2011, as compared to the fourth quarter of fiscal 2010, with the increase in net revenue, and remain relatively flat as a percentage of net revenue during the fourth quarter of fiscal 2011, as compared to the fourth quarter of fiscal 2010.</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Marketing and Sales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Three Months</w:t>
            </w:r>
          </w:p>
        </w:tc>
        <w:tc>
          <w:tcPr>
            <w:tcW w:w="120" w:type="dxa"/>
            <w:vAlign w:val="bottom"/>
          </w:tcPr>
          <w:p>
            <w:pPr>
              <w:spacing w:after="0"/>
              <w:rPr>
                <w:sz w:val="14"/>
                <w:szCs w:val="14"/>
                <w:color w:val="auto"/>
              </w:rPr>
            </w:pPr>
          </w:p>
        </w:tc>
        <w:tc>
          <w:tcPr>
            <w:tcW w:w="1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0"/>
              </w:rPr>
              <w:t>Increase Compared</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Three Months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Nine Months</w:t>
            </w:r>
          </w:p>
        </w:tc>
        <w:tc>
          <w:tcPr>
            <w:tcW w:w="120" w:type="dxa"/>
            <w:vAlign w:val="bottom"/>
          </w:tcPr>
          <w:p>
            <w:pPr>
              <w:spacing w:after="0"/>
              <w:rPr>
                <w:sz w:val="14"/>
                <w:szCs w:val="14"/>
                <w:color w:val="auto"/>
              </w:rPr>
            </w:pPr>
          </w:p>
        </w:tc>
        <w:tc>
          <w:tcPr>
            <w:tcW w:w="15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2"/>
              </w:rPr>
              <w:t>Increase Compared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Nine Months</w:t>
            </w:r>
          </w:p>
        </w:tc>
      </w:tr>
      <w:tr>
        <w:trPr>
          <w:trHeight w:val="161"/>
        </w:trPr>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4"/>
              </w:rPr>
              <w:t>to Prior Period</w:t>
            </w:r>
          </w:p>
        </w:tc>
        <w:tc>
          <w:tcPr>
            <w:tcW w:w="20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4"/>
              </w:rPr>
              <w:t>to Prior Period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Ended</w:t>
            </w:r>
          </w:p>
        </w:tc>
      </w:tr>
      <w:tr>
        <w:trPr>
          <w:trHeight w:val="142"/>
        </w:trPr>
        <w:tc>
          <w:tcPr>
            <w:tcW w:w="266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10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October 31, 2010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0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October 31, 2009</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2010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2009</w:t>
            </w:r>
          </w:p>
        </w:tc>
        <w:tc>
          <w:tcPr>
            <w:tcW w:w="200" w:type="dxa"/>
            <w:vAlign w:val="bottom"/>
          </w:tcPr>
          <w:p>
            <w:pPr>
              <w:spacing w:after="0"/>
              <w:rPr>
                <w:sz w:val="12"/>
                <w:szCs w:val="12"/>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540.6</w:t>
            </w: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bl>
    <w:p>
      <w:pPr>
        <w:spacing w:after="0" w:line="9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Marketing and sales expenses include salaries, bonuses, benefits and stock-based compensation expense for our marketing and sales employees and the expense of travel, entertainment and training for such personnel, and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 Marketing and sales expenses increased 3% and 2% during the three and nine months ended October 31, 2010, respectively, as compared to the same periods of the prior fiscal year, primarily due to higher employee-related costs, including bonuses, benefits, and commissions. These increases were partially offset by the decrease in stock-based compensation expense and lower advertising and promotion spending. As compared to the fourth quarter of fiscal 2010, we expect marketing and sales expenses to remain relatively flat as a percentage of net revenue and to increase in absolute dollars due to performance-based compensation expenses, including sales commissions and employee bonuses, as a result of improved financial performance for the year.</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Three Months</w:t>
            </w:r>
          </w:p>
        </w:tc>
        <w:tc>
          <w:tcPr>
            <w:tcW w:w="16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Increase Compared</w:t>
            </w: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Nine Months</w:t>
            </w:r>
          </w:p>
        </w:tc>
        <w:tc>
          <w:tcPr>
            <w:tcW w:w="15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0"/>
              </w:rPr>
              <w:t>Increase Compared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Nine Months</w:t>
            </w:r>
          </w:p>
        </w:tc>
      </w:tr>
      <w:tr>
        <w:trPr>
          <w:trHeight w:val="161"/>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Ended</w:t>
            </w:r>
          </w:p>
        </w:tc>
        <w:tc>
          <w:tcPr>
            <w:tcW w:w="16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to Prior Period</w:t>
            </w:r>
          </w:p>
        </w:tc>
        <w:tc>
          <w:tcPr>
            <w:tcW w:w="2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4"/>
                <w:szCs w:val="14"/>
                <w:color w:val="auto"/>
              </w:rPr>
            </w:pPr>
          </w:p>
        </w:tc>
        <w:tc>
          <w:tcPr>
            <w:tcW w:w="13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2"/>
              </w:rPr>
              <w:t>to Prior Period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Ended</w:t>
            </w:r>
          </w:p>
        </w:tc>
      </w:tr>
      <w:tr>
        <w:trPr>
          <w:trHeight w:val="142"/>
        </w:trPr>
        <w:tc>
          <w:tcPr>
            <w:tcW w:w="296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9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2010</w:t>
            </w:r>
          </w:p>
        </w:tc>
        <w:tc>
          <w:tcPr>
            <w:tcW w:w="360" w:type="dxa"/>
            <w:vAlign w:val="bottom"/>
          </w:tcPr>
          <w:p>
            <w:pPr>
              <w:spacing w:after="0"/>
              <w:rPr>
                <w:sz w:val="12"/>
                <w:szCs w:val="12"/>
                <w:color w:val="auto"/>
              </w:rPr>
            </w:pPr>
          </w:p>
        </w:tc>
        <w:tc>
          <w:tcPr>
            <w:tcW w:w="600" w:type="dxa"/>
            <w:vAlign w:val="bottom"/>
            <w:tcBorders>
              <w:top w:val="single" w:sz="8" w:color="auto"/>
            </w:tcBorders>
          </w:tcPr>
          <w:p>
            <w:pPr>
              <w:jc w:val="right"/>
              <w:ind w:right="187"/>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24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7"/>
              </w:rPr>
              <w:t>October 31, 2009</w:t>
            </w:r>
          </w:p>
        </w:tc>
        <w:tc>
          <w:tcPr>
            <w:tcW w:w="120" w:type="dxa"/>
            <w:vAlign w:val="bottom"/>
          </w:tcPr>
          <w:p>
            <w:pPr>
              <w:spacing w:after="0"/>
              <w:rPr>
                <w:sz w:val="12"/>
                <w:szCs w:val="12"/>
                <w:color w:val="auto"/>
              </w:rPr>
            </w:pPr>
          </w:p>
        </w:tc>
        <w:tc>
          <w:tcPr>
            <w:tcW w:w="134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87"/>
              </w:rPr>
              <w:t>October 31, 2010</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October 31, 2009</w:t>
            </w:r>
          </w:p>
        </w:tc>
      </w:tr>
      <w:tr>
        <w:trPr>
          <w:trHeight w:val="20"/>
        </w:trPr>
        <w:tc>
          <w:tcPr>
            <w:tcW w:w="2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13.5</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340.7</w:t>
            </w: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bl>
    <w:p>
      <w:pPr>
        <w:spacing w:after="0" w:line="9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and professional services such as fees paid to software development firms and independent contractors. Research and development expenses increased 12% and 8% during the three and nine months ended October 31, 2010, respectively, as compared to the same periods of the prior fiscal year, primarily due to an increase in bonuses, benefits and salaries. As compared to the fourth quarter of fiscal 2010, we expect research and development expenses to remain relatively flat as a percentage of net revenue and to increase in absolute dollars due to performance-based employee bonuses as a result of improved financial performance for the year.</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Three Months</w:t>
            </w:r>
          </w:p>
        </w:tc>
        <w:tc>
          <w:tcPr>
            <w:tcW w:w="15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(Decrease) Compared</w:t>
            </w:r>
          </w:p>
        </w:tc>
        <w:tc>
          <w:tcPr>
            <w:tcW w:w="18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Nine Months</w:t>
            </w:r>
          </w:p>
        </w:tc>
        <w:tc>
          <w:tcPr>
            <w:tcW w:w="16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5"/>
              </w:rPr>
              <w:t>(Decrease) Compared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Nine Months</w:t>
            </w:r>
          </w:p>
        </w:tc>
      </w:tr>
      <w:tr>
        <w:trPr>
          <w:trHeight w:val="161"/>
        </w:trPr>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Ended</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6"/>
              <w:spacing w:after="0"/>
              <w:rPr>
                <w:sz w:val="20"/>
                <w:szCs w:val="20"/>
                <w:color w:val="auto"/>
              </w:rPr>
            </w:pPr>
            <w:r>
              <w:rPr>
                <w:rFonts w:ascii="Arial" w:cs="Arial" w:eastAsia="Arial" w:hAnsi="Arial"/>
                <w:sz w:val="14"/>
                <w:szCs w:val="14"/>
                <w:b w:val="1"/>
                <w:bCs w:val="1"/>
                <w:color w:val="auto"/>
                <w:w w:val="88"/>
              </w:rPr>
              <w:t>to Prior Period</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Ended</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left="6"/>
              <w:spacing w:after="0"/>
              <w:rPr>
                <w:sz w:val="20"/>
                <w:szCs w:val="20"/>
                <w:color w:val="auto"/>
              </w:rPr>
            </w:pPr>
            <w:r>
              <w:rPr>
                <w:rFonts w:ascii="Arial" w:cs="Arial" w:eastAsia="Arial" w:hAnsi="Arial"/>
                <w:sz w:val="14"/>
                <w:szCs w:val="14"/>
                <w:b w:val="1"/>
                <w:bCs w:val="1"/>
                <w:color w:val="auto"/>
                <w:w w:val="90"/>
              </w:rPr>
              <w:t>to Prior Period</w:t>
            </w: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Ended</w:t>
            </w:r>
          </w:p>
        </w:tc>
      </w:tr>
      <w:tr>
        <w:trPr>
          <w:trHeight w:val="142"/>
        </w:trPr>
        <w:tc>
          <w:tcPr>
            <w:tcW w:w="262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2010</w:t>
            </w: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46"/>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2009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2010</w:t>
            </w:r>
          </w:p>
        </w:tc>
        <w:tc>
          <w:tcPr>
            <w:tcW w:w="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96"/>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October 31, 2009</w:t>
            </w:r>
          </w:p>
        </w:tc>
        <w:tc>
          <w:tcPr>
            <w:tcW w:w="200" w:type="dxa"/>
            <w:vAlign w:val="bottom"/>
          </w:tcPr>
          <w:p>
            <w:pPr>
              <w:spacing w:after="0"/>
              <w:rPr>
                <w:sz w:val="12"/>
                <w:szCs w:val="12"/>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148.7</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150.6</w:t>
            </w: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2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356"/>
        </w:trPr>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33</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General and administrative expenses include salaries, bonuses, benefits and stock-based compensation expense for our finance, human resources and legal employees, and the expense of travel, entertainment and training for such personnel, as well as professional fees for legal and accounting services, amortization of acquisition related customer relationships and trade names, expense of communication, and the cost of supplies and equipment. General and administrative expenses remained relatively flat during the three and nine months ended October 31, 2010, as compared to the same periods of the prior fiscal year, primarily due to an increase in bonuses and rent and occupancy offset by a decrease in legal fees and stock based compensation expense. As compared to the fourth quarter of fiscal 2010, we expect general and administrative expenses to remain relatively flat as a percentage of net revenue and to increase in absolute dollars due to performance-based employee bonuses as a result of improved financial performance for the year.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 Charges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(Decrease) Compared</w:t>
            </w:r>
          </w:p>
        </w:tc>
        <w:tc>
          <w:tcPr>
            <w:tcW w:w="12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Nine Months</w:t>
            </w: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(Decrease) Compared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Nine Months</w:t>
            </w:r>
          </w:p>
        </w:tc>
      </w:tr>
      <w:tr>
        <w:trPr>
          <w:trHeight w:val="161"/>
        </w:trPr>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to Prior Period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12"/>
              <w:spacing w:after="0"/>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to Prior Period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38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2"/>
                <w:szCs w:val="12"/>
                <w:color w:val="auto"/>
              </w:rPr>
            </w:pPr>
          </w:p>
        </w:tc>
        <w:tc>
          <w:tcPr>
            <w:tcW w:w="7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October 31,</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October 31,</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October 31,</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3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207"/>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October 31,</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(4.9)</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(38.8)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47.8</w:t>
            </w: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w w:val="93"/>
              </w:rPr>
              <w:t>As a percentage of net revenue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bl>
    <w:p>
      <w:pPr>
        <w:spacing w:after="0" w:line="14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the first quarter of fiscal 2011, we initiated a restructuring plan in order to reduce our operating costs. The restructuring plan is expected to result in a staff reduction of approximate 210 to 230 positions. In connection with this restructuring plan, Autodesk expects to record restructuring charges of approximately $10.0 million to $12.0 million during fiscal 2011. No leased facilities were consolidated as part of this restructuring plan (“Fiscal 2011 Plan”).</w:t>
      </w:r>
    </w:p>
    <w:p>
      <w:pPr>
        <w:spacing w:after="0" w:line="10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connection with our restructuring plans, during the three and nine months ended October 31, 2010 we reduced the number of employees by approximately 20 and 190 positions globally, respectively. We recorded restructuring charges of close to zero and $9.0 million during the three and nine months ended October 31, 2010, respectively, which primarily related to one-time employee termination benefits. The remainder of the termination benefits will be substantially paid during the fourth quarter of fiscal 2011. If our revenue should decline or not grow as rapidly as planned, we may further reduce our operating expenses to align them with our financial condition, including the possibility of a further restructuring. In taking these actions, we may incur additional costs which could negatively impact our net income and cash flows from operating activities. See Note 13, “Restructuring Reserve,” in the Notes to Condensed Consolidated Financial Statements for further discussion.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Goodwill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Three Months</w:t>
            </w: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(Decrease) Compared</w:t>
            </w:r>
          </w:p>
        </w:tc>
        <w:tc>
          <w:tcPr>
            <w:tcW w:w="280" w:type="dxa"/>
            <w:vAlign w:val="bottom"/>
          </w:tcPr>
          <w:p>
            <w:pPr>
              <w:spacing w:after="0"/>
              <w:rPr>
                <w:sz w:val="14"/>
                <w:szCs w:val="14"/>
                <w:color w:val="auto"/>
              </w:rPr>
            </w:pPr>
          </w:p>
        </w:tc>
        <w:tc>
          <w:tcPr>
            <w:tcW w:w="13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Nine Months</w:t>
            </w:r>
          </w:p>
        </w:tc>
        <w:tc>
          <w:tcPr>
            <w:tcW w:w="1660" w:type="dxa"/>
            <w:vAlign w:val="bottom"/>
            <w:gridSpan w:val="4"/>
          </w:tcPr>
          <w:p>
            <w:pPr>
              <w:ind w:left="80"/>
              <w:spacing w:after="0"/>
              <w:rPr>
                <w:sz w:val="20"/>
                <w:szCs w:val="20"/>
                <w:color w:val="auto"/>
              </w:rPr>
            </w:pPr>
            <w:r>
              <w:rPr>
                <w:rFonts w:ascii="Arial" w:cs="Arial" w:eastAsia="Arial" w:hAnsi="Arial"/>
                <w:sz w:val="14"/>
                <w:szCs w:val="14"/>
                <w:b w:val="1"/>
                <w:bCs w:val="1"/>
                <w:color w:val="auto"/>
              </w:rPr>
              <w:t>(Decrease) Compared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Nine Months</w:t>
            </w:r>
          </w:p>
        </w:tc>
      </w:tr>
      <w:tr>
        <w:trPr>
          <w:trHeight w:val="161"/>
        </w:trPr>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center"/>
              <w:ind w:left="32"/>
              <w:spacing w:after="0"/>
              <w:rPr>
                <w:sz w:val="20"/>
                <w:szCs w:val="20"/>
                <w:color w:val="auto"/>
              </w:rPr>
            </w:pPr>
            <w:r>
              <w:rPr>
                <w:rFonts w:ascii="Arial" w:cs="Arial" w:eastAsia="Arial" w:hAnsi="Arial"/>
                <w:sz w:val="14"/>
                <w:szCs w:val="14"/>
                <w:b w:val="1"/>
                <w:bCs w:val="1"/>
                <w:color w:val="auto"/>
                <w:w w:val="84"/>
              </w:rPr>
              <w:t>Ended</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to Prior Period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12"/>
              <w:spacing w:after="0"/>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4"/>
          </w:tcPr>
          <w:p>
            <w:pPr>
              <w:ind w:left="260"/>
              <w:spacing w:after="0"/>
              <w:rPr>
                <w:sz w:val="20"/>
                <w:szCs w:val="20"/>
                <w:color w:val="auto"/>
              </w:rPr>
            </w:pPr>
            <w:r>
              <w:rPr>
                <w:rFonts w:ascii="Arial" w:cs="Arial" w:eastAsia="Arial" w:hAnsi="Arial"/>
                <w:sz w:val="14"/>
                <w:szCs w:val="14"/>
                <w:b w:val="1"/>
                <w:bCs w:val="1"/>
                <w:color w:val="auto"/>
              </w:rPr>
              <w:t>to Prior Period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40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2"/>
                <w:szCs w:val="12"/>
                <w:color w:val="auto"/>
              </w:rPr>
            </w:pPr>
          </w:p>
        </w:tc>
        <w:tc>
          <w:tcPr>
            <w:tcW w:w="7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October 31,</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3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October 31,</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00" w:type="dxa"/>
            <w:vAlign w:val="bottom"/>
          </w:tcPr>
          <w:p>
            <w:pPr>
              <w:spacing w:after="0"/>
              <w:rPr>
                <w:sz w:val="12"/>
                <w:szCs w:val="12"/>
                <w:color w:val="auto"/>
              </w:rPr>
            </w:pPr>
          </w:p>
        </w:tc>
        <w:tc>
          <w:tcPr>
            <w:tcW w:w="7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October 31,</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400" w:type="dxa"/>
            <w:vAlign w:val="bottom"/>
          </w:tcPr>
          <w:p>
            <w:pPr>
              <w:spacing w:after="0"/>
              <w:rPr>
                <w:sz w:val="12"/>
                <w:szCs w:val="12"/>
                <w:color w:val="auto"/>
              </w:rPr>
            </w:pPr>
          </w:p>
        </w:tc>
        <w:tc>
          <w:tcPr>
            <w:tcW w:w="58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October 31,</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  (21.0)</w:t>
            </w: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21.0</w:t>
            </w:r>
          </w:p>
        </w:tc>
      </w:tr>
      <w:tr>
        <w:trPr>
          <w:trHeight w:val="222"/>
        </w:trPr>
        <w:tc>
          <w:tcPr>
            <w:tcW w:w="2400" w:type="dxa"/>
            <w:vAlign w:val="bottom"/>
          </w:tcPr>
          <w:p>
            <w:pPr>
              <w:spacing w:after="0"/>
              <w:rPr>
                <w:sz w:val="20"/>
                <w:szCs w:val="20"/>
                <w:color w:val="auto"/>
              </w:rPr>
            </w:pPr>
            <w:r>
              <w:rPr>
                <w:rFonts w:ascii="Arial" w:cs="Arial" w:eastAsia="Arial" w:hAnsi="Arial"/>
                <w:sz w:val="18"/>
                <w:szCs w:val="18"/>
                <w:color w:val="auto"/>
                <w:w w:val="94"/>
              </w:rPr>
              <w:t>As a percentage of net revenue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We recorded an impairment charge of $21.0 million affecting the first quarter of fiscal 2010 representing the entire goodwill balance of the M&amp;E segment as of April 30, 2009. This goodwill balance related to the M&amp;E segment’s fourth quarter fiscal 2009 acquisition of substantially all of the assets of Softimage. In response to the significant and sustained revenue declines we were experiencing in all segments and geographies during the first quarter of fiscal 2010, in May 2009 we revised the revenue and cash flow projections we had prepared during the second half of the first quarter of fiscal 2010 and concluded that an impairment of goodwill had occurred as of April 30, 2009. The revenue and cash flow projections were substantially impacted for all segments; however, the M&amp;E segment was the only segment which had a then current fair value of its future discounted cash flows that fell below the carrying value of its assets. Should our revenue and cash flow projections decline significantly in the future, additional impairment charges may be recorded to goodwill. See Note 11, “Goodwill,” in the Notes to Condensed Consolidated Financial Statements and “Critical Accounting Policies and Estimates – </w:t>
      </w:r>
      <w:r>
        <w:rPr>
          <w:rFonts w:ascii="Arial" w:cs="Arial" w:eastAsia="Arial" w:hAnsi="Arial"/>
          <w:sz w:val="16"/>
          <w:szCs w:val="16"/>
          <w:i w:val="1"/>
          <w:iCs w:val="1"/>
          <w:color w:val="auto"/>
        </w:rPr>
        <w:t>Goodwill</w:t>
      </w:r>
      <w:r>
        <w:rPr>
          <w:rFonts w:ascii="Arial" w:cs="Arial" w:eastAsia="Arial" w:hAnsi="Arial"/>
          <w:sz w:val="16"/>
          <w:szCs w:val="16"/>
          <w:color w:val="auto"/>
        </w:rPr>
        <w:t>” above for further discussion. As of October 31, 2010, a hypothetical 10% decrease in the fair value of our PSEB, MFG, AEC or M&amp;E reporting units would not have an impact on the carrying value, nor result in impairment, of goodwill for the respective reporting units.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Other Income,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interest and other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0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6"/>
          </w:tcPr>
          <w:p>
            <w:pPr>
              <w:ind w:left="26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804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2010</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Gain (loss) on foreign currency</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Interest and other income (expense), net decreased $3.2 million and $17.3 million during the three and nine months ended October 31, 2010, respectively, as compared to the same periods in the prior fiscal year, primarily due to foreign currency losses.</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gain (loss) on foreign currency includes the impact of re-measuring foreign currency transactions into the functional currency of the corresponding entity. The amount of the gain (loss) is driven by the volume of foreign currency transactions and the foreign currency exchange rates for the period.</w:t>
      </w:r>
    </w:p>
    <w:p>
      <w:pPr>
        <w:spacing w:after="0" w:line="85"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Interest and investment income, net, fluctuates based on average cash and marketable securities balances, average maturities and interest rates. The decrease in Interest and investment income, net, during the nine months ended October 31, 2010, as compared to the same period in the prior fiscal year, is primarily due to losses on marketable securities. Also contributing to this decrease was the lower interest rate yields on investments during the three and nine months ended October 31, 2010 as compared to the same periods of the prior fiscal year.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Our effective tax rate was 25% and 24% during the three and nine months ended October 31, 2010, respectively. Our effective tax rate was 8% and 70% during the three and nine months ended October 31, 2009, respectively. Our effective tax rate increased 17 percentage points during the three months ended October 31, 2010 as compared to the same period in the prior fiscal year primarily due to a discrete tax benefit of $4.4 million related to additional stock-based compensation expense recorded during the third quarter of fiscal 2010. Our effective tax rate during the nine months ended October 31, 2010 decreased 46 percentage points as compared to the same period of the prior fiscal year primarily due to a $20.9 million discrete non-cash tax charge as a result of a change in expected future tax rates and establishment of a valuation allowance against certain California deferred tax assets recorded during the first quarter of fiscal 2010, partially offset by a discrete tax benefit of $7.7 million associated with the impairment of goodwill recorded during the first quarter of fiscal 2010, and a discrete tax benefit of $4.4 million related to additional stock-based compensation expense recorded during the third quarter of fiscal 2010. During the first quarter of fiscal 2010, the State of California enacted legislation significantly altering California tax law. As a result of the legislation, we expect that in fiscal years 2012 and beyond, income subject to tax in California will be less than under the prior tax law and accordingly, deferred tax assets are less likely to be realized. Excluding the impact of discrete tax items, the effective tax rates for the three and nine months ended October 31, 2010 were lower than the Federal statutory tax rate of 35% primarily due to foreign income taxed at lower rates and partially offset by the impact of stock-based compensation expense.</w:t>
      </w:r>
    </w:p>
    <w:p>
      <w:pPr>
        <w:spacing w:after="0" w:line="12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expense, accounting for uncertain tax positions, business combinations, the U.S. Manufacturer’s deduction, closure of statute of limitations or settlement of tax audits, changes in valuation allowances and changes in tax law.</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of October 31, 2010, we had $185.8 million of gross unrecognized tax benefits, excluding interest, of which approximately $173.4 million represents the amount of unrecognized tax benefits that would impact the effective tax rate, if recognized. The remaining $12.4 million relates to items that would result in balance sheet reclassification with no impact to income tax expense. It is possible that the amount of unrecognized tax benefits will change in the next twelve months; however an estimate of the range of the possible change cannot be made at this time.</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October 31, 2010, we had net deferred tax assets of $152.4 million. We believe that we will generate sufficient future taxable income in appropriate tax jurisdictions to realize these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three and nine months ended October 31, 2010 and 2009, our gross profit, gross margin, income from operations, operating margin, net income and diluted earnings per share on a GAAP and non-GAAP basis were as follows (in millions except for gross margin, operating margin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9"/>
              </w:rPr>
              <w:t>Three Months Ended</w:t>
            </w:r>
          </w:p>
        </w:tc>
        <w:tc>
          <w:tcPr>
            <w:tcW w:w="56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6"/>
              </w:rPr>
              <w:t>Nine Months Ended</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7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October 31,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October 31, 2009</w:t>
            </w:r>
          </w:p>
        </w:tc>
        <w:tc>
          <w:tcPr>
            <w:tcW w:w="740" w:type="dxa"/>
            <w:vAlign w:val="bottom"/>
          </w:tcPr>
          <w:p>
            <w:pPr>
              <w:spacing w:after="0"/>
              <w:rPr>
                <w:sz w:val="12"/>
                <w:szCs w:val="12"/>
                <w:color w:val="auto"/>
              </w:rPr>
            </w:pPr>
          </w:p>
        </w:tc>
        <w:tc>
          <w:tcPr>
            <w:tcW w:w="1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2010</w:t>
            </w:r>
          </w:p>
        </w:tc>
        <w:tc>
          <w:tcPr>
            <w:tcW w:w="2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October 31, 2009</w:t>
            </w:r>
          </w:p>
        </w:tc>
        <w:tc>
          <w:tcPr>
            <w:tcW w:w="20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(Unaudited)</w:t>
            </w: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w:t>
            </w:r>
          </w:p>
        </w:tc>
        <w:tc>
          <w:tcPr>
            <w:tcW w:w="7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1,110.2</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Non-GAAP gross profit</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437.2</w:t>
            </w:r>
          </w:p>
        </w:tc>
        <w:tc>
          <w:tcPr>
            <w:tcW w:w="7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381.7</w:t>
            </w:r>
          </w:p>
        </w:tc>
        <w:tc>
          <w:tcPr>
            <w:tcW w:w="7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1,301.8</w:t>
            </w:r>
          </w:p>
        </w:tc>
        <w:tc>
          <w:tcPr>
            <w:tcW w:w="72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1,137.9</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Non-GAAP gross margin</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512"/>
              <w:spacing w:after="0"/>
              <w:rPr>
                <w:sz w:val="20"/>
                <w:szCs w:val="20"/>
                <w:color w:val="auto"/>
              </w:rPr>
            </w:pPr>
            <w:r>
              <w:rPr>
                <w:rFonts w:ascii="Arial" w:cs="Arial" w:eastAsia="Arial" w:hAnsi="Arial"/>
                <w:sz w:val="18"/>
                <w:szCs w:val="18"/>
                <w:color w:val="auto"/>
              </w:rPr>
              <w:t>92%</w:t>
            </w:r>
          </w:p>
        </w:tc>
        <w:tc>
          <w:tcPr>
            <w:tcW w:w="4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1440" w:type="dxa"/>
            <w:vAlign w:val="bottom"/>
            <w:gridSpan w:val="2"/>
          </w:tcPr>
          <w:p>
            <w:pPr>
              <w:jc w:val="right"/>
              <w:ind w:right="512"/>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7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Non-GAAP income from operations</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100.3</w:t>
            </w:r>
          </w:p>
        </w:tc>
        <w:tc>
          <w:tcPr>
            <w:tcW w:w="7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76.6</w:t>
            </w:r>
          </w:p>
        </w:tc>
        <w:tc>
          <w:tcPr>
            <w:tcW w:w="7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312.7</w:t>
            </w:r>
          </w:p>
        </w:tc>
        <w:tc>
          <w:tcPr>
            <w:tcW w:w="72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197.8</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512"/>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440" w:type="dxa"/>
            <w:vAlign w:val="bottom"/>
            <w:gridSpan w:val="2"/>
          </w:tcPr>
          <w:p>
            <w:pPr>
              <w:jc w:val="right"/>
              <w:ind w:right="512"/>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7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Non-GAAP net income</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75.0</w:t>
            </w:r>
          </w:p>
        </w:tc>
        <w:tc>
          <w:tcPr>
            <w:tcW w:w="7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61.3</w:t>
            </w:r>
          </w:p>
        </w:tc>
        <w:tc>
          <w:tcPr>
            <w:tcW w:w="7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227.7</w:t>
            </w:r>
          </w:p>
        </w:tc>
        <w:tc>
          <w:tcPr>
            <w:tcW w:w="72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159.8</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7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0.32</w:t>
            </w:r>
          </w:p>
        </w:tc>
        <w:tc>
          <w:tcPr>
            <w:tcW w:w="7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0.26</w:t>
            </w:r>
          </w:p>
        </w:tc>
        <w:tc>
          <w:tcPr>
            <w:tcW w:w="7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0.97</w:t>
            </w:r>
          </w:p>
        </w:tc>
        <w:tc>
          <w:tcPr>
            <w:tcW w:w="720" w:type="dxa"/>
            <w:vAlign w:val="bottom"/>
          </w:tcPr>
          <w:p>
            <w:pPr>
              <w:spacing w:after="0"/>
              <w:rPr>
                <w:sz w:val="19"/>
                <w:szCs w:val="19"/>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0.69</w:t>
            </w:r>
          </w:p>
        </w:tc>
      </w:tr>
    </w:tbl>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our internal budgeting and resource allocation process, we use non-GAAP measures to supplement our condensed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In addition, these non-GAAP financial measures facilitate comparisons to our and our competitors’ historical results and operating guidance. We also use these measures for the purpose of determining company-wide incentive compensation.</w:t>
      </w:r>
    </w:p>
    <w:p>
      <w:pPr>
        <w:spacing w:after="0" w:line="1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measures are not meant to be considered in isolation or as a substitute for the directly comparable financial measures prepared in accordance with GAAP but are meant to supplement, and be viewed in conjunction with, GAAP financial measures. We urge investors to review the reconciliation of our non-GAAP financial measures to the comparable GAAP financial measures included below, and not to rely on any single financial measure to evaluate our business.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80"/>
        <w:spacing w:after="0" w:line="445" w:lineRule="auto"/>
        <w:rPr>
          <w:sz w:val="20"/>
          <w:szCs w:val="20"/>
          <w:color w:val="auto"/>
        </w:rPr>
      </w:pPr>
      <w:r>
        <w:rPr>
          <w:rFonts w:ascii="Arial" w:cs="Arial" w:eastAsia="Arial" w:hAnsi="Arial"/>
          <w:sz w:val="16"/>
          <w:szCs w:val="16"/>
          <w:b w:val="1"/>
          <w:bCs w:val="1"/>
          <w:color w:val="auto"/>
        </w:rPr>
        <w:t xml:space="preserve">Reconciliation of GAAP Financial Measures to Non-GAAP Financial Measures </w:t>
      </w:r>
      <w:r>
        <w:rPr>
          <w:rFonts w:ascii="Arial" w:cs="Arial" w:eastAsia="Arial" w:hAnsi="Arial"/>
          <w:sz w:val="16"/>
          <w:szCs w:val="16"/>
          <w:color w:val="auto"/>
        </w:rPr>
        <w:t>(in millions except for gross margin, operating margin and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0"/>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October 31,</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w w:val="71"/>
              </w:rPr>
              <w:t>(Unaudited)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w w:val="71"/>
              </w:rPr>
              <w:t>(Unaudited)</w:t>
            </w:r>
          </w:p>
        </w:tc>
        <w:tc>
          <w:tcPr>
            <w:tcW w:w="6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428.2</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371.9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1,275.9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 (1)</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3"/>
          </w:tcPr>
          <w:p>
            <w:pPr>
              <w:spacing w:after="0"/>
              <w:rPr>
                <w:sz w:val="20"/>
                <w:szCs w:val="20"/>
                <w:color w:val="auto"/>
              </w:rPr>
            </w:pPr>
            <w:r>
              <w:rPr>
                <w:rFonts w:ascii="Arial" w:cs="Arial" w:eastAsia="Arial" w:hAnsi="Arial"/>
                <w:sz w:val="18"/>
                <w:szCs w:val="18"/>
                <w:color w:val="auto"/>
              </w:rPr>
              <w:t>Non-GAAP gross profit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437.2</w:t>
            </w:r>
          </w:p>
        </w:tc>
        <w:tc>
          <w:tcPr>
            <w:tcW w:w="3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381.7</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1,301.8</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720" w:type="dxa"/>
            <w:vAlign w:val="bottom"/>
            <w:gridSpan w:val="2"/>
          </w:tcPr>
          <w:p>
            <w:pPr>
              <w:jc w:val="right"/>
              <w:ind w:right="98"/>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98"/>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 (1)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color w:val="auto"/>
              </w:rPr>
              <w:t>Non-GAAP gross margin</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98"/>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98"/>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 (1)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7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goodwill</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3"/>
          </w:tcPr>
          <w:p>
            <w:pPr>
              <w:spacing w:after="0"/>
              <w:rPr>
                <w:sz w:val="20"/>
                <w:szCs w:val="20"/>
                <w:color w:val="auto"/>
              </w:rPr>
            </w:pPr>
            <w:r>
              <w:rPr>
                <w:rFonts w:ascii="Arial" w:cs="Arial" w:eastAsia="Arial" w:hAnsi="Arial"/>
                <w:sz w:val="18"/>
                <w:szCs w:val="18"/>
                <w:color w:val="auto"/>
              </w:rPr>
              <w:t>Non-GAAP income from operations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100.3</w:t>
            </w:r>
          </w:p>
        </w:tc>
        <w:tc>
          <w:tcPr>
            <w:tcW w:w="3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76.6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312.7</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720" w:type="dxa"/>
            <w:vAlign w:val="bottom"/>
            <w:gridSpan w:val="2"/>
          </w:tcPr>
          <w:p>
            <w:pPr>
              <w:jc w:val="right"/>
              <w:ind w:right="98"/>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98"/>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 (1)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720" w:type="dxa"/>
            <w:vAlign w:val="bottom"/>
            <w:gridSpan w:val="2"/>
          </w:tcPr>
          <w:p>
            <w:pPr>
              <w:jc w:val="right"/>
              <w:ind w:right="98"/>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98"/>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color w:val="auto"/>
              </w:rPr>
              <w:t>Non-GAAP operating margin</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98"/>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98"/>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 (1)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Impairment of goodwill</w:t>
            </w:r>
          </w:p>
        </w:tc>
        <w:tc>
          <w:tcPr>
            <w:tcW w:w="100" w:type="dxa"/>
            <w:vAlign w:val="bottom"/>
          </w:tcPr>
          <w:p>
            <w:pPr>
              <w:spacing w:after="0"/>
              <w:rPr>
                <w:sz w:val="18"/>
                <w:szCs w:val="18"/>
                <w:color w:val="auto"/>
              </w:rPr>
            </w:pPr>
          </w:p>
        </w:tc>
        <w:tc>
          <w:tcPr>
            <w:tcW w:w="7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3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Establishment of valuation allowance on deferred tax assets</w:t>
            </w:r>
          </w:p>
        </w:tc>
        <w:tc>
          <w:tcPr>
            <w:tcW w:w="100" w:type="dxa"/>
            <w:vAlign w:val="bottom"/>
          </w:tcPr>
          <w:p>
            <w:pPr>
              <w:spacing w:after="0"/>
              <w:rPr>
                <w:sz w:val="18"/>
                <w:szCs w:val="18"/>
                <w:color w:val="auto"/>
              </w:rPr>
            </w:pPr>
          </w:p>
        </w:tc>
        <w:tc>
          <w:tcPr>
            <w:tcW w:w="7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3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Discrete tax provision items (2)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78"/>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Income tax effect of non-GAAP adjustments</w:t>
            </w:r>
          </w:p>
        </w:tc>
        <w:tc>
          <w:tcPr>
            <w:tcW w:w="100" w:type="dxa"/>
            <w:vAlign w:val="bottom"/>
          </w:tcPr>
          <w:p>
            <w:pPr>
              <w:spacing w:after="0"/>
              <w:rPr>
                <w:sz w:val="18"/>
                <w:szCs w:val="18"/>
                <w:color w:val="auto"/>
              </w:rPr>
            </w:pPr>
          </w:p>
        </w:tc>
        <w:tc>
          <w:tcPr>
            <w:tcW w:w="720" w:type="dxa"/>
            <w:vAlign w:val="bottom"/>
            <w:gridSpan w:val="2"/>
          </w:tcPr>
          <w:p>
            <w:pPr>
              <w:jc w:val="right"/>
              <w:ind w:right="198"/>
              <w:spacing w:after="0"/>
              <w:rPr>
                <w:sz w:val="20"/>
                <w:szCs w:val="20"/>
                <w:color w:val="auto"/>
              </w:rPr>
            </w:pPr>
            <w:r>
              <w:rPr>
                <w:rFonts w:ascii="Arial" w:cs="Arial" w:eastAsia="Arial" w:hAnsi="Arial"/>
                <w:sz w:val="18"/>
                <w:szCs w:val="18"/>
                <w:color w:val="auto"/>
                <w:w w:val="93"/>
              </w:rPr>
              <w:t>(10.0)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78"/>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0.23</w:t>
            </w:r>
          </w:p>
        </w:tc>
        <w:tc>
          <w:tcPr>
            <w:tcW w:w="3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0.64</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Amortization of purchased intangibles (1)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3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7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Establishment of valuation allowance on deferred tax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3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Discrete tax provision items (2)</w:t>
            </w:r>
          </w:p>
        </w:tc>
        <w:tc>
          <w:tcPr>
            <w:tcW w:w="100" w:type="dxa"/>
            <w:vAlign w:val="bottom"/>
          </w:tcPr>
          <w:p>
            <w:pPr>
              <w:spacing w:after="0"/>
              <w:rPr>
                <w:sz w:val="18"/>
                <w:szCs w:val="18"/>
                <w:color w:val="auto"/>
              </w:rPr>
            </w:pPr>
          </w:p>
        </w:tc>
        <w:tc>
          <w:tcPr>
            <w:tcW w:w="7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(0.03)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78"/>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effect of non-GAAP adjustments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w w:val="93"/>
              </w:rPr>
              <w:t>(0.04)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(0.05)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78"/>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color w:val="auto"/>
              </w:rPr>
              <w:t>Non-GAAP diluted net income per share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0.32</w:t>
            </w:r>
          </w:p>
        </w:tc>
        <w:tc>
          <w:tcPr>
            <w:tcW w:w="3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0.97</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Amortization of purchased intangibles includes amortization of purchased developed technology, customer relationships and trade names for acquisitions subsequent to December 2005.</w:t>
      </w:r>
    </w:p>
    <w:p>
      <w:pPr>
        <w:ind w:left="460" w:right="20" w:hanging="452"/>
        <w:spacing w:after="0" w:line="323"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Effective in the second quarter of fiscal 2011, Autodesk began excluding certain GAAP discrete tax provision items for purposes of its non-GAAP financial measures. Prior period non-GAAP income tax expense amounts have been revised to conform to the current period presentation.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non-GAAP financial measures as set forth in the table above exclude the following:</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We exclude stock-based compensation expenses from non-GAAP measures primarily because they are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management finds it useful to exclude certain non-cash charges to assess the appropriate level of various operating expenses to assist in budgeting, planning and forecasting future periods.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Amortization of purchased intangibles</w:t>
      </w:r>
      <w:r>
        <w:rPr>
          <w:rFonts w:ascii="Arial" w:cs="Arial" w:eastAsia="Arial" w:hAnsi="Arial"/>
          <w:sz w:val="18"/>
          <w:szCs w:val="18"/>
          <w:color w:val="auto"/>
        </w:rPr>
        <w:t>. We incur amortization of acquisition-related purchased intangible assets, primarily in connection with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businesses and technologies. The amortization of purchased intangibles varies depending on the level of acquisition activity, and management finds it useful to exclude these variable charges to assess the appropriate level of various operating expenses to assist in budgeting, planning and forecasting future periods.</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Goodwill impairment</w:t>
      </w:r>
      <w:r>
        <w:rPr>
          <w:rFonts w:ascii="Arial" w:cs="Arial" w:eastAsia="Arial" w:hAnsi="Arial"/>
          <w:sz w:val="18"/>
          <w:szCs w:val="18"/>
          <w:color w:val="auto"/>
        </w:rPr>
        <w:t>. This is a non-cash charge to write-down goodwill to fair value when there is an indication that the asset is impaired. As explained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management finds it useful to exclude certain non-cash charges to assess the appropriate level of various operating expenses to assist in budgeting, planning and forecasting future periods.</w:t>
      </w:r>
    </w:p>
    <w:p>
      <w:pPr>
        <w:spacing w:after="0" w:line="14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i w:val="1"/>
          <w:iCs w:val="1"/>
          <w:color w:val="auto"/>
        </w:rPr>
        <w:t>Restructuring charges</w:t>
      </w:r>
      <w:r>
        <w:rPr>
          <w:rFonts w:ascii="Arial" w:cs="Arial" w:eastAsia="Arial" w:hAnsi="Arial"/>
          <w:sz w:val="15"/>
          <w:szCs w:val="15"/>
          <w:color w:val="auto"/>
        </w:rPr>
        <w:t>. These expenses are associated with realigning our business strategies based on current economic conditions. In connection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these restructuring actions, we recognize costs related to termination benefits for former employees whose positions were eliminated, and the closure of facilities and cancellation of certain contracts. We exclude these charges because these expenses are not reflective of ongoing operating results in the current period.</w:t>
      </w:r>
    </w:p>
    <w:p>
      <w:pPr>
        <w:spacing w:after="0" w:line="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Establishment of a valuation allowance on certain net deferred tax assets</w:t>
      </w:r>
      <w:r>
        <w:rPr>
          <w:rFonts w:ascii="Arial" w:cs="Arial" w:eastAsia="Arial" w:hAnsi="Arial"/>
          <w:sz w:val="18"/>
          <w:szCs w:val="18"/>
          <w:color w:val="auto"/>
        </w:rPr>
        <w:t>. This is a non-cash charge to record a valuation allowance on certain deferred tax</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As explained above, management finds it useful to exclude certain non-cash charges to assess the appropriate level of various expenses to assist in budgeting, planning and forecasting future periods.</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Discrete tax items</w:t>
      </w:r>
      <w:r>
        <w:rPr>
          <w:rFonts w:ascii="Arial" w:cs="Arial" w:eastAsia="Arial" w:hAnsi="Arial"/>
          <w:sz w:val="18"/>
          <w:szCs w:val="18"/>
          <w:color w:val="auto"/>
        </w:rPr>
        <w:t>. We exclude the GAAP tax provision, including discrete items, from the non-GAAP measure of income, and include a non-GAAP tax</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based upon the projected annual non-GAAP effective tax rate. Management believes this approach assists investors in understanding the tax provision and the effective tax rate related to ongoing operations.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Income tax effects on the difference between GAAP and non-GAAP costs and expenses</w:t>
      </w:r>
      <w:r>
        <w:rPr>
          <w:rFonts w:ascii="Arial" w:cs="Arial" w:eastAsia="Arial" w:hAnsi="Arial"/>
          <w:sz w:val="16"/>
          <w:szCs w:val="16"/>
          <w:color w:val="auto"/>
        </w:rPr>
        <w:t>. The income tax effects that are excluded from the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relate to the tax impact on the difference between GAAP and non-GAAP costs and expenses, primarily due to differences in the timing of when income tax benefits are recognized for stock compensation and purchased intangibles for GAAP and non-GAAP measures.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primary source of cash is from the sale of licenses to our products. Our primary use of cash is payment of our operating costs and expenses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At October 31, 2010, our principal sources of liquidity were cash, cash equivalents and marketable securities totaling $1,336.6 million and net accounts receivable of $240.1 million. In addition, we have a line of credit that permits unsecured short-term borrowings of up to $250.0 million. This line of credit agreement contains customary covenants that could restrict the imposition of liens on our assets and restrict our ability to incur additional indebtedness or make dispositions of assets if we fail to maintain the financial covenants. This credit facility is available for working capital and other business needs. At October 31, 2010, we had no borrowings outstanding on our line of credit, which expires in August 2012.</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Citibank and its global affiliates (“Citibank”). In addition, Citicorp USA, Inc., an affiliate of Citibank, is the lead lender and agent in the syndicate of our $250.0 million U.S. line of credit.</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increases in our cash, cash equivalents and marketable securities from $1,126.2 million at January 31, 2010 to $1,336.6 million at October 31, 2010 is principally the result of cash generated from operations and the issuance of common stock following stock option exercises. These increases to cash, cash equivalents and marketable securities were partially offset by cash used for repurchases of our common stock, capital expenditures and cash used for business combinations and other investing activities. Cash generated from operations was positively impacted by higher net revenue.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primary source for net cash provided by operating activities of $364.9 million for the nine months ended October 31, 2010 was net income of $150.4 million increased by the effect of non-cash expenses totaling $141.9 million primarily associated with depreciation and amortization and stock-based compensation. In addition, net cash flow provided by changes in operating assets and liabilities was $63.6 million.</w:t>
      </w:r>
    </w:p>
    <w:p>
      <w:pPr>
        <w:spacing w:after="0" w:line="10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5"/>
          <w:szCs w:val="15"/>
          <w:color w:val="auto"/>
        </w:rPr>
        <w:t>The primary working capital sources of cash were decreases in accounts receivable and deferred revenue and an increase in accounts payable. Our days sales outstanding in trade receivables was 46 days at October 31, 2010 compared to 55 days at January 31, 2010. The decrease in days sales outstanding was primarily due to the seasonality of our maintenance billings, as the fourth quarter has the most significant maintenance billings of our fiscal year. We typically experience a reduction in days sales outstanding between the fourth quarter and subsequent quarters. The decrease in deferred revenue was also due to the seasonality of our maintenance billings, as significant maintenance billings in the first and fourth quarters exceeds average quarterly maintenance billings and drives increases to deferred revenue in those quarters. Deferred revenue subsequently declines during the second and third quarters, as maintenance billings in those quarters are typically lower than average quarterly maintenance billings. The increase in accounts payable was due to an extension of payment terms with our largest vendors for purposes of improving our cash conversion cycle. The primary working capital uses of cash were for payment of accrued expenses primarily related to our fiscal 2010 employee bonus accrual and fourth quarter fiscal 2010 commissions and payments under our restructuring plans. We expect net cash flows provided by operating activities to be higher in the fourth quarter of fiscal 2011 than in the same period of the prior fiscal year.</w:t>
      </w:r>
    </w:p>
    <w:p>
      <w:pPr>
        <w:spacing w:after="0" w:line="10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At October 31, 2010, our short-term investment portfolio had an estimated fair value of $232.5 million and a cost basis of $231.9 million. The portfolio fair value consisted of $77.1 million invested in commercial paper and corporate securities, $47.4 million invested in U.S. government agency securities, $29.7 million invested in certificates of deposit and time deposits with original maturities greater than 90 days and less than one year. We also had $30.6 million invested in mutual funds, $25.0 million invested in U.S. treasury securities, $10.0 million invested in money market funds, $9.1 million invested in sovereign debt, $3.3 million invested in municipal securities, and $0.3 million invested in other short-term securities.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October 31, 2010, we had an investment in The Reserve International Liquidity Fund (the “International Fund”), a money market fund with an estimated fair value of $10.0 million. During the third quarter of fiscal 2009, the International Fund ceased redemptions after net asset values of the funds decreased below $1 per share. We expect to recover substantially all of our current holdings, net of reserves, from the International Fund within the next 12 months. Accordingly, the International Fund is classified in current “Marketable securities” in the Condensed Consolidated Balance Sheets. See Note 4, “Financial Instruments and Hedging Activities,” in the Notes to Condensed Consolidated Financial Statements for further discussion of our financial instruments.</w:t>
      </w:r>
    </w:p>
    <w:p>
      <w:pPr>
        <w:spacing w:after="0" w:line="1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At October 31, 2010, $30.6 million of trading securities were invested in a defined set of mutual funds as directed by the participants in our Deferred Compensation Plan (see Note 8, “Deferred Compensation,” in the Notes to Condensed Consolidated Financial Statements for further discussion).</w:t>
      </w:r>
    </w:p>
    <w:p>
      <w:pPr>
        <w:spacing w:after="0" w:line="8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stock repurchases; the acquisition of businesses, software products or technologies complementary to our business; capital expenditures, including the purchase and implementation of internal-use software applications; and funding restructuring costs.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October 31, 2010,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2010.</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cash, cash equivalent and marketable securities balances are concentrated in a few locations around the world, with a substantial amount held outside of the U.S. We believe that such dispersion is appropriate and meets our business and liquidity needs. A portion of this cash, cash equivalents and marketable securities could be subject to certain taxes, including U.S. income taxes, in the event we believe repatriation to the U.S. is appropriate.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existing cash, cash equivalents and investment balances may decline during the remainder of fiscal 2011 in the event of a weakening of the economy or changes in our planned cash outlay. Cash from operations could also be affected by various risks and uncertainties, including, but not limited to, the risks detailed in Part II, Item 1A titled “Risk Factors.” However, based on our current business plan and revenue prospects, we believe that our existing worldwide balances, our anticipated cash flows from operations and our available credit facility is sufficient to meet our worldwide working capital and operating resource expenditure requirements for at least the next 12 months.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revenue, earnings and cash flows are subject to fluctuations due to changes in foreign currency exchange rates. Our risk management strategy utilizes derivative instruments to hedge a portion of our foreign currency transaction exposures that exist as part of our ongoing business operations. As of October 31, 2010, we have open contracts to hedge expected cash flows for 1 to 12 months in the future. Contracts are primarily denominated in Euros, Japanese yen, Swiss francs, British pounds and Canadian dollars. We do not enter into any derivative instruments for trading or speculative purposes. The notional amount of our option and forward contracts was $306.4 million and $239.1 million at October 31, 2010 and January 31, 2010,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In December 2007, our Board of Directors approved a plan which authorized the repurchase of up to 20.0 million shares. The purpose of the stock repurchase program is to help offset the dilution to net income per share caused by the issuance of stock under our employee stock plans and has the effect of returning excess cash generated from our business to stockholders. The number of shares acquired and the timing of the purchases are based on several factors, including general market conditions, the volume of employee stock option exercises and the issuance of shares through our ESP Plan, the pool of existing outstanding options and the grant of new options, the trading price of our common stock, cash on hand and available in the U.S., and company defined trading windows. During the three months ended October 31, 2010, we repurchased 2.5 million shares of our common stock. At October 31, 2010, 6.5 million shares remained available for repurchase under the existing repurchase authorization. See Note 15, “Common Stock Repurchase Program,” in the Notes to Condensed Consolidated Financial Statements for further discussion.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the repurchase of our common stock in open-market transactions during the quarter ended October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68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5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r>
      <w:tr>
        <w:trPr>
          <w:trHeight w:val="149"/>
        </w:trPr>
        <w:tc>
          <w:tcPr>
            <w:tcW w:w="5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6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r>
      <w:tr>
        <w:trPr>
          <w:trHeight w:val="149"/>
        </w:trPr>
        <w:tc>
          <w:tcPr>
            <w:tcW w:w="5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6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Yet Be</w:t>
            </w:r>
          </w:p>
        </w:tc>
      </w:tr>
      <w:tr>
        <w:trPr>
          <w:trHeight w:val="149"/>
        </w:trPr>
        <w:tc>
          <w:tcPr>
            <w:tcW w:w="55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6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49"/>
        </w:trPr>
        <w:tc>
          <w:tcPr>
            <w:tcW w:w="5500" w:type="dxa"/>
            <w:vAlign w:val="bottom"/>
          </w:tcPr>
          <w:p>
            <w:pPr>
              <w:spacing w:after="0"/>
              <w:rPr>
                <w:sz w:val="12"/>
                <w:szCs w:val="12"/>
                <w:color w:val="auto"/>
              </w:rPr>
            </w:pPr>
          </w:p>
        </w:tc>
        <w:tc>
          <w:tcPr>
            <w:tcW w:w="960" w:type="dxa"/>
            <w:vAlign w:val="bottom"/>
          </w:tcPr>
          <w:p>
            <w:pPr>
              <w:jc w:val="right"/>
              <w:ind w:right="201"/>
              <w:spacing w:after="0" w:line="149" w:lineRule="exact"/>
              <w:rPr>
                <w:sz w:val="20"/>
                <w:szCs w:val="20"/>
                <w:color w:val="auto"/>
              </w:rPr>
            </w:pPr>
            <w:r>
              <w:rPr>
                <w:rFonts w:ascii="Arial" w:cs="Arial" w:eastAsia="Arial" w:hAnsi="Arial"/>
                <w:sz w:val="14"/>
                <w:szCs w:val="14"/>
                <w:b w:val="1"/>
                <w:bCs w:val="1"/>
                <w:color w:val="auto"/>
              </w:rPr>
              <w:t>Shares</w:t>
            </w:r>
          </w:p>
        </w:tc>
        <w:tc>
          <w:tcPr>
            <w:tcW w:w="680" w:type="dxa"/>
            <w:vAlign w:val="bottom"/>
          </w:tcPr>
          <w:p>
            <w:pPr>
              <w:spacing w:after="0"/>
              <w:rPr>
                <w:sz w:val="12"/>
                <w:szCs w:val="12"/>
                <w:color w:val="auto"/>
              </w:rPr>
            </w:pPr>
          </w:p>
        </w:tc>
        <w:tc>
          <w:tcPr>
            <w:tcW w:w="154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6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the Plans or</w:t>
            </w:r>
          </w:p>
        </w:tc>
      </w:tr>
      <w:tr>
        <w:trPr>
          <w:trHeight w:val="161"/>
        </w:trPr>
        <w:tc>
          <w:tcPr>
            <w:tcW w:w="5500" w:type="dxa"/>
            <w:vAlign w:val="bottom"/>
          </w:tcPr>
          <w:p>
            <w:pPr>
              <w:spacing w:after="0"/>
              <w:rPr>
                <w:sz w:val="20"/>
                <w:szCs w:val="20"/>
                <w:color w:val="auto"/>
              </w:rPr>
            </w:pPr>
            <w:r>
              <w:rPr>
                <w:rFonts w:ascii="Arial" w:cs="Arial" w:eastAsia="Arial" w:hAnsi="Arial"/>
                <w:sz w:val="14"/>
                <w:szCs w:val="14"/>
                <w:i w:val="1"/>
                <w:iCs w:val="1"/>
                <w:color w:val="auto"/>
              </w:rPr>
              <w:t>(Shares in thousands)</w:t>
            </w: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Purchased</w:t>
            </w:r>
          </w:p>
        </w:tc>
        <w:tc>
          <w:tcPr>
            <w:tcW w:w="68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Paid per Share</w:t>
            </w:r>
          </w:p>
        </w:tc>
        <w:tc>
          <w:tcPr>
            <w:tcW w:w="6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Programs (1)</w:t>
            </w:r>
          </w:p>
        </w:tc>
        <w:tc>
          <w:tcPr>
            <w:tcW w:w="6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Programs (2)</w:t>
            </w:r>
          </w:p>
        </w:tc>
        <w:tc>
          <w:tcPr>
            <w:tcW w:w="100" w:type="dxa"/>
            <w:vAlign w:val="bottom"/>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August 1 - August 31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9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27.79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7,847</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September 1 - September 30</w:t>
            </w:r>
          </w:p>
        </w:tc>
        <w:tc>
          <w:tcPr>
            <w:tcW w:w="960" w:type="dxa"/>
            <w:vAlign w:val="bottom"/>
          </w:tcPr>
          <w:p>
            <w:pPr>
              <w:jc w:val="right"/>
              <w:spacing w:after="0"/>
              <w:rPr>
                <w:sz w:val="20"/>
                <w:szCs w:val="20"/>
                <w:color w:val="auto"/>
              </w:rPr>
            </w:pPr>
            <w:r>
              <w:rPr>
                <w:rFonts w:ascii="Arial" w:cs="Arial" w:eastAsia="Arial" w:hAnsi="Arial"/>
                <w:sz w:val="18"/>
                <w:szCs w:val="18"/>
                <w:color w:val="auto"/>
              </w:rPr>
              <w:t>1,393</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31.64</w:t>
            </w:r>
          </w:p>
        </w:tc>
        <w:tc>
          <w:tcPr>
            <w:tcW w:w="960" w:type="dxa"/>
            <w:vAlign w:val="bottom"/>
          </w:tcPr>
          <w:p>
            <w:pPr>
              <w:jc w:val="right"/>
              <w:spacing w:after="0"/>
              <w:rPr>
                <w:sz w:val="20"/>
                <w:szCs w:val="20"/>
                <w:color w:val="auto"/>
              </w:rPr>
            </w:pPr>
            <w:r>
              <w:rPr>
                <w:rFonts w:ascii="Arial" w:cs="Arial" w:eastAsia="Arial" w:hAnsi="Arial"/>
                <w:sz w:val="18"/>
                <w:szCs w:val="18"/>
                <w:color w:val="auto"/>
              </w:rPr>
              <w:t>1,393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6,454</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October 1 - October 31</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100" w:type="dxa"/>
            <w:vAlign w:val="bottom"/>
            <w:shd w:val="clear" w:color="auto" w:fill="CCEEFF"/>
          </w:tcPr>
          <w:p>
            <w:pPr>
              <w:spacing w:after="0"/>
              <w:rPr>
                <w:sz w:val="18"/>
                <w:szCs w:val="18"/>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96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29.93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Represents shares purchased in open-market transactions under the stock repurchase plan approved by the Board of Directors.</w:t>
      </w:r>
    </w:p>
    <w:p>
      <w:pPr>
        <w:spacing w:after="0" w:line="7" w:lineRule="exact"/>
        <w:rPr>
          <w:rFonts w:ascii="Arial" w:cs="Arial" w:eastAsia="Arial" w:hAnsi="Arial"/>
          <w:sz w:val="22"/>
          <w:szCs w:val="22"/>
          <w:color w:val="auto"/>
          <w:vertAlign w:val="superscript"/>
        </w:rPr>
      </w:pPr>
    </w:p>
    <w:p>
      <w:pPr>
        <w:ind w:left="460" w:right="80" w:hanging="452"/>
        <w:spacing w:after="0" w:line="221" w:lineRule="auto"/>
        <w:tabs>
          <w:tab w:leader="none" w:pos="46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These amounts correspond to a plan approved by the Board of Directors in December 2007 that authorized the repurchase of 20.0 million shares. This plan does not have a fixed expiration date.</w:t>
      </w:r>
    </w:p>
    <w:p>
      <w:pPr>
        <w:spacing w:after="0" w:line="156"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There were no sales of unregistered securities during the three months ended October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-665480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Other than operating leases, we do not engage in off-balance sheet financing arrangements nor have any variable-interest entities. As of October 31, 2010, we did not have any off-balance sheet arrangements as defined in Item 303(a)(4)(ii) of SEC Regulation S-K.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Exchange Risk</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revenue, earnings and cash flows are subject to fluctuations due to changes in foreign currency exchange rates. Our risk management strategy utilizes foreign currency contracts to manage our foreign currency exposures that exist as part of our ongoing business operations. As of October 31, 2010 and January 31, 2010, we had open contracts to hedge expected cash flows for 1 to 12 months in the future in order to reduce our exposure to foreign currency volatility. Contracts were primarily denominated in Euros, Japanese yen, Swiss francs, British pounds and Canadian dollars. We do not enter into any foreign exchange derivative instruments for trading or speculative purposes. The notional amount of our option and forward contracts was $306.4 million and $239.1 million at October 31, 2010 and January 31, 2010,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utilize foreign currency contracts to reduce the exchange rate impact on the net revenue and operating expenses of certain anticipated transactions. A sensitivity analysis performed on our hedging portfolio as of October 31, 2010 indicated that a hypothetical 10% appreciation of the U.S. dollar from its value at October 31, 2010 would increase the fair value of our foreign currency contracts by $19.3 million. A hypothetical 10% depreciation of the dollar from its value at October 31, 2010 would decrease the fair value of our foreign currency contracts by $27.3 million. We do not anticipate any material adverse impact to our consolidated financial position, results of operations or cash flows as a result of these foreign currency contracts.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Interest rate movements affect both the interest income we earn on our short-term investments and, to a lesser extent, the market value of certain longer term securities. At October 31, 2010, we had $711.8 million of cash equivalents. With an average cash equivalent investment balance for the quarter of approximately $642.1 million, if interest rates were to increase (decrease) by 10% over current average rates, this would result in a $0.1 million increase (decrease) in annual interest income. Further, at October 31, 2010, we had approximately $432.3 million invested in a short and long term marketable security portfolios which, with 50 and 100 basis point moves, would result in market value changes (gains or losses) of $1.9 million and $3.7 million over both 6 and 12 month periods, respectively. We do not use derivative financial instruments in our investment portfolio to manage interest rate risk.</w:t>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October 31, 2010 that have materially affected, or are reasonably likely to materially affect, our internal controls over financial reporting.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Information with respect to this Item may be found in Note 14, “Commitments and Contingencies,” of the Notes to Condensed Consolidated Financial Statements in this Form 10-Q, which information is incorporated into this Item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Any deceleration or reversal of the current domestic and global economic recoveries may impact our business, financial results and financial condition.</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our business has expanded globally, we have increasingly become subject to risks arising from adverse changes in domestic and global economic and political conditions. The past several years have been characterized by weak domestic and global economic conditions, inefficiencies and uncertainty in the credit markets, a low level of liquidity in many financial markets, and extreme volatility in many financial instrument markets. Although these conditions appear to be abating and domestic and global recoveries seem to be underway, it is not yet clear whether a sustainable recovery is currently taking place domestically and globally.</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Any deceleration or reversal of the relatively slow and modest domestic and global economic recoveries taking place may cause our customers to defer, reduce or cancel purchases. 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w:t>
      </w:r>
    </w:p>
    <w:p>
      <w:pPr>
        <w:spacing w:after="0" w:line="14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In addition, these factors may cause, and over the past several years have caused, us to restructure our business and in turn incur restructuring charges as well as take impairment charges on some of our long-term assets. In addition, the improvement of our financial performance over the past several fiscal quarters may be negatively impacted by:</w:t>
      </w:r>
    </w:p>
    <w:p>
      <w:pPr>
        <w:spacing w:after="0" w:line="6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credit available to and insolvency of key channel partners, thereby impairing our distribution channels and cash flows;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banks to honor our existing line of credit, increasing our borrowing expenses or eliminating our ability to obtain short-term financing;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decreased borrowing and spending by our end users on small and large projects in the industries we serve, thereby reducing demand for our products.</w:t>
      </w:r>
    </w:p>
    <w:p>
      <w:pPr>
        <w:spacing w:after="0" w:line="287" w:lineRule="exact"/>
        <w:rPr>
          <w:sz w:val="20"/>
          <w:szCs w:val="20"/>
          <w:color w:val="auto"/>
        </w:rPr>
      </w:pPr>
    </w:p>
    <w:p>
      <w:pPr>
        <w:ind w:left="240" w:right="160"/>
        <w:spacing w:after="0" w:line="357" w:lineRule="auto"/>
        <w:rPr>
          <w:sz w:val="20"/>
          <w:szCs w:val="20"/>
          <w:color w:val="auto"/>
        </w:rPr>
      </w:pPr>
      <w:r>
        <w:rPr>
          <w:rFonts w:ascii="Arial" w:cs="Arial" w:eastAsia="Arial" w:hAnsi="Arial"/>
          <w:sz w:val="15"/>
          <w:szCs w:val="15"/>
          <w:i w:val="1"/>
          <w:iCs w:val="1"/>
          <w:color w:val="auto"/>
        </w:rPr>
        <w:t>The actions that we may be forced to take in the event of any deceleration or reversal of the current domestic and global economic recoveries could be costly and may not be as effective as we anticipate, and may force us to take additional actions to reduce our expenses and stimulate demand for our products.</w:t>
      </w:r>
    </w:p>
    <w:p>
      <w:pPr>
        <w:ind w:firstLine="456"/>
        <w:spacing w:after="0" w:line="255" w:lineRule="auto"/>
        <w:rPr>
          <w:sz w:val="20"/>
          <w:szCs w:val="20"/>
          <w:color w:val="auto"/>
        </w:rPr>
      </w:pPr>
      <w:r>
        <w:rPr>
          <w:rFonts w:ascii="Arial" w:cs="Arial" w:eastAsia="Arial" w:hAnsi="Arial"/>
          <w:sz w:val="18"/>
          <w:szCs w:val="18"/>
          <w:color w:val="auto"/>
        </w:rPr>
        <w:t>Any deceleration or reversal of the current domestic and global economic recoveries may reduce our revenue levels and force us to take actions to reduce our cost structure to more closely align our costs with reduced revenue levels. Over the past several years we have on several occasions taken such actions. In taking any future restructuring actions, we may incur, and over the past several years have incurred, additional costs that negatively impact our operating margins. If we do not achieve the proper balance of these cost reduction initiatives, we may eliminate critical elements of our operations, the loss of which could negatively impact our ability to benefit from eventual economic growth.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any deceleration or reversal of the current domestic and global economic recoveries may cause us to take, and over the past several years we have taken, actions to stimulate demand for our products through a number of programs. Although we would attempt to balance the cost of these programs against the longer term benefits, it is possible that we would make such investments without corresponding increases in demand for our products and our revenue. This would further reduce our operating margins and have a negative impact on our financial results.</w:t>
      </w:r>
    </w:p>
    <w:p>
      <w:pPr>
        <w:spacing w:after="0" w:line="194"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negatively impacts our future revenue and financial results.</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overall global economy, the health of their business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addition, a portion of the growth of our maintenance revenue has typically been associated with growth of the number of licenses that we sell. Any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reduction in the number of licenses that we sell, even if our customers’ attach rates do not change, will have a negative impact on our future maintenance revenue.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This in turn would impact our business and harm our financial results.</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net maintenance billings will negatively impact future maintenance revenue, however future maintenance revenue will also be impacted by other factors such as the amount, timing and mix of contract terms of future billings.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Our financial results fluctuate within each quarter and from quarter to quarter making our future revenue and financial results difficult to predict.</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quarterly financial results have fluctuated in the past and may do so in the future. These fluctuations could cause our stock price to change significantly or experience declines. In addition to the other factors described in this Part II, Item 1A, some of the factors that could cause our financial results to fluctuate include:</w:t>
      </w:r>
    </w:p>
    <w:p>
      <w:pPr>
        <w:spacing w:after="0" w:line="59"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general market, economic and business conditions, including the impact of sales in particular geographies, including emerging economies,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governments around the world to finance infrastructure projects,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growth or contraction of our upgrade or maintenance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success of our hedging activity,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failure to expand our AutoCAD and AutoCAD LT products customer base to related vertical design products and model-based design products,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 (“Suites”),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weak or negative growth in the industries we serve including architecture, engineering and construction, manufacturing, geospatial mapping and digital media and entertainment markets,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pricing pressure or changes in product pricing or product mix,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platform changes,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tax laws or regulations or accounting rules, such as increased use of fair value measures and the potential requirement that U.S. registrants prepare financial statements in accordance with International Financial Reporting Standards (“IFRS”),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dependence and the timing of large sales,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conditions. In particular, our financial results in Europe during our third quarter are usually affected by a slow summer period, and our Asia Pacific operations typically experience seasonal slowing in our third and fourth quarters.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operating expenses are based in part on our expectations for future revenue and are relatively fixed in the short term. Accordingly, any revenue shortfall below expectations could have an immediate and significant adverse effect on our profitability. Greater than anticipated expenses or a failure to maintain rigorous cost controls would also negatively affect profitability. Further, gross margins may be adversely affected if our sales of Creative Finishing products, which historically have had lower margins, grow at a faster rate than sales of our higher-margin products.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market price for our common stock has experienced significant fluctuations and may continue to fluctuate significantly. The market price for our common stock may be affected by a number of factors, including:</w:t>
      </w:r>
    </w:p>
    <w:p>
      <w:pPr>
        <w:spacing w:after="0" w:line="5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or key performance metrics;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 and</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and other risks, which could adversely impact our financial results.</w:t>
      </w:r>
    </w:p>
    <w:p>
      <w:pPr>
        <w:spacing w:after="0" w:line="5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Further, our dependency on international revenue makes us much more exposed to global economic trends, which can negatively impact our financial results, even if our results in the U.S. are strong for a particular period.</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difficulties in staffing and managing foreign sales and development operations, longer collection cycles for accounts receivable, potential changes in tax laws, tax arrangements with foreign governments, including our ability to meet and review the terms of those tax arrangements, and laws regarding the management of data, possible future limitations upon foreign owned businesses, increased financial accounting and reporting burdens and complexities, inadequate local infrastructure, greater difficulty in protecting intellectual property, and other factors beyond our control, including terrorism, war, natural disasters and diseases.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Furthermore, our means of protecting our proprietary rights may not be adequate.</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 and the functionality of products in different industry segments overlap,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40" w:right="220"/>
        <w:spacing w:after="0" w:line="259"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5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sell our software products both directly to end-users and through a network of distributors and resellers. For each of the three and nine months ended October 31, 2010, approximately 85%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2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distributors Tech Data Corporation and its global affiliates (“Tech Data”). Tech Data accounted for 15% and 16% of our consolidated net revenue for the three and nine months ended October 31, 2010, respectively, and 14% and 13% during the three and nine months ended October 31, 2009, respectively.</w:t>
      </w:r>
    </w:p>
    <w:p>
      <w:pPr>
        <w:spacing w:after="0" w:line="10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99"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if these products are not successful, our net revenue will be adversely affected.</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derive a substantial portion of our net revenue from sales of licenses of a small number of our products, including AutoCAD software, products based on AutoCAD that serve specific vertical markets, upgrades to those products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and nine months ended October 31, 2010, combined revenue from our AutoCAD and AutoCAD LT products represented 33% and 34% of our consolidated net revenue, respectively.</w:t>
      </w:r>
    </w:p>
    <w:p>
      <w:pPr>
        <w:spacing w:after="0" w:line="197"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i w:val="1"/>
          <w:iCs w:val="1"/>
          <w:color w:val="auto"/>
        </w:rPr>
        <w:t>We are subject to litigation and regulatory inquiries, and we may be named in additional litigation or become involved in regulatory inquiries in the future, all of which are costly, distracting to our core business and could result in an unfavorable outcome, resulting in a material adverse effect on our business, financial condition, financial results, cash flows and the trading price for our securities.</w:t>
      </w:r>
    </w:p>
    <w:p>
      <w:pPr>
        <w:spacing w:after="0" w:line="59"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are involved in litigation and receive inquiries from regulatory agencies. As the global economy has changed and our business has evolved, we have seen an increase in litigation activity. In addition,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While outcomes of such actions vary, any claims or regulatory actions initiated by or against us, whether successful or not, could result in expensive defense costs,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and increased competition may reduce our net revenue and profits.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software industry has limited barriers to entry, and the availability of desktop computers with continually expanding performance at progressively lower prices contributes to the ease of market entry.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may adversely affect the sale of our products. Because of these and other factors, competitive conditions in the industry are likely to intensify in the future. Increased competition could result in continued price reductions, reduced net revenue and profit margins and loss of market share, any of which would likely harm our business.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believe that our future results depend largely upon our ability to offer products that compete favorably with respect to reliability, performance, ease of use, range of useful features, continuing product enhancements, reputation and price.</w:t>
      </w:r>
    </w:p>
    <w:p>
      <w:pPr>
        <w:spacing w:after="0" w:line="213"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5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make significant efforts to maintain the security and integrity of our product source code and computer systems. There appears to be an increasing number of computer “hackers” developing and deploying a variety of destructive software programs (such as viruses, worms, and the like) that could attack our products and computer systems. Despite significant efforts to create security barriers to such programs, it is virtually impossible for us to entirely mitigate this risk. Like all software products, our software is vulnerable to such attacks. The impact of such an attack could disrupt the proper functioning of our software products, cause errors in the output of our customers’ work, allow unauthorized access to sensitive, proprietary or confidential information of ours or our customers and other destructive outcomes. If this were to occur, our reputation may suffer, customers may stop buying our products, we could face lawsuits and potential liability and our financial performance could be negatively impacted.</w:t>
      </w:r>
    </w:p>
    <w:p>
      <w:pPr>
        <w:spacing w:after="0" w:line="199" w:lineRule="exact"/>
        <w:rPr>
          <w:sz w:val="20"/>
          <w:szCs w:val="20"/>
          <w:color w:val="auto"/>
        </w:rPr>
      </w:pPr>
    </w:p>
    <w:p>
      <w:pPr>
        <w:ind w:left="240" w:right="260"/>
        <w:spacing w:after="0" w:line="259"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have determined that our internal control over financial reporting was effective as of January 31, 2010, as indicated in our Management Report on Internal Control over Financial Reporting, included in our Annual Report on Form 10-K for the fiscal year ended January 31, 2010, we must continue to monitor and assess our internal control over financial reporting. If our management identifies one or more material weaknesses in our internal control over financial reporting and such weakness remains uncorrected at fiscal year end, we will be unable to assert such internal control is effective at fiscal year 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99"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5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make assumptions, judgments and estimates for a number of items, including the fair value of goodwill, financial instruments,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i w:val="1"/>
          <w:iCs w:val="1"/>
          <w:color w:val="auto"/>
        </w:rPr>
        <w:t>Changes in existing financial accounting standards or practices, taxation rules or practices, or increases in effective tax rates by applicable jurisdictions may adversely affect our results of operations.</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Changes in existing accounting or taxation rules or practices, new accounting pronouncements or taxation rules, varying interpretations of current accounting pronouncements or taxation practice, or increases in effective tax rates by applicable jurisdictions could have a significant adverse effect on our results of operations or the manner in which we conduct our business. Further, such changes could potentially affect our reporting of transactions completed before such changes are effective.</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GAAP under SEC regulations and those who are required to follow IFRS outside of the U.S. The projects currently being worked on by the FASB and IASB may result in different accounting principles under GAAP that may result in materially different financial results for us in areas including, but not limited to, principles for recognizing revenue, lease accounting and financial statement presentation.</w:t>
      </w:r>
    </w:p>
    <w:p>
      <w:pPr>
        <w:spacing w:after="0" w:line="1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 addition, the SEC has stated that it intends to make a determination in 2011 about whether to incorporate IFRS into the financial reporting system for U.S. companies. A change in accounting principles from GAAP to IFRS may have a material impact on the way in which we report financial results.</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It is not clear to us when these potential changes in accounting principles will be effective, whether we have the proper systems and controls in place to accommodate such changes and the impact that these changes will have on our consolidated financial position, results of operations and cash flows. In addition, as we evolve and change our business and sales models, we are currently unable to take into account how these potential changes would impact these new models, particularly in the area of revenue recognition.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use derivative instruments to manage a portion of our earnings exposure and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1 to 12 months in the future, and provide us with some protection against currency exposures. However, our attempts to hedge against these risks may not be successful, resulting in an adverse impact on our financial results.</w:t>
      </w:r>
    </w:p>
    <w:p>
      <w:pPr>
        <w:spacing w:after="0" w:line="143" w:lineRule="exact"/>
        <w:rPr>
          <w:sz w:val="20"/>
          <w:szCs w:val="20"/>
          <w:color w:val="auto"/>
        </w:rPr>
      </w:pPr>
    </w:p>
    <w:p>
      <w:pPr>
        <w:jc w:val="both"/>
        <w:ind w:right="160" w:firstLine="456"/>
        <w:spacing w:after="0" w:line="323" w:lineRule="auto"/>
        <w:rPr>
          <w:sz w:val="20"/>
          <w:szCs w:val="20"/>
          <w:color w:val="auto"/>
        </w:rPr>
      </w:pPr>
      <w:r>
        <w:rPr>
          <w:rFonts w:ascii="Arial" w:cs="Arial" w:eastAsia="Arial" w:hAnsi="Arial"/>
          <w:sz w:val="15"/>
          <w:szCs w:val="15"/>
          <w:color w:val="auto"/>
        </w:rPr>
        <w:t>The fluctuations of currencies in which we conduct business can both increase and decrease our overall revenue and expenses for any given fiscal period. Although we have expanded our foreign currency cash flow hedge program beyond the current quarter to a longer term program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79" w:lineRule="exact"/>
        <w:rPr>
          <w:sz w:val="20"/>
          <w:szCs w:val="20"/>
          <w:color w:val="auto"/>
        </w:rPr>
      </w:pPr>
    </w:p>
    <w:p>
      <w:pPr>
        <w:ind w:left="240" w:right="120"/>
        <w:spacing w:after="0" w:line="256"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cause interest rates to decline, credit ratings of our investments to deteriorate, or illiquidity in the financial marketplace, we may continue to experience a decline in interest income, an inability to sell our investments, or impairment in the value of our investments.</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interest income, or result in material charges, which in turn could impact our overall net income and earnings per share.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If we were to experience a loss on any of our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88" w:lineRule="exact"/>
        <w:rPr>
          <w:sz w:val="20"/>
          <w:szCs w:val="20"/>
          <w:color w:val="auto"/>
        </w:rPr>
      </w:pPr>
    </w:p>
    <w:p>
      <w:pPr>
        <w:ind w:left="240" w:right="640"/>
        <w:spacing w:after="0" w:line="332" w:lineRule="auto"/>
        <w:rPr>
          <w:sz w:val="20"/>
          <w:szCs w:val="20"/>
          <w:color w:val="auto"/>
        </w:rPr>
      </w:pPr>
      <w:r>
        <w:rPr>
          <w:rFonts w:ascii="Arial" w:cs="Arial" w:eastAsia="Arial" w:hAnsi="Arial"/>
          <w:sz w:val="16"/>
          <w:szCs w:val="16"/>
          <w:i w:val="1"/>
          <w:iCs w:val="1"/>
          <w:color w:val="auto"/>
        </w:rPr>
        <w:t>Our strategy to develop and introduce new product and service offerings, including new product features, exposes us to risks such as limited customer acceptance, costs related to product defects and large expenditures that may not result in additional net revenue.</w:t>
      </w:r>
    </w:p>
    <w:p>
      <w:pPr>
        <w:spacing w:after="0" w:line="4"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We devote significant resources to the development of new technologies, such as our vertical design products and our digital prototyping and collaboration products. In addition, we frequently introduce new business models or methods that require a considerable investment of technical and financial resources such as an increase in our portfolio of, and focus on, Suites. We are making such investments through further development and enhancement of our existing products, as well as through acquisitions of new product lines. Such investments may not result in sufficient revenue generation to justify their costs, or competitors may introduce new products and services that achieve acceptance among our current customers, adversely affecting our competitive position.</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particular, a critical component of our growth strategy is to have customers of our AutoCAD and AutoCAD LT products expand their portfolios to include our related vertical design products, our model-based design products and our Suites. Over time, we aim to migrate customers using standalone Autodesk products to expand their portfolio with our Suites offerings. Should sales of licenses of our AutoCAD and AutoCAD LT or standalone Autodesk products decrease without a corresponding increase in vertical design and model-based design product or Suites revenue or without purchases of customer seats to our vertical design products and model-based design products or Suites, our results of operations will be adversely affected.</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Further, given the rapid speed of changing customer expectations and advancement of technology inherent in the software industry, as well as the extensive and complex efforts required to create useful and widely accepted products, our executive management team must act quickly, continuously and with vision. Although we have articulated a strategy that we believe will fulfill these challenges, if we fail to execute properly on that strategy, adapt that strategy as market conditions evolve,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81"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i w:val="1"/>
          <w:iCs w:val="1"/>
          <w:color w:val="auto"/>
        </w:rPr>
        <w:t>From time to time we introduce new business and sales initiatives; if we fail to successfully execute and manage these initiatives, our results of operations could be negatively impacted.</w:t>
      </w:r>
    </w:p>
    <w:p>
      <w:pPr>
        <w:spacing w:after="0" w:line="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part of our effort to accommodate our customer’s needs and demands, we from time to time evolve our business and sales initiatives such as our expanding portfolio of Suites and Web-based offerings. We may take such actions without clear indications that they will prove successful.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our actual results may vary materially from those anticipated, and our financial results will be negatively impacted.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9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retain customers, vendors, distributors, business partners, and other entities associated with the acquired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distributors as business partners as a result of acquiring another business;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for incompatible business cultures;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transaction or integration-related costs.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successfully challenged by tax authorities.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224"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221"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9" w:lineRule="exact"/>
        <w:rPr>
          <w:sz w:val="20"/>
          <w:szCs w:val="20"/>
          <w:color w:val="auto"/>
        </w:rPr>
      </w:pPr>
    </w:p>
    <w:p>
      <w:pPr>
        <w:ind w:left="240" w:right="300"/>
        <w:spacing w:after="0" w:line="259"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operations as well as some of our operations; any interruption or delay in service from these third parties, breaches of security or privacy, or failures in data collection could expose us to liability, harm our reputation and adversely impact our financial performance.</w:t>
      </w:r>
    </w:p>
    <w:p>
      <w:pPr>
        <w:spacing w:after="0" w:line="5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of customer data. In addition, our operations could be negatively affected in the event of a security breach, and we could be subject to the loss or theft of confidential or proprietary information, including source code. Unauthorized access to this data may be obtained through break-ins, breach of our secure network by an unauthorized party, employee theft or misuse, or other misconduct.</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225"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sales of unregistered securities during the three months ended October 31, 2010.</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48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32.1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w w:val="89"/>
              </w:rPr>
              <w:t>Certification of Chief Executive Officer and Chief Financial Officer pursuant to 18 U.S.C. Section 1350, as adopted pursuant to Section 906</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of the Sarbanes-Oxley Act of 2002</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101.INS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101.SCH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101.CAL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101.DEF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Taxonomy Definition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101.LAB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101.PRE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Denotes a management contract or compensatory plan or arrangement.</w:t>
      </w:r>
    </w:p>
    <w:p>
      <w:pPr>
        <w:spacing w:after="0" w:line="15" w:lineRule="exact"/>
        <w:rPr>
          <w:sz w:val="20"/>
          <w:szCs w:val="20"/>
          <w:color w:val="auto"/>
        </w:rPr>
      </w:pPr>
    </w:p>
    <w:p>
      <w:pPr>
        <w:ind w:left="460" w:hanging="452"/>
        <w:spacing w:after="0" w:line="300"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certifications attached as Exhibit 32.1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such filing.</w:t>
      </w:r>
    </w:p>
    <w:p>
      <w:pPr>
        <w:spacing w:after="0" w:line="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 and is furnished, not filed with the Securities and Exchange Commission.</w:t>
      </w:r>
    </w:p>
    <w:p>
      <w:pPr>
        <w:spacing w:after="0" w:line="17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52</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7,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AUTODESK,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ARK</w:t>
      </w:r>
      <w:r>
        <w:rPr>
          <w:rFonts w:ascii="Arial" w:cs="Arial" w:eastAsia="Arial" w:hAnsi="Arial"/>
          <w:sz w:val="16"/>
          <w:szCs w:val="16"/>
          <w:color w:val="auto"/>
        </w:rPr>
        <w:t xml:space="preserve"> J. H</w:t>
      </w:r>
      <w:r>
        <w:rPr>
          <w:rFonts w:ascii="Arial" w:cs="Arial" w:eastAsia="Arial" w:hAnsi="Arial"/>
          <w:sz w:val="13"/>
          <w:szCs w:val="13"/>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9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2010</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9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2010</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October 31, 2010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December 7, 2010</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Based on my knowledge, I, Mark J. Hawkins, certify, pursuant to 18 U.S.C. Section 1350, as adopted pursuant to Section 906 of the Sarbanes-Oxley Act of 2002, that the Quarterly Report of Autodesk, Inc. on Form 10-Q for the quarterly period ended October 31, 2010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December 7, 2010</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5"/>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6"/>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7"/>
    </w:lvl>
  </w:abstractNum>
  <w:abstractNum w:abstractNumId="13">
    <w:nsid w:val="B03E0C6"/>
    <w:multiLevelType w:val="hybridMultilevel"/>
    <w:lvl w:ilvl="0">
      <w:lvlJc w:val="left"/>
      <w:lvlText w:val="%1."/>
      <w:numFmt w:val="decimal"/>
      <w:start w:val="8"/>
    </w:lvl>
  </w:abstractNum>
  <w:abstractNum w:abstractNumId="14">
    <w:nsid w:val="189A769B"/>
    <w:multiLevelType w:val="hybridMultilevel"/>
    <w:lvl w:ilvl="0">
      <w:lvlJc w:val="left"/>
      <w:lvlText w:val="%1."/>
      <w:numFmt w:val="decimal"/>
      <w:start w:val="9"/>
    </w:lvl>
  </w:abstractNum>
  <w:abstractNum w:abstractNumId="15">
    <w:nsid w:val="54E49EB4"/>
    <w:multiLevelType w:val="hybridMultilevel"/>
    <w:lvl w:ilvl="0">
      <w:lvlJc w:val="left"/>
      <w:lvlText w:val="%1."/>
      <w:numFmt w:val="decimal"/>
      <w:start w:val="10"/>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1"/>
    </w:lvl>
  </w:abstractNum>
  <w:abstractNum w:abstractNumId="18">
    <w:nsid w:val="836C40E"/>
    <w:multiLevelType w:val="hybridMultilevel"/>
    <w:lvl w:ilvl="0">
      <w:lvlJc w:val="left"/>
      <w:lvlText w:val="%1."/>
      <w:numFmt w:val="decimal"/>
      <w:start w:val="12"/>
    </w:lvl>
  </w:abstractNum>
  <w:abstractNum w:abstractNumId="19">
    <w:nsid w:val="2901D82"/>
    <w:multiLevelType w:val="hybridMultilevel"/>
    <w:lvl w:ilvl="0">
      <w:lvlJc w:val="left"/>
      <w:lvlText w:val="%1."/>
      <w:numFmt w:val="decimal"/>
      <w:start w:val="13"/>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4"/>
    </w:lvl>
  </w:abstractNum>
  <w:abstractNum w:abstractNumId="22">
    <w:nsid w:val="1E7FF521"/>
    <w:multiLevelType w:val="hybridMultilevel"/>
    <w:lvl w:ilvl="0">
      <w:lvlJc w:val="left"/>
      <w:lvlText w:val="%1."/>
      <w:numFmt w:val="decimal"/>
      <w:start w:val="15"/>
    </w:lvl>
  </w:abstractNum>
  <w:abstractNum w:abstractNumId="23">
    <w:nsid w:val="7C3DBD3D"/>
    <w:multiLevelType w:val="hybridMultilevel"/>
    <w:lvl w:ilvl="0">
      <w:lvlJc w:val="left"/>
      <w:lvlText w:val="%1."/>
      <w:numFmt w:val="decimal"/>
      <w:start w:val="17"/>
    </w:lvl>
  </w:abstractNum>
  <w:abstractNum w:abstractNumId="24">
    <w:nsid w:val="737B8DDC"/>
    <w:multiLevelType w:val="hybridMultilevel"/>
    <w:lvl w:ilvl="0">
      <w:lvlJc w:val="left"/>
      <w:lvlText w:val="%1."/>
      <w:numFmt w:val="decimal"/>
      <w:start w:val="18"/>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2019-12-10T06:19:24Z</dcterms:created>
  <dcterms:modified xsi:type="dcterms:W3CDTF">2019-12-10T06:19:24Z</dcterms:modified>
</cp:coreProperties>
</file>