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April 30, 2014</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-1844040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620" w:space="720"/>
            <w:col w:w="5920" w:space="720"/>
            <w:col w:w="1960" w:space="160"/>
            <w:col w:w="28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May 29, 2014, registrant had outstanding approximately 227,866,880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80" w:type="dxa"/>
            <w:vAlign w:val="bottom"/>
            <w:tcBorders>
              <w:bottom w:val="single" w:sz="8" w:color="0000FF"/>
            </w:tcBorders>
            <w:gridSpan w:val="6"/>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900" w:type="dxa"/>
            <w:vAlign w:val="bottom"/>
            <w:gridSpan w:val="8"/>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60" w:type="dxa"/>
            <w:vAlign w:val="bottom"/>
            <w:gridSpan w:val="24"/>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Months Ended April 30, 2014 and 201</w:t>
              </w:r>
            </w:hyperlink>
            <w:r>
              <w:rPr>
                <w:rFonts w:ascii="Arial" w:cs="Arial" w:eastAsia="Arial" w:hAnsi="Arial"/>
                <w:sz w:val="18"/>
                <w:szCs w:val="18"/>
                <w:color w:val="0000FF"/>
              </w:rPr>
              <w:t>3</w:t>
            </w:r>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4"/>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Condensed Consolidated Statements of Comprehensive Income for the Three Months Ended April 30, 2014 and 201</w:t>
              </w:r>
            </w:hyperlink>
            <w:r>
              <w:rPr>
                <w:rFonts w:ascii="Arial" w:cs="Arial" w:eastAsia="Arial" w:hAnsi="Arial"/>
                <w:sz w:val="18"/>
                <w:szCs w:val="18"/>
                <w:color w:val="0000FF"/>
                <w:w w:val="94"/>
              </w:rPr>
              <w:t>3</w:t>
            </w:r>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372"/>
        </w:trPr>
        <w:tc>
          <w:tcPr>
            <w:tcW w:w="1040" w:type="dxa"/>
            <w:vAlign w:val="bottom"/>
          </w:tcPr>
          <w:p>
            <w:pPr>
              <w:spacing w:after="0"/>
              <w:rPr>
                <w:sz w:val="24"/>
                <w:szCs w:val="24"/>
                <w:color w:val="auto"/>
              </w:rPr>
            </w:pPr>
          </w:p>
        </w:tc>
        <w:tc>
          <w:tcPr>
            <w:tcW w:w="8380" w:type="dxa"/>
            <w:vAlign w:val="bottom"/>
            <w:tcBorders>
              <w:top w:val="single" w:sz="8" w:color="0000EE"/>
            </w:tcBorders>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April 30, 2014 and January 31, 2014</w:t>
              </w:r>
            </w:hyperlink>
          </w:p>
        </w:tc>
        <w:tc>
          <w:tcPr>
            <w:tcW w:w="1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April 30, 2014 and 2013</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1040" w:type="dxa"/>
            <w:vAlign w:val="bottom"/>
          </w:tcPr>
          <w:p>
            <w:pPr>
              <w:spacing w:after="0"/>
              <w:rPr>
                <w:sz w:val="24"/>
                <w:szCs w:val="24"/>
                <w:color w:val="auto"/>
              </w:rPr>
            </w:pPr>
          </w:p>
        </w:tc>
        <w:tc>
          <w:tcPr>
            <w:tcW w:w="7600" w:type="dxa"/>
            <w:vAlign w:val="bottom"/>
            <w:tcBorders>
              <w:top w:val="single" w:sz="8" w:color="0000EE"/>
            </w:tcBorders>
            <w:gridSpan w:val="2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26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4"/>
          </w:tcPr>
          <w:p>
            <w:pPr>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8"/>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Quantitative and Qualitative Disclosures About Market Risk</w:t>
              </w:r>
            </w:hyperlink>
          </w:p>
        </w:tc>
        <w:tc>
          <w:tcPr>
            <w:tcW w:w="204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4"/>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Controls and Procedures</w:t>
              </w:r>
            </w:hyperlink>
          </w:p>
        </w:tc>
        <w:tc>
          <w:tcPr>
            <w:tcW w:w="4200" w:type="dxa"/>
            <w:vAlign w:val="bottom"/>
            <w:gridSpan w:val="1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14"/>
          </w:tcPr>
          <w:p>
            <w:pPr>
              <w:jc w:val="center"/>
              <w:ind w:right="2900"/>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4"/>
          </w:tcPr>
          <w:p>
            <w:pPr>
              <w:spacing w:after="0"/>
              <w:rPr>
                <w:rFonts w:ascii="Arial" w:cs="Arial" w:eastAsia="Arial" w:hAnsi="Arial"/>
                <w:sz w:val="18"/>
                <w:szCs w:val="18"/>
                <w:b w:val="1"/>
                <w:bCs w:val="1"/>
                <w:color w:val="0000FF"/>
                <w:w w:val="86"/>
              </w:rPr>
            </w:pPr>
            <w:hyperlink w:anchor="page44">
              <w:r>
                <w:rPr>
                  <w:rFonts w:ascii="Arial" w:cs="Arial" w:eastAsia="Arial" w:hAnsi="Arial"/>
                  <w:sz w:val="18"/>
                  <w:szCs w:val="18"/>
                  <w:b w:val="1"/>
                  <w:bCs w:val="1"/>
                  <w:color w:val="0000FF"/>
                  <w:w w:val="86"/>
                </w:rPr>
                <w:t>Legal Proceedings</w:t>
              </w:r>
            </w:hyperlink>
          </w:p>
        </w:tc>
        <w:tc>
          <w:tcPr>
            <w:tcW w:w="164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06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4"/>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Risk Factors</w:t>
              </w:r>
            </w:hyperlink>
          </w:p>
        </w:tc>
        <w:tc>
          <w:tcPr>
            <w:tcW w:w="746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3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4"/>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9"/>
          </w:tcPr>
          <w:p>
            <w:pPr>
              <w:spacing w:after="0"/>
              <w:rPr>
                <w:rFonts w:ascii="Arial" w:cs="Arial" w:eastAsia="Arial" w:hAnsi="Arial"/>
                <w:sz w:val="18"/>
                <w:szCs w:val="18"/>
                <w:b w:val="1"/>
                <w:bCs w:val="1"/>
                <w:color w:val="0000FF"/>
                <w:w w:val="88"/>
              </w:rPr>
            </w:pPr>
            <w:hyperlink w:anchor="page57">
              <w:r>
                <w:rPr>
                  <w:rFonts w:ascii="Arial" w:cs="Arial" w:eastAsia="Arial" w:hAnsi="Arial"/>
                  <w:sz w:val="18"/>
                  <w:szCs w:val="18"/>
                  <w:b w:val="1"/>
                  <w:bCs w:val="1"/>
                  <w:color w:val="0000FF"/>
                  <w:w w:val="88"/>
                </w:rPr>
                <w:t>Defaults Upon Senior Securities</w:t>
              </w:r>
            </w:hyperlink>
          </w:p>
        </w:tc>
        <w:tc>
          <w:tcPr>
            <w:tcW w:w="2120" w:type="dxa"/>
            <w:vAlign w:val="bottom"/>
            <w:gridSpan w:val="4"/>
          </w:tcPr>
          <w:p>
            <w:pPr>
              <w:spacing w:after="0"/>
              <w:rPr>
                <w:sz w:val="24"/>
                <w:szCs w:val="24"/>
                <w:color w:val="auto"/>
              </w:rPr>
            </w:pPr>
          </w:p>
        </w:tc>
        <w:tc>
          <w:tcPr>
            <w:tcW w:w="4300" w:type="dxa"/>
            <w:vAlign w:val="bottom"/>
            <w:gridSpan w:val="11"/>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7"/>
          </w:tcPr>
          <w:p>
            <w:pPr>
              <w:spacing w:after="0"/>
              <w:rPr>
                <w:rFonts w:ascii="Arial" w:cs="Arial" w:eastAsia="Arial" w:hAnsi="Arial"/>
                <w:sz w:val="18"/>
                <w:szCs w:val="18"/>
                <w:b w:val="1"/>
                <w:bCs w:val="1"/>
                <w:color w:val="0000FF"/>
                <w:w w:val="87"/>
              </w:rPr>
            </w:pPr>
            <w:hyperlink w:anchor="page57">
              <w:r>
                <w:rPr>
                  <w:rFonts w:ascii="Arial" w:cs="Arial" w:eastAsia="Arial" w:hAnsi="Arial"/>
                  <w:sz w:val="18"/>
                  <w:szCs w:val="18"/>
                  <w:b w:val="1"/>
                  <w:bCs w:val="1"/>
                  <w:color w:val="0000FF"/>
                  <w:w w:val="87"/>
                </w:rPr>
                <w:t>Mine Safety Disclosures</w:t>
              </w:r>
            </w:hyperlink>
          </w:p>
        </w:tc>
        <w:tc>
          <w:tcPr>
            <w:tcW w:w="600" w:type="dxa"/>
            <w:vAlign w:val="bottom"/>
            <w:gridSpan w:val="2"/>
          </w:tcPr>
          <w:p>
            <w:pPr>
              <w:spacing w:after="0"/>
              <w:rPr>
                <w:sz w:val="24"/>
                <w:szCs w:val="24"/>
                <w:color w:val="auto"/>
              </w:rPr>
            </w:pPr>
          </w:p>
        </w:tc>
        <w:tc>
          <w:tcPr>
            <w:tcW w:w="642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5"/>
          </w:tcPr>
          <w:p>
            <w:pPr>
              <w:spacing w:after="0"/>
              <w:rPr>
                <w:rFonts w:ascii="Arial" w:cs="Arial" w:eastAsia="Arial" w:hAnsi="Arial"/>
                <w:sz w:val="18"/>
                <w:szCs w:val="18"/>
                <w:b w:val="1"/>
                <w:bCs w:val="1"/>
                <w:color w:val="0000FF"/>
                <w:w w:val="93"/>
              </w:rPr>
            </w:pPr>
            <w:hyperlink w:anchor="page57">
              <w:r>
                <w:rPr>
                  <w:rFonts w:ascii="Arial" w:cs="Arial" w:eastAsia="Arial" w:hAnsi="Arial"/>
                  <w:sz w:val="18"/>
                  <w:szCs w:val="18"/>
                  <w:b w:val="1"/>
                  <w:bCs w:val="1"/>
                  <w:color w:val="0000FF"/>
                  <w:w w:val="93"/>
                </w:rPr>
                <w:t>Other Information</w:t>
              </w:r>
            </w:hyperlink>
          </w:p>
        </w:tc>
        <w:tc>
          <w:tcPr>
            <w:tcW w:w="400" w:type="dxa"/>
            <w:vAlign w:val="bottom"/>
            <w:gridSpan w:val="2"/>
          </w:tcPr>
          <w:p>
            <w:pPr>
              <w:spacing w:after="0"/>
              <w:rPr>
                <w:sz w:val="24"/>
                <w:szCs w:val="24"/>
                <w:color w:val="auto"/>
              </w:rPr>
            </w:pPr>
          </w:p>
        </w:tc>
        <w:tc>
          <w:tcPr>
            <w:tcW w:w="702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420" w:type="dxa"/>
            <w:vAlign w:val="bottom"/>
            <w:gridSpan w:val="1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57">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420" w:type="dxa"/>
            <w:vAlign w:val="bottom"/>
            <w:gridSpan w:val="1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40" w:type="dxa"/>
            <w:vAlign w:val="bottom"/>
            <w:gridSpan w:val="2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58">
              <w:r>
                <w:rPr>
                  <w:rFonts w:ascii="Arial" w:cs="Arial" w:eastAsia="Arial" w:hAnsi="Arial"/>
                  <w:sz w:val="18"/>
                  <w:szCs w:val="18"/>
                  <w:b w:val="1"/>
                  <w:bCs w:val="1"/>
                  <w:color w:val="0000FF"/>
                  <w:w w:val="85"/>
                </w:rPr>
                <w:t>Signatures</w:t>
              </w:r>
            </w:hyperlink>
          </w:p>
        </w:tc>
        <w:tc>
          <w:tcPr>
            <w:tcW w:w="8040" w:type="dxa"/>
            <w:vAlign w:val="bottom"/>
            <w:gridSpan w:val="2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23495</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License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Subscription</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revenue: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Cost of license and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subscription revenue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Marketing and sales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and other (expense) income,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352" w:lineRule="exact"/>
        <w:rPr>
          <w:sz w:val="20"/>
          <w:szCs w:val="20"/>
          <w:color w:val="auto"/>
        </w:rPr>
      </w:pPr>
    </w:p>
    <w:p>
      <w:pPr>
        <w:spacing w:after="0"/>
        <w:tabs>
          <w:tab w:leader="none" w:pos="520" w:val="left"/>
          <w:tab w:leader="none" w:pos="1140" w:val="left"/>
          <w:tab w:leader="none" w:pos="1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316.2</w:t>
        <w:tab/>
        <w:t>$</w:t>
      </w:r>
      <w:r>
        <w:rPr>
          <w:sz w:val="20"/>
          <w:szCs w:val="20"/>
          <w:color w:val="auto"/>
        </w:rPr>
        <w:tab/>
      </w:r>
      <w:r>
        <w:rPr>
          <w:rFonts w:ascii="Arial" w:cs="Arial" w:eastAsia="Arial" w:hAnsi="Arial"/>
          <w:sz w:val="15"/>
          <w:szCs w:val="15"/>
          <w:color w:val="auto"/>
        </w:rPr>
        <w:t>323.5</w:t>
      </w:r>
    </w:p>
    <w:p>
      <w:pPr>
        <w:spacing w:after="0" w:line="8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276.3</w:t>
      </w:r>
      <w:r>
        <w:rPr>
          <w:sz w:val="20"/>
          <w:szCs w:val="20"/>
          <w:color w:val="auto"/>
        </w:rPr>
        <w:tab/>
      </w:r>
      <w:r>
        <w:rPr>
          <w:rFonts w:ascii="Arial" w:cs="Arial" w:eastAsia="Arial" w:hAnsi="Arial"/>
          <w:sz w:val="15"/>
          <w:szCs w:val="15"/>
          <w:color w:val="auto"/>
        </w:rPr>
        <w:t>246.9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592.5</w:t>
      </w:r>
      <w:r>
        <w:rPr>
          <w:sz w:val="20"/>
          <w:szCs w:val="20"/>
          <w:color w:val="auto"/>
        </w:rPr>
        <w:tab/>
      </w:r>
      <w:r>
        <w:rPr>
          <w:rFonts w:ascii="Arial" w:cs="Arial" w:eastAsia="Arial" w:hAnsi="Arial"/>
          <w:sz w:val="15"/>
          <w:szCs w:val="15"/>
          <w:color w:val="auto"/>
        </w:rPr>
        <w:t>570.4</w:t>
      </w:r>
    </w:p>
    <w:p>
      <w:pPr>
        <w:spacing w:after="0" w:line="370"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49.3</w:t>
      </w:r>
      <w:r>
        <w:rPr>
          <w:sz w:val="20"/>
          <w:szCs w:val="20"/>
          <w:color w:val="auto"/>
        </w:rPr>
        <w:tab/>
      </w:r>
      <w:r>
        <w:rPr>
          <w:rFonts w:ascii="Arial" w:cs="Arial" w:eastAsia="Arial" w:hAnsi="Arial"/>
          <w:sz w:val="15"/>
          <w:szCs w:val="15"/>
          <w:color w:val="auto"/>
        </w:rPr>
        <w:t>44.4</w:t>
      </w:r>
    </w:p>
    <w:p>
      <w:pPr>
        <w:spacing w:after="0" w:line="86"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29.4</w:t>
      </w:r>
      <w:r>
        <w:rPr>
          <w:sz w:val="20"/>
          <w:szCs w:val="20"/>
          <w:color w:val="auto"/>
        </w:rPr>
        <w:tab/>
      </w:r>
      <w:r>
        <w:rPr>
          <w:rFonts w:ascii="Arial" w:cs="Arial" w:eastAsia="Arial" w:hAnsi="Arial"/>
          <w:sz w:val="15"/>
          <w:szCs w:val="15"/>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78.7</w:t>
      </w:r>
      <w:r>
        <w:rPr>
          <w:sz w:val="20"/>
          <w:szCs w:val="20"/>
          <w:color w:val="auto"/>
        </w:rPr>
        <w:tab/>
      </w:r>
      <w:r>
        <w:rPr>
          <w:rFonts w:ascii="Arial" w:cs="Arial" w:eastAsia="Arial" w:hAnsi="Arial"/>
          <w:sz w:val="15"/>
          <w:szCs w:val="15"/>
          <w:color w:val="auto"/>
        </w:rPr>
        <w:t>67.5</w:t>
      </w:r>
    </w:p>
    <w:p>
      <w:pPr>
        <w:spacing w:after="0" w:line="8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513.8</w:t>
      </w:r>
      <w:r>
        <w:rPr>
          <w:sz w:val="20"/>
          <w:szCs w:val="20"/>
          <w:color w:val="auto"/>
        </w:rPr>
        <w:tab/>
      </w:r>
      <w:r>
        <w:rPr>
          <w:rFonts w:ascii="Arial" w:cs="Arial" w:eastAsia="Arial" w:hAnsi="Arial"/>
          <w:sz w:val="15"/>
          <w:szCs w:val="15"/>
          <w:color w:val="auto"/>
        </w:rPr>
        <w:t>502.9</w:t>
      </w:r>
    </w:p>
    <w:p>
      <w:pPr>
        <w:spacing w:after="0" w:line="35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225.4</w:t>
      </w:r>
      <w:r>
        <w:rPr>
          <w:sz w:val="20"/>
          <w:szCs w:val="20"/>
          <w:color w:val="auto"/>
        </w:rPr>
        <w:tab/>
      </w:r>
      <w:r>
        <w:rPr>
          <w:rFonts w:ascii="Arial" w:cs="Arial" w:eastAsia="Arial" w:hAnsi="Arial"/>
          <w:sz w:val="15"/>
          <w:szCs w:val="15"/>
          <w:color w:val="auto"/>
        </w:rPr>
        <w:t>208.8</w:t>
      </w:r>
    </w:p>
    <w:p>
      <w:pPr>
        <w:spacing w:after="0" w:line="8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170.5</w:t>
      </w:r>
      <w:r>
        <w:rPr>
          <w:sz w:val="20"/>
          <w:szCs w:val="20"/>
          <w:color w:val="auto"/>
        </w:rPr>
        <w:tab/>
      </w:r>
      <w:r>
        <w:rPr>
          <w:rFonts w:ascii="Arial" w:cs="Arial" w:eastAsia="Arial" w:hAnsi="Arial"/>
          <w:sz w:val="15"/>
          <w:szCs w:val="15"/>
          <w:color w:val="auto"/>
        </w:rPr>
        <w:t>150.8</w:t>
      </w:r>
    </w:p>
    <w:p>
      <w:pPr>
        <w:spacing w:after="0" w:line="86"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73.4</w:t>
      </w:r>
      <w:r>
        <w:rPr>
          <w:sz w:val="20"/>
          <w:szCs w:val="20"/>
          <w:color w:val="auto"/>
        </w:rPr>
        <w:tab/>
      </w:r>
      <w:r>
        <w:rPr>
          <w:rFonts w:ascii="Arial" w:cs="Arial" w:eastAsia="Arial" w:hAnsi="Arial"/>
          <w:sz w:val="15"/>
          <w:szCs w:val="15"/>
          <w:color w:val="auto"/>
        </w:rPr>
        <w:t>61.5</w:t>
      </w:r>
    </w:p>
    <w:p>
      <w:pPr>
        <w:spacing w:after="0" w:line="86" w:lineRule="exact"/>
        <w:rPr>
          <w:sz w:val="20"/>
          <w:szCs w:val="20"/>
          <w:color w:val="auto"/>
        </w:rPr>
      </w:pPr>
    </w:p>
    <w:p>
      <w:pPr>
        <w:ind w:left="700"/>
        <w:spacing w:after="0"/>
        <w:tabs>
          <w:tab w:leader="none" w:pos="180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color w:val="auto"/>
        </w:rPr>
        <w:t>0.4</w:t>
      </w:r>
    </w:p>
    <w:p>
      <w:pPr>
        <w:spacing w:after="0" w:line="8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471.6</w:t>
      </w:r>
      <w:r>
        <w:rPr>
          <w:sz w:val="20"/>
          <w:szCs w:val="20"/>
          <w:color w:val="auto"/>
        </w:rPr>
        <w:tab/>
      </w:r>
      <w:r>
        <w:rPr>
          <w:rFonts w:ascii="Arial" w:cs="Arial" w:eastAsia="Arial" w:hAnsi="Arial"/>
          <w:sz w:val="15"/>
          <w:szCs w:val="15"/>
          <w:color w:val="auto"/>
        </w:rPr>
        <w:t>421.5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42.2</w:t>
      </w:r>
      <w:r>
        <w:rPr>
          <w:sz w:val="20"/>
          <w:szCs w:val="20"/>
          <w:color w:val="auto"/>
        </w:rPr>
        <w:tab/>
      </w:r>
      <w:r>
        <w:rPr>
          <w:rFonts w:ascii="Arial" w:cs="Arial" w:eastAsia="Arial" w:hAnsi="Arial"/>
          <w:sz w:val="15"/>
          <w:szCs w:val="15"/>
          <w:color w:val="auto"/>
        </w:rPr>
        <w:t>81.4</w:t>
      </w:r>
    </w:p>
    <w:p>
      <w:pPr>
        <w:spacing w:after="0" w:line="86" w:lineRule="exact"/>
        <w:rPr>
          <w:sz w:val="20"/>
          <w:szCs w:val="20"/>
          <w:color w:val="auto"/>
        </w:rPr>
      </w:pPr>
    </w:p>
    <w:p>
      <w:pPr>
        <w:jc w:val="right"/>
        <w:ind w:right="60"/>
        <w:spacing w:after="0"/>
        <w:tabs>
          <w:tab w:leader="none" w:pos="280"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35.6</w:t>
      </w:r>
      <w:r>
        <w:rPr>
          <w:sz w:val="20"/>
          <w:szCs w:val="20"/>
          <w:color w:val="auto"/>
        </w:rPr>
        <w:tab/>
      </w:r>
      <w:r>
        <w:rPr>
          <w:rFonts w:ascii="Arial" w:cs="Arial" w:eastAsia="Arial" w:hAnsi="Arial"/>
          <w:sz w:val="15"/>
          <w:szCs w:val="15"/>
          <w:color w:val="auto"/>
        </w:rPr>
        <w:t>72.6</w:t>
      </w:r>
    </w:p>
    <w:p>
      <w:pPr>
        <w:spacing w:after="0" w:line="86" w:lineRule="exact"/>
        <w:rPr>
          <w:sz w:val="20"/>
          <w:szCs w:val="20"/>
          <w:color w:val="auto"/>
        </w:rPr>
      </w:pPr>
    </w:p>
    <w:p>
      <w:pPr>
        <w:jc w:val="right"/>
        <w:ind w:right="60"/>
        <w:spacing w:after="0"/>
        <w:tabs>
          <w:tab w:leader="none" w:pos="36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color w:val="auto"/>
        </w:rPr>
        <w:t>(17.0)</w:t>
      </w:r>
    </w:p>
    <w:p>
      <w:pPr>
        <w:spacing w:after="0" w:line="35" w:lineRule="exact"/>
        <w:rPr>
          <w:sz w:val="20"/>
          <w:szCs w:val="20"/>
          <w:color w:val="auto"/>
        </w:rPr>
      </w:pPr>
    </w:p>
    <w:p>
      <w:pPr>
        <w:sectPr>
          <w:pgSz w:w="11900" w:h="16838" w:orient="portrait"/>
          <w:cols w:equalWidth="0" w:num="2">
            <w:col w:w="8560" w:space="720"/>
            <w:col w:w="21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73"/>
        </w:trPr>
        <w:tc>
          <w:tcPr>
            <w:tcW w:w="92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92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60" w:type="dxa"/>
            <w:vAlign w:val="bottom"/>
            <w:vMerge w:val="continue"/>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73"/>
        </w:trPr>
        <w:tc>
          <w:tcPr>
            <w:tcW w:w="92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92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income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p>
      <w:pPr>
        <w:jc w:val="center"/>
        <w:ind w:left="99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98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13335</wp:posOffset>
            </wp:positionV>
            <wp:extent cx="934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2013</w:t>
            </w:r>
          </w:p>
        </w:tc>
      </w:tr>
      <w:tr>
        <w:trPr>
          <w:trHeight w:val="23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55.6</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Other comprehensive income, net of reclassifications: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3"/>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gain on derivative instruments (net of tax effect of ($0.7) and $0.2)</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r>
      <w:tr>
        <w:trPr>
          <w:trHeight w:val="237"/>
        </w:trPr>
        <w:tc>
          <w:tcPr>
            <w:tcW w:w="9940" w:type="dxa"/>
            <w:vAlign w:val="bottom"/>
          </w:tcPr>
          <w:p>
            <w:pPr>
              <w:ind w:left="280"/>
              <w:spacing w:after="0"/>
              <w:rPr>
                <w:sz w:val="20"/>
                <w:szCs w:val="20"/>
                <w:color w:val="auto"/>
              </w:rPr>
            </w:pPr>
            <w:r>
              <w:rPr>
                <w:rFonts w:ascii="Arial" w:cs="Arial" w:eastAsia="Arial" w:hAnsi="Arial"/>
                <w:sz w:val="16"/>
                <w:szCs w:val="16"/>
                <w:color w:val="auto"/>
              </w:rPr>
              <w:t>Change in net unrealized (loss) gain on available-for-sale securities (net of tax effect of ($0.4) and $0.2)</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0.2</w:t>
            </w:r>
          </w:p>
        </w:tc>
      </w:tr>
      <w:tr>
        <w:trPr>
          <w:trHeight w:val="33"/>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cumulative foreign currency translation gain (loss) (net of tax effect of ($1.4) and $1.4)</w:t>
            </w: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7"/>
        </w:trPr>
        <w:tc>
          <w:tcPr>
            <w:tcW w:w="9940" w:type="dxa"/>
            <w:vAlign w:val="bottom"/>
          </w:tcPr>
          <w:p>
            <w:pPr>
              <w:ind w:left="280"/>
              <w:spacing w:after="0"/>
              <w:rPr>
                <w:sz w:val="20"/>
                <w:szCs w:val="20"/>
                <w:color w:val="auto"/>
              </w:rPr>
            </w:pPr>
            <w:r>
              <w:rPr>
                <w:rFonts w:ascii="Arial" w:cs="Arial" w:eastAsia="Arial" w:hAnsi="Arial"/>
                <w:sz w:val="16"/>
                <w:szCs w:val="16"/>
                <w:color w:val="auto"/>
              </w:rPr>
              <w:t>Total other comprehensive gain</w:t>
            </w: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w:t>
            </w:r>
          </w:p>
        </w:tc>
      </w:tr>
      <w:tr>
        <w:trPr>
          <w:trHeight w:val="33"/>
        </w:trPr>
        <w:tc>
          <w:tcPr>
            <w:tcW w:w="9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59.3</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5"/>
              </w:rPr>
              <w:t>April 30, 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January 31, 2014</w:t>
            </w:r>
          </w:p>
        </w:tc>
      </w:tr>
      <w:tr>
        <w:trPr>
          <w:trHeight w:val="250"/>
        </w:trPr>
        <w:tc>
          <w:tcPr>
            <w:tcW w:w="8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3"/>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8040" w:type="dxa"/>
            <w:vAlign w:val="bottom"/>
          </w:tcPr>
          <w:p>
            <w:pPr>
              <w:ind w:left="37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8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1,609.6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1,853.0</w:t>
            </w: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Marketable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414.1</w:t>
            </w: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423.7</w:t>
            </w: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w:t>
            </w: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87.4</w:t>
            </w:r>
          </w:p>
        </w:tc>
      </w:tr>
      <w:tr>
        <w:trPr>
          <w:trHeight w:val="33"/>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2,835.0</w:t>
            </w:r>
          </w:p>
        </w:tc>
      </w:tr>
      <w:tr>
        <w:trPr>
          <w:trHeight w:val="217"/>
        </w:trPr>
        <w:tc>
          <w:tcPr>
            <w:tcW w:w="804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268.2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277.3</w:t>
            </w: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w:t>
            </w: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Purchased technologies, net</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63.1</w:t>
            </w: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1,009.9</w:t>
            </w: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131.1</w:t>
            </w: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w:t>
            </w:r>
          </w:p>
        </w:tc>
      </w:tr>
      <w:tr>
        <w:trPr>
          <w:trHeight w:val="217"/>
        </w:trPr>
        <w:tc>
          <w:tcPr>
            <w:tcW w:w="80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4,648.6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4,595.0</w:t>
            </w:r>
          </w:p>
        </w:tc>
      </w:tr>
      <w:tr>
        <w:trPr>
          <w:trHeight w:val="73"/>
        </w:trPr>
        <w:tc>
          <w:tcPr>
            <w:tcW w:w="80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177"/>
        </w:trPr>
        <w:tc>
          <w:tcPr>
            <w:tcW w:w="8040" w:type="dxa"/>
            <w:vAlign w:val="bottom"/>
            <w:shd w:val="clear" w:color="auto" w:fill="CCEEFF"/>
          </w:tcPr>
          <w:p>
            <w:pPr>
              <w:ind w:left="226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74"/>
        </w:trPr>
        <w:tc>
          <w:tcPr>
            <w:tcW w:w="80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w:t>
            </w: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181.2</w:t>
            </w: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749.7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696.2</w:t>
            </w: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w:t>
            </w:r>
          </w:p>
        </w:tc>
      </w:tr>
      <w:tr>
        <w:trPr>
          <w:trHeight w:val="217"/>
        </w:trPr>
        <w:tc>
          <w:tcPr>
            <w:tcW w:w="804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1,118.7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1,071.5</w:t>
            </w:r>
          </w:p>
        </w:tc>
      </w:tr>
      <w:tr>
        <w:trPr>
          <w:trHeight w:val="33"/>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204.4</w:t>
            </w: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Long term income taxes payable</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211.8</w:t>
            </w: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notes payable, net of discount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746.4</w:t>
            </w: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99.4</w:t>
            </w: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Preferred stock</w:t>
            </w:r>
          </w:p>
        </w:tc>
        <w:tc>
          <w:tcPr>
            <w:tcW w:w="2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1,637.3</w:t>
            </w: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624.8</w:t>
            </w:r>
          </w:p>
        </w:tc>
      </w:tr>
      <w:tr>
        <w:trPr>
          <w:trHeight w:val="217"/>
        </w:trPr>
        <w:tc>
          <w:tcPr>
            <w:tcW w:w="80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2,288.7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2,261.5</w:t>
            </w:r>
          </w:p>
        </w:tc>
      </w:tr>
      <w:tr>
        <w:trPr>
          <w:trHeight w:val="33"/>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4,595.0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1013"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Three Months Ended April 30,</w:t>
            </w:r>
          </w:p>
        </w:tc>
      </w:tr>
      <w:tr>
        <w:trPr>
          <w:trHeight w:val="264"/>
        </w:trPr>
        <w:tc>
          <w:tcPr>
            <w:tcW w:w="94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2013</w:t>
            </w:r>
          </w:p>
        </w:tc>
      </w:tr>
      <w:tr>
        <w:trPr>
          <w:trHeight w:val="23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55.6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72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33.1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r>
      <w:tr>
        <w:trPr>
          <w:trHeight w:val="224"/>
        </w:trPr>
        <w:tc>
          <w:tcPr>
            <w:tcW w:w="9480" w:type="dxa"/>
            <w:vAlign w:val="bottom"/>
          </w:tcPr>
          <w:p>
            <w:pPr>
              <w:ind w:left="720"/>
              <w:spacing w:after="0"/>
              <w:rPr>
                <w:sz w:val="20"/>
                <w:szCs w:val="20"/>
                <w:color w:val="auto"/>
              </w:rPr>
            </w:pPr>
            <w:r>
              <w:rPr>
                <w:rFonts w:ascii="Arial" w:cs="Arial" w:eastAsia="Arial" w:hAnsi="Arial"/>
                <w:sz w:val="16"/>
                <w:szCs w:val="16"/>
                <w:color w:val="auto"/>
              </w:rPr>
              <w:t>Excess tax benefits from stock-based compensation</w:t>
            </w:r>
          </w:p>
        </w:tc>
        <w:tc>
          <w:tcPr>
            <w:tcW w:w="2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Restructuring charges, net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24"/>
        </w:trPr>
        <w:tc>
          <w:tcPr>
            <w:tcW w:w="9480" w:type="dxa"/>
            <w:vAlign w:val="bottom"/>
          </w:tcPr>
          <w:p>
            <w:pPr>
              <w:ind w:left="720"/>
              <w:spacing w:after="0"/>
              <w:rPr>
                <w:sz w:val="20"/>
                <w:szCs w:val="20"/>
                <w:color w:val="auto"/>
              </w:rPr>
            </w:pPr>
            <w:r>
              <w:rPr>
                <w:rFonts w:ascii="Arial" w:cs="Arial" w:eastAsia="Arial" w:hAnsi="Arial"/>
                <w:sz w:val="16"/>
                <w:szCs w:val="16"/>
                <w:color w:val="auto"/>
              </w:rPr>
              <w:t>Other operating activities</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224.1</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Purchases of marketable securities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(264.6)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marketable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w:t>
            </w: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Maturities of marketable securities</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68.9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(421.7)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(131.7)</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70.0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and retirement of common shares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(129.2)</w:t>
            </w: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2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fiscal year</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1,853.0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1,612.2</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1,655.8</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Autodesk, Inc. (“Autodesk” or the “Company”) as of April 30, 2014, and for the three months ended April 30, 2014 and 2013,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April 30, 2014 are not necessarily indicative of the results for the entire fiscal year ending January 31, 2015,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2014, filed on March 10,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three months ended April 30, 2014, that are of significance, or potential significance, to the Company.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Adopted in the Three Months Ended April 30, 2014</w:t>
      </w:r>
    </w:p>
    <w:p>
      <w:pPr>
        <w:spacing w:after="0" w:line="22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Effective February 1, 2014, Autodesk prospectively adopted FASB's Accounting Standards Update (“ASU”) 2013-11 regarding ASC Topic 740 “Income Tax.” This ASU clarifies the guidance on the presentation of an unrecognized tax benefit, or a portion of an unrecognized tax benefit, in the financial statements as a reduction to a deferred tax asset for a net operating loss carryforward, a similar tax loss, or a tax credit carryforward. The adoption of this ASU impacted the presentation of tax assets and liabilities on the statement of financial position, but did not impact its results of operations or cash flows.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On May 28, 2014, the FASB issued ASU 2014-09 regarding ASC Topic 606 “ Revenue from Contracts with Customers.” This ASU provides principles for recognizing revenue for the transfer of promised goods or services to customers with the consideration to which the entity expects to be entitled in exchange for those goods or services. This ASU will be effective for Autodesk’s fiscal year beginning February 1, 2017. Early adoption is not permitted. Autodesk is currently evaluating the accounting, transition and disclosure requirements of the standard and cannot currently estimate the financial statement impact of adoption.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 It is Autodesk’s policy to limit the amounts invested with any one institution by type of security and issuer.</w:t>
      </w:r>
    </w:p>
    <w:p>
      <w:pPr>
        <w:spacing w:after="0" w:line="18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Total sales to the distributor Tech Data Corporation, and its global affiliates (“Tech Data”), accounted for 26% and 25% of Autodesk’s total net revenue for the three months ended April 30, 2014 and 2013, respectively. The majority of the net revenue from sales to Tech Data relates to Autodesk’s Platform Solutions and Emerging Business (“PSEB”) segment and is for sales made outside of the United States. In addition, Tech Data accounted for 26% and 24% of trade accounts receivable at April 30, 2014 and January 31, 2014,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April 30, 2014 and January 31, 2014:</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April 30, 2014</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6"/>
                <w:szCs w:val="16"/>
                <w:color w:val="auto"/>
              </w:rPr>
              <w:t>Certificates of deposit and time deposits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314.1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290.4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6"/>
                <w:szCs w:val="16"/>
                <w:color w:val="auto"/>
              </w:rPr>
              <w:t>Money market funds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6"/>
                <w:szCs w:val="16"/>
                <w:color w:val="auto"/>
              </w:rPr>
              <w:t>Short-term available for sale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96"/>
              </w:rPr>
              <w:t>Commercial paper and 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Certificate of deposit and time deposits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Agency bond</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Other (2)</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Short-term trading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Mutual funds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Agency bond</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Convertible debt securities (3)</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(4)</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44"/>
        </w:trPr>
        <w:tc>
          <w:tcPr>
            <w:tcW w:w="3920" w:type="dxa"/>
            <w:vAlign w:val="bottom"/>
          </w:tcPr>
          <w:p>
            <w:pPr>
              <w:ind w:left="6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1,575.4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1,579.0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518.1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1,035.9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agency discount notes, U.S. treasury bills, and other short-term securities.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5"/>
        </w:trPr>
        <w:tc>
          <w:tcPr>
            <w:tcW w:w="3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January 31, 2014</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13"/>
                <w:szCs w:val="13"/>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3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0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368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160"/>
              <w:spacing w:after="0"/>
              <w:rPr>
                <w:sz w:val="20"/>
                <w:szCs w:val="20"/>
                <w:color w:val="auto"/>
              </w:rPr>
            </w:pPr>
            <w:r>
              <w:rPr>
                <w:rFonts w:ascii="Arial" w:cs="Arial" w:eastAsia="Arial" w:hAnsi="Arial"/>
                <w:sz w:val="16"/>
                <w:szCs w:val="16"/>
                <w:color w:val="auto"/>
              </w:rPr>
              <w:t>Certificates of deposit and time deposits</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280.7</w:t>
            </w:r>
          </w:p>
        </w:tc>
        <w:tc>
          <w:tcPr>
            <w:tcW w:w="120" w:type="dxa"/>
            <w:vAlign w:val="bottom"/>
          </w:tcPr>
          <w:p>
            <w:pPr>
              <w:spacing w:after="0"/>
              <w:rPr>
                <w:sz w:val="20"/>
                <w:szCs w:val="20"/>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160"/>
              <w:spacing w:after="0"/>
              <w:rPr>
                <w:sz w:val="20"/>
                <w:szCs w:val="20"/>
                <w:color w:val="auto"/>
              </w:rPr>
            </w:pPr>
            <w:r>
              <w:rPr>
                <w:rFonts w:ascii="Arial" w:cs="Arial" w:eastAsia="Arial" w:hAnsi="Arial"/>
                <w:sz w:val="16"/>
                <w:szCs w:val="16"/>
                <w:color w:val="auto"/>
              </w:rPr>
              <w:t>Municipal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Short-term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w w:val="92"/>
              </w:rPr>
              <w:t>Commercial paper and 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Time deposits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Agency bond</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Municipal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160"/>
              <w:spacing w:after="0"/>
              <w:rPr>
                <w:sz w:val="20"/>
                <w:szCs w:val="20"/>
                <w:color w:val="auto"/>
              </w:rPr>
            </w:pPr>
            <w:r>
              <w:rPr>
                <w:rFonts w:ascii="Arial" w:cs="Arial" w:eastAsia="Arial" w:hAnsi="Arial"/>
                <w:sz w:val="16"/>
                <w:szCs w:val="16"/>
                <w:color w:val="auto"/>
              </w:rPr>
              <w:t>Short-term trading securities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Mutual funds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160"/>
              <w:spacing w:after="0"/>
              <w:rPr>
                <w:sz w:val="20"/>
                <w:szCs w:val="20"/>
                <w:color w:val="auto"/>
              </w:rPr>
            </w:pPr>
            <w:r>
              <w:rPr>
                <w:rFonts w:ascii="Arial" w:cs="Arial" w:eastAsia="Arial" w:hAnsi="Arial"/>
                <w:sz w:val="16"/>
                <w:szCs w:val="16"/>
                <w:color w:val="auto"/>
              </w:rPr>
              <w:t>Long-term available for sale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debt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Agency bond</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Municipal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(3)</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Derivative contracts (4)</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3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agency discount notes, U.S. treasury bills, and other short-term securities.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1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three months ended April 30, 2014.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08" w:right="239" w:bottom="1440" w:gutter="0" w:footer="0" w:header="0"/>
        </w:sectPr>
      </w:pPr>
    </w:p>
    <w:bookmarkStart w:id="9" w:name="page10"/>
    <w:bookmarkEnd w:id="9"/>
    <w:p>
      <w:pPr>
        <w:ind w:firstLine="405"/>
        <w:spacing w:after="0" w:line="255"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 for 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and some of the inputs to the models are unobservable in the market.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three months ended April 30, 2014 was as follows:</w:t>
      </w:r>
    </w:p>
    <w:p>
      <w:pPr>
        <w:spacing w:after="0" w:line="379"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13335</wp:posOffset>
            </wp:positionV>
            <wp:extent cx="25126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Derivative</w:t>
            </w:r>
          </w:p>
        </w:tc>
        <w:tc>
          <w:tcPr>
            <w:tcW w:w="12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Convertible Debt</w:t>
            </w: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Securities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4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January 31, 2014</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7"/>
        </w:trPr>
        <w:tc>
          <w:tcPr>
            <w:tcW w:w="7480" w:type="dxa"/>
            <w:vAlign w:val="bottom"/>
            <w:gridSpan w:val="2"/>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7480" w:type="dxa"/>
            <w:vAlign w:val="bottom"/>
            <w:gridSpan w:val="2"/>
          </w:tcPr>
          <w:p>
            <w:pPr>
              <w:ind w:left="380"/>
              <w:spacing w:after="0"/>
              <w:rPr>
                <w:sz w:val="20"/>
                <w:szCs w:val="20"/>
                <w:color w:val="auto"/>
              </w:rPr>
            </w:pPr>
            <w:r>
              <w:rPr>
                <w:rFonts w:ascii="Arial" w:cs="Arial" w:eastAsia="Arial" w:hAnsi="Arial"/>
                <w:sz w:val="16"/>
                <w:szCs w:val="16"/>
                <w:color w:val="auto"/>
              </w:rPr>
              <w:t>Net realized (losses)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unrealized (losses)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4"/>
        </w:trPr>
        <w:tc>
          <w:tcPr>
            <w:tcW w:w="7480" w:type="dxa"/>
            <w:vAlign w:val="bottom"/>
            <w:gridSpan w:val="2"/>
          </w:tcPr>
          <w:p>
            <w:pPr>
              <w:ind w:left="40"/>
              <w:spacing w:after="0"/>
              <w:rPr>
                <w:sz w:val="20"/>
                <w:szCs w:val="20"/>
                <w:color w:val="auto"/>
              </w:rPr>
            </w:pPr>
            <w:r>
              <w:rPr>
                <w:rFonts w:ascii="Arial" w:cs="Arial" w:eastAsia="Arial" w:hAnsi="Arial"/>
                <w:sz w:val="16"/>
                <w:szCs w:val="16"/>
                <w:color w:val="auto"/>
              </w:rPr>
              <w:t>Balance at April 30, 2014</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 2014</w:t>
            </w:r>
          </w:p>
        </w:tc>
        <w:tc>
          <w:tcPr>
            <w:tcW w:w="1060" w:type="dxa"/>
            <w:vAlign w:val="bottom"/>
            <w:tcBorders>
              <w:bottom w:val="single" w:sz="8" w:color="auto"/>
            </w:tcBorders>
          </w:tcPr>
          <w:p>
            <w:pPr>
              <w:spacing w:after="0"/>
              <w:rPr>
                <w:sz w:val="16"/>
                <w:szCs w:val="16"/>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5"/>
              </w:rPr>
              <w:t>Fair Value</w:t>
            </w:r>
          </w:p>
        </w:tc>
      </w:tr>
      <w:tr>
        <w:trPr>
          <w:trHeight w:val="236"/>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1 year</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468.1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468.1</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4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288.6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288.4</w:t>
            </w:r>
          </w:p>
        </w:tc>
      </w:tr>
      <w:tr>
        <w:trPr>
          <w:trHeight w:val="33"/>
        </w:trPr>
        <w:tc>
          <w:tcPr>
            <w:tcW w:w="8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Due after 10 years</w:t>
            </w:r>
          </w:p>
        </w:tc>
        <w:tc>
          <w:tcPr>
            <w:tcW w:w="94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756.7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756.5</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As of April 30, 2014 and January 31, 2014, Autodesk did not have any securities in a continuous unrealized loss position for greater than twelve months.</w:t>
      </w:r>
    </w:p>
    <w:p>
      <w:pPr>
        <w:spacing w:after="0" w:line="170"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Autodesk also has direct investments in privately held companies accounted for under the cost method, which are periodically assessed for other-than-temporary impairment. If Autodesk determines that an other-than-temporary impairment has occurred, Autodesk writes down the investment to its fair value. Autodesk estimates fair value of its cost method investments considering available information such as pricing in recent rounds of financing, current cash positions, earnings and cash flow forecasts, recent operational performance and any other readily available market data. During the three months ended April 30, 2014 and 2013, Autodesk recorded no other-than-temporary impairment on its privately held equity investments.</w:t>
      </w:r>
    </w:p>
    <w:p>
      <w:pPr>
        <w:spacing w:after="0" w:line="239"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The sales or redemptions of “available-for-sale securities” during the three months ended April 30, 2014 and 2013 resulted in a gain of $0.4 million and a loss of $0.2 million, respectively. Gains and losses resulting from the sale or redemption of "available-for-sale securities" are recorded in “Interest and other (expense) income, net” on the Company's Condensed Consolidated Statement of Operations.</w:t>
      </w:r>
    </w:p>
    <w:p>
      <w:pPr>
        <w:spacing w:after="0" w:line="262"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three months ended April 30, 2014 and 2013 were $222.3 million and $197.0 million,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to twelve months in the future. Autodesk does not enter into derivative instrument transactions for trading or speculative purposes.</w:t>
      </w:r>
    </w:p>
    <w:p>
      <w:pPr>
        <w:spacing w:after="0" w:line="17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(expense) income, net” in the Company's Condensed Consolidated Financial Statements at that time.</w:t>
      </w:r>
    </w:p>
    <w:p>
      <w:pPr>
        <w:spacing w:after="0" w:line="166"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The net notional amount of these contracts are presented net settled and were $379.8 million at April 30, 2014 and $351.7 million at January 31, 2014. Outstanding contracts are recognized as either assets or liabilities on the balance sheet at fair value. The majority of the net gain of $0.2 million remaining in “Accumulated other comprehensive income (loss)” as of April 30, 2014 is expected to be recognized into earnings within the next twelve months.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income,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$25.1 million at April 30, 2014 and $205.5 million at January 31, 2014.</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time to time and consistent with its risk management policy, Autodesk also uses derivative instruments to hedge its economic exposure related to committed, in-process acquisitions priced in foreign currency. Such derivatives do not qualify for hedge accounting and are marked-to-market through earnings, with any gain or loss reflected immediately in “Interest and other (expense) income, net,” in each period.</w:t>
      </w:r>
    </w:p>
    <w:p>
      <w:pPr>
        <w:spacing w:after="0" w:line="181"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income, net.”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fair value of derivative instruments in Autodesk’s Condensed Consolidated Balance Sheets were as follows as of April 30, 2014 and January 31, 2014:</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2520" w:type="dxa"/>
            <w:vAlign w:val="bottom"/>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2014</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2014</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7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17"/>
                <w:szCs w:val="17"/>
                <w:color w:val="auto"/>
              </w:rPr>
            </w:pPr>
          </w:p>
        </w:tc>
        <w:tc>
          <w:tcPr>
            <w:tcW w:w="2520" w:type="dxa"/>
            <w:vAlign w:val="bottom"/>
          </w:tcPr>
          <w:p>
            <w:pPr>
              <w:ind w:left="180"/>
              <w:spacing w:after="0"/>
              <w:rPr>
                <w:sz w:val="20"/>
                <w:szCs w:val="20"/>
                <w:color w:val="auto"/>
              </w:rPr>
            </w:pPr>
            <w:r>
              <w:rPr>
                <w:rFonts w:ascii="Arial" w:cs="Arial" w:eastAsia="Arial" w:hAnsi="Arial"/>
                <w:sz w:val="16"/>
                <w:szCs w:val="16"/>
                <w:color w:val="auto"/>
              </w:rPr>
              <w:t>assets (1)</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72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84"/>
        </w:trPr>
        <w:tc>
          <w:tcPr>
            <w:tcW w:w="57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 (2)</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derivative liabilities</w:t>
            </w:r>
          </w:p>
        </w:tc>
        <w:tc>
          <w:tcPr>
            <w:tcW w:w="25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80" w:hanging="412"/>
        <w:spacing w:after="0" w:line="251"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Considering Autodesk's master netting arrangements, these contracts are presented net settled. The gross balance is $4.3 million and $5.9 million at April 30, 2014 and January 31, 2014, respectively.</w:t>
      </w:r>
    </w:p>
    <w:p>
      <w:pPr>
        <w:ind w:left="420" w:right="180" w:hanging="412"/>
        <w:spacing w:after="0" w:line="276"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Considering Autodesk's master netting arrangements, these contracts are presented net settled. The gross balance is $2.1 million and $3.2 million at April 30, 2014 and January 31, 2014, respectively.</w:t>
      </w:r>
    </w:p>
    <w:p>
      <w:pPr>
        <w:spacing w:after="0" w:line="17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months ended April 30, 2014 and 2013, respectively (amounts presented include any income tax effects):</w:t>
      </w:r>
    </w:p>
    <w:p>
      <w:pPr>
        <w:spacing w:after="0" w:line="324" w:lineRule="exact"/>
        <w:rPr>
          <w:sz w:val="20"/>
          <w:szCs w:val="20"/>
          <w:color w:val="auto"/>
        </w:rPr>
      </w:pPr>
    </w:p>
    <w:p>
      <w:pPr>
        <w:ind w:left="10020"/>
        <w:spacing w:after="0"/>
        <w:rPr>
          <w:sz w:val="20"/>
          <w:szCs w:val="20"/>
          <w:color w:val="auto"/>
        </w:rPr>
      </w:pPr>
      <w:r>
        <w:rPr>
          <w:rFonts w:ascii="Arial" w:cs="Arial" w:eastAsia="Arial" w:hAnsi="Arial"/>
          <w:sz w:val="14"/>
          <w:szCs w:val="14"/>
          <w:b w:val="1"/>
          <w:bCs w:val="1"/>
          <w:color w:val="auto"/>
        </w:rPr>
        <w:t>Foreign Currency</w:t>
      </w:r>
    </w:p>
    <w:p>
      <w:pPr>
        <w:spacing w:after="0" w:line="4" w:lineRule="exact"/>
        <w:rPr>
          <w:sz w:val="20"/>
          <w:szCs w:val="20"/>
          <w:color w:val="auto"/>
        </w:rPr>
      </w:pPr>
    </w:p>
    <w:p>
      <w:pPr>
        <w:ind w:left="10280"/>
        <w:spacing w:after="0"/>
        <w:rPr>
          <w:sz w:val="20"/>
          <w:szCs w:val="20"/>
          <w:color w:val="auto"/>
        </w:rPr>
      </w:pPr>
      <w:r>
        <w:rPr>
          <w:rFonts w:ascii="Arial" w:cs="Arial" w:eastAsia="Arial" w:hAnsi="Arial"/>
          <w:sz w:val="14"/>
          <w:szCs w:val="14"/>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13335</wp:posOffset>
            </wp:positionV>
            <wp:extent cx="1080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9" w:lineRule="exact"/>
        <w:rPr>
          <w:sz w:val="20"/>
          <w:szCs w:val="20"/>
          <w:color w:val="auto"/>
        </w:rPr>
      </w:pPr>
    </w:p>
    <w:p>
      <w:pPr>
        <w:jc w:val="center"/>
        <w:ind w:left="9740"/>
        <w:spacing w:after="0"/>
        <w:rPr>
          <w:sz w:val="20"/>
          <w:szCs w:val="20"/>
          <w:color w:val="auto"/>
        </w:rPr>
      </w:pPr>
      <w:r>
        <w:rPr>
          <w:rFonts w:ascii="Arial" w:cs="Arial" w:eastAsia="Arial" w:hAnsi="Arial"/>
          <w:sz w:val="13"/>
          <w:szCs w:val="13"/>
          <w:b w:val="1"/>
          <w:bCs w:val="1"/>
          <w:color w:val="auto"/>
        </w:rPr>
        <w:t>Three Months Ended April</w:t>
      </w:r>
    </w:p>
    <w:p>
      <w:pPr>
        <w:spacing w:after="0" w:line="15"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13335</wp:posOffset>
            </wp:positionV>
            <wp:extent cx="1080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shd w:val="clear" w:color="auto" w:fill="CCEEFF"/>
              </w:rPr>
              <w:t>Amount of (loss) gain recognized in accumulated other comprehensive income on derivatives (effective portion)</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rPr>
              <w:t>Amount and location of gain (loss) reclassified from accumulated other comprehensive income into income (effective portion)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97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Amount and location of gain recognized in income on derivatives (ineffective portion and amount excluded from effectiveness testing)</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and other (expense) income, net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months ended April 30, 2014 and 2013, respectively (amounts presented include any income tax effects):</w:t>
      </w:r>
    </w:p>
    <w:p>
      <w:pPr>
        <w:spacing w:after="0" w:line="324"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13335</wp:posOffset>
            </wp:positionV>
            <wp:extent cx="1012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87" w:lineRule="exact"/>
        <w:rPr>
          <w:sz w:val="20"/>
          <w:szCs w:val="20"/>
          <w:color w:val="auto"/>
        </w:rPr>
      </w:pPr>
    </w:p>
    <w:p>
      <w:pPr>
        <w:ind w:left="10100"/>
        <w:spacing w:after="0"/>
        <w:tabs>
          <w:tab w:leader="none" w:pos="109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23495</wp:posOffset>
            </wp:positionV>
            <wp:extent cx="1012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Amount and location of (loss) gain recognized in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9840" w:val="left"/>
          <w:tab w:leader="none" w:pos="10260" w:val="left"/>
          <w:tab w:leader="none" w:pos="10760" w:val="left"/>
          <w:tab w:leader="none" w:pos="11080" w:val="left"/>
        </w:tabs>
        <w:rPr>
          <w:sz w:val="20"/>
          <w:szCs w:val="20"/>
          <w:color w:val="auto"/>
        </w:rPr>
      </w:pPr>
      <w:r>
        <w:rPr>
          <w:rFonts w:ascii="Arial" w:cs="Arial" w:eastAsia="Arial" w:hAnsi="Arial"/>
          <w:sz w:val="16"/>
          <w:szCs w:val="16"/>
          <w:color w:val="auto"/>
        </w:rPr>
        <w:t>Interest and other (expense) income, net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(5.7)</w:t>
        <w:tab/>
        <w:t>$</w:t>
      </w:r>
      <w:r>
        <w:rPr>
          <w:sz w:val="20"/>
          <w:szCs w:val="20"/>
          <w:color w:val="auto"/>
        </w:rPr>
        <w:tab/>
      </w:r>
      <w:r>
        <w:rPr>
          <w:rFonts w:ascii="Arial" w:cs="Arial" w:eastAsia="Arial" w:hAnsi="Arial"/>
          <w:sz w:val="15"/>
          <w:szCs w:val="15"/>
          <w:color w:val="auto"/>
        </w:rPr>
        <w:t>1.5</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5. Stock-based Compensation Expense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Plans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of April 30, 2014, Autodesk maintained two active stock plans for the purpose of granting equity awards to employees and to non-employee members of Autodesk’s Board of Directors: the 2012 Employee Stock Plan (“2012 Employee Plan”), which is available only to employees, and the Autodesk 2012 Outside Directors’ Plan (“2012 Directors' Plan”), which is available only to non-employee directors. Additionally, there are eight expired or terminated plans with options outstanding. The exercise price of all stock options granted under these plans was equal to the fair market value of the stock on the grant date.</w:t>
      </w:r>
    </w:p>
    <w:p>
      <w:pPr>
        <w:spacing w:after="0" w:line="188"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The 2012 Employee Plan was approved by Autodesk's stockholders and became effective on January 6, 2012. On January 14, 2014, Autodesk's stockholders approved amendments to the 2012 Employee Plan, which increased the number of shares reserved for issuance under the plan by 11.4 million shares and added additional performance goals to the plan. The 2012 Employee Plan replaced the 2008 Employee Stock Plan, as amended ("2008 Plan") and no further equity awards may be granted under the 2008 Plan. The 2012 Employee Plan reserves up to 32.6 million shares which includes 26.6 million shares reserved under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April 30, 2014, 16.1 million shares subject to options or restricted stock unit awards have been granted under the 2012 Employee Plan. Options and restricted stock units that were granted under the 2012 Employee Plan vest over periods ranging from immediately upon grant to over a three-year period and options expire 10 years from the date of grant. The 2012 Employee Plan will expire on June 30, 2022. At April 30, 2014, 17.7 million shares were available for future issuance under the 2012 Employee Plan.</w:t>
      </w:r>
    </w:p>
    <w:p>
      <w:pPr>
        <w:spacing w:after="0" w:line="18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2012 Outside Directors' Plan ("2012 Directors' Plan) was approved by Autodesk's stockholders and became effective on January 6, 2012. The 2012 Directors' Plan replaced the 2010 Outside Directors' Stock Plan, as amended ("2010 Plan").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April 30, 2014, 0.4 million shares subject to restricted stock unit awards have been granted under the 2012 Directors' Plan. Restricted stock units that were granted under the 2012 Directors' Plan vest over one to three years from the date of grant. The 2012 Directors' Plan reserved 2.6 million shares of Autodesk common stock. The 2012 Directors' Plan will expire on June 30, 2022. At April 30, 2014, 2.2 million shares were available for future issuance under the 2012 Directors' Plan.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13" w:name="page14"/>
    <w:bookmarkEnd w:id="13"/>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three months ended April 30, 2014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exercise price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21"/>
                <w:szCs w:val="21"/>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2014</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Granted (1)</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April 30, 2014</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4.7</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vested and exercisable at April 30, 2014</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33.44</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vested as of April 30, 2014 and expected to vest thereafter (2)</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4.7</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33.88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available for grant at April 30, 2014</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vMerge w:val="continue"/>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Autodesk did not grant stock options in the three months ended April 30, 2014.</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Options expected to vest reflect an estimated forfeiture rate.</w:t>
      </w:r>
    </w:p>
    <w:p>
      <w:pPr>
        <w:spacing w:after="0" w:line="5" w:lineRule="exact"/>
        <w:rPr>
          <w:rFonts w:ascii="Arial" w:cs="Arial" w:eastAsia="Arial" w:hAnsi="Arial"/>
          <w:sz w:val="16"/>
          <w:szCs w:val="16"/>
          <w:color w:val="auto"/>
        </w:rPr>
      </w:pPr>
    </w:p>
    <w:p>
      <w:pPr>
        <w:ind w:left="420" w:right="300" w:hanging="412"/>
        <w:spacing w:after="0" w:line="257"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$48.02 per share as of April 30, 2014, which would have been received by the option holders had all option holders exercised their options as of that date.</w:t>
      </w:r>
    </w:p>
    <w:p>
      <w:pPr>
        <w:spacing w:after="0" w:line="18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of April 30, 2014, compensation cost of $4.3 million related to non-vested options is expected to be recognized over a weighted average period of 0.8 year.</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and the weighted average grant date fair value per share of options granted during the three months ended April 30, 2014 and 2013:</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8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9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3"/>
                <w:szCs w:val="13"/>
                <w:color w:val="auto"/>
              </w:rPr>
            </w:pPr>
          </w:p>
        </w:tc>
        <w:tc>
          <w:tcPr>
            <w:tcW w:w="10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5"/>
              </w:rPr>
              <w:t>April 30, 2013</w:t>
            </w:r>
          </w:p>
        </w:tc>
        <w:tc>
          <w:tcPr>
            <w:tcW w:w="0" w:type="dxa"/>
            <w:vAlign w:val="bottom"/>
          </w:tcPr>
          <w:p>
            <w:pPr>
              <w:spacing w:after="0"/>
              <w:rPr>
                <w:sz w:val="1"/>
                <w:szCs w:val="1"/>
                <w:color w:val="auto"/>
              </w:rPr>
            </w:pPr>
          </w:p>
        </w:tc>
      </w:tr>
      <w:tr>
        <w:trPr>
          <w:trHeight w:val="192"/>
        </w:trPr>
        <w:tc>
          <w:tcPr>
            <w:tcW w:w="9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Weighted average grant date fair value per share of stock options granted (2)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936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32" w:lineRule="exact"/>
        <w:rPr>
          <w:rFonts w:ascii="Arial" w:cs="Arial" w:eastAsia="Arial" w:hAnsi="Arial"/>
          <w:sz w:val="14"/>
          <w:szCs w:val="14"/>
          <w:color w:val="auto"/>
        </w:rPr>
      </w:pPr>
    </w:p>
    <w:p>
      <w:pPr>
        <w:ind w:left="420" w:hanging="412"/>
        <w:spacing w:after="0" w:line="257"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weighted average grant date fair value per share of stock options granted is calculated, as of the stock option grant date, using the BSM option pricing model. For the three months ended April 30, 2014 and 2013, Autodesk did not grant stock options.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t>The following table summarizes information about options outstanding and exercisable at April 30,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Options Vested and Exercisable</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9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intrinsic</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6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value (1)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9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value (1)</w:t>
            </w: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6"/>
                <w:szCs w:val="16"/>
                <w:color w:val="auto"/>
              </w:rPr>
            </w:pPr>
          </w:p>
        </w:tc>
        <w:tc>
          <w:tcPr>
            <w:tcW w:w="960" w:type="dxa"/>
            <w:vAlign w:val="bottom"/>
          </w:tcPr>
          <w:p>
            <w:pPr>
              <w:jc w:val="center"/>
              <w:ind w:right="6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1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per-share</w:t>
            </w: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exercise prices:</w:t>
            </w: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$2.28 - $29.49</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23.25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23.47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$29.50 - $38.55</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$41.62 - $43.81</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42.06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42.16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60" w:hanging="412"/>
        <w:spacing w:after="0" w:line="263"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$48.02 per share as of April 30, 2014, which would have been received by the option holders had all option holders exercised their options as of that date.</w:t>
      </w:r>
    </w:p>
    <w:p>
      <w:pPr>
        <w:sectPr>
          <w:pgSz w:w="11900" w:h="16838" w:orient="portrait"/>
          <w:cols w:equalWidth="0" w:num="1">
            <w:col w:w="11380"/>
          </w:cols>
          <w:pgMar w:left="240" w:top="584" w:right="279" w:bottom="1440" w:gutter="0" w:footer="0" w:header="0"/>
        </w:sectPr>
      </w:pP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These options will expire if not exercised at specific dates ranging through September 2022.</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restricted stock unit activity for the three months ended April 30, 2014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1691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2014</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91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91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April 30,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Unvested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Stock 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6,515.6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270"/>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1,049.5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49.96</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(731.0)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40.24</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40.20</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42.23</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6,684.5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40.67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9436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600" w:space="660"/>
            <w:col w:w="3120"/>
          </w:cols>
          <w:pgMar w:left="240" w:top="584" w:right="27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-130175</wp:posOffset>
            </wp:positionV>
            <wp:extent cx="9436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 w:lineRule="exact"/>
        <w:rPr>
          <w:sz w:val="20"/>
          <w:szCs w:val="20"/>
          <w:color w:val="auto"/>
        </w:rPr>
      </w:pPr>
    </w:p>
    <w:p>
      <w:pPr>
        <w:ind w:left="420" w:right="100" w:hanging="412"/>
        <w:spacing w:after="0" w:line="263"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Autodesk's financial results for both the fiscal 2013 and 2014 performance period. The performance stock units were earned at 92.3% and 65.8% of the target award for granted in fiscal 2013 and fiscal 2014, respectively.</w:t>
      </w:r>
    </w:p>
    <w:p>
      <w:pPr>
        <w:spacing w:after="0" w:line="17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For the restricted stock units granted during the three months ended April 30, 2014 and 2013, the weighted average grant date fair value was $49.96 and $41.58, respectively. The grant date fair value of the shares vested during the three months ended April 30, 2014 and 2013 was $29.4 million and $33.6 million, respectively.</w:t>
      </w:r>
    </w:p>
    <w:p>
      <w:pPr>
        <w:spacing w:after="0" w:line="181"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During the three months ended April 30, 2014, Autodesk granted 0.6 million restricted stock units.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primarily expensed ratably over the vesting period. Autodesk recorded stock-based compensation expense related to restricted stock units of $22.9 million during the three months ended April 30, 2014. Autodesk recorded stock-based compensation expense related to restricted stock units of $16.0 million during the three months ended April 30, 2013. As of April 30, 2014, total compensation cost not yet recognized of $156.0 million related to non-vested restricted stock units, is expected to be recognized over a weighted average period of 1.8 years. At April 30, 2014, the number of restricted stock units granted but unvested was 5.7 million.</w:t>
      </w:r>
    </w:p>
    <w:p>
      <w:pPr>
        <w:spacing w:after="0" w:line="17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During the three months ended April 30, 2014, Autodesk granted 0.5 million performance restricted stock units (“PSUs”) for which the ultimate number of shares earned is determined based on the achievement of performance criteria at the end of the stated performance period. The performance criteria for these grants are based upon billings and subscriptions goals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84" w:right="279" w:bottom="1440" w:gutter="0" w:footer="0" w:header="0"/>
          <w:type w:val="continuous"/>
        </w:sectPr>
      </w:pPr>
    </w:p>
    <w:bookmarkStart w:id="15" w:name="page16"/>
    <w:bookmarkEnd w:id="15"/>
    <w:p>
      <w:pPr>
        <w:ind w:right="400"/>
        <w:spacing w:after="0" w:line="277" w:lineRule="auto"/>
        <w:rPr>
          <w:sz w:val="20"/>
          <w:szCs w:val="20"/>
          <w:color w:val="auto"/>
        </w:rPr>
      </w:pPr>
      <w:r>
        <w:rPr>
          <w:rFonts w:ascii="Arial" w:cs="Arial" w:eastAsia="Arial" w:hAnsi="Arial"/>
          <w:sz w:val="18"/>
          <w:szCs w:val="18"/>
          <w:color w:val="auto"/>
        </w:rPr>
        <w:t>adopted by the Compensation and Human Resource Committee, as well as total stockholder return compared against the S&amp;P Computer Software Select Index (“Relative TSR”). Each PSU covers a three year period:</w:t>
      </w:r>
    </w:p>
    <w:p>
      <w:pPr>
        <w:spacing w:after="0" w:line="170" w:lineRule="exact"/>
        <w:rPr>
          <w:sz w:val="20"/>
          <w:szCs w:val="20"/>
          <w:color w:val="auto"/>
        </w:rPr>
      </w:pPr>
    </w:p>
    <w:p>
      <w:pPr>
        <w:ind w:left="660" w:right="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one depending upon the achievement of the billings and subscriptions goals for year one as well as 1 year Relative TSR (covering year one).</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two depending upon the achievement of the billings and subscriptions goals for year two as well as 2 year Relative TSR (covering years one and two).</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three depending upon the achievement of the billings and subscriptions goals for year three as well as 3 year Relative TSR (covering years one, two and three).</w:t>
      </w:r>
    </w:p>
    <w:p>
      <w:pPr>
        <w:spacing w:after="0" w:line="170"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PSUs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subject to a market condition. The fair value of the PSUs is expensed using the accelerated attribution method over the vesting period. Autodesk recorded stock-based compensation expense related to PSUs of $3.0 million for the three months ended April 30, 2014. Autodesk recorded stock-based compensation expense related to PSUs of $2.7 million during the three months ended April 30, 2013. As of April 30, 2014, total compensation cost not yet recognized of $15.1 million related to non-vested performance restricted stock units, is expected to be recognized over a weighted average period of 1.6 years. At April 30, 2014, the number of PSUs granted but not vested was 0.9 million.</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April 30, 2014, a total of 37.0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93"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Autodesk issued 1.1 million shares under the ESP Plan during the three months ended April 30, 2014, with an average price of $33.66 per share. During the three months ended April 30, 2013, Autodesk issued 1.5 million shares under the ESP Plan, at average price of $22.32 per share. The weighted average grant date fair value of awards granted under the ESP Plan was $14.26 during the three months ended April 30, 2014, calculated as of the award grant date using the Black-Scholes-Merton option pricing model. The weighted average grant date fair value of awards granted under the ESP Plan during the three months ended April 30, 2013, calculated as of the award grant date using the Black-Scholes-Merton option pricing model, was $11.84 per share.</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stock-based compensation expense for the three months ended April 30, 2014 and 2013, respectively,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6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April</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April</w:t>
            </w:r>
          </w:p>
        </w:tc>
      </w:tr>
      <w:tr>
        <w:trPr>
          <w:trHeight w:val="192"/>
        </w:trPr>
        <w:tc>
          <w:tcPr>
            <w:tcW w:w="76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30, 2014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30, 2013</w:t>
            </w:r>
          </w:p>
        </w:tc>
      </w:tr>
      <w:tr>
        <w:trPr>
          <w:trHeight w:val="23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Cost of subscription</w:t>
            </w:r>
          </w:p>
        </w:tc>
        <w:tc>
          <w:tcPr>
            <w:tcW w:w="40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0.6</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40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10.9</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4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33.5</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 net of tax</w:t>
            </w:r>
          </w:p>
        </w:tc>
        <w:tc>
          <w:tcPr>
            <w:tcW w:w="40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24.2</w:t>
            </w:r>
          </w:p>
        </w:tc>
      </w:tr>
      <w:tr>
        <w:trPr>
          <w:trHeight w:val="33"/>
        </w:trPr>
        <w:tc>
          <w:tcPr>
            <w:tcW w:w="7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Autodesk determines the grant-date fair value of its share-based payment awards using a Black-Scholes Merton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forfeitures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Three Months Ended April 30, 2014</w:t>
            </w:r>
          </w:p>
        </w:tc>
        <w:tc>
          <w:tcPr>
            <w:tcW w:w="120" w:type="dxa"/>
            <w:vAlign w:val="bottom"/>
          </w:tcPr>
          <w:p>
            <w:pPr>
              <w:spacing w:after="0"/>
              <w:rPr>
                <w:sz w:val="16"/>
                <w:szCs w:val="16"/>
                <w:color w:val="auto"/>
              </w:rPr>
            </w:pPr>
          </w:p>
        </w:tc>
        <w:tc>
          <w:tcPr>
            <w:tcW w:w="30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Three Months Ended April 30, 2013</w:t>
            </w:r>
          </w:p>
        </w:tc>
        <w:tc>
          <w:tcPr>
            <w:tcW w:w="0" w:type="dxa"/>
            <w:vAlign w:val="bottom"/>
          </w:tcPr>
          <w:p>
            <w:pPr>
              <w:spacing w:after="0"/>
              <w:rPr>
                <w:sz w:val="1"/>
                <w:szCs w:val="1"/>
                <w:color w:val="auto"/>
              </w:rPr>
            </w:pPr>
          </w:p>
        </w:tc>
      </w:tr>
      <w:tr>
        <w:trPr>
          <w:trHeight w:val="152"/>
        </w:trPr>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Performance Stock Unit</w:t>
            </w:r>
          </w:p>
        </w:tc>
        <w:tc>
          <w:tcPr>
            <w:tcW w:w="16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ESP Plan</w:t>
            </w: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92"/>
        </w:trPr>
        <w:tc>
          <w:tcPr>
            <w:tcW w:w="1720" w:type="dxa"/>
            <w:vAlign w:val="bottom"/>
            <w:gridSpan w:val="2"/>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30%</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30 - 33%</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34%</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27 - 36%</w:t>
            </w:r>
          </w:p>
        </w:tc>
        <w:tc>
          <w:tcPr>
            <w:tcW w:w="0" w:type="dxa"/>
            <w:vAlign w:val="bottom"/>
          </w:tcPr>
          <w:p>
            <w:pPr>
              <w:spacing w:after="0"/>
              <w:rPr>
                <w:sz w:val="1"/>
                <w:szCs w:val="1"/>
                <w:color w:val="auto"/>
              </w:rPr>
            </w:pPr>
          </w:p>
        </w:tc>
      </w:tr>
      <w:tr>
        <w:trPr>
          <w:trHeight w:val="270"/>
        </w:trPr>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160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0.1 - 0.4%</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0.1 - 0.3%</w:t>
            </w:r>
          </w:p>
        </w:tc>
        <w:tc>
          <w:tcPr>
            <w:tcW w:w="0" w:type="dxa"/>
            <w:vAlign w:val="bottom"/>
          </w:tcPr>
          <w:p>
            <w:pPr>
              <w:spacing w:after="0"/>
              <w:rPr>
                <w:sz w:val="1"/>
                <w:szCs w:val="1"/>
                <w:color w:val="auto"/>
              </w:rPr>
            </w:pPr>
          </w:p>
        </w:tc>
      </w:tr>
      <w:tr>
        <w:trPr>
          <w:trHeight w:val="270"/>
        </w:trPr>
        <w:tc>
          <w:tcPr>
            <w:tcW w:w="1600" w:type="dxa"/>
            <w:vAlign w:val="bottom"/>
          </w:tcPr>
          <w:p>
            <w:pPr>
              <w:jc w:val="center"/>
              <w:spacing w:after="0"/>
              <w:rPr>
                <w:sz w:val="20"/>
                <w:szCs w:val="20"/>
                <w:color w:val="auto"/>
              </w:rPr>
            </w:pPr>
            <w:r>
              <w:rPr>
                <w:rFonts w:ascii="Arial" w:cs="Arial" w:eastAsia="Arial" w:hAnsi="Arial"/>
                <w:sz w:val="16"/>
                <w:szCs w:val="16"/>
                <w:color w:val="auto"/>
                <w:w w:val="93"/>
              </w:rPr>
              <w:t>7.2%</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7.2%</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7.7%</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-835660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-492760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-149860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380"/>
          </w:cols>
          <w:pgMar w:left="240" w:top="800" w:right="239" w:bottom="1440" w:gutter="0" w:footer="0" w:header="0"/>
          <w:type w:val="continuous"/>
        </w:sectPr>
      </w:pPr>
    </w:p>
    <w:p>
      <w:pPr>
        <w:spacing w:after="0" w:line="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 The expected volatility for PSUs subject to market conditions includes the expected volatility of Autodesk's peer companies within the S&amp;P Computer Software Select Index.</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Black-Scholes-Merton option pricing model and the Monte Carlo simulation model.</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risk-free interest rate used in the Black-Scholes-Merton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Autodesk’s effective tax rate was 21% during the three months ended April 30, 2014, compared to 23% during the three months ended April 30, 2013. Autodesk's effective tax rate decreased 2% during the three months ended April 30, 2014 as compared to the same period in the prior fiscal year primarily due to greater tax rate benefits from foreign earnings partially offset by tax rate detriments from stock-based compensation expense, accrual for uncertain tax positions and expiration of the federal research and development tax credit provision. Excluding the impact of discrete tax items, the effective tax rate for the three month period ended April 30, 2014 was 25% and was lower than the Federal statutory tax rate of 35% primarily due to foreign income taxed at lower rates partially offset by the impact of non-deductible stock based compensation expense and accrual for uncertain tax positions.</w:t>
      </w:r>
    </w:p>
    <w:p>
      <w:pPr>
        <w:spacing w:after="0" w:line="165"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As of April 30, 2014, the Company had $226.2 million of gross unrecognized tax benefits, excluding interest, of which approximately $218.6 million represents the amount of unrecognized tax benefits that would impact the effective tax rate, if recognized. It is possible that the amount of unrecognized tax benefits will change in the next twelve months; however, an estimate of the range of the possible change cannot be made at this time.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type w:val="continuous"/>
        </w:sectPr>
      </w:pPr>
    </w:p>
    <w:bookmarkStart w:id="17" w:name="page18"/>
    <w:bookmarkEnd w:id="17"/>
    <w:p>
      <w:pPr>
        <w:ind w:right="260" w:firstLine="432"/>
        <w:spacing w:after="0" w:line="264" w:lineRule="auto"/>
        <w:rPr>
          <w:sz w:val="20"/>
          <w:szCs w:val="20"/>
          <w:color w:val="auto"/>
        </w:rPr>
      </w:pPr>
      <w:r>
        <w:rPr>
          <w:rFonts w:ascii="Arial" w:cs="Arial" w:eastAsia="Arial" w:hAnsi="Arial"/>
          <w:sz w:val="18"/>
          <w:szCs w:val="18"/>
          <w:color w:val="auto"/>
        </w:rPr>
        <w:t>At April 30, 2014, Autodesk had net deferred tax assets of $148.1 million. Pursuant to the adoption of ASU 2013-11, an additional $35.5 million of unrecognized tax benefits have been presented as a reduction of deferred tax assets at April 30, 2014. The Company believes that it will generate sufficient future taxable income in appropriate tax jurisdictions to realize these assets.</w:t>
      </w:r>
    </w:p>
    <w:p>
      <w:pPr>
        <w:spacing w:after="0" w:line="177"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three months ended April 30, 2014, Autodesk completed the business combinations described below. The results of operations for the following acquisitions are included in the accompanying Condensed Consolidated Statement of Operations since their respective acquisition dates. Pro forma results of operations have not been presented because the effects of the acquisitions, individually and in the aggregate, were not material to Autodesk’s Condensed Consolidated Financial Statements.</w:t>
      </w:r>
    </w:p>
    <w:p>
      <w:pPr>
        <w:spacing w:after="0" w:line="18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acquisitions.</w:t>
      </w:r>
    </w:p>
    <w:p>
      <w:pPr>
        <w:spacing w:after="0" w:line="18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February 6, 2014, Autodesk acquired the entire issued and to be issued share capital of Delcam plc (“Delcam”), for $284.6 million. Delcam was previously listed as a public company (LON: DLC) and is a leading supplier of advanced CADCAM and industrial measurement solutions for the manufacturing industry. With this transaction Autodesk gains Delcam’s range of design, manufacturing and inspection software that provide automated CADCAM solutions for a variety of industries, ranging from aerospace to toys and sports equipment. The transaction was structured as a cash offer for all the outstanding shares of Delcam, and Delcam will be integrated into Autodesk's Manufacturing ("MFG") reportable segment. The amount of goodwill that is expected to be deductible for tax purposes is $196.2 million.</w:t>
      </w:r>
    </w:p>
    <w:p>
      <w:pPr>
        <w:spacing w:after="0" w:line="193"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During the three months ended April 30, 2014, Autodesk also completed a total of four other business combinations for total cash consideration of approximately $64.2 million. These business combinations were not material individually or in aggregate to Autodesk’s Condensed Consolidated Statement of Operations.</w:t>
      </w:r>
    </w:p>
    <w:p>
      <w:pPr>
        <w:spacing w:after="0" w:line="18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completed during the three months ended April 30,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Delcam</w:t>
            </w:r>
          </w:p>
        </w:tc>
        <w:tc>
          <w:tcPr>
            <w:tcW w:w="300" w:type="dxa"/>
            <w:vAlign w:val="bottom"/>
          </w:tcPr>
          <w:p>
            <w:pPr>
              <w:spacing w:after="0"/>
              <w:rPr>
                <w:sz w:val="16"/>
                <w:szCs w:val="16"/>
                <w:color w:val="auto"/>
              </w:rPr>
            </w:pPr>
          </w:p>
        </w:tc>
        <w:tc>
          <w:tcPr>
            <w:tcW w:w="1060" w:type="dxa"/>
            <w:vAlign w:val="bottom"/>
          </w:tcPr>
          <w:p>
            <w:pPr>
              <w:jc w:val="right"/>
              <w:ind w:right="420"/>
              <w:spacing w:after="0"/>
              <w:rPr>
                <w:sz w:val="20"/>
                <w:szCs w:val="20"/>
                <w:color w:val="auto"/>
              </w:rPr>
            </w:pPr>
            <w:r>
              <w:rPr>
                <w:rFonts w:ascii="Arial" w:cs="Arial" w:eastAsia="Arial" w:hAnsi="Arial"/>
                <w:sz w:val="14"/>
                <w:szCs w:val="14"/>
                <w:b w:val="1"/>
                <w:bCs w:val="1"/>
                <w:color w:val="auto"/>
              </w:rPr>
              <w:t>Other</w:t>
            </w:r>
          </w:p>
        </w:tc>
      </w:tr>
      <w:tr>
        <w:trPr>
          <w:trHeight w:val="236"/>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Customer relationships and other non-current intangible assets</w:t>
            </w:r>
          </w:p>
        </w:tc>
        <w:tc>
          <w:tcPr>
            <w:tcW w:w="28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5.5</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50.3</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tangible assets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44"/>
        </w:trPr>
        <w:tc>
          <w:tcPr>
            <w:tcW w:w="8580" w:type="dxa"/>
            <w:vAlign w:val="bottom"/>
          </w:tcPr>
          <w:p>
            <w:pPr>
              <w:ind w:left="2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284.6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64.2</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Delcam and certain other business combinations, the allocation of purchase price consideration to certain assets and liabilities is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in respect of certain tax aspects of the transaction and residual goodwill.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Other intangible assets that include developed technologies, customer relationships, trade names, patents, user lists and the related accumulated amortization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2014</w:t>
            </w:r>
          </w:p>
        </w:tc>
        <w:tc>
          <w:tcPr>
            <w:tcW w:w="14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2014</w:t>
            </w:r>
          </w:p>
        </w:tc>
        <w:tc>
          <w:tcPr>
            <w:tcW w:w="0" w:type="dxa"/>
            <w:vAlign w:val="bottom"/>
          </w:tcPr>
          <w:p>
            <w:pPr>
              <w:spacing w:after="0"/>
              <w:rPr>
                <w:sz w:val="1"/>
                <w:szCs w:val="1"/>
                <w:color w:val="auto"/>
              </w:rPr>
            </w:pPr>
          </w:p>
        </w:tc>
      </w:tr>
      <w:tr>
        <w:trPr>
          <w:trHeight w:val="236"/>
        </w:trPr>
        <w:tc>
          <w:tcPr>
            <w:tcW w:w="8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 at cost</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462.4</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Customer relationships, trade names, patents, and user list, at cost (1)</w:t>
            </w:r>
          </w:p>
        </w:tc>
        <w:tc>
          <w:tcPr>
            <w:tcW w:w="20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333.1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730.5</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(626.2)</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0" w:hanging="412"/>
        <w:spacing w:after="0" w:line="263"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 Customer relationships and trade names include the effects of foreign currency translation.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during the three months ended April 30, 2014,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Platform</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Architecture,</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Emerging</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31, 2014</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415.2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411.6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1,159.1</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415.2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1,009.9</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Delcam</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196.2</w:t>
            </w: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Addition arising from other acquisitions</w:t>
            </w:r>
          </w:p>
        </w:tc>
        <w:tc>
          <w:tcPr>
            <w:tcW w:w="2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 and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purchase accounting adjustments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4"/>
        </w:trPr>
        <w:tc>
          <w:tcPr>
            <w:tcW w:w="3500" w:type="dxa"/>
            <w:vAlign w:val="bottom"/>
          </w:tcPr>
          <w:p>
            <w:pPr>
              <w:ind w:left="40"/>
              <w:spacing w:after="0"/>
              <w:rPr>
                <w:sz w:val="20"/>
                <w:szCs w:val="20"/>
                <w:color w:val="auto"/>
              </w:rPr>
            </w:pPr>
            <w:r>
              <w:rPr>
                <w:rFonts w:ascii="Arial" w:cs="Arial" w:eastAsia="Arial" w:hAnsi="Arial"/>
                <w:sz w:val="16"/>
                <w:szCs w:val="16"/>
                <w:color w:val="auto"/>
              </w:rPr>
              <w:t>Balance as of April 30, 2014</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1,412.2</w:t>
            </w: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1,263.0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For purposes of the goodwill impairment test, a reporting unit is an operating segment or one level below. Autodesk's operating segments are aligned with the management principles of Autodesk's business.</w:t>
      </w:r>
    </w:p>
    <w:p>
      <w:pPr>
        <w:spacing w:after="0" w:line="18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When goodwill is assessed for impairment, Accounting Standard Update No. 2011-08, "Testing Goodwill for Impairment" provides Autodesk the option to perform an assessment of qualitative factors of impairment (“optional assessment”) prior to necessitating a two-step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19" w:name="page20"/>
    <w:bookmarkEnd w:id="19"/>
    <w:p>
      <w:pPr>
        <w:ind w:firstLine="405"/>
        <w:spacing w:after="0" w:line="289" w:lineRule="auto"/>
        <w:rPr>
          <w:sz w:val="20"/>
          <w:szCs w:val="20"/>
          <w:color w:val="auto"/>
        </w:rPr>
      </w:pPr>
      <w:r>
        <w:rPr>
          <w:rFonts w:ascii="Arial" w:cs="Arial" w:eastAsia="Arial" w:hAnsi="Arial"/>
          <w:sz w:val="16"/>
          <w:szCs w:val="16"/>
          <w:color w:val="auto"/>
        </w:rPr>
        <w:t>Therefore, the two-step quantitative impairment test is necessary when either Autodesk does not use the optional assessment or, as a result of the optional assessment, it is not more likely than not that the fair value of the reporting unit is greater than its carrying value. In performing the two-step impairment test,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 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At April 30, 2014, Autodesk had marketable securities totaling $778.3 million, of which $42.0 million related to investments in debt and equity securities that are held in a rabbi trust under non-qualified deferred compensation plans. The total related deferred compensation liability was $42.0 million at April 30, 2014, of which $4.6 million was classified as current and $37.4 million was classified as non-current liabilities. The value of debt and equity securities held in the rabbi trust at January 31, 2014 was $38.9 million. The total related deferred compensation liability at January 31, 2014 was $38.9 million, of which $1.9 million was classified as current and $37.0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p>
      <w:pPr>
        <w:ind w:left="8500"/>
        <w:spacing w:after="0"/>
        <w:tabs>
          <w:tab w:leader="none" w:pos="9960" w:val="left"/>
        </w:tabs>
        <w:rPr>
          <w:sz w:val="20"/>
          <w:szCs w:val="20"/>
          <w:color w:val="auto"/>
        </w:rPr>
      </w:pPr>
      <w:r>
        <w:rPr>
          <w:rFonts w:ascii="Arial" w:cs="Arial" w:eastAsia="Arial" w:hAnsi="Arial"/>
          <w:sz w:val="14"/>
          <w:szCs w:val="14"/>
          <w:b w:val="1"/>
          <w:bCs w:val="1"/>
          <w:color w:val="auto"/>
        </w:rPr>
        <w:t>April 30, 2014</w:t>
      </w:r>
      <w:r>
        <w:rPr>
          <w:sz w:val="20"/>
          <w:szCs w:val="20"/>
          <w:color w:val="auto"/>
        </w:rPr>
        <w:tab/>
      </w:r>
      <w:r>
        <w:rPr>
          <w:rFonts w:ascii="Arial" w:cs="Arial" w:eastAsia="Arial" w:hAnsi="Arial"/>
          <w:sz w:val="13"/>
          <w:szCs w:val="13"/>
          <w:b w:val="1"/>
          <w:bCs w:val="1"/>
          <w:color w:val="auto"/>
        </w:rPr>
        <w:t>January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660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software,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hardware,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Leasehold improvements, land and buildings,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Furniture and equipment,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291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66" w:lineRule="exact"/>
        <w:rPr>
          <w:sz w:val="20"/>
          <w:szCs w:val="20"/>
          <w:color w:val="auto"/>
        </w:rPr>
      </w:pPr>
    </w:p>
    <w:p>
      <w:pPr>
        <w:ind w:left="120" w:right="3200" w:hanging="80"/>
        <w:spacing w:after="0" w:line="293" w:lineRule="auto"/>
        <w:rPr>
          <w:sz w:val="20"/>
          <w:szCs w:val="20"/>
          <w:color w:val="auto"/>
        </w:rPr>
      </w:pPr>
      <w:r>
        <w:rPr>
          <w:rFonts w:ascii="Arial" w:cs="Arial" w:eastAsia="Arial" w:hAnsi="Arial"/>
          <w:sz w:val="16"/>
          <w:szCs w:val="16"/>
          <w:color w:val="auto"/>
        </w:rPr>
        <w:t>Computer software, hardware, leasehold improvements, furniture and equipment, net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80.9</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171.2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163.0</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163.7</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51.7</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459.3</w:t>
            </w:r>
          </w:p>
        </w:tc>
      </w:tr>
      <w:tr>
        <w:trPr>
          <w:trHeight w:val="270"/>
        </w:trPr>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(329.0)</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93"/>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142.1</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130.3</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80" w:space="720"/>
            <w:col w:w="3200"/>
          </w:cols>
          <w:pgMar w:left="240" w:top="584" w:right="2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December 2012, Autodesk issued $400.0 million aggregate principal amount of 1.95% senior notes due December 15, 2017 and $350.0 million aggregate principal amount of 3.6% senior notes due December 15, 2022, (collectively, the “Senior Notes”). Autodesk received net proceeds of $739.3 million from issuance of the Senior Notes, net of a discount of $4.5 million and issuance costs of $6.1 million. Both the discount and issuance costs are being amortized to interest expense over the respective terms of the Senior Notes using the effective interest method. The proceeds of the Senior Notes are available for general corporate purposes. Autodesk may redeem the Senior Notes at any time, subject to a make whole premium. In addition, upon the occurrence of certain change of control triggering events, Autodesk may be required to repurchase the Senior Notes, at a price equal to 101% of their principal amount, plus accrued and unpaid interest to the date of repurchase. The Senior Notes contain restrictive covenants that limit Autodesk's ability to create certain liens, to enter into certain sale and leaseback transactions and to consolidate or merge with, or convey, transfer or lease all or substantially all of its assets, subject to significant qualifications and exceptions. Based on quoted market prices, the fair value of the Senior Notes was approximately $742.1 million as of April 30, 2014.</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type w:val="continuous"/>
        </w:sectPr>
      </w:pPr>
    </w:p>
    <w:bookmarkStart w:id="20" w:name="page21"/>
    <w:bookmarkEnd w:id="20"/>
    <w:p>
      <w:pPr>
        <w:ind w:right="100" w:firstLine="405"/>
        <w:spacing w:after="0" w:line="255"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line of credit is syndicated with various financial institutions, including Citibank, N.A., an affiliate of Citigroup, which is one of the lead lenders and an agent. The credit facility expires in May 2018. At April 30, 2014, Autodesk had no outstanding borrowings on this line of credit.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w:t>
      </w:r>
    </w:p>
    <w:p>
      <w:pPr>
        <w:spacing w:after="0" w:line="225"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During the third quarter of fiscal 2014, the Board of Directors of the Company approved a world-wide restructuring plan in order to re-balance staffing levels to better align them with the evolving needs of the business. The Company authorized plan included a reduction of approximately 85 positions and the consolidation of four leased facilities, with a total cost of approximately $15.0 million ("Fiscal 2014 Plan"). The Company expects to substantially pay the one-time termination benefits and facility related liabilities related to the Fiscal 2014 Plan by the end of its second quarter of fiscal 2015.</w:t>
      </w:r>
    </w:p>
    <w:p>
      <w:pPr>
        <w:spacing w:after="0" w:line="15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During the three months ended April 30, 2014, Autodesk recorded restructuring charges of $2.3 million. The following table sets forth the restructuring activities during the three months ended April 30, 2014: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Balance at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Adjustments (1)</w:t>
            </w:r>
          </w:p>
        </w:tc>
        <w:tc>
          <w:tcPr>
            <w:tcW w:w="120" w:type="dxa"/>
            <w:vAlign w:val="bottom"/>
          </w:tcPr>
          <w:p>
            <w:pPr>
              <w:spacing w:after="0"/>
              <w:rPr>
                <w:sz w:val="14"/>
                <w:szCs w:val="14"/>
                <w:color w:val="auto"/>
              </w:rPr>
            </w:pPr>
          </w:p>
        </w:tc>
        <w:tc>
          <w:tcPr>
            <w:tcW w:w="1340" w:type="dxa"/>
            <w:vAlign w:val="bottom"/>
          </w:tcPr>
          <w:p>
            <w:pPr>
              <w:jc w:val="right"/>
              <w:ind w:right="41"/>
              <w:spacing w:after="0"/>
              <w:rPr>
                <w:sz w:val="20"/>
                <w:szCs w:val="20"/>
                <w:color w:val="auto"/>
              </w:rPr>
            </w:pPr>
            <w:r>
              <w:rPr>
                <w:rFonts w:ascii="Arial" w:cs="Arial" w:eastAsia="Arial" w:hAnsi="Arial"/>
                <w:sz w:val="14"/>
                <w:szCs w:val="14"/>
                <w:b w:val="1"/>
                <w:bCs w:val="1"/>
                <w:color w:val="auto"/>
                <w:w w:val="92"/>
              </w:rPr>
              <w:t>Balance at April 30,</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50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2014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asset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 (2)</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Non-current portion (2)</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During the three months ended April 30, 2014, Autodesk repurchased and retired 2.0 million shares at an average repurchase price of $51.26 per share. Common stock and additional paid-in capital and retained earnings were reduced by $49.4 million and $53.1 million, respectively, during the three months ended April 30, 2014.</w:t>
      </w:r>
    </w:p>
    <w:p>
      <w:pPr>
        <w:spacing w:after="0" w:line="18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At April 30, 2014, 19.8 million shares remained available for repurchase under the repurchase program approved by the Board of Directors. During the three months ended April 30, 2014,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 (loss), net of taxes, consisted of the following at April 30, 2014 and January 31, 2014: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2014</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2014</w:t>
            </w:r>
          </w:p>
        </w:tc>
      </w:tr>
      <w:tr>
        <w:trPr>
          <w:trHeight w:val="236"/>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gain on derivative instruments</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Net unrealized gain on available-for-sale securities</w:t>
            </w:r>
          </w:p>
        </w:tc>
        <w:tc>
          <w:tcPr>
            <w:tcW w:w="2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pension items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8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Pre-tax reclassifications from “Accumulated other comprehensive income (loss)” to the Company's Condensed Consolidated Statement of Operations for the three months ended April 30, 2014 and 2013 were $1.0 million and $3.8 million,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Per Share</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6"/>
              </w:rPr>
              <w:t>Three Months Ended April</w:t>
            </w:r>
          </w:p>
        </w:tc>
        <w:tc>
          <w:tcPr>
            <w:tcW w:w="0" w:type="dxa"/>
            <w:vAlign w:val="bottom"/>
          </w:tcPr>
          <w:p>
            <w:pPr>
              <w:spacing w:after="0"/>
              <w:rPr>
                <w:sz w:val="1"/>
                <w:szCs w:val="1"/>
                <w:color w:val="auto"/>
              </w:rPr>
            </w:pPr>
          </w:p>
        </w:tc>
      </w:tr>
      <w:tr>
        <w:trPr>
          <w:trHeight w:val="192"/>
        </w:trPr>
        <w:tc>
          <w:tcPr>
            <w:tcW w:w="9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2"/>
              </w:rPr>
              <w:t>30,</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96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9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96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6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28.3</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73"/>
        </w:trPr>
        <w:tc>
          <w:tcPr>
            <w:tcW w:w="96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96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96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60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33"/>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7"/>
        </w:trPr>
        <w:tc>
          <w:tcPr>
            <w:tcW w:w="960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231.6</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73"/>
        </w:trPr>
        <w:tc>
          <w:tcPr>
            <w:tcW w:w="96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96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00" w:type="dxa"/>
            <w:vAlign w:val="bottom"/>
            <w:vMerge w:val="continue"/>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0.12</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33"/>
        </w:trPr>
        <w:tc>
          <w:tcPr>
            <w:tcW w:w="9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computation of diluted net income per share does not include shares that are anti-dilutive under the treasury stock method because their exercise prices are higher than the average market value of Autodesk’s stock during the period. For the three months ended April 30, 2014, there were no potentially anti-dilutive shares. For the three months ended April 30, 2013, 8.2 million potentially anti-dilutive shares, were excluded from the computation of diluted net income per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MFG and Media and Entertainment ("M&amp;E"). Autodesk has no material inter-segment revenue.</w:t>
      </w:r>
    </w:p>
    <w:p>
      <w:pPr>
        <w:spacing w:after="0" w:line="18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600" w:firstLine="405"/>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200"/>
        <w:spacing w:after="0" w:line="277" w:lineRule="auto"/>
        <w:rPr>
          <w:sz w:val="20"/>
          <w:szCs w:val="20"/>
          <w:color w:val="auto"/>
        </w:rPr>
      </w:pPr>
      <w:r>
        <w:rPr>
          <w:rFonts w:ascii="Arial" w:cs="Arial" w:eastAsia="Arial" w:hAnsi="Arial"/>
          <w:sz w:val="17"/>
          <w:szCs w:val="17"/>
          <w:color w:val="auto"/>
        </w:rPr>
        <w:t>serve. Autodesk’s AutoCAD product also provides a platform for Autodesk’s developer partners to build custom solutions for a range of diverse design-oriented markets. PSEB's revenue primarily includes revenue from sales of AutoCAD and AutoCAD LT, the Autodesk Design Suite and many other design products, including consumer design products, as well as from sales of licenses of other Autodesk's design products.</w:t>
      </w:r>
    </w:p>
    <w:p>
      <w:pPr>
        <w:spacing w:after="0" w:line="173"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AutoCAD Civil 3D, AutoCAD Map, and Autodesk Infrastructure Design Suites.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right="40" w:firstLine="405"/>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Product Design Suites, AutoCAD Mechanical, and Autodesk Moldflow products.</w:t>
      </w:r>
    </w:p>
    <w:p>
      <w:pPr>
        <w:spacing w:after="0" w:line="18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M&amp;E consists of two product groups: Animation, including design visualization, and Creative Finishing. Animation products, such as Autodesk Maya, Autodesk 3ds Max, and the Autodesk Entertainment Creation Suites, provide tools for digital sculpting, modeling, animation, effects, rendering and compositing, for design visualization, visual effects and games production. M&amp;E products are also included in a number of PSEB, AEC, and MFG focused suites. Creative Finishing products provide editing, finishing and visual effects design and color grading.</w:t>
      </w:r>
    </w:p>
    <w:p>
      <w:pPr>
        <w:spacing w:after="0" w:line="18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1, “Business and Summary of Significant Accounting Policies” of Autodesk's Annual Report on Form 10-K for the fiscal year ended January 31, 2014. Autodesk evaluates each segment’s performance on the basis of gross profit. Autodesk currently does not separately accumulate and report asset information by segment, except for goodwill, which is disclosed in Note 9, “Goodwill.”</w:t>
      </w:r>
    </w:p>
    <w:p>
      <w:pPr>
        <w:sectPr>
          <w:pgSz w:w="11900" w:h="16838" w:orient="portrait"/>
          <w:cols w:equalWidth="0" w:num="1">
            <w:col w:w="11420"/>
          </w:cols>
          <w:pgMar w:left="240" w:top="584" w:right="239" w:bottom="1440" w:gutter="0" w:footer="0" w:header="0"/>
        </w:sectPr>
      </w:pP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Information concerning the operations of Autodesk’s reportable segments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Platform Solutions and Emerging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Architecture, Engineering and Construction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Platform Solutions and Emerging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Architecture, Engineering and Construction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Unallocated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12261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14" w:lineRule="exact"/>
        <w:rPr>
          <w:sz w:val="20"/>
          <w:szCs w:val="20"/>
          <w:color w:val="auto"/>
        </w:rPr>
      </w:pPr>
    </w:p>
    <w:p>
      <w:pPr>
        <w:ind w:left="340"/>
        <w:spacing w:after="0"/>
        <w:tabs>
          <w:tab w:leader="none" w:pos="134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211.9</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212.7</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172.1</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139.1</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46.5</w:t>
            </w:r>
          </w:p>
        </w:tc>
      </w:tr>
      <w:tr>
        <w:trPr>
          <w:trHeight w:val="33"/>
        </w:trPr>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592.5</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570.4</w:t>
            </w:r>
          </w:p>
        </w:tc>
      </w:tr>
      <w:tr>
        <w:trPr>
          <w:trHeight w:val="33"/>
        </w:trPr>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88"/>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195.2</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155.5</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127.5</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37.0</w:t>
            </w:r>
          </w:p>
        </w:tc>
      </w:tr>
      <w:tr>
        <w:trPr>
          <w:trHeight w:val="270"/>
        </w:trPr>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33"/>
        </w:trPr>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513.8</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502.9</w:t>
            </w:r>
          </w:p>
        </w:tc>
      </w:tr>
      <w:tr>
        <w:trPr>
          <w:trHeight w:val="33"/>
        </w:trPr>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8760" w:space="720"/>
            <w:col w:w="1940"/>
          </w:cols>
          <w:pgMar w:left="240" w:top="584" w:right="239" w:bottom="1440" w:gutter="0" w:footer="0" w:header="0"/>
          <w:type w:val="continuous"/>
        </w:sectPr>
      </w:pPr>
    </w:p>
    <w:p>
      <w:pPr>
        <w:ind w:left="420" w:right="500" w:hanging="412"/>
        <w:spacing w:after="0" w:line="263"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type w:val="continuous"/>
        </w:sectPr>
      </w:pPr>
    </w:p>
    <w:bookmarkStart w:id="24" w:name="page25"/>
    <w:bookmarkEnd w:id="24"/>
    <w:p>
      <w:pPr>
        <w:ind w:left="44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Three Months Ended April 30,</w:t>
            </w:r>
          </w:p>
        </w:tc>
      </w:tr>
      <w:tr>
        <w:trPr>
          <w:trHeight w:val="264"/>
        </w:trPr>
        <w:tc>
          <w:tcPr>
            <w:tcW w:w="94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2013</w:t>
            </w:r>
          </w:p>
        </w:tc>
      </w:tr>
      <w:tr>
        <w:trPr>
          <w:trHeight w:val="210"/>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60"/>
        </w:trPr>
        <w:tc>
          <w:tcPr>
            <w:tcW w:w="9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
        </w:trPr>
        <w:tc>
          <w:tcPr>
            <w:tcW w:w="9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166.4</w:t>
            </w:r>
          </w:p>
        </w:tc>
      </w:tr>
      <w:tr>
        <w:trPr>
          <w:trHeight w:val="237"/>
        </w:trPr>
        <w:tc>
          <w:tcPr>
            <w:tcW w:w="948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35.8</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202.2</w:t>
            </w:r>
          </w:p>
        </w:tc>
      </w:tr>
      <w:tr>
        <w:trPr>
          <w:trHeight w:val="217"/>
        </w:trPr>
        <w:tc>
          <w:tcPr>
            <w:tcW w:w="948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225.5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216.2</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4"/>
        </w:trPr>
        <w:tc>
          <w:tcPr>
            <w:tcW w:w="9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60"/>
        </w:trPr>
        <w:tc>
          <w:tcPr>
            <w:tcW w:w="9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37"/>
        </w:trPr>
        <w:tc>
          <w:tcPr>
            <w:tcW w:w="9480" w:type="dxa"/>
            <w:vAlign w:val="bottom"/>
          </w:tcPr>
          <w:p>
            <w:pPr>
              <w:ind w:left="720"/>
              <w:spacing w:after="0"/>
              <w:rPr>
                <w:sz w:val="20"/>
                <w:szCs w:val="20"/>
                <w:color w:val="auto"/>
              </w:rPr>
            </w:pPr>
            <w:r>
              <w:rPr>
                <w:rFonts w:ascii="Arial" w:cs="Arial" w:eastAsia="Arial" w:hAnsi="Arial"/>
                <w:sz w:val="16"/>
                <w:szCs w:val="16"/>
                <w:color w:val="auto"/>
              </w:rPr>
              <w:t>Japan</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76.8</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75.2</w:t>
            </w:r>
          </w:p>
        </w:tc>
      </w:tr>
      <w:tr>
        <w:trPr>
          <w:trHeight w:val="217"/>
        </w:trPr>
        <w:tc>
          <w:tcPr>
            <w:tcW w:w="948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161.3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152.0</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570.4</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Subsequent Events</w:t>
      </w:r>
    </w:p>
    <w:p>
      <w:pPr>
        <w:spacing w:after="0" w:line="225"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On May 29, 2014, Autodesk acquired all the outstanding shares of Within Technologies Limited ("Within”) for approximately $88.0 million cash. Within is a United Kingdom based developer of design and simulation software for next generation manufacturing processes. The Within acquisition will accelerate Autodesk’s development of tools and technologies for advanced manufacturing. Within will be integrated into Autodesk’s PSEB reportable segment. The initial accounting for this acquisition was not complete as of June 3, 2014, due to the timing of the acquisition. Autodesk used its non-U.S.-based cash for the transaction.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Months Ended April 30, 2014-Business Outlook” below, anticipated future net revenue, future GAAP and non-GAAP earnings per share, operating margin and other future financial results (by product type and geography) and operating expenses, the effectiveness of our efforts to successfully manage transitions to new business models and markets, expected market trends, including the growth of cloud, mobile and social computing, the effect of unemployment and availability of credit, the effects of weak global economic conditions, the effects of revenue recognition, our backlog, expected trends in certain financial metrics, the impact of acquisitions and investment activities, the effects of fluctuations in exchange rates and our hedging activities on our financial results, our abilities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particularly emerging economy countries, and the resulting effect on our financial results.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and services for the world’s designers, architects, engineers, and digital artists, professionals and non-professionals alike—the people who create the world's products, buildings, infrastructure, films, and games. Autodesk serves professional customers in three primary markets: architecture, engineering and construction; manufacturing; and digital media and entertainment.</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goal is to provide our customers with the world’s most innovative, and engaging design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thirty years ago, we believe our industry is undergoing a similar transition from the personal computer to cloud, social, and mobile computing. To address this transition we have accelerated our move to the cloud and are offering more flexible licenses. For example, in fiscal 2014, we began offering Autodesk BIM 360, PLM 360, Sim 360 and Fusion 360, a few of our cloud based offerings, which provide tools, including social and mobile capabilities, to help streamline design, collaboration,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52"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Our strategy is to lead our customers and the industries they serve to the new cloud and mobile platforms. This entails both a technological shift and a business model shift. During fiscal 2014, we announced more flexible term-based license offerings, including term-based desktop subscriptions, for certain products. These offerings are designed to give our customers even more flexibility with how they use our products and service offerings and address new types of customers such as project-based users and small businesses.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0" w:right="259" w:bottom="1440" w:gutter="0" w:footer="0" w:header="0"/>
        </w:sectPr>
      </w:pPr>
    </w:p>
    <w:bookmarkStart w:id="26" w:name="page27"/>
    <w:bookmarkEnd w:id="26"/>
    <w:p>
      <w:pPr>
        <w:ind w:right="340" w:firstLine="405"/>
        <w:spacing w:after="0" w:line="264" w:lineRule="auto"/>
        <w:rPr>
          <w:sz w:val="20"/>
          <w:szCs w:val="20"/>
          <w:color w:val="auto"/>
        </w:rPr>
      </w:pPr>
      <w:r>
        <w:rPr>
          <w:rFonts w:ascii="Arial" w:cs="Arial" w:eastAsia="Arial" w:hAnsi="Arial"/>
          <w:sz w:val="18"/>
          <w:szCs w:val="18"/>
          <w:color w:val="auto"/>
        </w:rPr>
        <w:t>Over the next four years, we expect to significantly increase our subscription base and the annual value per subscription, which we believe will help drive billings growth. During the transition, revenue, deferred revenue, operating margin, and earnings per share will be impacted as more revenue is recognized ratably rather than up front and as new offerings bring a wider variety of price points.</w:t>
      </w:r>
    </w:p>
    <w:p>
      <w:pPr>
        <w:spacing w:after="0" w:line="141"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For the three months ended April 30, 2014, our billings increased 10% as compared to the same period in the prior fiscal year. The 6 percentage point delta from our 4% year over year growth in GAAP revenue and our 10% year over year growth in billings is the result of 7 percentage points from the change in deferred revenue offset by 1 percentage point primarily related to the change in acquisition-related deferred revenue. At April 30, 2014 and January 31, 2014, our total subscriptions were approximately 1.94 million and 1.85 million, respectively.</w:t>
      </w:r>
    </w:p>
    <w:p>
      <w:pPr>
        <w:spacing w:after="0" w:line="13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For the past three years, suites have been an important growth area to our overall strategy. As our customers in all industries adopt our design suites, we believe they will experience an increase in their productivity and the value of their design data. For the three months ended April 30, 2014, revenue from suites increased 19% as compared to the same period in the prior fiscal year. As a percentage of revenue, suites increased to 35% in the three months ended April 30, 2014 as compared to 31% of our net revenue in the three months ended April 30, 2013.</w:t>
      </w:r>
    </w:p>
    <w:p>
      <w:pPr>
        <w:spacing w:after="0" w:line="18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Expanding our geographic coverage is another key element of our growth strategy. Much of the growth in the world’s construction and manufacturing is happening in emerging economies. Further, emerging economies face many of the challenges that our design technology can help address, including infrastructure build-out and innovative design and manufacturing. Revenue from emerging countries increased 5% during the three months ended April 30, 2014 as compared to the same period of the prior fiscal year. We believe that emerging economies continue to present long-term growth opportunities for us. Revenue from emerging countries represented 13% for both the three months ended April 30, 2014 and 2013. While we believe there are long-term growth opportunities in emerging economies, conducting business in these countries presents significant challenges, including economic volatility, geopolitical risk, local competition, intellectual property protection, poorly developed business infrastructure, scarcity of talent, software piracy and different purchase patterns as compared to the developed world.</w:t>
      </w:r>
    </w:p>
    <w:p>
      <w:pPr>
        <w:spacing w:after="0" w:line="192"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46"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By innovating within existing technology categories, we bring powerful new design capabilities to volume markets. Our products are designed to be easy-to-learn and use, and to provide customers with a low cost of deployment, a low total cost of access to our software offerings,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24"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32"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We are committed to helping fuel a lifelong passion for design in students of all ages, and inspiring and supporting educators. As such, we offer extensive educational programs supporting our software and services including a new program, initiated in fiscal 2014, under which we grant software licenses to educational institutions in select regions and to key partners for little or no fees. Through these programs we intend to further Science, Technology, Engineering, Digital Arts, and Math (STEAM) education initiatives. With an extensive global community of students who are experienced with our software and poised to become the next generation of professional users, our goal is to reduce the cost of training and education of new talent for our customers.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right="32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2014. In addition, we highlighted those policies that involve a higher degree of judgment and complexity with further discussion in Item 7, “Management’s Discussion and Analysis of Financial Condition and Results of Operations” in such Form 10-K. We believe these policies are the most critical to aid in fully understanding and evaluating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Months Ended April 30, 2014 and 2013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Three Months Ended April</w:t>
            </w:r>
          </w:p>
        </w:tc>
        <w:tc>
          <w:tcPr>
            <w:tcW w:w="100" w:type="dxa"/>
            <w:vAlign w:val="bottom"/>
          </w:tcPr>
          <w:p>
            <w:pPr>
              <w:spacing w:after="0"/>
              <w:rPr>
                <w:sz w:val="14"/>
                <w:szCs w:val="14"/>
                <w:color w:val="auto"/>
              </w:rPr>
            </w:pPr>
          </w:p>
        </w:tc>
        <w:tc>
          <w:tcPr>
            <w:tcW w:w="1960" w:type="dxa"/>
            <w:vAlign w:val="bottom"/>
            <w:gridSpan w:val="2"/>
          </w:tcPr>
          <w:p>
            <w:pPr>
              <w:ind w:left="500"/>
              <w:spacing w:after="0"/>
              <w:rPr>
                <w:sz w:val="20"/>
                <w:szCs w:val="20"/>
                <w:color w:val="auto"/>
              </w:rPr>
            </w:pPr>
            <w:r>
              <w:rPr>
                <w:rFonts w:ascii="Arial" w:cs="Arial" w:eastAsia="Arial" w:hAnsi="Arial"/>
                <w:sz w:val="14"/>
                <w:szCs w:val="14"/>
                <w:b w:val="1"/>
                <w:bCs w:val="1"/>
                <w:color w:val="auto"/>
              </w:rPr>
              <w:t>As a % of Net</w:t>
            </w: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April</w:t>
            </w:r>
          </w:p>
        </w:tc>
        <w:tc>
          <w:tcPr>
            <w:tcW w:w="120" w:type="dxa"/>
            <w:vAlign w:val="bottom"/>
          </w:tcPr>
          <w:p>
            <w:pPr>
              <w:spacing w:after="0"/>
              <w:rPr>
                <w:sz w:val="14"/>
                <w:szCs w:val="14"/>
                <w:color w:val="auto"/>
              </w:rPr>
            </w:pPr>
          </w:p>
        </w:tc>
        <w:tc>
          <w:tcPr>
            <w:tcW w:w="1720" w:type="dxa"/>
            <w:vAlign w:val="bottom"/>
          </w:tcPr>
          <w:p>
            <w:pPr>
              <w:jc w:val="right"/>
              <w:ind w:right="368"/>
              <w:spacing w:after="0"/>
              <w:rPr>
                <w:sz w:val="20"/>
                <w:szCs w:val="20"/>
                <w:color w:val="auto"/>
              </w:rPr>
            </w:pPr>
            <w:r>
              <w:rPr>
                <w:rFonts w:ascii="Arial" w:cs="Arial" w:eastAsia="Arial" w:hAnsi="Arial"/>
                <w:sz w:val="14"/>
                <w:szCs w:val="14"/>
                <w:b w:val="1"/>
                <w:bCs w:val="1"/>
                <w:color w:val="auto"/>
              </w:rPr>
              <w:t>As a % of Net</w:t>
            </w:r>
          </w:p>
        </w:tc>
      </w:tr>
      <w:tr>
        <w:trPr>
          <w:trHeight w:val="192"/>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30, 2014</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30, 2013</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Revenue</w:t>
            </w:r>
          </w:p>
        </w:tc>
      </w:tr>
      <w:tr>
        <w:trPr>
          <w:trHeight w:val="23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592.5</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570.4</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78.7</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67.5</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3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513.8</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502.9</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471.6</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421.5</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3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42.2</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81.4</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3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80" w:firstLine="405"/>
        <w:spacing w:after="0" w:line="276" w:lineRule="auto"/>
        <w:rPr>
          <w:sz w:val="20"/>
          <w:szCs w:val="20"/>
          <w:color w:val="auto"/>
        </w:rPr>
      </w:pPr>
      <w:r>
        <w:rPr>
          <w:rFonts w:ascii="Arial" w:cs="Arial" w:eastAsia="Arial" w:hAnsi="Arial"/>
          <w:sz w:val="17"/>
          <w:szCs w:val="17"/>
          <w:color w:val="auto"/>
        </w:rPr>
        <w:t>During the three months ended April 30, 2014, as compared to the same period in the prior fiscal year, net revenue increased 4%, and gross profit increased 2%, while income from operations decreased 48%. Our business experienced year over year growth in our Architecture, Engineering and Construction ("AEC") and Manufacturing ("MFG") segments, many of our major products, particularly our AEC suites, and all of our geographic areas, especially within the Asia Pacific ("APAC") geography. Also contributing to the year over year impact to revenue during the three months ended April 30, 2014, were increases in subscription revenue partially offset by decreases in license and other revenue.</w:t>
      </w:r>
    </w:p>
    <w:p>
      <w:pPr>
        <w:spacing w:after="0" w:line="173"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During the latter part of fiscal year 2014, we announced a business model transition as we began offering more flexible license and service offerings that have ratable revenue streams. As expected, we experienced growth in our total subscriptions and billings during the three months ended April 30, 2014, and our income from operations was negatively impacted by increased spend, including higher employee-related costs, as a result of this transition.</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reasons for these changes are discussed below under the heading “Results from Operations.”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Revenue from flagship products was 50% of total net revenue during the three months ended April 30, 2014 and decreased 4% as compared to the same period in the prior fiscal year. Revenue from suites was 35% of total net revenue for the three months ended April 30, 2014 and increased 19% as compared to the same period in the prior fiscal year. Revenue from new and adjacent products was 14% of total net revenue for the three months ended April 30, 2014 and increased 2% as compared to the same period in the prior fiscal year. We anticipate that, as our new and existing customers migrate from our stand-alone products to suites, our revenue from suites will increase as a percentage of revenue and that our revenue from our flagship and new and adjacent products will continue to decline as a percentage of revenue.</w:t>
      </w:r>
    </w:p>
    <w:p>
      <w:pPr>
        <w:spacing w:after="0" w:line="19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Tech Data Corporation and its global affiliates (collectively, “Tech Data”). Tech Data accounted for 26% and 25% of Autodesk’s total net revenue for the three months ended April 30, 2014 and 2013, respectively. We believe our business is not substantially dependent on Tech Data. Our customers through Tech Data are the resellers and end users who purchase our software licenses and services. Should any of the agreements between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Income from operations decreased 48% in the three months ended April 30, 2014 due to a $50.1 million or 12% increase in our operating expenses and an $11.2 million or 17% increase in cost of revenue, as compared to the same period in the prior fiscal year. Partially offsetting the increase in our spend was a $22.1 million or 4% increase in net revenue, as compared to the same period in the prior fiscal year. Our operating margin decreased to 7% for the three months ended April 30, 2014 from 14% for the three months ended April 30, 2013. The increase in operating expenses and the corresponding decrease in operating margin was primarily related to higher employee-related costs and professional fees during the three months ended April 30, 2014. The increase in employee-related costs was primarily due to an increase in salaries, coupled with an increase in bonuses, both of which were primarily driven by an increase in headcount compared to the corresponding period in the previous fiscal year.</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Further discussion regarding the cost of goods sold and operating expense activities are discussed below under the heading “Results of Operations.”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We generate a significant amount of our revenue in the U.S., Japan, Germany, France, and the United Kingdom. Our revenue was negatively impacted by foreign exchange rate changes during the three months ended April 30, 2014, as compared to the same periods in the prior fiscal year. Had applicable exchange rates from the three months ended April 30, 2013 been in effect during the three months ended April 30, 2014 and had we excluded foreign exchange hedge gains and losses from the three months ended April 30, 2014, (“on a constant currency basis”), net revenue would have increased 5% during the three months ended April 30, 2014, as compared to the same period in the prior fiscal year.</w:t>
      </w:r>
    </w:p>
    <w:p>
      <w:pPr>
        <w:spacing w:after="0" w:line="17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total spend, defined as cost of revenue plus operating expenses, during the three months ended April 30, 2014 increased 13% on an as reported basis as compared to the same period in the prior fiscal year. Had applicable exchange rates from the three months ended April 30, 2013 been in effect during the three months ended April 30, 2014 and had we excluded foreign exchange hedge gains and losses from the three months ended April 30, 2014, total spend would have been minimally impacted by foreign exchange rate changes and would have increased 13% on a constant currency basis compared to the same period in the prior fiscal year.</w:t>
      </w:r>
    </w:p>
    <w:p>
      <w:pPr>
        <w:spacing w:after="0" w:line="18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At April 30, 2014, we had $2,387.9 million in cash and marketable securities. We completed the three months ended April 30, 2014 with higher deferred revenue and lower accounts receivable balances as compared to the end of the fiscal year ended January 31, 2014. Our deferred revenue balance at April 30, 2014 included $848.1 million of deferred subscription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right="120"/>
        <w:spacing w:after="0" w:line="297" w:lineRule="auto"/>
        <w:rPr>
          <w:sz w:val="20"/>
          <w:szCs w:val="20"/>
          <w:color w:val="auto"/>
        </w:rPr>
      </w:pPr>
      <w:r>
        <w:rPr>
          <w:rFonts w:ascii="Arial" w:cs="Arial" w:eastAsia="Arial" w:hAnsi="Arial"/>
          <w:sz w:val="16"/>
          <w:szCs w:val="16"/>
          <w:color w:val="auto"/>
        </w:rPr>
        <w:t>revenue primarily related to customer maintenance contracts, which will be recognized as revenue ratably over the life of the contracts. The term of our maintenance contracts is typically between one and three years. Our cash flow from operations decreased 2% to $218.7 million as of April 30, 2014 from $224.1 million at April 30, 2013. We repurchased 2.0 million shares of our common stock for $102.5 million during the three months ended April 30, 2014. Comparatively, we repurchased 3.2 million shares of our common stock for $129.2 million during the three months ended April 30, 2013. Further discussion regarding the balance sheet and cash flow activities are discussed below under the heading “Liquidity and Capital Resources.”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Outlook</w:t>
      </w:r>
    </w:p>
    <w:p>
      <w:pPr>
        <w:spacing w:after="0" w:line="225"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Autodesk's business model is evolving. We continue to assess current business offerings including introducing more flexible license and service offerings that have ratable revenue streams. The accounting impact of these offerings and other business decisions are expected to result in an increase in the percentage of our ratable revenue, making for a more predictable business over time, while correspondingly reducing our upfront revenue stream. Over time, we expect our business model transition to expand our customer base by eliminating higher up-front licensing costs and providing more flexibility with how customers use our products. However, we expect the business model transition to cause our traditional perpetual license revenue to decline without a corresponding decrease in expenses. In the future, we expect this business model transition will increase our long-term revenue growth rate by increasing the annual value per subscription and increasing total subscriptions over time.</w:t>
      </w:r>
    </w:p>
    <w:p>
      <w:pPr>
        <w:spacing w:after="0" w:line="13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We expect net revenue for the second quarter of fiscal 2015 will range from $595 million to $610 million, and that GAAP diluted earnings per share will range from $0.05 to $0.10 while non-GAAP diluted earnings per share will range from $0.25 to $0.30. Non-GAAP earnings per diluted share exclude $0.11 related to stock-based compensation expense and $0.09 related to the amortization of acquisition related intangibles, net of tax.</w:t>
      </w:r>
    </w:p>
    <w:p>
      <w:pPr>
        <w:spacing w:after="0" w:line="1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expect net revenue for fiscal 2015 to increase by approximately 4% to 6% compared to fiscal 2014. We expect billings for fiscal 2015 to increase by approximately 7% to 9% compared to fiscal 2014. Autodesk anticipates fiscal 2015 GAAP operating margin to be approximately 3% to 5% and non-GAAP operating margin to be approximately 14% to 16%. The 14% to 16% non-GAAP operating margin excludes 7 percentage points related to stock-based compensation expense, and 4 percentage points related to the amortization of acquisition related intangibles. Autodesk expects to add 150,000-200,000 subscriptions during fiscal 2015.</w:t>
      </w:r>
    </w:p>
    <w:p>
      <w:pPr>
        <w:spacing w:after="0" w:line="14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remain diligent about managing our spend while making essential investments to drive growth. If we are unable to successfully achieve our major business initiatives we may not achieve our financial goals.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4"/>
                <w:szCs w:val="14"/>
                <w:color w:val="auto"/>
              </w:rPr>
            </w:pPr>
          </w:p>
        </w:tc>
        <w:tc>
          <w:tcPr>
            <w:tcW w:w="17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(Decrease)/ Increase</w:t>
            </w:r>
          </w:p>
        </w:tc>
        <w:tc>
          <w:tcPr>
            <w:tcW w:w="120" w:type="dxa"/>
            <w:vAlign w:val="bottom"/>
          </w:tcPr>
          <w:p>
            <w:pPr>
              <w:spacing w:after="0"/>
              <w:rPr>
                <w:sz w:val="14"/>
                <w:szCs w:val="14"/>
                <w:color w:val="auto"/>
              </w:rPr>
            </w:pPr>
          </w:p>
        </w:tc>
        <w:tc>
          <w:tcPr>
            <w:tcW w:w="10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compared to</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64"/>
        </w:trPr>
        <w:tc>
          <w:tcPr>
            <w:tcW w:w="70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April 30, 2014</w:t>
            </w:r>
          </w:p>
        </w:tc>
        <w:tc>
          <w:tcPr>
            <w:tcW w:w="200" w:type="dxa"/>
            <w:vAlign w:val="bottom"/>
          </w:tcPr>
          <w:p>
            <w:pPr>
              <w:spacing w:after="0"/>
              <w:rPr>
                <w:sz w:val="22"/>
                <w:szCs w:val="22"/>
                <w:color w:val="auto"/>
              </w:rPr>
            </w:pPr>
          </w:p>
        </w:tc>
        <w:tc>
          <w:tcPr>
            <w:tcW w:w="600" w:type="dxa"/>
            <w:vAlign w:val="bottom"/>
          </w:tcPr>
          <w:p>
            <w:pPr>
              <w:jc w:val="right"/>
              <w:ind w:right="361"/>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w w:val="97"/>
              </w:rPr>
              <w:t>April 30, 2013</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0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316.2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323.5</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246.9</w:t>
            </w:r>
          </w:p>
        </w:tc>
        <w:tc>
          <w:tcPr>
            <w:tcW w:w="0" w:type="dxa"/>
            <w:vAlign w:val="bottom"/>
          </w:tcPr>
          <w:p>
            <w:pPr>
              <w:spacing w:after="0"/>
              <w:rPr>
                <w:sz w:val="1"/>
                <w:szCs w:val="1"/>
                <w:color w:val="auto"/>
              </w:rPr>
            </w:pPr>
          </w:p>
        </w:tc>
      </w:tr>
      <w:tr>
        <w:trPr>
          <w:trHeight w:val="284"/>
        </w:trPr>
        <w:tc>
          <w:tcPr>
            <w:tcW w:w="706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592.5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22.1</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570.4</w:t>
            </w:r>
          </w:p>
        </w:tc>
        <w:tc>
          <w:tcPr>
            <w:tcW w:w="0" w:type="dxa"/>
            <w:vAlign w:val="bottom"/>
          </w:tcPr>
          <w:p>
            <w:pPr>
              <w:spacing w:after="0"/>
              <w:rPr>
                <w:sz w:val="1"/>
                <w:szCs w:val="1"/>
                <w:color w:val="auto"/>
              </w:rPr>
            </w:pPr>
          </w:p>
        </w:tc>
      </w:tr>
      <w:tr>
        <w:trPr>
          <w:trHeight w:val="184"/>
        </w:trPr>
        <w:tc>
          <w:tcPr>
            <w:tcW w:w="7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205.7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216.2</w:t>
            </w:r>
          </w:p>
        </w:tc>
        <w:tc>
          <w:tcPr>
            <w:tcW w:w="0" w:type="dxa"/>
            <w:vAlign w:val="bottom"/>
          </w:tcPr>
          <w:p>
            <w:pPr>
              <w:spacing w:after="0"/>
              <w:rPr>
                <w:sz w:val="1"/>
                <w:szCs w:val="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161.3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9.3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33"/>
        </w:trPr>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592.5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570.4</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40"/>
              <w:spacing w:after="0"/>
              <w:rPr>
                <w:sz w:val="20"/>
                <w:szCs w:val="20"/>
                <w:color w:val="auto"/>
              </w:rPr>
            </w:pPr>
            <w:r>
              <w:rPr>
                <w:rFonts w:ascii="Arial" w:cs="Arial" w:eastAsia="Arial" w:hAnsi="Arial"/>
                <w:sz w:val="16"/>
                <w:szCs w:val="16"/>
                <w:color w:val="auto"/>
              </w:rPr>
              <w:t>Net Revenue by Operating Segment:</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224"/>
        </w:trPr>
        <w:tc>
          <w:tcPr>
            <w:tcW w:w="706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1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23.4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172.1</w:t>
            </w:r>
          </w:p>
        </w:tc>
        <w:tc>
          <w:tcPr>
            <w:tcW w:w="0" w:type="dxa"/>
            <w:vAlign w:val="bottom"/>
          </w:tcPr>
          <w:p>
            <w:pPr>
              <w:spacing w:after="0"/>
              <w:rPr>
                <w:sz w:val="1"/>
                <w:szCs w:val="1"/>
                <w:color w:val="auto"/>
              </w:rPr>
            </w:pPr>
          </w:p>
        </w:tc>
      </w:tr>
      <w:tr>
        <w:trPr>
          <w:trHeight w:val="47"/>
        </w:trPr>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24"/>
        </w:trPr>
        <w:tc>
          <w:tcPr>
            <w:tcW w:w="706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1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47"/>
        </w:trPr>
        <w:tc>
          <w:tcPr>
            <w:tcW w:w="70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592.5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570.4</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License and other revenue consists of two components: (1) all forms of product license revenue and (2) other revenue. Product license revenue includes software license revenue from the sale of seat licenses, software license revenue from the sale of seat term-based licenses from our desktop subscription and enterprise offerings, and upgrades and product revenue for Creative Finishing. Other revenue includes revenue from consulting, training, Autodesk Developers Network and Creative Finishing customer support, and is recognized as the services are performed.</w:t>
      </w:r>
    </w:p>
    <w:p>
      <w:pPr>
        <w:spacing w:after="0" w:line="171" w:lineRule="exact"/>
        <w:rPr>
          <w:sz w:val="20"/>
          <w:szCs w:val="20"/>
          <w:color w:val="auto"/>
        </w:rPr>
      </w:pPr>
    </w:p>
    <w:p>
      <w:pPr>
        <w:jc w:val="both"/>
        <w:ind w:right="220" w:firstLine="405"/>
        <w:spacing w:after="0" w:line="312" w:lineRule="auto"/>
        <w:rPr>
          <w:sz w:val="20"/>
          <w:szCs w:val="20"/>
          <w:color w:val="auto"/>
        </w:rPr>
      </w:pPr>
      <w:r>
        <w:rPr>
          <w:rFonts w:ascii="Arial" w:cs="Arial" w:eastAsia="Arial" w:hAnsi="Arial"/>
          <w:sz w:val="16"/>
          <w:szCs w:val="16"/>
          <w:color w:val="auto"/>
        </w:rPr>
        <w:t>Total License and other revenue decreased 2% during the three months ended April 30, 2014, as compared to the three months ended April 30, 2013. This decrease was primarily due to a 1% decrease in product license revenue as compared to the same period in the prior fiscal year. The decline in product license revenue was primarily due to a decrease of 4% in revenue from our flagship products partially offset by an increase of 6% in our suites products.</w:t>
      </w:r>
    </w:p>
    <w:p>
      <w:pPr>
        <w:spacing w:after="0" w:line="14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During the three months ended April 30, 2014, the 1% decrease in product license revenue was due to a 4% decrease in the number of seats sold partially offset by a 3% increase in the average net revenue per seat. Product license revenue, as a percentage of License and other revenue, was 87% for the three months ended April 30, 2014 and 86% for the three months ended April 30, 2013.</w:t>
      </w:r>
    </w:p>
    <w:p>
      <w:pPr>
        <w:spacing w:after="0" w:line="18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During the three months ended April 30, 2014, total other revenue represented 13% of License and other revenue. Other revenue decreased by 10% during the three months ended April 30, 2014, as compared to the three months ended April 30, 2013 primarily due to a 44% decrease in revenue from our education products as a result of our transition to granting software licenses to educational institutions in select regions and to key partners, consistent with our strategy.</w:t>
      </w:r>
    </w:p>
    <w:p>
      <w:pPr>
        <w:spacing w:after="0" w:line="187"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Backlog related to current software license product orders that had not shipped at the end of the quarter increased by $12.3 million during the three months ended April 30, 2014 from $19.7 million at January 31, 2014 to $32.0 million at April 30, 2014. Backlog from current software license product orders that we have not yet shipped consists of orders for currently available licensed software products from customers with approved credit status.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Autodesk subscription revenue consists of three components: (1) maintenance revenue from our software products; (2) maintenance revenue from our term-based desktop subscription and enterprise offerings; and (3) revenue from our cloud service offerings. Our maintenance program provides our commercial and educational customers of perpetual products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term of the maintenance agreement, which is generally between one and three years but can occasionally be as long as five years. Revenue for our cloud service offerings is recognized ratably over the contract term commencing with the date our service is made available to customers and all other revenue recognition criteria have been satisfied.</w:t>
      </w:r>
    </w:p>
    <w:p>
      <w:pPr>
        <w:spacing w:after="0" w:line="17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Subscription revenue increased 12% during the three months ended April 30, 2014, as compared to the three months ended April 30, 2013, primarily due to a 13% increase in commercial maintenance revenue. The 13% increase in commercial maintenance revenue was due to a 5% increase from commercial enrollment during the corresponding maintenance contract term and an 8% increase from net revenue per maintenance seat. Commercial maintenance revenue represented 95% and 96% of Subscription revenue for the three months ended April 30, 2014 and 2013, respectively.</w:t>
      </w:r>
    </w:p>
    <w:p>
      <w:pPr>
        <w:spacing w:after="0" w:line="15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Changes in Subscription revenue lag changes in subscription billings. Subscription billings increased 19% during the three months ended April 30, 2014 as compared to the same period in the prior fiscal year primarily due to an increase in maintenance subscription revenue.</w:t>
      </w:r>
    </w:p>
    <w:p>
      <w:pPr>
        <w:spacing w:after="0" w:line="170"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Our deferred subscription revenue balance at April 30, 2014 and January 31, 2014 was $848.1 million and $789.3 million, respectively, and primarily related to customer maintenance agreements, which will be recognized as revenue ratably over the term of the maintenance agreement.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Net revenue in the Americas geography increased by 2% on an as reported basis and a constant currency basis, during the three months ended April 30, 2014, as compared to the same period in the prior fiscal year. This increase was primarily due to a 20% increase in our suites revenue partially offset by a 10% decrease in our flagship product revenue in this geography during the three months ended April 30, 2014 as compared to the three months ended April 30, 2013. The increase in our revenue in this geography was led by the U.S.</w:t>
      </w:r>
    </w:p>
    <w:p>
      <w:pPr>
        <w:spacing w:after="0" w:line="18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Net revenue in the Europe, Middle East and Africa ("EMEA") geography increased by 4% on an as reported basis and 2% on a constant currency basis, during the three months ended April 30, 2014 as compared to the same period in the prior fiscal year. This increase was primarily due to a 24% increase in our suites revenue partially offset by a 9% decrease in our flagship product revenue in this geography during the three months ended April 30, 2014 as compared to the three months ended April 30, 2013. The increase in our revenue in this geography was led by France and Spain partially offset by declines in revenue from the United Kingdom and the Netherlands.</w:t>
      </w:r>
    </w:p>
    <w:p>
      <w:pPr>
        <w:spacing w:after="0" w:line="188"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Net revenue in the APAC geography increased 6% on an as reported basis and 15% on a constant currency basis, during the three months ended April 30, 2014, as compared to the same period in the prior fiscal year. The increase was primarily due to a 9% increase in our flagship products and a 10% increase in our suites revenue partially offset by a 14% decrease in our new and adjacent product revenue in this geography during the three months ended April 30, 2014 as compared to the same period in the previous year. The increase in our revenue in this geography during the three months ended April 30, 2014 was led by Japan and South Korea partially offset by a decline in revenue in China.</w:t>
      </w:r>
    </w:p>
    <w:p>
      <w:pPr>
        <w:spacing w:after="0" w:line="173"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Net revenue in emerging economies increased by 5% during the three months ended April 30, 2014 as compared to the same period in the prior fiscal year, primarily due to increases in revenue from the Russian Federation and Taiwan partially offset by a decrease in revenue from China and India. Revenue from emerging economies represented 13% of total net revenue for both of the three months ended April 30, 2014 and 2013.</w:t>
      </w:r>
    </w:p>
    <w:p>
      <w:pPr>
        <w:spacing w:after="0" w:line="166" w:lineRule="exact"/>
        <w:rPr>
          <w:sz w:val="20"/>
          <w:szCs w:val="20"/>
          <w:color w:val="auto"/>
        </w:rPr>
      </w:pPr>
    </w:p>
    <w:p>
      <w:pPr>
        <w:ind w:right="440" w:firstLine="432"/>
        <w:spacing w:after="0" w:line="257" w:lineRule="auto"/>
        <w:rPr>
          <w:sz w:val="20"/>
          <w:szCs w:val="20"/>
          <w:color w:val="auto"/>
        </w:rPr>
      </w:pPr>
      <w:r>
        <w:rPr>
          <w:rFonts w:ascii="Arial" w:cs="Arial" w:eastAsia="Arial" w:hAnsi="Arial"/>
          <w:sz w:val="18"/>
          <w:szCs w:val="18"/>
          <w:color w:val="auto"/>
        </w:rPr>
        <w:t>International net revenue represented 71% of our total net revenue for both the three months ended April 30, 2014 and 2013. We believe that international revenue will continue to comprise a majority of our total net revenue. Unfavorable economic conditions in the countries that contribute a significant portion of our net revenue, including in emerging economies, may have an adverse effect on our business in those countries and our overall financial performance. Changes in the value of the U.S. dollar relative to other currencies have significantly affected, and could continue to significantly affect, our financial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2" w:name="page33"/>
    <w:bookmarkEnd w:id="32"/>
    <w:p>
      <w:pPr>
        <w:ind w:right="20"/>
        <w:spacing w:after="0" w:line="342" w:lineRule="auto"/>
        <w:rPr>
          <w:sz w:val="20"/>
          <w:szCs w:val="20"/>
          <w:color w:val="auto"/>
        </w:rPr>
      </w:pPr>
      <w:r>
        <w:rPr>
          <w:rFonts w:ascii="Arial" w:cs="Arial" w:eastAsia="Arial" w:hAnsi="Arial"/>
          <w:sz w:val="16"/>
          <w:szCs w:val="16"/>
          <w:color w:val="auto"/>
        </w:rPr>
        <w:t>results for a given period even though we hedge a portion of our current and projected revenue. Additionally, weak global economic conditions that have been characterized by restructuring of sovereign debt, high unemployment, and volatility in the financial markets may impact our future financial results.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have four reportable segments: Platform Solutions and Emerging Business ("PSEB"), AEC, MFG and Media and Entertainment ("M&amp;E"). We have no material inter-segment revenue.</w:t>
      </w:r>
    </w:p>
    <w:p>
      <w:pPr>
        <w:spacing w:after="0" w:line="17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During the three months ended April 30, 2014, net revenue for PSEB was flat as compared to the same period in the prior fiscal year primarily due to a 7% decrease in AutoCAD offset by a 4% increase in AutoCAD LT and an 8% increase in revenue from our PSEB suites, which was primarily driven by AutoCAD Design Suite.</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During the three months ended April 30, 2014, net revenue for AEC increased by 14% as compared to the same period in the prior fiscal year primarily due to a 36% increase in revenue from our AEC suites, which was primarily driven by Autodesk Building Design Suite and Autodesk Infrastructure Design Suite.</w:t>
      </w:r>
    </w:p>
    <w:p>
      <w:pPr>
        <w:spacing w:after="0" w:line="18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During the three months ended April 30, 2014, net revenue for MFG increased by 6% as compared to the same period of the prior fiscal year primarily due to an 8% increase in revenue from our MFG suites, which was primarily driven by the Autodesk Product Design Suite.</w:t>
      </w:r>
    </w:p>
    <w:p>
      <w:pPr>
        <w:spacing w:after="0" w:line="17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During the three months ended April 30, 2014, net revenue for M&amp;E decreased by 19% as compared to the same period in the prior fiscal year, due to a 36% decrease in revenue from Creative Finishing and a 12% decrease in revenue from Animation. The decline in Creative Finishing was marked by a general decrease in M&amp;E industry end-market demand. The decrease in Animation revenue was primarily due to a 26% decrease from our M&amp;E suites, which was driven by our Autodesk Entertainment Creation Suite, and an 11% decrease in revenue from our flagship product, Maya. The decrease in M&amp;E revenue is related primarily to a general decrease in the M&amp;E industry end-market demand, the planned inclusion of our M&amp;E products in other Autodesk industry suites, and the business model transition as customers are opting for desktop subscription.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1760" w:type="dxa"/>
            <w:vAlign w:val="bottom"/>
            <w:gridSpan w:val="4"/>
          </w:tcPr>
          <w:p>
            <w:pPr>
              <w:ind w:left="80"/>
              <w:spacing w:after="0"/>
              <w:rPr>
                <w:sz w:val="20"/>
                <w:szCs w:val="20"/>
                <w:color w:val="auto"/>
              </w:rPr>
            </w:pPr>
            <w:r>
              <w:rPr>
                <w:rFonts w:ascii="Arial" w:cs="Arial" w:eastAsia="Arial" w:hAnsi="Arial"/>
                <w:sz w:val="14"/>
                <w:szCs w:val="14"/>
                <w:b w:val="1"/>
                <w:bCs w:val="1"/>
                <w:color w:val="auto"/>
              </w:rPr>
              <w:t>Increase compared to</w:t>
            </w:r>
          </w:p>
        </w:tc>
        <w:tc>
          <w:tcPr>
            <w:tcW w:w="160" w:type="dxa"/>
            <w:vAlign w:val="bottom"/>
          </w:tcPr>
          <w:p>
            <w:pPr>
              <w:spacing w:after="0"/>
              <w:rPr>
                <w:sz w:val="14"/>
                <w:szCs w:val="14"/>
                <w:color w:val="auto"/>
              </w:rPr>
            </w:pPr>
          </w:p>
        </w:tc>
        <w:tc>
          <w:tcPr>
            <w:tcW w:w="1140" w:type="dxa"/>
            <w:vAlign w:val="bottom"/>
          </w:tcPr>
          <w:p>
            <w:pPr>
              <w:jc w:val="center"/>
              <w:ind w:right="83"/>
              <w:spacing w:after="0"/>
              <w:rPr>
                <w:sz w:val="20"/>
                <w:szCs w:val="20"/>
                <w:color w:val="auto"/>
              </w:rPr>
            </w:pPr>
            <w:r>
              <w:rPr>
                <w:rFonts w:ascii="Arial" w:cs="Arial" w:eastAsia="Arial" w:hAnsi="Arial"/>
                <w:sz w:val="14"/>
                <w:szCs w:val="14"/>
                <w:b w:val="1"/>
                <w:bCs w:val="1"/>
                <w:color w:val="auto"/>
                <w:w w:val="93"/>
              </w:rPr>
              <w:t>Three Months</w:t>
            </w:r>
          </w:p>
        </w:tc>
      </w:tr>
      <w:tr>
        <w:trPr>
          <w:trHeight w:val="192"/>
        </w:trPr>
        <w:tc>
          <w:tcPr>
            <w:tcW w:w="6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22"/>
                <w:szCs w:val="2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April 30, 2014</w:t>
            </w:r>
          </w:p>
        </w:tc>
        <w:tc>
          <w:tcPr>
            <w:tcW w:w="200" w:type="dxa"/>
            <w:vAlign w:val="bottom"/>
          </w:tcPr>
          <w:p>
            <w:pPr>
              <w:spacing w:after="0"/>
              <w:rPr>
                <w:sz w:val="22"/>
                <w:szCs w:val="22"/>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April 30, 2013</w:t>
            </w:r>
          </w:p>
        </w:tc>
      </w:tr>
      <w:tr>
        <w:trPr>
          <w:trHeight w:val="210"/>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60"/>
        </w:trPr>
        <w:tc>
          <w:tcPr>
            <w:tcW w:w="67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3"/>
              <w:spacing w:after="0"/>
              <w:rPr>
                <w:sz w:val="20"/>
                <w:szCs w:val="20"/>
                <w:color w:val="auto"/>
              </w:rPr>
            </w:pPr>
            <w:r>
              <w:rPr>
                <w:rFonts w:ascii="Arial" w:cs="Arial" w:eastAsia="Arial" w:hAnsi="Arial"/>
                <w:sz w:val="16"/>
                <w:szCs w:val="16"/>
                <w:color w:val="auto"/>
              </w:rPr>
              <w:t>4.9</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44.4</w:t>
            </w:r>
          </w:p>
        </w:tc>
      </w:tr>
      <w:tr>
        <w:trPr>
          <w:trHeight w:val="33"/>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23.1</w:t>
            </w:r>
          </w:p>
        </w:tc>
      </w:tr>
      <w:tr>
        <w:trPr>
          <w:trHeight w:val="284"/>
        </w:trPr>
        <w:tc>
          <w:tcPr>
            <w:tcW w:w="676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11.2</w:t>
            </w:r>
          </w:p>
        </w:tc>
        <w:tc>
          <w:tcPr>
            <w:tcW w:w="10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67.5</w:t>
            </w:r>
          </w:p>
        </w:tc>
      </w:tr>
      <w:tr>
        <w:trPr>
          <w:trHeight w:val="224"/>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6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Cost of license and other revenue includes labor costs associated with product setup and fulfillment and costs of consulting and training services contracts and collaborative project management services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physical media, packaging materials and shipping and handling costs.</w:t>
      </w:r>
    </w:p>
    <w:p>
      <w:pPr>
        <w:spacing w:after="0" w:line="173"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Cost of license and other revenue increased 11% for the three months ended April 30, 2014, as compared to the same period in the prior fiscal year, primarily due to increased amortization expense related to developed technology and an increase in consulting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right="100" w:firstLine="432"/>
        <w:spacing w:after="0" w:line="312" w:lineRule="auto"/>
        <w:rPr>
          <w:sz w:val="20"/>
          <w:szCs w:val="20"/>
          <w:color w:val="auto"/>
        </w:rPr>
      </w:pPr>
      <w:r>
        <w:rPr>
          <w:rFonts w:ascii="Arial" w:cs="Arial" w:eastAsia="Arial" w:hAnsi="Arial"/>
          <w:sz w:val="16"/>
          <w:szCs w:val="16"/>
          <w:color w:val="auto"/>
        </w:rPr>
        <w:t>Cost of subscription revenue includes the labor costs of providing product support to our maintenance and cloud subscription customers, including rent and occupancy, shipping and handling costs, professional services fees related to operating our network and cloud infrastructure, including depreciation expense and operating lease payments associated with computer equipment, data center costs, salaries and related expenses of network operations.</w:t>
      </w:r>
    </w:p>
    <w:p>
      <w:pPr>
        <w:spacing w:after="0" w:line="147"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Cost of subscription revenue increased 27% during the three months ended April 30, 2014, as compared to the same period in the prior fiscal year, primarily due to higher cloud services-related expenses.</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We expect cost of revenue to increase in absolute dollars and as a percentage of net revenue during the second quarter of fiscal 2015, as compared to the second quarter of fiscal 2014, primarily due to an increase in cloud services-related expenses associated with meeting our major business initiatives.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600" w:type="dxa"/>
            <w:vAlign w:val="bottom"/>
            <w:gridSpan w:val="4"/>
          </w:tcPr>
          <w:p>
            <w:pPr>
              <w:ind w:left="280"/>
              <w:spacing w:after="0"/>
              <w:rPr>
                <w:sz w:val="20"/>
                <w:szCs w:val="20"/>
                <w:color w:val="auto"/>
              </w:rPr>
            </w:pPr>
            <w:r>
              <w:rPr>
                <w:rFonts w:ascii="Arial" w:cs="Arial" w:eastAsia="Arial" w:hAnsi="Arial"/>
                <w:sz w:val="14"/>
                <w:szCs w:val="14"/>
                <w:b w:val="1"/>
                <w:bCs w:val="1"/>
                <w:color w:val="auto"/>
                <w:w w:val="89"/>
              </w:rPr>
              <w:t>Increase compared to</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Three Months</w:t>
            </w:r>
          </w:p>
        </w:tc>
      </w:tr>
      <w:tr>
        <w:trPr>
          <w:trHeight w:val="192"/>
        </w:trPr>
        <w:tc>
          <w:tcPr>
            <w:tcW w:w="6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99"/>
              </w:rPr>
              <w:t>prior fiscal year</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April 30, 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April 30, 2013</w:t>
            </w:r>
          </w:p>
        </w:tc>
      </w:tr>
      <w:tr>
        <w:trPr>
          <w:trHeight w:val="23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225.4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w w:val="89"/>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  $</w:t>
            </w:r>
          </w:p>
        </w:tc>
        <w:tc>
          <w:tcPr>
            <w:tcW w:w="11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208.8</w:t>
            </w:r>
          </w:p>
        </w:tc>
      </w:tr>
      <w:tr>
        <w:trPr>
          <w:trHeight w:val="237"/>
        </w:trPr>
        <w:tc>
          <w:tcPr>
            <w:tcW w:w="676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r>
    </w:tbl>
    <w:p>
      <w:pPr>
        <w:spacing w:after="0" w:line="235"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w:t>
      </w:r>
    </w:p>
    <w:p>
      <w:pPr>
        <w:spacing w:after="0" w:line="17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Marketing and sales expenses increased 8% for the three months ended April 30, 2014 as compared to the same period in the prior fiscal year primarily due to an increase in employee-related costs related to bonus, salaries, commissions and fringe benefits primarily associated with increased headcount and merit increases and an increase in professional fees.</w:t>
      </w:r>
    </w:p>
    <w:p>
      <w:pPr>
        <w:spacing w:after="0" w:line="18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For the second quarter of fiscal 2015, as compared to the second quarter of fiscal 2014, we expect marketing and sales expense to increase in absolute dollars and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1980" w:type="dxa"/>
            <w:vAlign w:val="bottom"/>
            <w:gridSpan w:val="5"/>
          </w:tcPr>
          <w:p>
            <w:pPr>
              <w:ind w:left="120"/>
              <w:spacing w:after="0"/>
              <w:rPr>
                <w:sz w:val="20"/>
                <w:szCs w:val="20"/>
                <w:color w:val="auto"/>
              </w:rPr>
            </w:pPr>
            <w:r>
              <w:rPr>
                <w:rFonts w:ascii="Arial" w:cs="Arial" w:eastAsia="Arial" w:hAnsi="Arial"/>
                <w:sz w:val="14"/>
                <w:szCs w:val="14"/>
                <w:b w:val="1"/>
                <w:bCs w:val="1"/>
                <w:color w:val="auto"/>
              </w:rPr>
              <w:t>Increase compared to</w:t>
            </w:r>
          </w:p>
        </w:tc>
        <w:tc>
          <w:tcPr>
            <w:tcW w:w="104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Three Months</w:t>
            </w:r>
          </w:p>
        </w:tc>
      </w:tr>
      <w:tr>
        <w:trPr>
          <w:trHeight w:val="192"/>
        </w:trPr>
        <w:tc>
          <w:tcPr>
            <w:tcW w:w="6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6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7"/>
              </w:rPr>
              <w:t>April 30, 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April 30, 2013</w:t>
            </w:r>
          </w:p>
        </w:tc>
      </w:tr>
      <w:tr>
        <w:trPr>
          <w:trHeight w:val="236"/>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170.5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13%  $</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150.8</w:t>
            </w:r>
          </w:p>
        </w:tc>
      </w:tr>
      <w:tr>
        <w:trPr>
          <w:trHeight w:val="237"/>
        </w:trPr>
        <w:tc>
          <w:tcPr>
            <w:tcW w:w="69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3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and professional services such as fees paid to software development firms and independent contractors.</w:t>
      </w:r>
    </w:p>
    <w:p>
      <w:pPr>
        <w:spacing w:after="0" w:line="181"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Research and development expenses increased 13% during the three months ended April 30, 2014 as compared to the same period in the prior fiscal year, primarily due to an increase in employee-related costs related to salaries, bonus and fringe benefits primarily associated with increased headcount and merit increases and professional fees.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right="380" w:firstLine="432"/>
        <w:spacing w:after="0" w:line="277" w:lineRule="auto"/>
        <w:rPr>
          <w:sz w:val="20"/>
          <w:szCs w:val="20"/>
          <w:color w:val="auto"/>
        </w:rPr>
      </w:pPr>
      <w:r>
        <w:rPr>
          <w:rFonts w:ascii="Arial" w:cs="Arial" w:eastAsia="Arial" w:hAnsi="Arial"/>
          <w:sz w:val="18"/>
          <w:szCs w:val="18"/>
          <w:color w:val="auto"/>
        </w:rPr>
        <w:t>For the second quarter of fiscal 2015, as compared to the second quarter of fiscal 2014, we expect research and development expense to increase in absolute dollars and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6"/>
              </w:rPr>
              <w:t>Increase compared to</w:t>
            </w:r>
          </w:p>
        </w:tc>
        <w:tc>
          <w:tcPr>
            <w:tcW w:w="104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Three Months</w:t>
            </w:r>
          </w:p>
        </w:tc>
      </w:tr>
      <w:tr>
        <w:trPr>
          <w:trHeight w:val="192"/>
        </w:trPr>
        <w:tc>
          <w:tcPr>
            <w:tcW w:w="7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70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5"/>
              </w:rPr>
              <w:t>April 30, 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April 30, 2013</w:t>
            </w:r>
          </w:p>
        </w:tc>
      </w:tr>
      <w:tr>
        <w:trPr>
          <w:trHeight w:val="236"/>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73.4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  $</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61.5</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finance, human resources and legal employees, as well as professional fees for legal and accounting services, amortization of acquisition related customer relationships and trade names, gains and losses on our operating expense cash flow hedges, expense of travel, entertainment and training, expense of communication and the cost of supplies and equipment.</w:t>
      </w:r>
    </w:p>
    <w:p>
      <w:pPr>
        <w:spacing w:after="0" w:line="187"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General and administrative expenses increased 19% during the three months ended April 30, 2014 as compared to the same period in the prior fiscal year, primarily due to an increase in employee-related costs related to salaries, bonus and fringe benefits primarily associated with increased headcount and merit increases and professional fees.</w:t>
      </w:r>
    </w:p>
    <w:p>
      <w:pPr>
        <w:spacing w:after="0" w:line="18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For the second quarter of fiscal 2015, as compared to the second quarter of fiscal 2014, we expect general and administrative expenses to increase in absolute dollars and as a percentage of net revenue.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Charges,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6"/>
              </w:rPr>
              <w:t>Increase compared to</w:t>
            </w:r>
          </w:p>
        </w:tc>
        <w:tc>
          <w:tcPr>
            <w:tcW w:w="114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Three Months</w:t>
            </w:r>
          </w:p>
        </w:tc>
      </w:tr>
      <w:tr>
        <w:trPr>
          <w:trHeight w:val="192"/>
        </w:trPr>
        <w:tc>
          <w:tcPr>
            <w:tcW w:w="6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7"/>
              </w:rPr>
              <w:t>April 30, 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April 30, 2013</w:t>
            </w:r>
          </w:p>
        </w:tc>
      </w:tr>
      <w:tr>
        <w:trPr>
          <w:trHeight w:val="236"/>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475%  $</w:t>
            </w:r>
          </w:p>
        </w:tc>
        <w:tc>
          <w:tcPr>
            <w:tcW w:w="11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0.4</w:t>
            </w: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60" w:type="dxa"/>
            <w:vAlign w:val="bottom"/>
          </w:tcPr>
          <w:p>
            <w:pPr>
              <w:spacing w:after="0"/>
              <w:rPr>
                <w:sz w:val="20"/>
                <w:szCs w:val="20"/>
                <w:color w:val="auto"/>
              </w:rPr>
            </w:pPr>
          </w:p>
        </w:tc>
        <w:tc>
          <w:tcPr>
            <w:tcW w:w="12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During the third quarter of fiscal 2014, the Board of Directors approved a world-wide restructuring plan in order to re-balance staffing levels to better align them with the evolving needs of the business. The authorized plan included a reduction of approximately 85 positions and the consolidation of four leased facilities, with a total cost of approximately $15.0 million.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months ended April 30, 2014, we recorded an incremental restructuring charge associated with the Fiscal 2014 Plan of $2.3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13, “Restructuring,” in the Notes to the Condensed Consolidated Financial Statements for further discussion.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Other (Expense)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income (expense),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r>
      <w:tr>
        <w:trPr>
          <w:trHeight w:val="23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income, net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Loss on foreign currency</w:t>
            </w:r>
          </w:p>
        </w:tc>
        <w:tc>
          <w:tcPr>
            <w:tcW w:w="3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strategic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income (loss)</w:t>
            </w:r>
          </w:p>
        </w:tc>
        <w:tc>
          <w:tcPr>
            <w:tcW w:w="34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8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income, net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ind w:right="260" w:firstLine="405"/>
        <w:spacing w:after="0" w:line="264" w:lineRule="auto"/>
        <w:rPr>
          <w:sz w:val="20"/>
          <w:szCs w:val="20"/>
          <w:color w:val="auto"/>
        </w:rPr>
      </w:pPr>
      <w:r>
        <w:rPr>
          <w:rFonts w:ascii="Arial" w:cs="Arial" w:eastAsia="Arial" w:hAnsi="Arial"/>
          <w:sz w:val="18"/>
          <w:szCs w:val="18"/>
          <w:color w:val="auto"/>
        </w:rPr>
        <w:t>Interest and other (expense) income, net, increased $2.2 million during the three months ended April 30, 2014, as compared to the same period in the prior fiscal year, primarily due to an increase in other income associated with a Canadian ecommerce tax credit partially offset by losses on the derivative portion of our strategic investments that are marked-to-market each period.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and investment income fluctuates based on average cash, marketable securities and debt balances, average maturities and interest rates.</w:t>
      </w:r>
    </w:p>
    <w:p>
      <w:pPr>
        <w:spacing w:after="0" w:line="248"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Our effective tax rate was 21% during the three months ended April 30, 2014 compared to 23% during the three months ended April 30, 2013. Our effective tax rate decreased 2% during the three months ended April 30, 2014 as compared to the same period in the prior fiscal year primarily due to greater tax rate benefits from foreign earnings partially offset by tax rate detriments from stock-based compensation expense, accrual for uncertain tax positions and expiration of the federal research and development tax credit provision. Excluding the impact of discrete tax items, the effective tax rate for the three month period ended April 30, 2014 was 25% and was lower than the Federal statutory tax rate of 35% primarily due to foreign income taxed at lower rates partially offset by the impact of non-deductible stock based compensation expense and accrual for uncertain tax positions.</w:t>
      </w:r>
    </w:p>
    <w:p>
      <w:pPr>
        <w:spacing w:after="0" w:line="16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At April 30, 2014, we had net deferred tax assets of $148.1 million. Pursuant to the adoption of ASU 2013-11, an additional $35.5 million of unrecognized tax benefits have been presented as a reduction of deferred tax assets at April 30, 2014. We believe that we will generate sufficient future taxable income in appropriate tax jurisdictions to realize these assets.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8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months ended April 30, 2014, and 2013, our gross profit, gross margin, income from operations, operating margin, net income and diluted earnings per share on a GAAP and non-GAAP basis were as follows (in millions except for gross margin, operating margin and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5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2013</w:t>
            </w:r>
          </w:p>
        </w:tc>
      </w:tr>
      <w:tr>
        <w:trPr>
          <w:trHeight w:val="196"/>
        </w:trPr>
        <w:tc>
          <w:tcPr>
            <w:tcW w:w="8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17"/>
                <w:szCs w:val="17"/>
                <w:color w:val="auto"/>
              </w:rPr>
            </w:pPr>
          </w:p>
        </w:tc>
      </w:tr>
      <w:tr>
        <w:trPr>
          <w:trHeight w:val="256"/>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86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513.8</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502.9</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w w:val="89"/>
              </w:rPr>
              <w:t>528.5</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515.2</w:t>
            </w:r>
          </w:p>
        </w:tc>
      </w:tr>
      <w:tr>
        <w:trPr>
          <w:trHeight w:val="33"/>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8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86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42.2</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81.4</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w w:val="89"/>
              </w:rPr>
              <w:t>102.0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136.9</w:t>
            </w:r>
          </w:p>
        </w:tc>
      </w:tr>
      <w:tr>
        <w:trPr>
          <w:trHeight w:val="33"/>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8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28.3</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55.6</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73.8</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96.3</w:t>
            </w:r>
          </w:p>
        </w:tc>
      </w:tr>
      <w:tr>
        <w:trPr>
          <w:trHeight w:val="33"/>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(1)</w:t>
            </w:r>
          </w:p>
        </w:tc>
        <w:tc>
          <w:tcPr>
            <w:tcW w:w="86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0.12</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0.24</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Non-GAAP diluted earnings per share (1)</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0.32</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0.42</w:t>
            </w:r>
          </w:p>
        </w:tc>
      </w:tr>
      <w:tr>
        <w:trPr>
          <w:trHeight w:val="249"/>
        </w:trPr>
        <w:tc>
          <w:tcPr>
            <w:tcW w:w="8500" w:type="dxa"/>
            <w:vAlign w:val="bottom"/>
          </w:tcPr>
          <w:p>
            <w:pPr>
              <w:spacing w:after="0"/>
              <w:rPr>
                <w:sz w:val="20"/>
                <w:szCs w:val="20"/>
                <w:color w:val="auto"/>
              </w:rPr>
            </w:pPr>
            <w:r>
              <w:rPr>
                <w:rFonts w:ascii="Arial" w:cs="Arial" w:eastAsia="Arial" w:hAnsi="Arial"/>
                <w:sz w:val="18"/>
                <w:szCs w:val="18"/>
                <w:color w:val="auto"/>
              </w:rPr>
              <w:t>_______________</w:t>
            </w: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4" w:lineRule="exact"/>
        <w:rPr>
          <w:sz w:val="20"/>
          <w:szCs w:val="20"/>
          <w:color w:val="auto"/>
        </w:rPr>
      </w:pPr>
    </w:p>
    <w:p>
      <w:pPr>
        <w:ind w:left="420" w:right="40" w:hanging="412"/>
        <w:spacing w:after="0" w:line="281"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7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0" w:lineRule="exact"/>
        <w:rPr>
          <w:sz w:val="20"/>
          <w:szCs w:val="20"/>
          <w:color w:val="auto"/>
        </w:rPr>
      </w:pPr>
    </w:p>
    <w:p>
      <w:pPr>
        <w:spacing w:after="0" w:line="219" w:lineRule="exact"/>
        <w:rPr>
          <w:sz w:val="20"/>
          <w:szCs w:val="20"/>
          <w:color w:val="auto"/>
        </w:rPr>
      </w:pPr>
    </w:p>
    <w:p>
      <w:pPr>
        <w:jc w:val="right"/>
        <w:ind w:right="62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23495</wp:posOffset>
            </wp:positionV>
            <wp:extent cx="19983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operations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income from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on strategic investments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Discrete tax provision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right"/>
        <w:ind w:right="4280"/>
        <w:spacing w:after="0"/>
        <w:rPr>
          <w:sz w:val="20"/>
          <w:szCs w:val="20"/>
          <w:color w:val="auto"/>
        </w:rPr>
      </w:pPr>
      <w:r>
        <w:rPr>
          <w:rFonts w:ascii="Arial" w:cs="Arial" w:eastAsia="Arial" w:hAnsi="Arial"/>
          <w:sz w:val="16"/>
          <w:szCs w:val="16"/>
          <w:color w:val="auto"/>
        </w:rPr>
        <w:t>Income tax effect of non-GAAP adjustments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r>
      <w:tr>
        <w:trPr>
          <w:trHeight w:val="190"/>
        </w:trPr>
        <w:tc>
          <w:tcPr>
            <w:tcW w:w="380" w:type="dxa"/>
            <w:vAlign w:val="bottom"/>
          </w:tcPr>
          <w:p>
            <w:pPr>
              <w:spacing w:after="0"/>
              <w:rPr>
                <w:sz w:val="16"/>
                <w:szCs w:val="16"/>
                <w:color w:val="auto"/>
              </w:rPr>
            </w:pPr>
          </w:p>
        </w:tc>
        <w:tc>
          <w:tcPr>
            <w:tcW w:w="17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6"/>
                <w:szCs w:val="16"/>
                <w:color w:val="auto"/>
              </w:rPr>
            </w:pPr>
          </w:p>
        </w:tc>
      </w:tr>
      <w:tr>
        <w:trPr>
          <w:trHeight w:val="249"/>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513.8</w:t>
            </w:r>
          </w:p>
        </w:tc>
        <w:tc>
          <w:tcPr>
            <w:tcW w:w="12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502.9</w:t>
            </w:r>
          </w:p>
        </w:tc>
      </w:tr>
      <w:tr>
        <w:trPr>
          <w:trHeight w:val="270"/>
        </w:trPr>
        <w:tc>
          <w:tcPr>
            <w:tcW w:w="38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1.5</w:t>
            </w:r>
          </w:p>
        </w:tc>
      </w:tr>
      <w:tr>
        <w:trPr>
          <w:trHeight w:val="270"/>
        </w:trPr>
        <w:tc>
          <w:tcPr>
            <w:tcW w:w="38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10.8</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528.5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515.2</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70"/>
        </w:trPr>
        <w:tc>
          <w:tcPr>
            <w:tcW w:w="380" w:type="dxa"/>
            <w:vAlign w:val="bottom"/>
          </w:tcPr>
          <w:p>
            <w:pPr>
              <w:spacing w:after="0"/>
              <w:rPr>
                <w:sz w:val="23"/>
                <w:szCs w:val="23"/>
                <w:color w:val="auto"/>
              </w:rPr>
            </w:pPr>
          </w:p>
        </w:tc>
        <w:tc>
          <w:tcPr>
            <w:tcW w:w="13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81.4</w:t>
            </w:r>
          </w:p>
        </w:tc>
      </w:tr>
      <w:tr>
        <w:trPr>
          <w:trHeight w:val="270"/>
        </w:trPr>
        <w:tc>
          <w:tcPr>
            <w:tcW w:w="38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33.5</w:t>
            </w:r>
          </w:p>
        </w:tc>
      </w:tr>
      <w:tr>
        <w:trPr>
          <w:trHeight w:val="270"/>
        </w:trPr>
        <w:tc>
          <w:tcPr>
            <w:tcW w:w="38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21.6</w:t>
            </w:r>
          </w:p>
        </w:tc>
      </w:tr>
      <w:tr>
        <w:trPr>
          <w:trHeight w:val="270"/>
        </w:trPr>
        <w:tc>
          <w:tcPr>
            <w:tcW w:w="38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0.4</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136.9</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380" w:type="dxa"/>
            <w:vAlign w:val="bottom"/>
          </w:tcPr>
          <w:p>
            <w:pPr>
              <w:spacing w:after="0"/>
              <w:rPr>
                <w:sz w:val="23"/>
                <w:szCs w:val="23"/>
                <w:color w:val="auto"/>
              </w:rPr>
            </w:pPr>
          </w:p>
        </w:tc>
        <w:tc>
          <w:tcPr>
            <w:tcW w:w="13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55.6</w:t>
            </w:r>
          </w:p>
        </w:tc>
      </w:tr>
      <w:tr>
        <w:trPr>
          <w:trHeight w:val="270"/>
        </w:trPr>
        <w:tc>
          <w:tcPr>
            <w:tcW w:w="38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33.5</w:t>
            </w:r>
          </w:p>
        </w:tc>
      </w:tr>
      <w:tr>
        <w:trPr>
          <w:trHeight w:val="270"/>
        </w:trPr>
        <w:tc>
          <w:tcPr>
            <w:tcW w:w="38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21.6</w:t>
            </w:r>
          </w:p>
        </w:tc>
      </w:tr>
      <w:tr>
        <w:trPr>
          <w:trHeight w:val="270"/>
        </w:trPr>
        <w:tc>
          <w:tcPr>
            <w:tcW w:w="38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0.4</w:t>
            </w:r>
          </w:p>
        </w:tc>
      </w:tr>
      <w:tr>
        <w:trPr>
          <w:trHeight w:val="270"/>
        </w:trPr>
        <w:tc>
          <w:tcPr>
            <w:tcW w:w="38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w:t>
            </w:r>
          </w:p>
        </w:tc>
      </w:tr>
      <w:tr>
        <w:trPr>
          <w:trHeight w:val="270"/>
        </w:trPr>
        <w:tc>
          <w:tcPr>
            <w:tcW w:w="38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270"/>
        </w:trPr>
        <w:tc>
          <w:tcPr>
            <w:tcW w:w="38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(15.4)</w:t>
            </w:r>
          </w:p>
        </w:tc>
      </w:tr>
    </w:tbl>
    <w:p>
      <w:pPr>
        <w:spacing w:after="0" w:line="13" w:lineRule="exact"/>
        <w:rPr>
          <w:sz w:val="20"/>
          <w:szCs w:val="20"/>
          <w:color w:val="auto"/>
        </w:rPr>
      </w:pPr>
    </w:p>
    <w:p>
      <w:pPr>
        <w:sectPr>
          <w:pgSz w:w="11900" w:h="16838" w:orient="portrait"/>
          <w:cols w:equalWidth="0" w:num="2">
            <w:col w:w="7560" w:space="720"/>
            <w:col w:w="31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73"/>
        </w:trPr>
        <w:tc>
          <w:tcPr>
            <w:tcW w:w="828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2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 (1)</w:t>
            </w: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37"/>
        </w:trPr>
        <w:tc>
          <w:tcPr>
            <w:tcW w:w="82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6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37"/>
        </w:trPr>
        <w:tc>
          <w:tcPr>
            <w:tcW w:w="828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6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strategic investments</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8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6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7"/>
        </w:trPr>
        <w:tc>
          <w:tcPr>
            <w:tcW w:w="8280" w:type="dxa"/>
            <w:vAlign w:val="bottom"/>
          </w:tcPr>
          <w:p>
            <w:pPr>
              <w:ind w:left="40"/>
              <w:spacing w:after="0"/>
              <w:rPr>
                <w:sz w:val="20"/>
                <w:szCs w:val="20"/>
                <w:color w:val="auto"/>
              </w:rPr>
            </w:pPr>
            <w:r>
              <w:rPr>
                <w:rFonts w:ascii="Arial" w:cs="Arial" w:eastAsia="Arial" w:hAnsi="Arial"/>
                <w:sz w:val="16"/>
                <w:szCs w:val="16"/>
                <w:color w:val="auto"/>
              </w:rPr>
              <w:t>Non-GAAP diluted net income per share (1)</w:t>
            </w: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33"/>
        </w:trPr>
        <w:tc>
          <w:tcPr>
            <w:tcW w:w="82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80" w:type="dxa"/>
            <w:vAlign w:val="bottom"/>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20" w:right="40" w:hanging="412"/>
        <w:spacing w:after="0" w:line="281"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Stock-based compensation expense</w:t>
      </w:r>
      <w:r>
        <w:rPr>
          <w:rFonts w:ascii="Arial" w:cs="Arial" w:eastAsia="Arial" w:hAnsi="Arial"/>
          <w:sz w:val="18"/>
          <w:szCs w:val="18"/>
          <w:color w:val="auto"/>
        </w:rPr>
        <w:t>s. We exclude stock-based compensation expenses from non-GAAP measures primarily because they are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w:t>
      </w:r>
    </w:p>
    <w:p>
      <w:pPr>
        <w:sectPr>
          <w:pgSz w:w="11900" w:h="16838" w:orient="portrait"/>
          <w:cols w:equalWidth="0" w:num="1">
            <w:col w:w="11420"/>
          </w:cols>
          <w:pgMar w:left="240" w:top="580"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580" w:right="239" w:bottom="1440" w:gutter="0" w:footer="0" w:header="0"/>
          <w:type w:val="continuous"/>
        </w:sectPr>
      </w:pPr>
    </w:p>
    <w:bookmarkStart w:id="38" w:name="page39"/>
    <w:bookmarkEnd w:id="38"/>
    <w:p>
      <w:pPr>
        <w:jc w:val="both"/>
        <w:ind w:right="20"/>
        <w:spacing w:after="0" w:line="277" w:lineRule="auto"/>
        <w:rPr>
          <w:sz w:val="20"/>
          <w:szCs w:val="20"/>
          <w:color w:val="auto"/>
        </w:rPr>
      </w:pPr>
      <w:r>
        <w:rPr>
          <w:rFonts w:ascii="Arial" w:cs="Arial" w:eastAsia="Arial" w:hAnsi="Arial"/>
          <w:sz w:val="18"/>
          <w:szCs w:val="18"/>
          <w:color w:val="auto"/>
        </w:rPr>
        <w:t>ASC Topic 718, we believe excluding stock-based compensation expenses allows investors to make meaningful comparisons between our recurring core business operating results and those of other companies.</w:t>
      </w:r>
    </w:p>
    <w:p>
      <w:pPr>
        <w:spacing w:after="0" w:line="17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Amortization of purchased intangibles. </w:t>
      </w:r>
      <w:r>
        <w:rPr>
          <w:rFonts w:ascii="Arial" w:cs="Arial" w:eastAsia="Arial" w:hAnsi="Arial"/>
          <w:sz w:val="16"/>
          <w:szCs w:val="16"/>
          <w:color w:val="auto"/>
        </w:rPr>
        <w:t>We incur amortization of acquisition-related purchased intangible assets in connection with acquisitions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businesses and technologies. Amortization of intangible assets is inconsistent in amount and frequency and is significantly affected by the timing and size of our acquisitions. Management finds it useful to exclude these variable charges to assess the appropriate level of various operating expenses to assist in budgeting, planning and forecasting future periods. Investors should note that the use of intangible assets contributed to our revenues earned during the periods presented and will contribute to our future period revenues as well. Amortization of purchased intangible assets will recur in future periods.</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Restructuring charges (benefits), net. </w:t>
      </w:r>
      <w:r>
        <w:rPr>
          <w:rFonts w:ascii="Arial" w:cs="Arial" w:eastAsia="Arial" w:hAnsi="Arial"/>
          <w:sz w:val="17"/>
          <w:szCs w:val="17"/>
          <w:color w:val="auto"/>
        </w:rPr>
        <w:t>These expenses are associated with realigning our business strategies based on current economic conditions.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these restructuring actions, we recognize costs related to termination benefits for former employees whose positions were eliminated, and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and realized gains and losses on the sale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the Company's operational performance.</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Income tax effects on the difference between GAAP and non-GAAP costs and expenses. </w:t>
      </w:r>
      <w:r>
        <w:rPr>
          <w:rFonts w:ascii="Arial" w:cs="Arial" w:eastAsia="Arial" w:hAnsi="Arial"/>
          <w:sz w:val="18"/>
          <w:szCs w:val="18"/>
          <w:color w:val="auto"/>
        </w:rPr>
        <w:t>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expenses, primarily due to stock-based compensation, amortization of purchased intangibles and restructuring charges (benefits)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40" w:firstLine="405"/>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At April 30, 2014, our principal sources of liquidity were cash, cash equivalents and marketable securities totaling $2,387.9 million and net accounts receivable of $323.3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ind w:right="260" w:firstLine="405"/>
        <w:spacing w:after="0" w:line="276" w:lineRule="auto"/>
        <w:rPr>
          <w:sz w:val="20"/>
          <w:szCs w:val="20"/>
          <w:color w:val="auto"/>
        </w:rPr>
      </w:pPr>
      <w:r>
        <w:rPr>
          <w:rFonts w:ascii="Arial" w:cs="Arial" w:eastAsia="Arial" w:hAnsi="Arial"/>
          <w:sz w:val="17"/>
          <w:szCs w:val="17"/>
          <w:color w:val="auto"/>
        </w:rPr>
        <w:t>In fiscal 2013, we issued $400.0 million aggregate principal amount of 1.95% senior notes due December 15, 2017 and $350.0 million aggregate principal amount of 3.6% senior notes due December 15, 2022, (collectively, the “Senior Notes”). As of June 3, 2014, we have $750.0 million aggregate principal amount of Senior Notes outstanding. In addition, we have a line of credit facility that permits unsecured short-term borrowings of up to $400.0 million. As of June 3, 2014, we have no amounts outstanding under the credit facility. The credit facility expires in May 2018. Borrowings under the credit facility and the net proceeds from the offering of the Senior Notes are available for general corporate purposes.</w:t>
      </w:r>
    </w:p>
    <w:p>
      <w:pPr>
        <w:spacing w:after="0" w:line="1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decrease in our cash, cash equivalents and marketable securities from $2,544.4 million at January 31, 2014 to $2,387.9 million at April 30, 2014 is primarily due to cash used for acquisitions including business combination and technology purchases, repurchases of common stock, and capital expenditures partially offset by cash generated by operating activities, and proceeds from the issuance of common stock following stock option exercises and employee stock plan purchases. The cash proceeds from issuance of common stock varies based on our stock price, stock option exercise activity and the volume of employee purchases under the Employee Stock Purchase Plan (“ESP Plan”).</w:t>
      </w:r>
    </w:p>
    <w:p>
      <w:pPr>
        <w:spacing w:after="0" w:line="173"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primary sources for net cash provided by operating activities of $218.7 million for the three months ended April 30, 2014 were changes in operating assets and liabilities of $110.1 million, the cash effect of expenses totaling $69.7 million associated with depreciation, amortization and accretion and stock-based compensation and net income of $28.3 million. The primary source of working capital was a decrease in accounts receivable and increase in deferred revenue. Our days sales outstanding in trade receivables was 50 at April 30, 2014 compared to 66 days at January 31, 2014. The days sales outstanding decrease relates primarily to billings linearity. The primary working capital uses of cash was a decrease in accrued compensation.</w:t>
      </w:r>
    </w:p>
    <w:p>
      <w:pPr>
        <w:spacing w:after="0" w:line="15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At April 30, 2014, our short-term investment portfolio had an estimated fair value of $510.1 million and a cost basis of $505.4 million. The portfolio fair value consisted of $383.3 million invested in commercial paper and corporate securities, $33.6 million invested in certificates of deposit and time deposits with remaining maturities at the date of purchase greater than 90 days and less than one year, $42.0 million invested in mutual funds, $18.7 million invested in U.S. government agency securities, $13.5 million invested in municipal securities, $11.5 million invested in other short-term securities and $7.5 million invested in U.S. treasury securities.</w:t>
      </w:r>
    </w:p>
    <w:p>
      <w:pPr>
        <w:spacing w:after="0" w:line="188"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At April 30, 2014, $42.0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right="7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April 30, 2014,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2014.</w:t>
      </w:r>
    </w:p>
    <w:p>
      <w:pPr>
        <w:spacing w:after="0" w:line="181"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Our cash, cash equivalent and marketable securities balances are concentrated in a few locations around the world, with substantial amounts held outside of the U.S. As of April 30, 2014, approximately 75% of our total cash, cash equivalents and marketable securities are located offshore and will fluctuate subject to business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ind w:right="40"/>
        <w:spacing w:after="0" w:line="259" w:lineRule="auto"/>
        <w:rPr>
          <w:sz w:val="20"/>
          <w:szCs w:val="20"/>
          <w:color w:val="auto"/>
        </w:rPr>
      </w:pPr>
      <w:r>
        <w:rPr>
          <w:rFonts w:ascii="Arial" w:cs="Arial" w:eastAsia="Arial" w:hAnsi="Arial"/>
          <w:sz w:val="18"/>
          <w:szCs w:val="18"/>
          <w:color w:val="auto"/>
        </w:rPr>
        <w:t>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 and to fund our existing stock buy-back program with cash that has not been permanently reinvested outside the U.S.</w:t>
      </w:r>
    </w:p>
    <w:p>
      <w:pPr>
        <w:spacing w:after="0" w:line="18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During the three months ended April 30, 2014, we repurchased 2.0 million of our common stock. At April 30, 2014, 19.8 million shares remained available for repurchase under the repurchase program approved by the Board of Directors. This program does not have a fixed expiration date. See Note 15, “Common Stock Repurchase Program,” in the Notes to Condensed Consolidated Financial Statements for further discussion.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April 30, 2014:</w:t>
      </w:r>
    </w:p>
    <w:p>
      <w:pPr>
        <w:sectPr>
          <w:pgSz w:w="11900" w:h="16838" w:orient="portrait"/>
          <w:cols w:equalWidth="0" w:num="1">
            <w:col w:w="11400"/>
          </w:cols>
          <w:pgMar w:left="240" w:top="584" w:right="259" w:bottom="1440" w:gutter="0" w:footer="0" w:header="0"/>
        </w:sect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04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89"/>
              </w:rPr>
              <w:t>Average Price</w:t>
            </w:r>
          </w:p>
        </w:tc>
        <w:tc>
          <w:tcPr>
            <w:tcW w:w="29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Total Number of Shares Purchased as Part 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04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89"/>
              </w:rPr>
              <w:t>Shares</w:t>
            </w:r>
          </w:p>
        </w:tc>
        <w:tc>
          <w:tcPr>
            <w:tcW w:w="144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20"/>
                <w:szCs w:val="20"/>
                <w:color w:val="auto"/>
              </w:rPr>
            </w:pPr>
            <w:r>
              <w:rPr>
                <w:rFonts w:ascii="Arial" w:cs="Arial" w:eastAsia="Arial" w:hAnsi="Arial"/>
                <w:sz w:val="14"/>
                <w:szCs w:val="14"/>
                <w:i w:val="1"/>
                <w:iCs w:val="1"/>
                <w:color w:val="auto"/>
              </w:rPr>
              <w:t>(Shares in millions)</w:t>
            </w:r>
          </w:p>
        </w:tc>
        <w:tc>
          <w:tcPr>
            <w:tcW w:w="204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Purchased</w:t>
            </w:r>
          </w:p>
        </w:tc>
        <w:tc>
          <w:tcPr>
            <w:tcW w:w="144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Paid per Share</w:t>
            </w:r>
          </w:p>
        </w:tc>
        <w:tc>
          <w:tcPr>
            <w:tcW w:w="29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Publicly Announced 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8340" w:space="200"/>
            <w:col w:w="2860"/>
          </w:cols>
          <w:pgMar w:left="240" w:top="584" w:right="25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1 - February 28</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March 1 - March 31</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51.17</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2920" w:type="dxa"/>
            <w:vAlign w:val="bottom"/>
            <w:gridSpan w:val="2"/>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 April 30</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44"/>
        </w:trPr>
        <w:tc>
          <w:tcPr>
            <w:tcW w:w="23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2.0</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51.26</w:t>
            </w:r>
          </w:p>
        </w:tc>
        <w:tc>
          <w:tcPr>
            <w:tcW w:w="100" w:type="dxa"/>
            <w:vAlign w:val="bottom"/>
          </w:tcPr>
          <w:p>
            <w:pPr>
              <w:spacing w:after="0"/>
              <w:rPr>
                <w:sz w:val="21"/>
                <w:szCs w:val="21"/>
                <w:color w:val="auto"/>
              </w:rPr>
            </w:pPr>
          </w:p>
        </w:tc>
        <w:tc>
          <w:tcPr>
            <w:tcW w:w="2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220" w:hanging="412"/>
        <w:spacing w:after="0" w:line="257"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June 2012 that authorized the repurchase of 30.0 million. This plan does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April 30, 2014,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22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4" w:right="259" w:bottom="1440" w:gutter="0" w:footer="0" w:header="0"/>
          <w:type w:val="continuous"/>
        </w:sectPr>
      </w:pPr>
    </w:p>
    <w:bookmarkStart w:id="41" w:name="page42"/>
    <w:bookmarkEnd w:id="41"/>
    <w:p>
      <w:pPr>
        <w:ind w:right="360" w:firstLine="405"/>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 Our constant currency methodology removes all hedging gains and losses from the calculation.</w:t>
      </w:r>
    </w:p>
    <w:p>
      <w:pPr>
        <w:spacing w:after="0" w:line="176" w:lineRule="exact"/>
        <w:rPr>
          <w:sz w:val="20"/>
          <w:szCs w:val="20"/>
          <w:color w:val="auto"/>
        </w:rPr>
      </w:pPr>
    </w:p>
    <w:p>
      <w:pPr>
        <w:ind w:right="120" w:firstLine="405"/>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firstLine="405"/>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AutoCAD Mechanical), Civil 3D, Inventor products (standalone), Maya, Plant 3D, and Revit products (standalone).</w:t>
      </w:r>
    </w:p>
    <w:p>
      <w:pPr>
        <w:spacing w:after="0" w:line="176" w:lineRule="exact"/>
        <w:rPr>
          <w:sz w:val="20"/>
          <w:szCs w:val="20"/>
          <w:color w:val="auto"/>
        </w:rPr>
      </w:pPr>
    </w:p>
    <w:p>
      <w:pPr>
        <w:ind w:right="40" w:firstLine="405"/>
        <w:spacing w:after="0" w:line="303" w:lineRule="auto"/>
        <w:rPr>
          <w:sz w:val="20"/>
          <w:szCs w:val="20"/>
          <w:color w:val="auto"/>
        </w:rPr>
      </w:pPr>
      <w:r>
        <w:rPr>
          <w:rFonts w:ascii="Arial" w:cs="Arial" w:eastAsia="Arial" w:hAnsi="Arial"/>
          <w:sz w:val="16"/>
          <w:szCs w:val="16"/>
          <w:i w:val="1"/>
          <w:iCs w:val="1"/>
          <w:color w:val="auto"/>
        </w:rPr>
        <w:t>License and Other revenue</w:t>
      </w:r>
      <w:r>
        <w:rPr>
          <w:rFonts w:ascii="Arial" w:cs="Arial" w:eastAsia="Arial" w:hAnsi="Arial"/>
          <w:sz w:val="16"/>
          <w:szCs w:val="16"/>
          <w:b w:val="1"/>
          <w:bCs w:val="1"/>
          <w:color w:val="auto"/>
        </w:rPr>
        <w:t>—</w:t>
      </w:r>
      <w:r>
        <w:rPr>
          <w:rFonts w:ascii="Arial" w:cs="Arial" w:eastAsia="Arial" w:hAnsi="Arial"/>
          <w:sz w:val="16"/>
          <w:szCs w:val="16"/>
          <w:color w:val="auto"/>
        </w:rPr>
        <w:t>License and other revenue consists of two components: (1) all forms of product license revenue and (2) other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license revenue includes software license revenue from the sale of seat licenses, software license revenue from the sale of seat term-based licenses from our desktop subscription and enterprise offerings, and product revenue for Creative Finishing. Other revenue includes revenue from consulting, training, Autodesk Developers Network and Creative Finishing customer support, and is recognized over time, as the services are performed.</w:t>
      </w:r>
    </w:p>
    <w:p>
      <w:pPr>
        <w:spacing w:after="0" w:line="151" w:lineRule="exact"/>
        <w:rPr>
          <w:sz w:val="20"/>
          <w:szCs w:val="20"/>
          <w:color w:val="auto"/>
        </w:rPr>
      </w:pPr>
    </w:p>
    <w:p>
      <w:pPr>
        <w:ind w:right="100" w:firstLine="405"/>
        <w:spacing w:after="0" w:line="281" w:lineRule="auto"/>
        <w:rPr>
          <w:sz w:val="20"/>
          <w:szCs w:val="20"/>
          <w:color w:val="auto"/>
        </w:rPr>
      </w:pPr>
      <w:r>
        <w:rPr>
          <w:rFonts w:ascii="Arial" w:cs="Arial" w:eastAsia="Arial" w:hAnsi="Arial"/>
          <w:sz w:val="17"/>
          <w:szCs w:val="17"/>
          <w:i w:val="1"/>
          <w:iCs w:val="1"/>
          <w:color w:val="auto"/>
        </w:rPr>
        <w:t>Maintenance</w:t>
      </w:r>
      <w:r>
        <w:rPr>
          <w:rFonts w:ascii="Arial" w:cs="Arial" w:eastAsia="Arial" w:hAnsi="Arial"/>
          <w:sz w:val="17"/>
          <w:szCs w:val="17"/>
          <w:b w:val="1"/>
          <w:bCs w:val="1"/>
          <w:color w:val="auto"/>
        </w:rPr>
        <w:t>—</w:t>
      </w:r>
      <w:r>
        <w:rPr>
          <w:rFonts w:ascii="Arial" w:cs="Arial" w:eastAsia="Arial" w:hAnsi="Arial"/>
          <w:sz w:val="17"/>
          <w:szCs w:val="17"/>
          <w:color w:val="auto"/>
        </w:rPr>
        <w:t>Our maintenance program provides our commercial and educational customers with a cost effective and predictable budgetary option to</w:t>
      </w:r>
      <w:r>
        <w:rPr>
          <w:rFonts w:ascii="Arial" w:cs="Arial" w:eastAsia="Arial" w:hAnsi="Arial"/>
          <w:sz w:val="17"/>
          <w:szCs w:val="17"/>
          <w:i w:val="1"/>
          <w:iCs w:val="1"/>
          <w:color w:val="auto"/>
        </w:rPr>
        <w:t xml:space="preserve"> </w:t>
      </w:r>
      <w:r>
        <w:rPr>
          <w:rFonts w:ascii="Arial" w:cs="Arial" w:eastAsia="Arial" w:hAnsi="Arial"/>
          <w:sz w:val="17"/>
          <w:szCs w:val="17"/>
          <w:color w:val="auto"/>
        </w:rPr>
        <w:t>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over the term of the agreements, generally between one and three years.</w:t>
      </w:r>
    </w:p>
    <w:p>
      <w:pPr>
        <w:spacing w:after="0" w:line="165"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 Design products, Autodesk 360 products, Autodesk Consulting, Autodesk Simulation, Autodesk Simulation Multiphysics, Autodesk Buzzsaw, Autodesk CF Design, Autodesk Constructware, Autodesk consumer products, Autodesk Creative Finishing products, Autodesk Moldflow products, Autodesk Navisworks, Autodesk Scaleform, Autodesk Vault products and all other products.</w:t>
      </w:r>
    </w:p>
    <w:p>
      <w:pPr>
        <w:spacing w:after="0" w:line="184"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i w:val="1"/>
          <w:iCs w:val="1"/>
          <w:color w:val="auto"/>
        </w:rPr>
        <w:t>Suites</w:t>
      </w:r>
      <w:r>
        <w:rPr>
          <w:rFonts w:ascii="Arial" w:cs="Arial" w:eastAsia="Arial" w:hAnsi="Arial"/>
          <w:sz w:val="18"/>
          <w:szCs w:val="18"/>
          <w:b w:val="1"/>
          <w:bCs w:val="1"/>
          <w:color w:val="auto"/>
        </w:rPr>
        <w:t>—</w:t>
      </w:r>
      <w:r>
        <w:rPr>
          <w:rFonts w:ascii="Arial" w:cs="Arial" w:eastAsia="Arial" w:hAnsi="Arial"/>
          <w:sz w:val="18"/>
          <w:szCs w:val="18"/>
          <w:color w:val="auto"/>
        </w:rPr>
        <w:t>Autodesk design suites are a combination of products that target a specific user objective (product design, building design, etc.) and support a</w:t>
      </w:r>
      <w:r>
        <w:rPr>
          <w:rFonts w:ascii="Arial" w:cs="Arial" w:eastAsia="Arial" w:hAnsi="Arial"/>
          <w:sz w:val="18"/>
          <w:szCs w:val="18"/>
          <w:i w:val="1"/>
          <w:iCs w:val="1"/>
          <w:color w:val="auto"/>
        </w:rPr>
        <w:t xml:space="preserve"> </w:t>
      </w:r>
      <w:r>
        <w:rPr>
          <w:rFonts w:ascii="Arial" w:cs="Arial" w:eastAsia="Arial" w:hAnsi="Arial"/>
          <w:sz w:val="18"/>
          <w:szCs w:val="18"/>
          <w:color w:val="auto"/>
        </w:rPr>
        <w:t>set of workflows for that objective. Our current design and creation suites include: AutoCAD Design Suite, Autodesk Building Design Suite, Autodesk Entertainment Creation Suite, Autodesk Factory Design Suite, Autodesk Infrastructure Design Suite, Autodesk Plant Design Suite, and Autodesk Product Design Suite.</w:t>
      </w:r>
    </w:p>
    <w:p>
      <w:pPr>
        <w:spacing w:after="0" w:line="180" w:lineRule="exact"/>
        <w:rPr>
          <w:sz w:val="20"/>
          <w:szCs w:val="20"/>
          <w:color w:val="auto"/>
        </w:rPr>
      </w:pPr>
    </w:p>
    <w:p>
      <w:pPr>
        <w:ind w:right="720" w:firstLine="405"/>
        <w:spacing w:after="0" w:line="347"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Autodesk subscription revenue consists of three components: (1) maintenance revenue from our software products; (2)</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revenue from our term-based desktop subscription and enterprise offerings; and (3) revenue from our cloud service offerings.</w:t>
      </w:r>
    </w:p>
    <w:p>
      <w:pPr>
        <w:spacing w:after="0" w:line="120"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i w:val="1"/>
          <w:iCs w:val="1"/>
          <w:color w:val="auto"/>
        </w:rPr>
        <w:t>Total Subscriptions</w:t>
      </w:r>
      <w:r>
        <w:rPr>
          <w:rFonts w:ascii="Arial" w:cs="Arial" w:eastAsia="Arial" w:hAnsi="Arial"/>
          <w:sz w:val="18"/>
          <w:szCs w:val="18"/>
          <w:color w:val="auto"/>
        </w:rPr>
        <w:t>—Consists of subscriptions from our maintenance, desktop, cloud service and enterprise license offerings that are active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 date. For certain cloud based and enterprise license offerings, subscriptions represent the monthly average activity within the last three months of the quarter end date. Total subscriptions do not include data from education offerings, consumer product offerings, certain Creative Finishing product offerings, Autodesk Buzzsaw, Autodesk Constructware, third party products and Delcam products. Subscriptions acquired with the acquisition of a business are captured once the data conforms to our subscription count methodology and when added, may cause variability in the quarterly comparisons of this calculation.</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Billings</w:t>
      </w:r>
      <w:r>
        <w:rPr>
          <w:rFonts w:ascii="Arial" w:cs="Arial" w:eastAsia="Arial" w:hAnsi="Arial"/>
          <w:sz w:val="18"/>
          <w:szCs w:val="18"/>
          <w:b w:val="1"/>
          <w:bCs w:val="1"/>
          <w:color w:val="auto"/>
        </w:rPr>
        <w:t>—</w:t>
      </w:r>
      <w:r>
        <w:rPr>
          <w:rFonts w:ascii="Arial" w:cs="Arial" w:eastAsia="Arial" w:hAnsi="Arial"/>
          <w:sz w:val="18"/>
          <w:szCs w:val="18"/>
          <w:color w:val="auto"/>
        </w:rPr>
        <w:t>Amounts billed to customers during the current fiscal period net of any partner incentives or other discounts.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2" w:name="page43"/>
    <w:bookmarkEnd w:id="42"/>
    <w:p>
      <w:pPr>
        <w:ind w:right="40"/>
        <w:spacing w:after="0" w:line="259" w:lineRule="auto"/>
        <w:rPr>
          <w:sz w:val="20"/>
          <w:szCs w:val="20"/>
          <w:color w:val="auto"/>
        </w:rPr>
      </w:pPr>
      <w:r>
        <w:rPr>
          <w:rFonts w:ascii="Arial" w:cs="Arial" w:eastAsia="Arial" w:hAnsi="Arial"/>
          <w:sz w:val="18"/>
          <w:szCs w:val="18"/>
          <w:color w:val="auto"/>
        </w:rPr>
        <w:t>payables. As of April 30, 2014 and January 31, 2014,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$404.9 million and $557.2 million at April 30, 2014 and January 31, 2014, respectively.</w:t>
      </w:r>
    </w:p>
    <w:p>
      <w:pPr>
        <w:spacing w:after="0" w:line="18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utilize foreign currency contracts to reduce the exchange rate impact on the net revenue and operating expenses of certain anticipated transactions. A sensitivity analysis performed on our hedging portfolio as of April 30, 2014 indicated that a hypothetical 10% appreciation of the U.S. dollar from its value at April 30, 2014 and January 31, 2014 would increase the fair value of our foreign currency contracts by $31.7 million and $7.9 million, respectively. A hypothetical 10% depreciation of the dollar from its value at April 30, 2014 would decrease the fair value of our foreign currency contracts by $23.6 million. A hypothetical 10% depreciation of the dollar from its value at January 31, 2014 would increase the fair value of our foreign currency contracts by $3.7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April 30, 2014, we had $1,551.8 million of cash equivalents and marketable securities, including $510.1 million classified as short-term marketable securities and $268.2 million classified as long-term marketable securities. If interest rates were to move up or down by 50 or 100 basis points over a twelve month period, the market value change of our marketable securities would have a unrealized gain or loss of $3.4 million and $6.7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6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April 30, 2014 that have materially affected, or are reasonably likely to materially affect, our internal controls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84" w:right="2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conditions may further impact our business, financial results and financial condition.</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our business has expanded globally, we have increasingly become subject to risks arising from adverse changes in global economic and political conditions. The past several years have been characterized by weak global economic conditions, a tightening in the credit markets, relatively high unemployment, a low level of liquidity in many financial markets, increased government deficit spending and debt levels, uncertainty about certain governments' abilities to repay such debt or to address certain fiscal issues (such as “austerity” measures in Southern Europe), and volatility in many financial instrument markets. We remain cautious about the macroeconomic environment but note the general improvement in the worldwide economy.</w:t>
      </w:r>
    </w:p>
    <w:p>
      <w:pPr>
        <w:spacing w:after="0" w:line="173"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are causing, and over the past several years have caused, us to restructure our business and in turn we have and will incur restructuring charges. Moreover, our financial performance may be negatively impacted by:</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5620" w:hanging="5288"/>
        <w:spacing w:after="0" w:line="559"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borrowing and spending by our end users on small and large projects in the industries we serve, thereby reducing demand for our products. 44</w:t>
      </w:r>
    </w:p>
    <w:p>
      <w:pPr>
        <w:sectPr>
          <w:pgSz w:w="11900" w:h="16838" w:orient="portrait"/>
          <w:cols w:equalWidth="0" w:num="1">
            <w:col w:w="11420"/>
          </w:cols>
          <w:pgMar w:left="240" w:top="797" w:right="239" w:bottom="1440" w:gutter="0" w:footer="0" w:header="0"/>
        </w:sectPr>
      </w:pPr>
    </w:p>
    <w:bookmarkStart w:id="44" w:name="page45"/>
    <w:bookmarkEnd w:id="44"/>
    <w:p>
      <w:pPr>
        <w:jc w:val="both"/>
        <w:ind w:right="340" w:firstLine="405"/>
        <w:spacing w:after="0" w:line="312" w:lineRule="auto"/>
        <w:rPr>
          <w:sz w:val="20"/>
          <w:szCs w:val="20"/>
          <w:color w:val="auto"/>
        </w:rPr>
      </w:pPr>
      <w:r>
        <w:rPr>
          <w:rFonts w:ascii="Arial" w:cs="Arial" w:eastAsia="Arial" w:hAnsi="Arial"/>
          <w:sz w:val="16"/>
          <w:szCs w:val="16"/>
          <w:color w:val="auto"/>
        </w:rPr>
        <w:t>Even if economic conditions in the U.S. and foreign markets improve generally, a slower economic recovery in industries important to our business, such as the manufacturing and digital media and entertainment industries, may adversely affect our business, financial results and financial condition. If a macro-economic recovery does not occur as rapidly as anticipated, our ability to meet our long-term financial targets may also be adversely affected.</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30"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To address the industry transition from personal computer to cloud, social, and mobile computing, we have accelerated our move to the cloud and are offering more flexible product licenses. While we expect to increase our total subscriptions, value per subscription, billings, bookings, ratable and recurring revenue over time as a result of this business model transition, our ability to achieve these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2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that may not result in additional net revenue or could result in decreased net revenue.</w:t>
      </w:r>
    </w:p>
    <w:p>
      <w:pPr>
        <w:spacing w:after="0" w:line="17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are also developing consumer products for digital art, personal design and creativity, and home design. We devote significant resources to the development of new technologies. In addition, we frequently introduce new business models or methods that require a considerable investment of technical and financial resources such as an increase in our portfolio of, and focus on, suites and, most recently, our introduction of flexible license and service offerings.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products or the manner in which we provide such products, or if we are not able to adapt our business model to meet our customers' requirements, our business, financial condition or results of operations may be adversely impacted.</w:t>
      </w:r>
    </w:p>
    <w:p>
      <w:pPr>
        <w:spacing w:after="0" w:line="180"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suites and cloud-based services. Over time, we aim to migrate customers using standalone Autodesk products to expand their portfolio with our suites and cloud-based offerings. At times, sales of licenses of our AutoCAD and AutoCAD LT or standalone Autodesk flagship products have decreased without a corresponding increase in suites product or cloud-based services revenue or without purchases of customer seats to our suites. Should this continue, our results of operations will be adversely affected. Also, adoption of our cloud and mobile computing offerings and changes in the delivery of our software and services to our customers, such as desktop subscription (formally referred to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correspondingly reducing our upfront perpetual revenue stream.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0" w:right="239" w:bottom="1440" w:gutter="0" w:footer="0" w:header="0"/>
        </w:sectPr>
      </w:pPr>
    </w:p>
    <w:bookmarkStart w:id="45" w:name="page46"/>
    <w:bookmarkEnd w:id="45"/>
    <w:p>
      <w:pPr>
        <w:ind w:firstLine="432"/>
        <w:spacing w:after="0" w:line="293"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such as consumer products, our executive management team must act quickly, continuously and with vision. Although we have articulated a strategy that we believe will fulfill these challenges, if we fail to execute properly on that strategy, adapt that strategy as market conditions evolve or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believe that our future results largely depend upon our ability to offer products that compete favorably with respect to reliability, performance, ease of use, range of useful features, continuing product enhancements, reputation and price.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71% of our net revenue for the three months ended April 30, 2014.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Senior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8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and foreign tax law changes that, if enacted, could significantly impact how multinational companies are taxed, tax arrangements with foreign governments, including our ability to meet and review the terms of those tax arrangements, and laws regarding the management of and access to data and public networks, possible future limitations upon foreign owned businesses, increased financial accounting and reporting burdens and complexities, inadequate local</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584" w:right="279" w:bottom="1440" w:gutter="0" w:footer="0" w:header="0"/>
        </w:sectPr>
      </w:pPr>
    </w:p>
    <w:bookmarkStart w:id="46" w:name="page47"/>
    <w:bookmarkEnd w:id="46"/>
    <w:p>
      <w:pPr>
        <w:ind w:right="220"/>
        <w:spacing w:after="0" w:line="277" w:lineRule="auto"/>
        <w:rPr>
          <w:sz w:val="20"/>
          <w:szCs w:val="20"/>
          <w:color w:val="auto"/>
        </w:rPr>
      </w:pPr>
      <w:r>
        <w:rPr>
          <w:rFonts w:ascii="Arial" w:cs="Arial" w:eastAsia="Arial" w:hAnsi="Arial"/>
          <w:sz w:val="18"/>
          <w:szCs w:val="18"/>
          <w:color w:val="auto"/>
        </w:rPr>
        <w:t>infrastructure, greater difficulty in protecting intellectual property, and other factors beyond our control, including popular uprisings, terrorism, war, natural disasters and diseases.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 such as our fiscal 2015 acquisition of Delcam plc (“Delcam”).</w:t>
      </w:r>
    </w:p>
    <w:p>
      <w:pPr>
        <w:spacing w:after="0" w:line="17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regularly acquire or invest in businesses, software products and technologies that are complementary to our business through acquisitions, strategic alliances or equity or debt investments. For example, we recently acquired Delcam, a leading supplier of advanced CADCAM and industrial measurement solutions for the manufacturing industry.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three months ended April 30, 2014, approximately 85%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7" w:name="page48"/>
    <w:bookmarkEnd w:id="47"/>
    <w:p>
      <w:pPr>
        <w:ind w:firstLine="432"/>
        <w:spacing w:after="0" w:line="297"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the distributor Tech Data Corporation and its global affiliates (“Tech Data”). Tech Data accounted for 26% of our total net revenue for the three months ended April 30, 2014 as compared to 25% of our total net revenue for the three months ended April 30, 2013.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58"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In addition to the other factors described in this Part II, Item 1A, some of the factors that could cause our financial results to fluctuate include:</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economic, business and political conditions in particular geographies, including Europe and emerging economies,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and future projections related to our business model transition,</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weak or negative growth in one or more of the industries we serve, including architecture, engineering and construction, manufacturing, education and digital media and entertainment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growth or contraction of our maintenance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internal business reorganization,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ind w:left="328" w:hanging="328"/>
        <w:spacing w:after="0" w:line="27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right="400" w:hanging="328"/>
        <w:spacing w:after="0" w:line="27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328" w:right="320" w:hanging="328"/>
        <w:spacing w:after="0" w:line="27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associated with acquisitions of companies and technologies,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00" w:lineRule="exact"/>
        <w:rPr>
          <w:sz w:val="20"/>
          <w:szCs w:val="20"/>
          <w:color w:val="auto"/>
        </w:rPr>
      </w:pPr>
    </w:p>
    <w:p>
      <w:pPr>
        <w:spacing w:after="0" w:line="268"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68"/>
          </w:cols>
          <w:pgMar w:left="572" w:top="584" w:right="259" w:bottom="1440" w:gutter="0" w:footer="0" w:header="0"/>
        </w:sectPr>
      </w:pPr>
    </w:p>
    <w:bookmarkStart w:id="49" w:name="page50"/>
    <w:bookmarkEnd w:id="49"/>
    <w:p>
      <w:pPr>
        <w:ind w:right="500" w:firstLine="405"/>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 affected by a slower summer period, and our Asia Pacific operations typically experience seasonal slowing in our third and fourth quarters.</w:t>
      </w:r>
    </w:p>
    <w:p>
      <w:pPr>
        <w:spacing w:after="0" w:line="19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have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84" w:lineRule="exact"/>
        <w:rPr>
          <w:sz w:val="20"/>
          <w:szCs w:val="20"/>
          <w:color w:val="auto"/>
        </w:rPr>
      </w:pPr>
    </w:p>
    <w:p>
      <w:pPr>
        <w:ind w:right="40" w:firstLine="432"/>
        <w:spacing w:after="0" w:line="303" w:lineRule="auto"/>
        <w:rPr>
          <w:sz w:val="20"/>
          <w:szCs w:val="20"/>
          <w:color w:val="auto"/>
        </w:rPr>
      </w:pPr>
      <w:r>
        <w:rPr>
          <w:rFonts w:ascii="Arial" w:cs="Arial" w:eastAsia="Arial" w:hAnsi="Arial"/>
          <w:sz w:val="16"/>
          <w:szCs w:val="16"/>
          <w:color w:val="auto"/>
        </w:rPr>
        <w:t xml:space="preserve">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w:t>
      </w:r>
      <w:r>
        <w:rPr>
          <w:rFonts w:ascii="Arial" w:cs="Arial" w:eastAsia="Arial" w:hAnsi="Arial"/>
          <w:sz w:val="17"/>
          <w:szCs w:val="17"/>
          <w:color w:val="auto"/>
        </w:rPr>
        <w:t>M</w:t>
      </w:r>
      <w:r>
        <w:rPr>
          <w:rFonts w:ascii="Arial" w:cs="Arial" w:eastAsia="Arial" w:hAnsi="Arial"/>
          <w:sz w:val="16"/>
          <w:szCs w:val="16"/>
          <w:color w:val="auto"/>
        </w:rPr>
        <w:t>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or services, we could face lawsuits and potential liability, and our financial performance could be negatively impacted.</w:t>
      </w:r>
    </w:p>
    <w:p>
      <w:pPr>
        <w:spacing w:after="0" w:line="1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any interruption or delay in service from these third parties, breaches of security or privacy, or failures in data collection could expose us to liability, harm our reputation and adversely impact our financial performance.</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suites, if these products are not successful, our revenue will be adversely affected.</w:t>
      </w:r>
    </w:p>
    <w:p>
      <w:pPr>
        <w:spacing w:after="0" w:line="17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licenses of a limited number of our products, including AutoCAD software, products based on AutoCAD, which include our suites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months ended April 30, 2014 and 2013, combined revenue from our AutoCAD and AutoCAD LT products, not including suites having AutoCAD or AutoCAD LT as a component, represented 32% and 34% of our total net revenue, respectively.</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would negatively impact our future revenue and financial results.</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8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restructuring and cost reduction actions may not be as effective as anticipated.</w:t>
      </w:r>
    </w:p>
    <w:p>
      <w:pPr>
        <w:spacing w:after="0" w:line="225"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In the past, we have undertaken restructuring plans. In the future, we may need to undertake additional restructuring efforts, and our business and operating results may be harmed. In taking any future restructuring actions, we may incur additional costs that negatively impact our operating margins. Additionally, a prolonged and slow economic recovery or a renewed recession in U.S. or foreign markets could also lead to additional restructuring actions and associated costs.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jc w:val="both"/>
        <w:ind w:right="120" w:firstLine="405"/>
        <w:spacing w:after="0" w:line="302" w:lineRule="auto"/>
        <w:rPr>
          <w:sz w:val="20"/>
          <w:szCs w:val="20"/>
          <w:color w:val="auto"/>
        </w:rPr>
      </w:pPr>
      <w:r>
        <w:rPr>
          <w:rFonts w:ascii="Arial" w:cs="Arial" w:eastAsia="Arial" w:hAnsi="Arial"/>
          <w:sz w:val="16"/>
          <w:szCs w:val="16"/>
          <w:color w:val="auto"/>
        </w:rPr>
        <w:t>In the past, we have taken actions to reduce our cost structure to more closely align our costs with our revenue levels. In taking these actions, we have attempted to balance the cost of such initiatives against their longer term benefits.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we may take additional actions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jc w:val="both"/>
        <w:ind w:right="12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225"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84" w:right="279" w:bottom="1440" w:gutter="0" w:footer="0" w:header="0"/>
        </w:sectPr>
      </w:pPr>
    </w:p>
    <w:bookmarkStart w:id="52" w:name="page53"/>
    <w:bookmarkEnd w:id="52"/>
    <w:p>
      <w:pPr>
        <w:ind w:right="36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and earnings per share.</w:t>
      </w:r>
    </w:p>
    <w:p>
      <w:pPr>
        <w:spacing w:after="0" w:line="17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3"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18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Although outcomes of such actions vary,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4" w:right="259" w:bottom="1440" w:gutter="0" w:footer="0" w:header="0"/>
        </w:sectPr>
      </w:pPr>
    </w:p>
    <w:bookmarkStart w:id="53" w:name="page54"/>
    <w:bookmarkEnd w:id="53"/>
    <w:p>
      <w:pPr>
        <w:ind w:right="14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Although we have determined that our internal control over financial reporting was effective as of January 31, 2014, as indicated in our Management Report on Internal Control over Financial Reporting, included in our Annual Report on Form 10-K for the fiscal year ended January 31, 2014,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7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Changes in laws and/or regulations related to the Internet or related to privacy and data security concerns may impact our business or expose us to increased liability.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800" w:right="259" w:bottom="1440" w:gutter="0" w:footer="0" w:header="0"/>
        </w:sectPr>
      </w:pPr>
    </w:p>
    <w:bookmarkStart w:id="54" w:name="page55"/>
    <w:bookmarkEnd w:id="54"/>
    <w:p>
      <w:pPr>
        <w:ind w:right="20" w:firstLine="432"/>
        <w:spacing w:after="0" w:line="285"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Several other countries, including Canada and several Latin American and Asian countries, have constitutional protections for, or have adopted legislation protecting, individuals' personal information. Additionally, some federal, state, or foreign governmental bodies have established laws which seek to censor the transmission of certain types of content over the Internet or require that individuals be provided with the ability to permanently delete all electronic personal information, such as the German Multimedia Law of 1997.</w:t>
      </w:r>
    </w:p>
    <w:p>
      <w:pPr>
        <w:spacing w:after="0" w:line="39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implementation of additional technological safeguards.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overturned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9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i w:val="1"/>
          <w:iCs w:val="1"/>
          <w:color w:val="auto"/>
        </w:rPr>
        <w:t>We issued $750.0 million aggregate principal amount of senior unsecured notes in a debt offering in December 2012 and have an existing $400.0 million revolving credit facility, and may incur other debt in the future, which may adversely affect our financial condition and future financial results.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84" w:right="259" w:bottom="1440" w:gutter="0" w:footer="0" w:header="0"/>
        </w:sectPr>
      </w:pPr>
    </w:p>
    <w:bookmarkStart w:id="56" w:name="page57"/>
    <w:bookmarkEnd w:id="56"/>
    <w:p>
      <w:pPr>
        <w:ind w:right="220" w:firstLine="405"/>
        <w:spacing w:after="0" w:line="279"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As the December 2017 and December 2022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also have a $400.0 million revolving credit facility. As of April 30, 2014,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are required to comply with the covenants set forth in our senior unsecured notes and revolving credit facility. Our ability to comply with these covenants may be affected by events beyond our control. If we breach any of the covenants and do not obtain a waiver from the noteholders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2014.</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584" w:right="299" w:bottom="1440" w:gutter="0" w:footer="0" w:header="0"/>
        </w:sectPr>
      </w:pPr>
    </w:p>
    <w:bookmarkStart w:id="57" w:name="page58"/>
    <w:bookmarkEnd w:id="57"/>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3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w w:val="91"/>
              </w:rPr>
              <w:t>Participants, target awards and payout formulas for fiscal year 2015 under the Registrant's Executive Incentive Plan (</w:t>
            </w:r>
            <w:r>
              <w:rPr>
                <w:rFonts w:ascii="Arial" w:cs="Arial" w:eastAsia="Arial" w:hAnsi="Arial"/>
                <w:sz w:val="16"/>
                <w:szCs w:val="16"/>
                <w:i w:val="1"/>
                <w:iCs w:val="1"/>
                <w:color w:val="auto"/>
                <w:w w:val="91"/>
              </w:rPr>
              <w:t>incorporated by reference to Item 5.02</w:t>
            </w:r>
          </w:p>
        </w:tc>
        <w:tc>
          <w:tcPr>
            <w:tcW w:w="0" w:type="dxa"/>
            <w:vAlign w:val="bottom"/>
          </w:tcPr>
          <w:p>
            <w:pPr>
              <w:spacing w:after="0"/>
              <w:rPr>
                <w:sz w:val="1"/>
                <w:szCs w:val="1"/>
                <w:color w:val="auto"/>
              </w:rPr>
            </w:pPr>
          </w:p>
        </w:tc>
      </w:tr>
      <w:tr>
        <w:trPr>
          <w:trHeight w:val="206"/>
        </w:trPr>
        <w:tc>
          <w:tcPr>
            <w:tcW w:w="700" w:type="dxa"/>
            <w:vAlign w:val="bottom"/>
            <w:vMerge w:val="restart"/>
          </w:tcPr>
          <w:p>
            <w:pPr>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17"/>
                <w:szCs w:val="17"/>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i w:val="1"/>
                <w:iCs w:val="1"/>
                <w:color w:val="auto"/>
              </w:rPr>
              <w:t>of the Registrant's Current Report on Form 8-K filed on March 28, 2014</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24"/>
                <w:szCs w:val="24"/>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w w:val="94"/>
              </w:rPr>
              <w:t>Description of Sales Commission Plan (</w:t>
            </w:r>
            <w:r>
              <w:rPr>
                <w:rFonts w:ascii="Arial" w:cs="Arial" w:eastAsia="Arial" w:hAnsi="Arial"/>
                <w:sz w:val="16"/>
                <w:szCs w:val="16"/>
                <w:i w:val="1"/>
                <w:iCs w:val="1"/>
                <w:color w:val="auto"/>
                <w:w w:val="94"/>
              </w:rPr>
              <w:t>incorporated by reference to Item 5.02 of the Registrant's Current Report on Form 8-K filed on March 28, 2014</w:t>
            </w:r>
            <w:r>
              <w:rPr>
                <w:rFonts w:ascii="Arial" w:cs="Arial" w:eastAsia="Arial" w:hAnsi="Arial"/>
                <w:sz w:val="16"/>
                <w:szCs w:val="16"/>
                <w:color w:val="auto"/>
                <w:w w:val="94"/>
              </w:rPr>
              <w:t>)</w:t>
            </w:r>
          </w:p>
        </w:tc>
        <w:tc>
          <w:tcPr>
            <w:tcW w:w="0" w:type="dxa"/>
            <w:vAlign w:val="bottom"/>
          </w:tcPr>
          <w:p>
            <w:pPr>
              <w:spacing w:after="0"/>
              <w:rPr>
                <w:sz w:val="1"/>
                <w:szCs w:val="1"/>
                <w:color w:val="auto"/>
              </w:rPr>
            </w:pP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10.3*</w:t>
            </w:r>
          </w:p>
        </w:tc>
        <w:tc>
          <w:tcPr>
            <w:tcW w:w="320" w:type="dxa"/>
            <w:vAlign w:val="bottom"/>
          </w:tcPr>
          <w:p>
            <w:pPr>
              <w:spacing w:after="0"/>
              <w:rPr>
                <w:sz w:val="24"/>
                <w:szCs w:val="24"/>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w w:val="94"/>
              </w:rPr>
              <w:t>Description of Performance Stock Unit Program (</w:t>
            </w:r>
            <w:r>
              <w:rPr>
                <w:rFonts w:ascii="Arial" w:cs="Arial" w:eastAsia="Arial" w:hAnsi="Arial"/>
                <w:sz w:val="16"/>
                <w:szCs w:val="16"/>
                <w:i w:val="1"/>
                <w:iCs w:val="1"/>
                <w:color w:val="auto"/>
                <w:w w:val="94"/>
              </w:rPr>
              <w:t>incorporated by reference to Item 5.02 of the Registrant's Current Report on Form 8-K filed on March</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20" w:type="dxa"/>
            <w:vAlign w:val="bottom"/>
          </w:tcPr>
          <w:p>
            <w:pPr>
              <w:ind w:left="240"/>
              <w:spacing w:after="0"/>
              <w:rPr>
                <w:sz w:val="20"/>
                <w:szCs w:val="20"/>
                <w:color w:val="auto"/>
              </w:rPr>
            </w:pPr>
            <w:r>
              <w:rPr>
                <w:rFonts w:ascii="Arial" w:cs="Arial" w:eastAsia="Arial" w:hAnsi="Arial"/>
                <w:sz w:val="16"/>
                <w:szCs w:val="16"/>
                <w:i w:val="1"/>
                <w:iCs w:val="1"/>
                <w:color w:val="auto"/>
              </w:rPr>
              <w:t>28, 2014</w:t>
            </w: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24"/>
                <w:szCs w:val="24"/>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320" w:type="dxa"/>
            <w:vAlign w:val="bottom"/>
          </w:tcPr>
          <w:p>
            <w:pPr>
              <w:spacing w:after="0"/>
              <w:rPr>
                <w:sz w:val="24"/>
                <w:szCs w:val="24"/>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tc>
        <w:tc>
          <w:tcPr>
            <w:tcW w:w="0" w:type="dxa"/>
            <w:vAlign w:val="bottom"/>
          </w:tcPr>
          <w:p>
            <w:pPr>
              <w:spacing w:after="0"/>
              <w:rPr>
                <w:sz w:val="1"/>
                <w:szCs w:val="1"/>
                <w:color w:val="auto"/>
              </w:rPr>
            </w:pPr>
          </w:p>
        </w:tc>
      </w:tr>
      <w:tr>
        <w:trPr>
          <w:trHeight w:val="388"/>
        </w:trPr>
        <w:tc>
          <w:tcPr>
            <w:tcW w:w="1020" w:type="dxa"/>
            <w:vAlign w:val="bottom"/>
            <w:gridSpan w:val="2"/>
          </w:tcPr>
          <w:p>
            <w:pPr>
              <w:spacing w:after="0"/>
              <w:rPr>
                <w:sz w:val="20"/>
                <w:szCs w:val="20"/>
                <w:color w:val="auto"/>
              </w:rPr>
            </w:pPr>
            <w:r>
              <w:rPr>
                <w:rFonts w:ascii="Arial" w:cs="Arial" w:eastAsia="Arial" w:hAnsi="Arial"/>
                <w:sz w:val="16"/>
                <w:szCs w:val="16"/>
                <w:color w:val="auto"/>
              </w:rPr>
              <w:t>32.1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w w:val="98"/>
              </w:rPr>
              <w:t>Certification of Chief Executive Officer and Chief Financial Officer pursuant to 18 U.S.C. Section 1350, as adopted pursuant to Section 906 of the</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Sarbanes-Oxley Act of 2002</w:t>
            </w:r>
          </w:p>
        </w:tc>
        <w:tc>
          <w:tcPr>
            <w:tcW w:w="0" w:type="dxa"/>
            <w:vAlign w:val="bottom"/>
          </w:tcPr>
          <w:p>
            <w:pPr>
              <w:spacing w:after="0"/>
              <w:rPr>
                <w:sz w:val="1"/>
                <w:szCs w:val="1"/>
                <w:color w:val="auto"/>
              </w:rPr>
            </w:pP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Schema</w:t>
            </w:r>
          </w:p>
        </w:tc>
        <w:tc>
          <w:tcPr>
            <w:tcW w:w="0" w:type="dxa"/>
            <w:vAlign w:val="bottom"/>
          </w:tcPr>
          <w:p>
            <w:pPr>
              <w:spacing w:after="0"/>
              <w:rPr>
                <w:sz w:val="1"/>
                <w:szCs w:val="1"/>
                <w:color w:val="auto"/>
              </w:rPr>
            </w:pP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Calculation Linkbase</w:t>
            </w:r>
          </w:p>
        </w:tc>
        <w:tc>
          <w:tcPr>
            <w:tcW w:w="0" w:type="dxa"/>
            <w:vAlign w:val="bottom"/>
          </w:tcPr>
          <w:p>
            <w:pPr>
              <w:spacing w:after="0"/>
              <w:rPr>
                <w:sz w:val="1"/>
                <w:szCs w:val="1"/>
                <w:color w:val="auto"/>
              </w:rPr>
            </w:pP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XBRL Taxonomy Definition Linkbase</w:t>
            </w:r>
          </w:p>
        </w:tc>
        <w:tc>
          <w:tcPr>
            <w:tcW w:w="0" w:type="dxa"/>
            <w:vAlign w:val="bottom"/>
          </w:tcPr>
          <w:p>
            <w:pPr>
              <w:spacing w:after="0"/>
              <w:rPr>
                <w:sz w:val="1"/>
                <w:szCs w:val="1"/>
                <w:color w:val="auto"/>
              </w:rPr>
            </w:pP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Label Linkbase</w:t>
            </w:r>
          </w:p>
        </w:tc>
        <w:tc>
          <w:tcPr>
            <w:tcW w:w="0" w:type="dxa"/>
            <w:vAlign w:val="bottom"/>
          </w:tcPr>
          <w:p>
            <w:pPr>
              <w:spacing w:after="0"/>
              <w:rPr>
                <w:sz w:val="1"/>
                <w:szCs w:val="1"/>
                <w:color w:val="auto"/>
              </w:rPr>
            </w:pP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Presentation Linkbase</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720" w:hanging="685"/>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248" w:lineRule="exact"/>
        <w:rPr>
          <w:sz w:val="20"/>
          <w:szCs w:val="20"/>
          <w:color w:val="auto"/>
        </w:rPr>
      </w:pPr>
    </w:p>
    <w:p>
      <w:pPr>
        <w:ind w:left="720" w:hanging="685"/>
        <w:spacing w:after="0" w:line="335" w:lineRule="auto"/>
        <w:tabs>
          <w:tab w:leader="none" w:pos="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8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58</w:t>
      </w:r>
    </w:p>
    <w:p>
      <w:pPr>
        <w:sectPr>
          <w:pgSz w:w="11900" w:h="16838" w:orient="portrait"/>
          <w:cols w:equalWidth="0" w:num="1">
            <w:col w:w="11380"/>
          </w:cols>
          <w:pgMar w:left="240" w:top="580" w:right="279" w:bottom="1440" w:gutter="0" w:footer="0" w:header="0"/>
        </w:sectPr>
      </w:pPr>
    </w:p>
    <w:bookmarkStart w:id="58" w:name="page59"/>
    <w:bookmarkEnd w:id="58"/>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3,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460"/>
        <w:spacing w:after="0"/>
        <w:tabs>
          <w:tab w:leader="none" w:pos="7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Paul Underwood</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720"/>
          </w:cols>
          <w:pgMar w:left="240" w:top="580" w:right="9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3, 2014</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17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3, 2014</w:t>
      </w:r>
    </w:p>
    <w:p>
      <w:pPr>
        <w:spacing w:after="0" w:line="25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8080"/>
        <w:spacing w:after="0"/>
        <w:rPr>
          <w:sz w:val="20"/>
          <w:szCs w:val="20"/>
          <w:color w:val="auto"/>
        </w:rPr>
      </w:pPr>
      <w:r>
        <w:rPr>
          <w:rFonts w:ascii="Arial" w:cs="Arial" w:eastAsia="Arial" w:hAnsi="Arial"/>
          <w:sz w:val="16"/>
          <w:szCs w:val="16"/>
          <w:b w:val="1"/>
          <w:bCs w:val="1"/>
          <w:color w:val="auto"/>
        </w:rPr>
        <w:t>Mark J. Hawkins</w:t>
      </w:r>
    </w:p>
    <w:p>
      <w:pPr>
        <w:spacing w:after="0" w:line="73"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26"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420"/>
          </w:cols>
          <w:pgMar w:left="240" w:top="66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April 30, 2014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3, 2014</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Quarterly Report of Autodesk, Inc. on Form 10-Q for the quarterly period ended April 30, 2014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3, 2014</w:t>
      </w:r>
    </w:p>
    <w:p>
      <w:pPr>
        <w:spacing w:after="0" w:line="252"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2416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Mark J. Hawkins</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7"/>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2019-12-05T21:40:47Z</dcterms:created>
  <dcterms:modified xsi:type="dcterms:W3CDTF">2019-12-05T21:40:47Z</dcterms:modified>
</cp:coreProperties>
</file>