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6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15, 2026</w:t>
            </w:r>
          </w:p>
        </w:tc>
        <w:tc>
          <w:tcPr>
            <w:tcW w:w="36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Autodesk, Inc.</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5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000-14338</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764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One Market Street, Ste. 400</w:t>
            </w:r>
          </w:p>
        </w:tc>
        <w:tc>
          <w:tcPr>
            <w:tcW w:w="3600" w:type="dxa"/>
            <w:vAlign w:val="bottom"/>
          </w:tcPr>
          <w:p>
            <w:pPr>
              <w:spacing w:after="0"/>
              <w:rPr>
                <w:sz w:val="24"/>
                <w:szCs w:val="24"/>
                <w:color w:val="auto"/>
              </w:rPr>
            </w:pPr>
          </w:p>
        </w:tc>
      </w:tr>
      <w:tr>
        <w:trPr>
          <w:trHeight w:val="259"/>
        </w:trPr>
        <w:tc>
          <w:tcPr>
            <w:tcW w:w="764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234"/>
        </w:trPr>
        <w:tc>
          <w:tcPr>
            <w:tcW w:w="5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38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(415) 507-5000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ADSK</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Revolving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(the “Effective Date”), Autodesk, Inc. (the “Company”) entered into an Amendment No. 1 to Credit Agreement (the “Revolver Amendment”), which amends the Company’s existing Credit Agreement, dated as of May 8, 2025, among the Company, Citibank, N.A. (“Citibank”), as administrative agent, and the lenders from time to time party thereto (as amended, the “Revolving Credit Agreement”). Among other things, the Revolver Amendment:</w:t>
      </w:r>
    </w:p>
    <w:p>
      <w:pPr>
        <w:spacing w:after="0" w:line="180" w:lineRule="exact"/>
        <w:rPr>
          <w:sz w:val="20"/>
          <w:szCs w:val="20"/>
          <w:color w:val="auto"/>
        </w:rPr>
      </w:pPr>
    </w:p>
    <w:p>
      <w:pPr>
        <w:ind w:left="980" w:hanging="648"/>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commitments of the unsecured revolving credit facility provided pursuant to the Revolving Credit Agreement from an aggregate principal amount of $1.5 billion to an aggregate principal amount of $2 billion, and</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greater funding certainty to consummate the Company’s merger transaction with MaintainX Inc. (the “Acquisition”) by providing more limited conditions to borrowing under the Revolving Credit Agreement, in the case of borrowings up to $1.0 billion that are applied on the closing date of the Acquisition (the “Acquisition Closing Date”) for purposes of funding the Acquisition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amended by the Revolver Amendment, the terms of the Revolving Credit Agreement remain in full force and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Amendment is attached hereto as Exhibit 10.1 and is incorporated by reference herein. The above description does not purport to be complete and is qualified in its entirety by reference to such exhibit.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Effective Date, the Company entered into a Term Loan Credit Agreement (the “Term Loan Credit Agreement”) with Citibank, as administrative agent, and the lenders from time to time party thereto, which provides for an unsecured 364-day delayed draw term loan facility in the aggregate principal amount of $1.0 billion.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Term Loan Credit Agreement are limited to loans funded on the Acquisition Closing Date (the “Term Loan”) for purposes of funding the Acquisition transaction and will mature 364 days after the Acquisition Closing Date. Voluntary prepayments of the Term Loan are permitted, in whole or in part, in minimum amounts without premium or penalty, other than customary breakage costs. The Term Loan is also subject to certain mandatory prepayment events, including by an amount equal to the net cash proceeds received by the Company from certain debt issuances, equity issuances or asset sales (in each case, subject to certain exceptions). In the case of any such events occurring prior to the funding of the Term Loan on the Acquisition Closing Date, the commitments under the Term Loan will be reduced by the same amounts that otherwise would have been required to be applied as a mandatory prepayment of the funded Term Loan.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will bear interest, at the Company’s option, at a rate per annum equal to either (i) the Base Rate (as defined below) plus a margin ranging from 0.0% to 0.125%, depending on the Company’s public debt rating or (ii) a SOFR rate plus a margin ranging from 0.625% to 1.125%, depending on the Company’s public debt rating. As used herein, “Base Rate” means a floating rate per annum equal to the greatest of (A) Citibank’s base lending rate, (B) the federal funds rate plus 0.50% and (C) Term SOFR for a one-month tenor plus 1.00%.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 Loan Credit Agreement, the Company will pay to each Lender a ticking fee on a quarterly basis based on undrawn commitments under the Term Loan Credit Agreement of between 0.050% and 0.125% per annum, depending on the Company’s public debt rating. Such ticking fee will not begin to accrue until 120 days after the Effective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Credit Agreement contains substantially similar representations, warranties, covenants, events of default, and financial covenants (including requirements with respect to a maximum leverage ratio of Consolidated Covenant Debt to Consolidated EBITDA (each as defined in the Term Loan Credit Agreement)) as provided in the Revolving Credit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Citibank and the other lenders under the Revolving Credit Agreement and the Term Loan Credit Agreement, and certain of their respective affiliates have provided, and in the future may provide, financial, banking and related services to the Company. These parties have received, and in the future may receive, compensation from the Company for these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Credit Agreement is attached hereto as Exhibit 10.2 and is incorporated by reference herein. The above description does not purport to be complete and is qualified in its entirety by reference to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Items 1.01, “Entry into a Material Definitive Agreement,”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66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Amendment No. 1 to Credit Agreement, dated June 15, 2026, by and among Autodesk, Inc., the lenders party thereto, and Citibank, N.A.,</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administrative agent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8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dated June 15, 2026, by and among Autodesk, Inc., the lenders party thereto, and Citibank, N.A., as administrative agent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8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 copies of any of the omitted exhibits and schedules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Janesh Moorjani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CREDIT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AMENDMENT NO. 1 TO CREDIT AGREEMENT, dated as of June 15,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among AUTODESK,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Lenders signatory hereto as an “Existing Lender” (collectively,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CITIBANK,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the Credit Agreement, dated as of May 8, 2025 (as amended,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the Lenders thereto and the Administrative Agent.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and the Existing Lenders party hereto (which constitute the Required Lenders) desire to amend the Credit Agreement on the Amendment Effective Date (as defined below)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Credit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WHEREAS, the Company, the Existing Lenders desire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concurrently with the effectiveness of the amendments contemplated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on the Amendment Effective Date, (i) the aggregate Commitments under the Credit Agreement shall be increased from $1,500,000,000 to $2,000,000,000 and (ii) certain of the Existing Lenders shall provide $500,000,000 in new Commitments to the Company, such that the Commitments of the Existing Lenders shall be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the Existing Lenders (which constitute the Required Lenders) further desire that, subject to the occurrence of the Amendment Effective Date, the amendments contemplated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shall become effective.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execution hereof and other good and valuable consideration, the parties hereto hereby agree as follows:</w:t>
      </w:r>
    </w:p>
    <w:p>
      <w:pPr>
        <w:spacing w:after="0" w:line="162" w:lineRule="exact"/>
        <w:rPr>
          <w:sz w:val="20"/>
          <w:szCs w:val="20"/>
          <w:color w:val="auto"/>
        </w:rPr>
      </w:pPr>
    </w:p>
    <w:p>
      <w:pPr>
        <w:ind w:firstLine="1304"/>
        <w:spacing w:after="0" w:line="282" w:lineRule="auto"/>
        <w:tabs>
          <w:tab w:leader="none" w:pos="14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which are defined in the Credit Agreement and not otherwise defined herein have the meanings given in the Amended Credit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As of the Amendment Effective Date, 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Amended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any Schedule or Exhibit to the Credit Agreement not amended pursuant to the terms of this Amendment or otherwise included as part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remain in effect without any amendment or other modification thereto.</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Credit Agreement, as amended by this Amendment, is hereinafter referred to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4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will become effective upon the first date the following conditions precedent are satisfied (such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Administrative Agent (or its counsel) shall have received from each party hereto a counterpart of this Agreement signed on behalf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jc w:val="both"/>
        <w:ind w:firstLine="1304"/>
        <w:spacing w:after="0" w:line="261" w:lineRule="auto"/>
        <w:tabs>
          <w:tab w:leader="none" w:pos="1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documentation and other information relating to the Company and requested in writing at least three Business Days prior to the Amendment Effective Date required by bank regulatory authorities under applicable “know your customer” and anti-money laundering rules and regulations, including the Patriot Act and the Beneficial Ownership Regulation (if applicable), to the extent requested in writing at least ten days prior to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20" w:firstLine="130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dated the Amendment Effective Date and signed by a duly authorized officer of the Company, confirming the representations and warranties made by the Company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shall be correct on and as of the Amendment Effective Date and no Default or Event of Default shall have occurred and be continuing or shall occur immediately after giving effect to this Amendment.</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copies, certified by a duly authorized officer of the Company, of its Board of Directors’ resolutions approving this Amendment and any other Loan Documents to which the Company is becoming a party and such documents and certificates as the Administrative Agent or its counsel may reasonably request relating to the organization, existence and good standing of the Company.</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an incumbency certificate, executed by a duly authorized officer of the Company, certifying the names and true signatures of officers of the Company authorized to sign this Amendment, the Loan Documents and other documents to be delivered hereunder or thereunder.</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favorable opinion of Hogan Lovells US LLP, special counsel for the Company, dated the Amendment Effective Date and in customary form and substance.</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(i) all accrued fees and expenses of the Administrative Agent, the Matterhorn Arrangers and the Lenders required to be paid or reimbursed by the Company (including the accrued reasonable and documented out-of-pocket fees and expenses of Davis Polk &amp; Wardwell LLP, as counsel to the Administrative Agent, the Matterhorn Arrangers and the Lenders) that have been invoiced to the Company at least two (2) Business Days prior to the Amendment Effective Date and (ii) all fees required to be paid to the Matterhorn Arrangers, the Lenders or the Administrative Agent, as applicable, pursuant to any fee letters, in each case, on or prior to the Amendment Effective Date and including, to the extent invoiced to the Company at least two (2) Business Days prior to the Amendment Effective Date, the reimbursement or payment of all out-of-pocket expenses required to be reimbursed or paid by the Company under the Amended Credit Agreement or any fee letter.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6" w:name="page7"/>
    <w:bookmarkEnd w:id="6"/>
    <w:p>
      <w:pPr>
        <w:jc w:val="both"/>
        <w:ind w:firstLine="1304"/>
        <w:spacing w:after="0" w:line="254" w:lineRule="auto"/>
        <w:tabs>
          <w:tab w:leader="none" w:pos="14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Company represents and warrants, as of the date hereof, that, after giving effect to the provisions of this Amendment, (a) each of the representations and warranties made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Amended Credit Agreement is true in all material respects on and as of the date hereof as if made on and as of the date hereof, except to the extent that such representations and warranties refer to an earlier date, in which case they were true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representation and warranty is already qualified by materiality in the Amended Credit Agreement, Material Adverse Effect or words of similar import, such representation and warranty shall be true and correct in all respects;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date referred to in </w:t>
      </w:r>
      <w:r>
        <w:rPr>
          <w:rFonts w:ascii="Times New Roman" w:cs="Times New Roman" w:eastAsia="Times New Roman" w:hAnsi="Times New Roman"/>
          <w:sz w:val="18"/>
          <w:szCs w:val="18"/>
          <w:u w:val="single" w:color="auto"/>
          <w:color w:val="auto"/>
        </w:rPr>
        <w:t>Section 4.01(e)(ii)</w:t>
      </w:r>
      <w:r>
        <w:rPr>
          <w:rFonts w:ascii="Times New Roman" w:cs="Times New Roman" w:eastAsia="Times New Roman" w:hAnsi="Times New Roman"/>
          <w:sz w:val="18"/>
          <w:szCs w:val="18"/>
          <w:color w:val="auto"/>
        </w:rPr>
        <w:t xml:space="preserve"> of the Credit Agreement shall be deemed to be the date of the most recent audited financial statements referred to in </w:t>
      </w:r>
      <w:r>
        <w:rPr>
          <w:rFonts w:ascii="Times New Roman" w:cs="Times New Roman" w:eastAsia="Times New Roman" w:hAnsi="Times New Roman"/>
          <w:sz w:val="18"/>
          <w:szCs w:val="18"/>
          <w:u w:val="single" w:color="auto"/>
          <w:color w:val="auto"/>
        </w:rPr>
        <w:t>Section 4.01(e)(i)</w:t>
      </w:r>
      <w:r>
        <w:rPr>
          <w:rFonts w:ascii="Times New Roman" w:cs="Times New Roman" w:eastAsia="Times New Roman" w:hAnsi="Times New Roman"/>
          <w:sz w:val="18"/>
          <w:szCs w:val="18"/>
          <w:color w:val="auto"/>
        </w:rPr>
        <w:t xml:space="preserve"> of the Credit Agreement or delivered in accordance with </w:t>
      </w:r>
      <w:r>
        <w:rPr>
          <w:rFonts w:ascii="Times New Roman" w:cs="Times New Roman" w:eastAsia="Times New Roman" w:hAnsi="Times New Roman"/>
          <w:sz w:val="18"/>
          <w:szCs w:val="18"/>
          <w:u w:val="single" w:color="auto"/>
          <w:color w:val="auto"/>
        </w:rPr>
        <w:t>Section 5.01(i)(ii)</w:t>
      </w:r>
      <w:r>
        <w:rPr>
          <w:rFonts w:ascii="Times New Roman" w:cs="Times New Roman" w:eastAsia="Times New Roman" w:hAnsi="Times New Roman"/>
          <w:sz w:val="18"/>
          <w:szCs w:val="18"/>
          <w:color w:val="auto"/>
        </w:rPr>
        <w:t xml:space="preserve"> of the Credit Agreement, and (b) no Default or Event of Default has occurred and is continuing.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Effect of the Credit Agreement</w:t>
      </w:r>
      <w:r>
        <w:rPr>
          <w:rFonts w:ascii="Times New Roman" w:cs="Times New Roman" w:eastAsia="Times New Roman" w:hAnsi="Times New Roman"/>
          <w:sz w:val="18"/>
          <w:szCs w:val="18"/>
          <w:color w:val="auto"/>
        </w:rPr>
        <w:t>. This Amendment is limited solely to the matters expressly set forth herein and does not constitute an amendment to any provision of the Credit Agreement other than as set forth herein. Subject to the express terms of this Amendment, the Credit Agreement remains in full force and effect, and each of the Company and the Existing Lenders acknowledge and agree that all of their obligations hereunder and under the Amended Credit Agreement shall be valid and enforceable and shall not be impaired or limited by the execution or effectiveness of this Amendment except to the extent specified herein. Upon the effectiveness of this Amendment, each reference in the Amended Credit Agreement and in any exhibits attached thereto to “this Agreement”, “hereunder”, “hereof”, “herein” or words of similar import shall mean and be a reference to the Credit Agreement after giving effect hereto.</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4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of the Amended Credit Agreement shall apply with like effect to this Amendment. This Amendment shall constitute a Loan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proper and duly authorized officers as of the day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AUTODESK,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Janesh Moorjani</w:t>
      </w:r>
    </w:p>
    <w:p>
      <w:pPr>
        <w:spacing w:after="0" w:line="27"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Executive Vice President and</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5640"/>
        <w:spacing w:after="0"/>
        <w:rPr>
          <w:sz w:val="20"/>
          <w:szCs w:val="20"/>
          <w:color w:val="auto"/>
        </w:rPr>
      </w:pPr>
      <w:r>
        <w:rPr>
          <w:rFonts w:ascii="Times New Roman" w:cs="Times New Roman" w:eastAsia="Times New Roman" w:hAnsi="Times New Roman"/>
          <w:sz w:val="17"/>
          <w:szCs w:val="17"/>
          <w:color w:val="auto"/>
        </w:rPr>
        <w:t>CITIBANK, N.A., as Administrative Agent</w:t>
      </w:r>
    </w:p>
    <w:p>
      <w:pPr>
        <w:spacing w:after="0" w:line="23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Daniel Boselli</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as Existing Lender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Daniel Boselli</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 w:name="page10"/>
    <w:bookmarkEnd w:id="9"/>
    <w:p>
      <w:pPr>
        <w:ind w:left="5640"/>
        <w:spacing w:after="0"/>
        <w:rPr>
          <w:sz w:val="20"/>
          <w:szCs w:val="20"/>
          <w:color w:val="auto"/>
        </w:rPr>
      </w:pPr>
      <w:r>
        <w:rPr>
          <w:rFonts w:ascii="Times New Roman" w:cs="Times New Roman" w:eastAsia="Times New Roman" w:hAnsi="Times New Roman"/>
          <w:sz w:val="17"/>
          <w:szCs w:val="17"/>
          <w:color w:val="auto"/>
        </w:rPr>
        <w:t>MORGAN STANLEY BANK, N.A., as an Existing Lender</w:t>
      </w:r>
    </w:p>
    <w:p>
      <w:pPr>
        <w:spacing w:after="0" w:line="23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Michael King</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10" w:name="page11"/>
    <w:bookmarkEnd w:id="10"/>
    <w:p>
      <w:pPr>
        <w:ind w:left="5640"/>
        <w:spacing w:after="0"/>
        <w:rPr>
          <w:sz w:val="20"/>
          <w:szCs w:val="20"/>
          <w:color w:val="auto"/>
        </w:rPr>
      </w:pPr>
      <w:r>
        <w:rPr>
          <w:rFonts w:ascii="Times New Roman" w:cs="Times New Roman" w:eastAsia="Times New Roman" w:hAnsi="Times New Roman"/>
          <w:sz w:val="17"/>
          <w:szCs w:val="17"/>
          <w:color w:val="auto"/>
        </w:rPr>
        <w:t>BNP Paribas, as an Existing Lender</w:t>
      </w:r>
    </w:p>
    <w:p>
      <w:pPr>
        <w:spacing w:after="0" w:line="23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Nicolas Doche</w:t>
      </w:r>
    </w:p>
    <w:p>
      <w:pPr>
        <w:spacing w:after="0" w:line="27" w:lineRule="exact"/>
        <w:rPr>
          <w:sz w:val="20"/>
          <w:szCs w:val="20"/>
          <w:color w:val="auto"/>
        </w:rPr>
      </w:pPr>
    </w:p>
    <w:p>
      <w:pPr>
        <w:jc w:val="both"/>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both"/>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Valentin Detry</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ind w:left="5640"/>
        <w:spacing w:after="0"/>
        <w:rPr>
          <w:sz w:val="20"/>
          <w:szCs w:val="20"/>
          <w:color w:val="auto"/>
        </w:rPr>
      </w:pPr>
      <w:r>
        <w:rPr>
          <w:rFonts w:ascii="Times New Roman" w:cs="Times New Roman" w:eastAsia="Times New Roman" w:hAnsi="Times New Roman"/>
          <w:sz w:val="18"/>
          <w:szCs w:val="18"/>
          <w:color w:val="auto"/>
        </w:rPr>
        <w:t>Bank of America, N.A., as an Existing Lender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James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Haack</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 w:name="page13"/>
    <w:bookmarkEnd w:id="12"/>
    <w:p>
      <w:pPr>
        <w:ind w:left="5640"/>
        <w:spacing w:after="0"/>
        <w:rPr>
          <w:sz w:val="20"/>
          <w:szCs w:val="20"/>
          <w:color w:val="auto"/>
        </w:rPr>
      </w:pPr>
      <w:r>
        <w:rPr>
          <w:rFonts w:ascii="Times New Roman" w:cs="Times New Roman" w:eastAsia="Times New Roman" w:hAnsi="Times New Roman"/>
          <w:sz w:val="18"/>
          <w:szCs w:val="18"/>
          <w:color w:val="auto"/>
        </w:rPr>
        <w:t>U.S. BANK NATIONAL ASSOCIATION, as an Existing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Alex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Alex Wilson</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3" w:name="page14"/>
    <w:bookmarkEnd w:id="13"/>
    <w:p>
      <w:pPr>
        <w:ind w:left="5640"/>
        <w:spacing w:after="0"/>
        <w:rPr>
          <w:sz w:val="20"/>
          <w:szCs w:val="20"/>
          <w:color w:val="auto"/>
        </w:rPr>
      </w:pPr>
      <w:r>
        <w:rPr>
          <w:rFonts w:ascii="Times New Roman" w:cs="Times New Roman" w:eastAsia="Times New Roman" w:hAnsi="Times New Roman"/>
          <w:sz w:val="18"/>
          <w:szCs w:val="18"/>
          <w:color w:val="auto"/>
        </w:rPr>
        <w:t>JPMORGAN CHASE BANK, N.A., as an Existing Lender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Zimmerman</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1440" w:top="904" w:right="55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7"/>
          <w:szCs w:val="17"/>
          <w:color w:val="auto"/>
        </w:rPr>
        <w:t>MUFG Bank, Ltd., as an Existing Lender</w:t>
      </w:r>
    </w:p>
    <w:p>
      <w:pPr>
        <w:spacing w:after="0" w:line="23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Kayla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Kayla Fong</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7"/>
          <w:szCs w:val="17"/>
          <w:color w:val="auto"/>
        </w:rPr>
        <w:t>Royal Bank of Canada, as an Existing Lender</w:t>
      </w:r>
    </w:p>
    <w:p>
      <w:pPr>
        <w:spacing w:after="0" w:line="23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Nicholas Heslip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Nicholas Heslip</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8"/>
          <w:szCs w:val="18"/>
          <w:color w:val="auto"/>
        </w:rPr>
        <w:t>Wells Fargo Bank, National Association, as an Existing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Clay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Clay Park</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r>
        <w:rPr>
          <w:rFonts w:ascii="Times New Roman" w:cs="Times New Roman" w:eastAsia="Times New Roman" w:hAnsi="Times New Roman"/>
          <w:sz w:val="18"/>
          <w:szCs w:val="18"/>
          <w:b w:val="1"/>
          <w:bCs w:val="1"/>
          <w:u w:val="single" w:color="auto"/>
          <w:color w:val="0000FF"/>
          <w:strike w:val="1"/>
        </w:rPr>
        <w:t>Exhibit A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w:t>
      </w:r>
      <w:r>
        <w:rPr>
          <w:rFonts w:ascii="Times New Roman" w:cs="Times New Roman" w:eastAsia="Times New Roman" w:hAnsi="Times New Roman"/>
          <w:sz w:val="18"/>
          <w:szCs w:val="18"/>
          <w:color w:val="FF0000"/>
          <w:strike w:val="1"/>
        </w:rPr>
        <w:t>1,500,000,000</w:t>
      </w:r>
      <w:r>
        <w:rPr>
          <w:rFonts w:ascii="Times New Roman" w:cs="Times New Roman" w:eastAsia="Times New Roman" w:hAnsi="Times New Roman"/>
          <w:sz w:val="18"/>
          <w:szCs w:val="18"/>
          <w:u w:val="single" w:color="auto"/>
          <w:color w:val="0000FF"/>
        </w:rPr>
        <w:t>2,000,000,000</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May 8,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0000FF"/>
        </w:rPr>
        <w:t>as amended by Amendment No. 1 to Credit Agreement, dated as of June 15,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Borrower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Lenders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u w:val="single" w:color="auto"/>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20" w:right="1920" w:firstLine="386"/>
        <w:spacing w:after="0" w:line="317" w:lineRule="auto"/>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BOFA SECURITIES, INC., BNP PARIBAS SECURITIES CORP., MORGAN STANLEY SENIOR FUNDING, INC.,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U.S. BANK NATIONAL ASSOCIATION</w:t>
      </w:r>
    </w:p>
    <w:p>
      <w:pPr>
        <w:spacing w:after="0" w:line="1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Joint Lead Arrangers and Joint Bookrunners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BANK OF AMERICA, N.A., BNP PARIBAS, MORGAN STANLEY</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SENIOR FUNDING,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U.S. BANK NATIONAL ASSOCIATION</w:t>
      </w:r>
    </w:p>
    <w:p>
      <w:pPr>
        <w:spacing w:after="0" w:line="2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u w:val="single" w:color="auto"/>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TABLE OF CONTENTS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59"/>
        </w:trPr>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4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400" w:type="dxa"/>
            <w:vAlign w:val="bottom"/>
            <w:gridSpan w:val="4"/>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Defined Terms</w:t>
            </w:r>
          </w:p>
        </w:tc>
        <w:tc>
          <w:tcPr>
            <w:tcW w:w="400" w:type="dxa"/>
            <w:vAlign w:val="bottom"/>
            <w:gridSpan w:val="4"/>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1.02</w:t>
            </w: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Computation of Time Periods</w:t>
            </w:r>
          </w:p>
        </w:tc>
        <w:tc>
          <w:tcPr>
            <w:tcW w:w="140" w:type="dxa"/>
            <w:vAlign w:val="bottom"/>
          </w:tcPr>
          <w:p>
            <w:pPr>
              <w:spacing w:after="0"/>
              <w:rPr>
                <w:sz w:val="15"/>
                <w:szCs w:val="15"/>
                <w:color w:val="auto"/>
              </w:rPr>
            </w:pP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3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1.03</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Accounting Terms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1.04</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Terms Generally</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22</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1.05</w:t>
            </w:r>
          </w:p>
        </w:tc>
        <w:tc>
          <w:tcPr>
            <w:tcW w:w="83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Rates</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320" w:type="dxa"/>
            <w:vAlign w:val="bottom"/>
            <w:gridSpan w:val="3"/>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22</w:t>
            </w:r>
          </w:p>
        </w:tc>
      </w:tr>
      <w:tr>
        <w:trPr>
          <w:trHeight w:val="197"/>
        </w:trPr>
        <w:tc>
          <w:tcPr>
            <w:tcW w:w="6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5"/>
        </w:trPr>
        <w:tc>
          <w:tcPr>
            <w:tcW w:w="1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II</w:t>
            </w:r>
          </w:p>
        </w:tc>
        <w:tc>
          <w:tcPr>
            <w:tcW w:w="9420" w:type="dxa"/>
            <w:vAlign w:val="bottom"/>
            <w:gridSpan w:val="6"/>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AND TERMS OF THE ADVANCES</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20</w:t>
            </w:r>
          </w:p>
        </w:tc>
        <w:tc>
          <w:tcPr>
            <w:tcW w:w="320" w:type="dxa"/>
            <w:vAlign w:val="bottom"/>
            <w:gridSpan w:val="3"/>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23</w:t>
            </w:r>
          </w:p>
        </w:tc>
      </w:tr>
      <w:tr>
        <w:trPr>
          <w:trHeight w:val="197"/>
        </w:trPr>
        <w:tc>
          <w:tcPr>
            <w:tcW w:w="6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6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2.01</w:t>
            </w:r>
          </w:p>
        </w:tc>
        <w:tc>
          <w:tcPr>
            <w:tcW w:w="83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Advances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20</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23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2.02</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Making the Advances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20</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2.03</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Fees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2.04</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Optional Termination or Reduction of the Commitments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2.05</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Repayment of Advances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2.06</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Interest on Advances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2.07</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Interest Rate Determination</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2.08</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Optional Conversion and Continuation of Advances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2.09</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Prepayments of Advances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27</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2.10</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Increased Costs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2.11</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Illegality</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28</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2.12</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Payments and Computations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2.13</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Taxes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26</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29</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2.14</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Sharing of Payments, Etc</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29</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2.15</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Evidence of Debt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29</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33</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2.16</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30</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2.17</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Increase in the Aggregate Commitments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30</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2.18</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Defaulting Lenders</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2.19</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Replacement of Lenders</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2.20</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Extension of Termination Date</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37</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2.21</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38</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2.22</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Benchmark Replacement</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5"/>
        </w:trPr>
        <w:tc>
          <w:tcPr>
            <w:tcW w:w="1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ARTICLE III</w:t>
            </w:r>
          </w:p>
        </w:tc>
        <w:tc>
          <w:tcPr>
            <w:tcW w:w="9420" w:type="dxa"/>
            <w:vAlign w:val="bottom"/>
            <w:gridSpan w:val="6"/>
          </w:tcPr>
          <w:p>
            <w:pPr>
              <w:ind w:left="300"/>
              <w:spacing w:after="0" w:line="176" w:lineRule="exact"/>
              <w:rPr>
                <w:sz w:val="20"/>
                <w:szCs w:val="20"/>
                <w:color w:val="auto"/>
              </w:rPr>
            </w:pPr>
            <w:r>
              <w:rPr>
                <w:rFonts w:ascii="Times New Roman" w:cs="Times New Roman" w:eastAsia="Times New Roman" w:hAnsi="Times New Roman"/>
                <w:sz w:val="18"/>
                <w:szCs w:val="18"/>
                <w:color w:val="auto"/>
              </w:rPr>
              <w:t>CONDITIONS TO EFFECTIVENESS AND LENDING</w:t>
            </w:r>
          </w:p>
        </w:tc>
        <w:tc>
          <w:tcPr>
            <w:tcW w:w="140" w:type="dxa"/>
            <w:vAlign w:val="bottom"/>
          </w:tcPr>
          <w:p>
            <w:pPr>
              <w:spacing w:after="0"/>
              <w:rPr>
                <w:sz w:val="15"/>
                <w:szCs w:val="15"/>
                <w:color w:val="auto"/>
              </w:rPr>
            </w:pP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3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3.01</w:t>
            </w: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Conditions Precedent to Effectiveness of Commitments</w:t>
            </w:r>
          </w:p>
        </w:tc>
        <w:tc>
          <w:tcPr>
            <w:tcW w:w="140" w:type="dxa"/>
            <w:vAlign w:val="bottom"/>
          </w:tcPr>
          <w:p>
            <w:pPr>
              <w:spacing w:after="0"/>
              <w:rPr>
                <w:sz w:val="15"/>
                <w:szCs w:val="15"/>
                <w:color w:val="auto"/>
              </w:rPr>
            </w:pP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3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3.02</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Conditions Precedent to Each Borrowing</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SECTION 3.03</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Determinations Under Section 3.01</w:t>
            </w:r>
          </w:p>
        </w:tc>
        <w:tc>
          <w:tcPr>
            <w:tcW w:w="14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3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3.04</w:t>
            </w:r>
          </w:p>
        </w:tc>
        <w:tc>
          <w:tcPr>
            <w:tcW w:w="832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Existing Credit Agreement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60" w:type="dxa"/>
            <w:vAlign w:val="bottom"/>
          </w:tcPr>
          <w:p>
            <w:pPr>
              <w:spacing w:after="0"/>
              <w:rPr>
                <w:sz w:val="13"/>
                <w:szCs w:val="13"/>
                <w:color w:val="auto"/>
              </w:rPr>
            </w:pPr>
          </w:p>
        </w:tc>
        <w:tc>
          <w:tcPr>
            <w:tcW w:w="1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SECTION 3.05</w:t>
            </w:r>
          </w:p>
        </w:tc>
        <w:tc>
          <w:tcPr>
            <w:tcW w:w="83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Matterhorn Certain Funds Advance</w:t>
            </w:r>
          </w:p>
        </w:tc>
        <w:tc>
          <w:tcPr>
            <w:tcW w:w="400" w:type="dxa"/>
            <w:vAlign w:val="bottom"/>
            <w:gridSpan w:val="4"/>
          </w:tcPr>
          <w:p>
            <w:pPr>
              <w:jc w:val="center"/>
              <w:ind w:left="130"/>
              <w:spacing w:after="0" w:line="156" w:lineRule="exact"/>
              <w:rPr>
                <w:sz w:val="20"/>
                <w:szCs w:val="20"/>
                <w:color w:val="auto"/>
              </w:rPr>
            </w:pPr>
            <w:r>
              <w:rPr>
                <w:rFonts w:ascii="Times New Roman" w:cs="Times New Roman" w:eastAsia="Times New Roman" w:hAnsi="Times New Roman"/>
                <w:sz w:val="18"/>
                <w:szCs w:val="18"/>
                <w:color w:val="0000FF"/>
                <w:w w:val="99"/>
              </w:rPr>
              <w:t>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6"/>
        </w:trPr>
        <w:tc>
          <w:tcPr>
            <w:tcW w:w="1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ARTICLE IV</w:t>
            </w:r>
          </w:p>
        </w:tc>
        <w:tc>
          <w:tcPr>
            <w:tcW w:w="9420" w:type="dxa"/>
            <w:vAlign w:val="bottom"/>
            <w:gridSpan w:val="6"/>
          </w:tcPr>
          <w:p>
            <w:pPr>
              <w:ind w:left="300"/>
              <w:spacing w:after="0" w:line="176" w:lineRule="exact"/>
              <w:rPr>
                <w:sz w:val="20"/>
                <w:szCs w:val="20"/>
                <w:color w:val="auto"/>
              </w:rPr>
            </w:pPr>
            <w:r>
              <w:rPr>
                <w:rFonts w:ascii="Times New Roman" w:cs="Times New Roman" w:eastAsia="Times New Roman" w:hAnsi="Times New Roman"/>
                <w:sz w:val="18"/>
                <w:szCs w:val="18"/>
                <w:color w:val="auto"/>
              </w:rPr>
              <w:t>REPRESENTATIONS AND WARRANTIES</w:t>
            </w:r>
          </w:p>
        </w:tc>
        <w:tc>
          <w:tcPr>
            <w:tcW w:w="140" w:type="dxa"/>
            <w:vAlign w:val="bottom"/>
          </w:tcPr>
          <w:p>
            <w:pPr>
              <w:spacing w:after="0"/>
              <w:rPr>
                <w:sz w:val="15"/>
                <w:szCs w:val="15"/>
                <w:color w:val="auto"/>
              </w:rPr>
            </w:pP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3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43</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4.01</w:t>
            </w: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Representations and Warranties of the Borrower</w:t>
            </w:r>
          </w:p>
        </w:tc>
        <w:tc>
          <w:tcPr>
            <w:tcW w:w="140" w:type="dxa"/>
            <w:vAlign w:val="bottom"/>
          </w:tcPr>
          <w:p>
            <w:pPr>
              <w:spacing w:after="0"/>
              <w:rPr>
                <w:sz w:val="15"/>
                <w:szCs w:val="15"/>
                <w:color w:val="auto"/>
              </w:rPr>
            </w:pP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3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43</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7"/>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200" w:type="dxa"/>
            <w:vAlign w:val="bottom"/>
            <w:shd w:val="clear" w:color="auto" w:fill="CCEEFF"/>
          </w:tcPr>
          <w:p>
            <w:pPr>
              <w:spacing w:after="0"/>
              <w:rPr>
                <w:sz w:val="21"/>
                <w:szCs w:val="21"/>
                <w:color w:val="auto"/>
              </w:rPr>
            </w:pPr>
          </w:p>
        </w:tc>
        <w:tc>
          <w:tcPr>
            <w:tcW w:w="881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COVENANTS OF THE BORROWER</w:t>
            </w: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39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000FF"/>
                <w:w w:val="88"/>
              </w:rPr>
              <w:t>44</w:t>
            </w:r>
          </w:p>
        </w:tc>
      </w:tr>
      <w:tr>
        <w:trPr>
          <w:trHeight w:val="197"/>
        </w:trPr>
        <w:tc>
          <w:tcPr>
            <w:tcW w:w="6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c>
          <w:tcPr>
            <w:tcW w:w="8110" w:type="dxa"/>
            <w:vAlign w:val="bottom"/>
            <w:tcBorders>
              <w:top w:val="single" w:sz="8" w:color="CCEEFF"/>
            </w:tcBorders>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5"/>
        </w:trPr>
        <w:tc>
          <w:tcPr>
            <w:tcW w:w="6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SECTION 5.01</w:t>
            </w:r>
          </w:p>
        </w:tc>
        <w:tc>
          <w:tcPr>
            <w:tcW w:w="8110" w:type="dxa"/>
            <w:vAlign w:val="bottom"/>
            <w:tcBorders>
              <w:bottom w:val="single" w:sz="8" w:color="CCEEFF"/>
            </w:tcBorders>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Affirmative Covenants</w:t>
            </w:r>
          </w:p>
        </w:tc>
        <w:tc>
          <w:tcPr>
            <w:tcW w:w="79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5.02</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Negative Covenants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42</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5.03</w:t>
            </w:r>
          </w:p>
        </w:tc>
        <w:tc>
          <w:tcPr>
            <w:tcW w:w="811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Financial Covenant</w:t>
            </w:r>
          </w:p>
        </w:tc>
        <w:tc>
          <w:tcPr>
            <w:tcW w:w="79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46</w:t>
            </w:r>
          </w:p>
        </w:tc>
        <w:tc>
          <w:tcPr>
            <w:tcW w:w="32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51</w:t>
            </w:r>
          </w:p>
        </w:tc>
      </w:tr>
      <w:tr>
        <w:trPr>
          <w:trHeight w:val="196"/>
        </w:trPr>
        <w:tc>
          <w:tcPr>
            <w:tcW w:w="6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10" w:type="dxa"/>
            <w:vAlign w:val="bottom"/>
            <w:tcBorders>
              <w:top w:val="single" w:sz="8" w:color="CCEEFF"/>
            </w:tcBorders>
            <w:gridSpan w:val="2"/>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VI</w:t>
            </w:r>
          </w:p>
        </w:tc>
        <w:tc>
          <w:tcPr>
            <w:tcW w:w="200" w:type="dxa"/>
            <w:vAlign w:val="bottom"/>
            <w:shd w:val="clear" w:color="auto" w:fill="CCEEFF"/>
          </w:tcPr>
          <w:p>
            <w:pPr>
              <w:spacing w:after="0"/>
              <w:rPr>
                <w:sz w:val="18"/>
                <w:szCs w:val="18"/>
                <w:color w:val="auto"/>
              </w:rPr>
            </w:pPr>
          </w:p>
        </w:tc>
        <w:tc>
          <w:tcPr>
            <w:tcW w:w="881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EVENTS OF DEFAULT</w:t>
            </w:r>
          </w:p>
        </w:tc>
        <w:tc>
          <w:tcPr>
            <w:tcW w:w="79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46</w:t>
            </w:r>
          </w:p>
        </w:tc>
        <w:tc>
          <w:tcPr>
            <w:tcW w:w="3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52</w:t>
            </w:r>
          </w:p>
        </w:tc>
      </w:tr>
      <w:tr>
        <w:trPr>
          <w:trHeight w:val="197"/>
        </w:trPr>
        <w:tc>
          <w:tcPr>
            <w:tcW w:w="6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c>
          <w:tcPr>
            <w:tcW w:w="8110" w:type="dxa"/>
            <w:vAlign w:val="bottom"/>
            <w:tcBorders>
              <w:top w:val="single" w:sz="8" w:color="CCEEFF"/>
            </w:tcBorders>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5"/>
        </w:trPr>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SECTION 6.01</w:t>
            </w:r>
          </w:p>
        </w:tc>
        <w:tc>
          <w:tcPr>
            <w:tcW w:w="811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Events of Default</w:t>
            </w:r>
          </w:p>
        </w:tc>
        <w:tc>
          <w:tcPr>
            <w:tcW w:w="79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46</w:t>
            </w:r>
          </w:p>
        </w:tc>
        <w:tc>
          <w:tcPr>
            <w:tcW w:w="3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52</w:t>
            </w:r>
          </w:p>
        </w:tc>
      </w:tr>
      <w:tr>
        <w:trPr>
          <w:trHeight w:val="197"/>
        </w:trPr>
        <w:tc>
          <w:tcPr>
            <w:tcW w:w="6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10" w:type="dxa"/>
            <w:vAlign w:val="bottom"/>
            <w:tcBorders>
              <w:top w:val="single" w:sz="8" w:color="CCEEFF"/>
            </w:tcBorders>
            <w:gridSpan w:val="2"/>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VII</w:t>
            </w:r>
          </w:p>
        </w:tc>
        <w:tc>
          <w:tcPr>
            <w:tcW w:w="200" w:type="dxa"/>
            <w:vAlign w:val="bottom"/>
            <w:shd w:val="clear" w:color="auto" w:fill="CCEEFF"/>
          </w:tcPr>
          <w:p>
            <w:pPr>
              <w:spacing w:after="0"/>
              <w:rPr>
                <w:sz w:val="18"/>
                <w:szCs w:val="18"/>
                <w:color w:val="auto"/>
              </w:rPr>
            </w:pPr>
          </w:p>
        </w:tc>
        <w:tc>
          <w:tcPr>
            <w:tcW w:w="881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THE AGENT</w:t>
            </w:r>
          </w:p>
        </w:tc>
        <w:tc>
          <w:tcPr>
            <w:tcW w:w="79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48</w:t>
            </w:r>
          </w:p>
        </w:tc>
        <w:tc>
          <w:tcPr>
            <w:tcW w:w="3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54</w:t>
            </w:r>
          </w:p>
        </w:tc>
      </w:tr>
      <w:tr>
        <w:trPr>
          <w:trHeight w:val="196"/>
        </w:trPr>
        <w:tc>
          <w:tcPr>
            <w:tcW w:w="6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c>
          <w:tcPr>
            <w:tcW w:w="8110" w:type="dxa"/>
            <w:vAlign w:val="bottom"/>
            <w:tcBorders>
              <w:top w:val="single" w:sz="8" w:color="CCEEFF"/>
            </w:tcBorders>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6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SECTION 7.01</w:t>
            </w:r>
          </w:p>
        </w:tc>
        <w:tc>
          <w:tcPr>
            <w:tcW w:w="8110" w:type="dxa"/>
            <w:vAlign w:val="bottom"/>
            <w:tcBorders>
              <w:bottom w:val="single" w:sz="8" w:color="CCEEFF"/>
            </w:tcBorders>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Appointment and Authority</w:t>
            </w:r>
          </w:p>
        </w:tc>
        <w:tc>
          <w:tcPr>
            <w:tcW w:w="79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48</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7.02</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Rights as a Lender</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48</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54</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7.03</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Exculpatory Provisions</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7.04</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Reliance by Agent</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49</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55</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7.05</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Indemnification</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55</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7.06</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Delegation of Duties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50</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7.07</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Resignation of Agent</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7.08</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Non-Reliance on Agent and Other Lenders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7.09</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No Other Duties, etc</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57</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7.10</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Certain Lender ERISA Matters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7.11</w:t>
            </w:r>
          </w:p>
        </w:tc>
        <w:tc>
          <w:tcPr>
            <w:tcW w:w="811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Recovery of Erroneous Payments</w:t>
            </w:r>
          </w:p>
        </w:tc>
        <w:tc>
          <w:tcPr>
            <w:tcW w:w="79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52</w:t>
            </w:r>
          </w:p>
        </w:tc>
        <w:tc>
          <w:tcPr>
            <w:tcW w:w="32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58</w:t>
            </w:r>
          </w:p>
        </w:tc>
      </w:tr>
      <w:tr>
        <w:trPr>
          <w:trHeight w:val="197"/>
        </w:trPr>
        <w:tc>
          <w:tcPr>
            <w:tcW w:w="6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10" w:type="dxa"/>
            <w:vAlign w:val="bottom"/>
            <w:tcBorders>
              <w:top w:val="single" w:sz="8" w:color="CCEEFF"/>
            </w:tcBorders>
            <w:gridSpan w:val="2"/>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5"/>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ARTICLE VIII</w:t>
            </w:r>
          </w:p>
        </w:tc>
        <w:tc>
          <w:tcPr>
            <w:tcW w:w="200" w:type="dxa"/>
            <w:vAlign w:val="bottom"/>
            <w:shd w:val="clear" w:color="auto" w:fill="CCEEFF"/>
          </w:tcPr>
          <w:p>
            <w:pPr>
              <w:spacing w:after="0"/>
              <w:rPr>
                <w:sz w:val="18"/>
                <w:szCs w:val="18"/>
                <w:color w:val="auto"/>
              </w:rPr>
            </w:pPr>
          </w:p>
        </w:tc>
        <w:tc>
          <w:tcPr>
            <w:tcW w:w="8810" w:type="dxa"/>
            <w:vAlign w:val="bottom"/>
            <w:gridSpan w:val="2"/>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MISCELLANEOUS</w:t>
            </w:r>
          </w:p>
        </w:tc>
        <w:tc>
          <w:tcPr>
            <w:tcW w:w="79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55</w:t>
            </w:r>
          </w:p>
        </w:tc>
        <w:tc>
          <w:tcPr>
            <w:tcW w:w="3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0000FF"/>
                <w:w w:val="88"/>
              </w:rPr>
              <w:t>61</w:t>
            </w:r>
          </w:p>
        </w:tc>
      </w:tr>
      <w:tr>
        <w:trPr>
          <w:trHeight w:val="197"/>
        </w:trPr>
        <w:tc>
          <w:tcPr>
            <w:tcW w:w="6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c>
          <w:tcPr>
            <w:tcW w:w="8110" w:type="dxa"/>
            <w:vAlign w:val="bottom"/>
            <w:tcBorders>
              <w:top w:val="single" w:sz="8" w:color="CCEEFF"/>
            </w:tcBorders>
          </w:tcPr>
          <w:p>
            <w:pPr>
              <w:spacing w:after="0"/>
              <w:rPr>
                <w:sz w:val="17"/>
                <w:szCs w:val="17"/>
                <w:color w:val="auto"/>
              </w:rPr>
            </w:pPr>
          </w:p>
        </w:tc>
        <w:tc>
          <w:tcPr>
            <w:tcW w:w="79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5"/>
        </w:trPr>
        <w:tc>
          <w:tcPr>
            <w:tcW w:w="6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SECTION 8.01</w:t>
            </w:r>
          </w:p>
        </w:tc>
        <w:tc>
          <w:tcPr>
            <w:tcW w:w="8110" w:type="dxa"/>
            <w:vAlign w:val="bottom"/>
            <w:tcBorders>
              <w:bottom w:val="single" w:sz="8" w:color="CCEEFF"/>
            </w:tcBorders>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Amendments, Etc</w:t>
            </w:r>
          </w:p>
        </w:tc>
        <w:tc>
          <w:tcPr>
            <w:tcW w:w="79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55</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8.02</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56</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61</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8.03</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No Waiver; Remedies</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63</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8.04</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Costs and Expenses; Indemnification</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57</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63</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8.05</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Right of Set-off</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8.06</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Binding Effect</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59</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8.07</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Assignments and Participations</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65</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8.08</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63</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69</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8.09</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Governing Law</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8.10</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Execution in Counterparts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70</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8.11</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Jurisdiction, Etc</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8.12</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Patriot Act Notice; Beneficial Ownership Regulation</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70</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8.13</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Interest Rate Limitation</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8.14</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No Fiduciary Duty; Other Relationships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65</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71</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8.15</w:t>
            </w:r>
          </w:p>
        </w:tc>
        <w:tc>
          <w:tcPr>
            <w:tcW w:w="8110" w:type="dxa"/>
            <w:vAlign w:val="bottom"/>
            <w:tcBorders>
              <w:bottom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79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56"/>
        </w:trPr>
        <w:tc>
          <w:tcPr>
            <w:tcW w:w="600" w:type="dxa"/>
            <w:vAlign w:val="bottom"/>
          </w:tcPr>
          <w:p>
            <w:pPr>
              <w:spacing w:after="0"/>
              <w:rPr>
                <w:sz w:val="13"/>
                <w:szCs w:val="13"/>
                <w:color w:val="auto"/>
              </w:rPr>
            </w:pPr>
          </w:p>
        </w:tc>
        <w:tc>
          <w:tcPr>
            <w:tcW w:w="142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8.16</w:t>
            </w:r>
          </w:p>
        </w:tc>
        <w:tc>
          <w:tcPr>
            <w:tcW w:w="811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Acknowledgement and Consent to Bail-In of Certain Affected Financial Institutions</w:t>
            </w:r>
          </w:p>
        </w:tc>
        <w:tc>
          <w:tcPr>
            <w:tcW w:w="79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65</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71</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8.17</w:t>
            </w:r>
          </w:p>
        </w:tc>
        <w:tc>
          <w:tcPr>
            <w:tcW w:w="811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b w:val="1"/>
                <w:bCs w:val="1"/>
                <w:color w:val="auto"/>
              </w:rPr>
              <w:t>WAIVER OF JURY TRIAL</w:t>
            </w:r>
          </w:p>
        </w:tc>
        <w:tc>
          <w:tcPr>
            <w:tcW w:w="79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66</w:t>
            </w:r>
          </w:p>
        </w:tc>
        <w:tc>
          <w:tcPr>
            <w:tcW w:w="32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0000FF"/>
                <w:w w:val="88"/>
              </w:rPr>
              <w:t>71</w:t>
            </w:r>
          </w:p>
        </w:tc>
      </w:tr>
      <w:tr>
        <w:trPr>
          <w:trHeight w:val="413"/>
        </w:trPr>
        <w:tc>
          <w:tcPr>
            <w:tcW w:w="11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1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Commitments</w:t>
            </w:r>
          </w:p>
        </w:tc>
        <w:tc>
          <w:tcPr>
            <w:tcW w:w="79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9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1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10" w:type="dxa"/>
            <w:vAlign w:val="bottom"/>
            <w:gridSpan w:val="2"/>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1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Note</w:t>
            </w:r>
          </w:p>
        </w:tc>
        <w:tc>
          <w:tcPr>
            <w:tcW w:w="79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01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Form of Notice of Borrowing</w:t>
            </w:r>
          </w:p>
        </w:tc>
        <w:tc>
          <w:tcPr>
            <w:tcW w:w="79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901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Form of Assignment and Assumption</w:t>
            </w:r>
          </w:p>
        </w:tc>
        <w:tc>
          <w:tcPr>
            <w:tcW w:w="79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901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Form of Tax Compliance Certificates</w:t>
            </w:r>
          </w:p>
        </w:tc>
        <w:tc>
          <w:tcPr>
            <w:tcW w:w="79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center"/>
        <w:ind w:left="4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Dated as of May 8,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AUTODESK,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hereto, and 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Lenders (as hereinafter defined), agree as follows:</w:t>
      </w:r>
    </w:p>
    <w:p>
      <w:pPr>
        <w:spacing w:after="0" w:line="20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u w:val="single" w:color="auto"/>
          <w:color w:val="0000FF"/>
        </w:rPr>
        <w:t>“Acquisition Indebtedness” means any Debt of the Borrower or any Subsidiary that has been incurred for the purpose of financing, in whole or in part, a Material Acquisition and any related transactions (including for the purpose of refinancing or replacing all or a portion of any related bridge facilities or any pre-existing Debt of the Persons or assets to be acquired); provided that either (x) the release of the proceeds thereof to the Borrower and the Subsidiaries is contingent upon the substantially simultaneous consummation of such Material Acquisition and, pending such release, such proceeds are held in escrow (and, if the definitive agreement for such Material Acquisition is terminated prior to the consummation of such Material Acquisition, or if such Material Acquisition is otherwise not consummated by the date specified in the definitive documentation evidencing, governing the rights of the holders of or otherwise relating to such Debt, then, in each case, such proceeds are, and pursuant to the terms of such definitive documentation are required to be, promptly applied to satisfy and discharge all obligations of the Borrower and the Subsidiaries in respect of such Debt) or (y) such Debt contains a “special mandatory redemption” provision (or a similar provision) if such Material Acquisition is not consummated by the date specified in the definitive documentation evidencing, governing the rights of the holders of or otherwise relating to such Debt (and, if the definitive agreement for such Material Acquisition is terminated prior to the consummation of such Material Acquisition or such Material Acquisition is otherwise not consummated by the date so specified, such Debt is, and pursuant to such “special mandatory redemption” (or similar) provision is required to be, redeemed or otherwise satisfied and discharged within 90 days of such termination or such specified date, as the case may be).</w:t>
      </w:r>
    </w:p>
    <w:p>
      <w:pPr>
        <w:spacing w:after="0" w:line="19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the purposes of any calculation, the rate per annum equal to Term SOFR for such calculation;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would be less than the Floor, such rate will be deemed to be the Floor for the purposes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Agent.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by a Lender to the Borrower as part of a Borrowing and refers to a Base Rate Advance or a SOFR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Advance).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Account</w:t>
      </w:r>
      <w:r>
        <w:rPr>
          <w:rFonts w:ascii="Times New Roman" w:cs="Times New Roman" w:eastAsia="Times New Roman" w:hAnsi="Times New Roman"/>
          <w:sz w:val="18"/>
          <w:szCs w:val="18"/>
          <w:color w:val="auto"/>
        </w:rPr>
        <w:t xml:space="preserve">” means the account of the Agent maintained by the Agent at Citibank at its office at One Penns Way, OPS 2/2, New Castle, Delaware 19720, Account No. </w:t>
      </w:r>
      <w:r>
        <w:rPr>
          <w:rFonts w:ascii="Times New Roman" w:cs="Times New Roman" w:eastAsia="Times New Roman" w:hAnsi="Times New Roman"/>
          <w:sz w:val="18"/>
          <w:szCs w:val="18"/>
          <w:color w:val="FF0000"/>
          <w:strike w:val="1"/>
        </w:rPr>
        <w:t>36852248</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Attention: Lending Agency.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1” means that certain Amendment No. 1 to Credit Agreement, dated as of June 15, 2026, among the Borrower, the lenders party thereto and Citibank, N.A., as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“Amendment No. 1 Effective Date” means June 15, 2026.</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money laundering or corruption.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any Lender, the office of such Lender specified as its “Lending Office” in its Administrative Questionnaire delivered to the Agent, or such other office of such Lender as such Lender may from time to time specify to the Borrower and the Agent.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Applicable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Margin for</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Margin for</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Debt Rating</w:t>
            </w: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SOFR</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Base Rate</w:t>
            </w:r>
          </w:p>
        </w:tc>
      </w:tr>
      <w:tr>
        <w:trPr>
          <w:trHeight w:val="24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S&amp;P/Moody’s/Fitch</w:t>
            </w: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Advances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Advances</w:t>
            </w:r>
          </w:p>
        </w:tc>
      </w:tr>
      <w:tr>
        <w:trPr>
          <w:trHeight w:val="175"/>
        </w:trPr>
        <w:tc>
          <w:tcPr>
            <w:tcW w:w="56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1</w:t>
            </w:r>
          </w:p>
        </w:tc>
        <w:tc>
          <w:tcPr>
            <w:tcW w:w="3260" w:type="dxa"/>
            <w:vAlign w:val="bottom"/>
            <w:tcBorders>
              <w:top w:val="single" w:sz="8" w:color="auto"/>
              <w:bottom w:val="single" w:sz="8" w:color="CCEEFF"/>
            </w:tcBorders>
            <w:shd w:val="clear" w:color="auto" w:fill="CCEEFF"/>
          </w:tcPr>
          <w:p>
            <w:pPr>
              <w:spacing w:after="0"/>
              <w:rPr>
                <w:sz w:val="15"/>
                <w:szCs w:val="15"/>
                <w:color w:val="auto"/>
              </w:rPr>
            </w:pPr>
          </w:p>
        </w:tc>
        <w:tc>
          <w:tcPr>
            <w:tcW w:w="46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37"/>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A1 / A+ or above</w:t>
            </w:r>
          </w:p>
        </w:tc>
        <w:tc>
          <w:tcPr>
            <w:tcW w:w="6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0.575%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2</w:t>
            </w:r>
          </w:p>
        </w:tc>
        <w:tc>
          <w:tcPr>
            <w:tcW w:w="32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 A2 / A</w:t>
            </w:r>
          </w:p>
        </w:tc>
        <w:tc>
          <w:tcPr>
            <w:tcW w:w="6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0.685%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3</w:t>
            </w:r>
          </w:p>
        </w:tc>
        <w:tc>
          <w:tcPr>
            <w:tcW w:w="3260" w:type="dxa"/>
            <w:vAlign w:val="bottom"/>
            <w:tcBorders>
              <w:bottom w:val="single" w:sz="8" w:color="CCEEFF"/>
            </w:tcBorders>
            <w:shd w:val="clear" w:color="auto" w:fill="CCEEFF"/>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7"/>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A3 / A-</w:t>
            </w:r>
          </w:p>
        </w:tc>
        <w:tc>
          <w:tcPr>
            <w:tcW w:w="6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4</w:t>
            </w:r>
          </w:p>
        </w:tc>
        <w:tc>
          <w:tcPr>
            <w:tcW w:w="32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6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0.900%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5</w:t>
            </w:r>
          </w:p>
        </w:tc>
        <w:tc>
          <w:tcPr>
            <w:tcW w:w="3260" w:type="dxa"/>
            <w:vAlign w:val="bottom"/>
            <w:tcBorders>
              <w:bottom w:val="single" w:sz="8" w:color="CCEEFF"/>
            </w:tcBorders>
            <w:shd w:val="clear" w:color="auto" w:fill="CCEEFF"/>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Baa2 / BBB or below</w:t>
            </w:r>
          </w:p>
        </w:tc>
        <w:tc>
          <w:tcPr>
            <w:tcW w:w="6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655"/>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right"/>
              <w:ind w:right="27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S&amp;P/Moody’s/Fitch</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r>
      <w:tr>
        <w:trPr>
          <w:trHeight w:val="175"/>
        </w:trPr>
        <w:tc>
          <w:tcPr>
            <w:tcW w:w="56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1</w:t>
            </w:r>
          </w:p>
        </w:tc>
        <w:tc>
          <w:tcPr>
            <w:tcW w:w="93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43"/>
        </w:trPr>
        <w:tc>
          <w:tcPr>
            <w:tcW w:w="9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A1 / A+ or above</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0.050%</w:t>
            </w:r>
          </w:p>
        </w:tc>
      </w:tr>
      <w:tr>
        <w:trPr>
          <w:trHeight w:val="176"/>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2</w:t>
            </w:r>
          </w:p>
        </w:tc>
        <w:tc>
          <w:tcPr>
            <w:tcW w:w="942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 A2 / 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0.065%</w:t>
            </w:r>
          </w:p>
        </w:tc>
      </w:tr>
      <w:tr>
        <w:trPr>
          <w:trHeight w:val="27"/>
        </w:trPr>
        <w:tc>
          <w:tcPr>
            <w:tcW w:w="56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76"/>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3</w:t>
            </w:r>
          </w:p>
        </w:tc>
        <w:tc>
          <w:tcPr>
            <w:tcW w:w="942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43"/>
        </w:trPr>
        <w:tc>
          <w:tcPr>
            <w:tcW w:w="9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A3 / A-</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0.075%</w:t>
            </w:r>
          </w:p>
        </w:tc>
      </w:tr>
      <w:tr>
        <w:trPr>
          <w:trHeight w:val="176"/>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4</w:t>
            </w:r>
          </w:p>
        </w:tc>
        <w:tc>
          <w:tcPr>
            <w:tcW w:w="942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0.100%</w:t>
            </w:r>
          </w:p>
        </w:tc>
      </w:tr>
      <w:tr>
        <w:trPr>
          <w:trHeight w:val="27"/>
        </w:trPr>
        <w:tc>
          <w:tcPr>
            <w:tcW w:w="56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5</w:t>
            </w:r>
          </w:p>
        </w:tc>
        <w:tc>
          <w:tcPr>
            <w:tcW w:w="942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7"/>
        </w:trPr>
        <w:tc>
          <w:tcPr>
            <w:tcW w:w="9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Baa2 / BBB or below</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0.125%</w:t>
            </w:r>
          </w:p>
        </w:tc>
      </w:tr>
      <w:tr>
        <w:trPr>
          <w:trHeight w:val="27"/>
        </w:trPr>
        <w:tc>
          <w:tcPr>
            <w:tcW w:w="560" w:type="dxa"/>
            <w:vAlign w:val="bottom"/>
            <w:shd w:val="clear" w:color="auto" w:fill="CCEEFF"/>
          </w:tcPr>
          <w:p>
            <w:pPr>
              <w:spacing w:after="0"/>
              <w:rPr>
                <w:sz w:val="2"/>
                <w:szCs w:val="2"/>
                <w:color w:val="auto"/>
              </w:rPr>
            </w:pPr>
          </w:p>
        </w:tc>
        <w:tc>
          <w:tcPr>
            <w:tcW w:w="9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Citibank, BofA Securities, Inc., BNP Paribas Securities Corp., Morgan Stanley Senior Funding, Inc. and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Bank National Association </w:t>
      </w:r>
      <w:r>
        <w:rPr>
          <w:rFonts w:ascii="Times New Roman" w:cs="Times New Roman" w:eastAsia="Times New Roman" w:hAnsi="Times New Roman"/>
          <w:sz w:val="18"/>
          <w:szCs w:val="18"/>
          <w:u w:val="single" w:color="auto"/>
          <w:color w:val="0000FF"/>
        </w:rPr>
        <w:t>and (ii) solely with respect to Amendment No. 1, the Matterhorn Arrangers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8.07(b)(iii)), and accepted by the Agent, in substantially the form of Exhibit C 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has the meaning specified in Section 2.17(c).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has the meaning specified in Section 2.17(c)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w:t>
      </w:r>
    </w:p>
    <w:p>
      <w:pPr>
        <w:spacing w:after="0" w:line="20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2.22(</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highest of:</w:t>
      </w:r>
    </w:p>
    <w:p>
      <w:pPr>
        <w:spacing w:after="0" w:line="162" w:lineRule="exact"/>
        <w:rPr>
          <w:sz w:val="20"/>
          <w:szCs w:val="20"/>
          <w:color w:val="auto"/>
        </w:rPr>
      </w:pPr>
    </w:p>
    <w:p>
      <w:pPr>
        <w:ind w:left="1544" w:hanging="248"/>
        <w:spacing w:after="0"/>
        <w:tabs>
          <w:tab w:leader="none" w:pos="1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announced publicly by Citibank in New York, New York, from time to time, as Citibank’s base rate;</w:t>
      </w:r>
    </w:p>
    <w:p>
      <w:pPr>
        <w:spacing w:after="0" w:line="22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½ of one percent per annum above the Federal Funds Rate; and</w:t>
      </w:r>
    </w:p>
    <w:p>
      <w:pPr>
        <w:spacing w:after="0" w:line="225" w:lineRule="exact"/>
        <w:rPr>
          <w:rFonts w:ascii="Times New Roman" w:cs="Times New Roman" w:eastAsia="Times New Roman" w:hAnsi="Times New Roman"/>
          <w:sz w:val="18"/>
          <w:szCs w:val="18"/>
          <w:color w:val="auto"/>
        </w:rPr>
      </w:pPr>
    </w:p>
    <w:p>
      <w:pPr>
        <w:ind w:left="1524" w:hanging="228"/>
        <w:spacing w:after="0"/>
        <w:tabs>
          <w:tab w:leader="none" w:pos="15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for a one-month tenor in effect on such day plus 1.00%;</w:t>
      </w:r>
    </w:p>
    <w:p>
      <w:pPr>
        <w:spacing w:after="0" w:line="225" w:lineRule="exact"/>
        <w:rPr>
          <w:sz w:val="20"/>
          <w:szCs w:val="20"/>
          <w:color w:val="auto"/>
        </w:rPr>
      </w:pPr>
    </w:p>
    <w:p>
      <w:pPr>
        <w:ind w:left="64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Base Rate as so determined would be less than 1.00%, such rate shall be deemed to be 1.00% for purposes of this Agreement.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that bears interest as provided in Section 2.06(a)(i).</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0000FF"/>
        </w:rPr>
        <w:t>or Daily Simple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w:t>
      </w:r>
      <w:r>
        <w:rPr>
          <w:rFonts w:ascii="Times New Roman" w:cs="Times New Roman" w:eastAsia="Times New Roman" w:hAnsi="Times New Roman"/>
          <w:sz w:val="18"/>
          <w:szCs w:val="18"/>
          <w:u w:val="single" w:color="auto"/>
          <w:color w:val="0000FF"/>
        </w:rPr>
        <w:t>, Daily Simple SOFR</w:t>
      </w:r>
      <w:r>
        <w:rPr>
          <w:rFonts w:ascii="Times New Roman" w:cs="Times New Roman" w:eastAsia="Times New Roman" w:hAnsi="Times New Roman"/>
          <w:sz w:val="18"/>
          <w:szCs w:val="18"/>
          <w:color w:val="auto"/>
        </w:rPr>
        <w:t xml:space="preserve"> or the then-current Benchmark, then “Benchmark” means the applicable Benchmark Replacement to the extent that such Benchmark Replacement has replaced such prior benchmark rate pursuant to Section 2.22(a).</w:t>
      </w:r>
    </w:p>
    <w:p>
      <w:pPr>
        <w:spacing w:after="0" w:line="18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w:t>
      </w:r>
      <w:r>
        <w:rPr>
          <w:rFonts w:ascii="Times New Roman" w:cs="Times New Roman" w:eastAsia="Times New Roman" w:hAnsi="Times New Roman"/>
          <w:sz w:val="18"/>
          <w:szCs w:val="18"/>
          <w:color w:val="FF0000"/>
          <w:strike w:val="1"/>
        </w:rPr>
        <w:t>first alternative set forth below that can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determined by the Agent for the applicable Benchmark Replacement Date:</w:t>
      </w:r>
    </w:p>
    <w:p>
      <w:pPr>
        <w:spacing w:after="0" w:line="162" w:lineRule="exact"/>
        <w:rPr>
          <w:sz w:val="20"/>
          <w:szCs w:val="20"/>
          <w:color w:val="auto"/>
        </w:rPr>
      </w:pPr>
    </w:p>
    <w:p>
      <w:pPr>
        <w:ind w:left="1544" w:hanging="248"/>
        <w:spacing w:after="0"/>
        <w:tabs>
          <w:tab w:leader="none" w:pos="1544" w:val="left"/>
        </w:tabs>
        <w:numPr>
          <w:ilvl w:val="1"/>
          <w:numId w:val="1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Daily Simple SOFR; and</w:t>
      </w:r>
    </w:p>
    <w:p>
      <w:pPr>
        <w:spacing w:after="0" w:line="225" w:lineRule="exact"/>
        <w:rPr>
          <w:rFonts w:ascii="Times New Roman" w:cs="Times New Roman" w:eastAsia="Times New Roman" w:hAnsi="Times New Roman"/>
          <w:sz w:val="18"/>
          <w:szCs w:val="18"/>
          <w:color w:val="FF0000"/>
          <w:strike w:val="1"/>
        </w:rPr>
      </w:pPr>
    </w:p>
    <w:p>
      <w:pPr>
        <w:ind w:left="1544" w:hanging="248"/>
        <w:spacing w:after="0"/>
        <w:tabs>
          <w:tab w:leader="none" w:pos="1544" w:val="left"/>
        </w:tabs>
        <w:numPr>
          <w:ilvl w:val="1"/>
          <w:numId w:val="1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sum of (a) the alternate benchmark rate that has been selected by the Agent and the Borrower giving due consideration to</w:t>
      </w:r>
    </w:p>
    <w:p>
      <w:pPr>
        <w:spacing w:after="0" w:line="27" w:lineRule="exact"/>
        <w:rPr>
          <w:rFonts w:ascii="Times New Roman" w:cs="Times New Roman" w:eastAsia="Times New Roman" w:hAnsi="Times New Roman"/>
          <w:sz w:val="18"/>
          <w:szCs w:val="18"/>
          <w:color w:val="FF0000"/>
          <w:strike w:val="1"/>
        </w:rPr>
      </w:pPr>
    </w:p>
    <w:p>
      <w:pPr>
        <w:jc w:val="both"/>
        <w:ind w:left="4" w:hanging="4"/>
        <w:spacing w:after="0" w:line="253"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5" w:lineRule="exact"/>
        <w:rPr>
          <w:sz w:val="20"/>
          <w:szCs w:val="20"/>
          <w:color w:val="auto"/>
        </w:rPr>
      </w:pPr>
    </w:p>
    <w:p>
      <w:pPr>
        <w:jc w:val="both"/>
        <w:ind w:right="20" w:firstLine="644"/>
        <w:spacing w:after="0" w:line="26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9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first date on which all Available Tenors of such Benchmark (or the published component used in the calculation thereof) have been determined and announced by the regulatory supervisor lor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44"/>
        <w:spacing w:after="0" w:line="261" w:lineRule="auto"/>
        <w:tabs>
          <w:tab w:leader="none" w:pos="8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9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ease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2.22 and (b) ending at the time that a Benchmark Replacement has replaced the then-current Benchmark for all purposes hereunder and under any Loan Document in accordance with Section 2.22.</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has the meaning specified in Section 8.08.</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made by the Lenders pursuant to Section 2.01.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of the year on which banks are not required or authorized by law to close in New York City.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 obligations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(a) the U.S. dollar amount set forth opposite such Lender’s name on </w:t>
      </w:r>
      <w:r>
        <w:rPr>
          <w:rFonts w:ascii="Times New Roman" w:cs="Times New Roman" w:eastAsia="Times New Roman" w:hAnsi="Times New Roman"/>
          <w:sz w:val="18"/>
          <w:szCs w:val="18"/>
          <w:color w:val="FF0000"/>
          <w:strike w:val="1"/>
        </w:rPr>
        <w:t>Schedule I hereto</w:t>
      </w:r>
      <w:r>
        <w:rPr>
          <w:rFonts w:ascii="Times New Roman" w:cs="Times New Roman" w:eastAsia="Times New Roman" w:hAnsi="Times New Roman"/>
          <w:sz w:val="18"/>
          <w:szCs w:val="18"/>
          <w:u w:val="single" w:color="auto"/>
          <w:color w:val="0000FF"/>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Amendment No. 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such Lender’s “</w:t>
      </w:r>
      <w:r>
        <w:rPr>
          <w:rFonts w:ascii="Times New Roman" w:cs="Times New Roman" w:eastAsia="Times New Roman" w:hAnsi="Times New Roman"/>
          <w:sz w:val="18"/>
          <w:szCs w:val="18"/>
          <w:u w:val="single" w:color="auto"/>
          <w:color w:val="0000FF"/>
        </w:rPr>
        <w:t>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 (b) if such Lender has become a Lender hereunder pursuant to an Assumption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 the amount set forth in such Assumption Agreement or (c) if such Lender has entered into an Assignment and Assumption, the amount set forth for such Lender in the Register maintained by the Agent pursuant to Section 8.07(</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d)(i</w:t>
      </w:r>
      <w:r>
        <w:rPr>
          <w:rFonts w:ascii="Times New Roman" w:cs="Times New Roman" w:eastAsia="Times New Roman" w:hAnsi="Times New Roman"/>
          <w:sz w:val="18"/>
          <w:szCs w:val="18"/>
          <w:color w:val="000000"/>
        </w:rPr>
        <w:t xml:space="preserve">), in each case as such amount may be reduced pursuant to Section 2.04, or increased pursuant to Section 2.17 or increased or decreased pursuant to an Assignment and Assumption. </w:t>
      </w:r>
      <w:r>
        <w:rPr>
          <w:rFonts w:ascii="Times New Roman" w:cs="Times New Roman" w:eastAsia="Times New Roman" w:hAnsi="Times New Roman"/>
          <w:sz w:val="18"/>
          <w:szCs w:val="18"/>
          <w:u w:val="single" w:color="auto"/>
          <w:color w:val="0000FF"/>
        </w:rPr>
        <w:t>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avoidance of doubt, each Lender’s Commitment shall include such Lender’s Matterhorn Certain Funds Commitment. As of the Amendment No. 1 Effective Date, the aggregate amount of the Commitments of all Lenders is equal to $2,000,000,000.</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has the meaning specified in Section 2.17(b).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Adjusted Term SOFR</w:t>
      </w:r>
      <w:r>
        <w:rPr>
          <w:rFonts w:ascii="Times New Roman" w:cs="Times New Roman" w:eastAsia="Times New Roman" w:hAnsi="Times New Roman"/>
          <w:sz w:val="18"/>
          <w:szCs w:val="18"/>
          <w:u w:val="single" w:color="auto"/>
          <w:color w:val="0000FF"/>
        </w:rPr>
        <w:t>, Daily Simple SOFR</w:t>
      </w:r>
      <w:r>
        <w:rPr>
          <w:rFonts w:ascii="Times New Roman" w:cs="Times New Roman" w:eastAsia="Times New Roman" w:hAnsi="Times New Roman"/>
          <w:sz w:val="18"/>
          <w:szCs w:val="18"/>
          <w:color w:val="auto"/>
        </w:rPr>
        <w:t xml:space="preserve"> or the use, administration, adoption or implementation of any Benchmark Replacement, any technical, administrative or operational changes (including changes to the definition of “Base Rate,”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in consultation with the Borrower, reasonably decides may be appropriate to reflect the adoption and implementation of any such rate or to permit the use and administration thereof by the Agent in a manner substantially consistent with market practice (or, if the Agent, in consultation with the Borrower, reasonably decides that adoption of any portion of such market practice is not administratively feasible or if the Agent, in consultation with the Borrower, reasonably determines that no market practice for the administration of any such rate exists, in such other manner of administration as the Agent, in consultation with the Borrower, decides is reasonably necessary in connection with the administration of this Agreement and the other Loan Documents).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Covenant Debt</w:t>
      </w:r>
      <w:r>
        <w:rPr>
          <w:rFonts w:ascii="Times New Roman" w:cs="Times New Roman" w:eastAsia="Times New Roman" w:hAnsi="Times New Roman"/>
          <w:sz w:val="18"/>
          <w:szCs w:val="18"/>
          <w:color w:val="auto"/>
        </w:rPr>
        <w:t>” means Debt of the types described in clauses (a), (c) and (e) of the definition thereof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provided that,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purposes of determining Consolidated Covenant Debt, at any time after the definitive agreement for any Material Acquisition shall have been executed, any Acquisition Indebtedness with respect to such Material Acquisition, unless such Material Acquisition shall have been consummated, shall be disregarded.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net income (or net loss) plus, to the extent deducted in determining such net income (or net loss), the sum (without duplication) of (a) interest expense, (b) income tax expense, (c) depreciation expense, (d) amortization expense, (e) any increases in deferred or unearned revenue or substantially equivalent items (net of any increases in deferred costs (which deferred costs, for avoidance of doubt, do not include deferred commissions, capitalized costs to acquire revenue contracts or substantially equivalent items)), (f) all unusual and non-recurring expenses, charges and losses, (g) in connection with any acquisition, all non-recurring restructuring costs, facilities relocation costs, acquisition integration costs and fees, including cash severance payments, and non-recurring fees and expenses, in each case paid during such period in connection with such acquisition and within twelve (12) months of the completion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added back to net income (or net loss) pursuant to this clause (g) in respect of any such costs, fees, payments and expenses paid in cash in connection with all such acquisitions shall not exceed 20% of Consolidated EBITDA (calculated before giving effect to this clause (g) in the aggregate for any period of four fiscal quarters of the Borrower) and (h) non-cash expenses, charges and losses including, without limitation, restructuring expenses, goodwill, fixed asset and other intangibles impairment, acquisition integration costs, facilities relocation costs and charges and expenses related to the issuance of options and other equity based compensation to directors, employees and consultants, and minus, to the extent included in determining such net income (or net loss), the sum of (x) unusual and non-recurring gains and (y) any decreases in deferred or unearned revenue or substantially equivalent items (net of any decreases in deferred costs (which deferred costs, for avoidance of doubt, do not include deferred commissions, capitalized costs to acquire revenue contracts or substantially equivalent items)); in each case determined on a Consolidated basis for the Borrower and its Subsidiaries in accordance with GAAP and calculated on a Pro Forma Basis in accordance with Section 1.03(b).</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as of any date of determination, for the Borrower and its Subsidiaries (determined in each case on a Consolidated basis):</w:t>
      </w:r>
    </w:p>
    <w:p>
      <w:pPr>
        <w:spacing w:after="0" w:line="162" w:lineRule="exact"/>
        <w:rPr>
          <w:sz w:val="20"/>
          <w:szCs w:val="20"/>
          <w:color w:val="auto"/>
        </w:rPr>
      </w:pPr>
    </w:p>
    <w:p>
      <w:pPr>
        <w:ind w:left="884" w:hanging="236"/>
        <w:spacing w:after="0"/>
        <w:tabs>
          <w:tab w:leader="none" w:pos="8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 of total assets of the Borrower and its Subsidiaries,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all property that should be classified as intangibles (without duplication of deductions in respect of items already deducted in arriving at total assets), including goodwill, minority interests, research and development costs, trademarks, trade names, copyrights, patents and franchises.</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2.07 or 2.08.</w:t>
      </w:r>
    </w:p>
    <w:p>
      <w:pPr>
        <w:spacing w:after="0" w:line="162"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the greater of (a) SOFR for the day (such day, a “</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w:t>
      </w:r>
    </w:p>
    <w:p>
      <w:pPr>
        <w:spacing w:after="0" w:line="3" w:lineRule="exact"/>
        <w:rPr>
          <w:sz w:val="20"/>
          <w:szCs w:val="20"/>
          <w:color w:val="auto"/>
        </w:rPr>
      </w:pPr>
    </w:p>
    <w:p>
      <w:pPr>
        <w:jc w:val="both"/>
        <w:ind w:left="4"/>
        <w:spacing w:after="0" w:line="238" w:lineRule="auto"/>
        <w:rPr>
          <w:sz w:val="20"/>
          <w:szCs w:val="20"/>
          <w:color w:val="auto"/>
        </w:rPr>
      </w:pPr>
      <w:r>
        <w:rPr>
          <w:rFonts w:ascii="Times New Roman" w:cs="Times New Roman" w:eastAsia="Times New Roman" w:hAnsi="Times New Roman"/>
          <w:sz w:val="18"/>
          <w:szCs w:val="18"/>
          <w:color w:val="auto"/>
        </w:rPr>
        <w:t>Administrator on the SOFR Administrator’s Website, and (b) the Floor. If by 5:00 p.m. (New York City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99"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(other than (i) accounts payable incurred in the ordinary course of such Person’s business or which are being contested in good faith, (ii) accrued liabilities (including deferred payments in respect of services by employees), and</w:t>
      </w:r>
    </w:p>
    <w:p>
      <w:pPr>
        <w:spacing w:after="0" w:line="1" w:lineRule="exact"/>
        <w:rPr>
          <w:sz w:val="20"/>
          <w:szCs w:val="20"/>
          <w:color w:val="auto"/>
        </w:rPr>
      </w:pPr>
    </w:p>
    <w:p>
      <w:pPr>
        <w:jc w:val="both"/>
        <w:ind w:left="4" w:hanging="4"/>
        <w:spacing w:after="0" w:line="250"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earn-outs and contractual indemnity obligations in connection with acquisitions),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contingent or otherwise, of such Person in respect of bankers acceptances, letters of credit or similar extensions of credit, (g) all net obligations of such Person in respect of Hedge Agreements (determined as of any date as the amount such Person would be required to pay to its counterparty in accordance with the terms thereof as if terminated on such date of determination, after giving effect to any netting arrangement relating to such Hedge Agreement), (h) all Debt of others referred to in clauses (a) through (g) above or clause (i) below (collectively, “</w:t>
      </w:r>
      <w:r>
        <w:rPr>
          <w:rFonts w:ascii="Times New Roman" w:cs="Times New Roman" w:eastAsia="Times New Roman" w:hAnsi="Times New Roman"/>
          <w:sz w:val="18"/>
          <w:szCs w:val="18"/>
          <w:u w:val="single" w:color="auto"/>
          <w:color w:val="auto"/>
        </w:rPr>
        <w:t>Guaranteed Debt</w:t>
      </w:r>
      <w:r>
        <w:rPr>
          <w:rFonts w:ascii="Times New Roman" w:cs="Times New Roman" w:eastAsia="Times New Roman" w:hAnsi="Times New Roman"/>
          <w:sz w:val="18"/>
          <w:szCs w:val="18"/>
          <w:color w:val="auto"/>
        </w:rPr>
        <w:t>”) guaranteed directly or indirectly in any manner by such Person, or in effect guaranteed directly or indirectly by such Person through an agreement</w:t>
      </w:r>
    </w:p>
    <w:p>
      <w:pPr>
        <w:spacing w:after="0" w:line="3" w:lineRule="exact"/>
        <w:rPr>
          <w:rFonts w:ascii="Times New Roman" w:cs="Times New Roman" w:eastAsia="Times New Roman" w:hAnsi="Times New Roman"/>
          <w:sz w:val="18"/>
          <w:szCs w:val="18"/>
          <w:color w:val="auto"/>
        </w:rPr>
      </w:pPr>
    </w:p>
    <w:p>
      <w:pPr>
        <w:jc w:val="both"/>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of others referred to in clauses (a) through (h) above (including Guaranteed Debt) secured by any Lien on property (including, without limitation, accounts and contract rights) owned by such Person, even though such Person has not assumed or become liable for the payment of such Debt.</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of Debt of any Person for purposes of clause (i) above shall (unless such Debt has been assumed by such Person) be deemed to be equal to the lesser of (i) the aggregate unpaid amount of such Debt and (ii) the fair market value of the property encumbered thereby as determined by such Person in good faith. The amount of any Guaranteed Debt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subject to Section 2.18(c), (i) any Lender that has failed for three or more Business Days to comply with its obligations under this Agreement to make an Advance or make any other payment due hereunder (each, a “</w:t>
      </w:r>
      <w:r>
        <w:rPr>
          <w:rFonts w:ascii="Times New Roman" w:cs="Times New Roman" w:eastAsia="Times New Roman" w:hAnsi="Times New Roman"/>
          <w:sz w:val="18"/>
          <w:szCs w:val="18"/>
          <w:u w:val="single" w:color="auto"/>
          <w:color w:val="auto"/>
        </w:rPr>
        <w:t>funding obligation</w:t>
      </w:r>
      <w:r>
        <w:rPr>
          <w:rFonts w:ascii="Times New Roman" w:cs="Times New Roman" w:eastAsia="Times New Roman" w:hAnsi="Times New Roman"/>
          <w:sz w:val="18"/>
          <w:szCs w:val="18"/>
          <w:color w:val="auto"/>
        </w:rPr>
        <w:t>”), unless such Lender has notified the Agent and the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(ii) any Lender that has notified the Agent or the Borrower in writing, or has stated publicly, that it does not intend to comply with its funding obligations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the Agent’s and the Borrower’s receipt of such written confirmation), or (v) any Lender with respect to which, or with respect to the Parent Company of which, a Lender Insolvency Event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be deemed to occur with respect to a Lender or its Parent Company solely as a result of the acquisition or maintenance of an ownership interest in such Lender or Parent Company by a governmental authority or instrumentality thereof where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2.18(c)) upon notification of such determination by the Agent to the Borrower and the Lenders.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(i) a Lender; (ii) an Affiliate of a Lender; (iii) an Approved Fund and (iv) any other Person approved by the Agent and, unless an Event of Default under Section 6.01(a) or Section 6.01(e) has occurred and is continuing at the time any assignment is effected in accordance with Section 8.07, the Borrower, such approval not to be unreasonably withheld or delayed; provided, however, that neither the Borrower nor an Affiliate of the Borrower shall qualify as an Eligible Assignee.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arising out of or relating to any Environmental Law, Environmental Permit or Hazardous Materials, including as arising from alleged injury or threat of injury to any Person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exposure to Hazardous Materials, worker safety or natural resources, including, without limitation, those relating to the use, handling, transportation, treatment, storage, disposal, release or discharge of Hazardous Materials.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for purposes of Title IV of ERISA is a member of the Borrower’s controlled group, or under common control or treated as a single employer with the Borrower, within the meaning of Section 414 of the Internal Revenue Code.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(i) the occurrence of a reportable event, within the meaning of Section 4043(a) of ERISA, with respect to any Plan unless the 30-day notice requirement with respect to such event has been waived by the PBGC, or (ii) the requirements of Section 4043(b) of ERISA are met with respect to the Borrower or an ERISA Affiliate that is a contributing sponsor, as defined in Section 4001(a)(13) of ERISA, of a Plan, and such event is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imposition of a lien under Section 303(k) of ERISA or Section 430(k) of the Internal Revenue Code shall have been met with respect to any Plan; (g) the adoption of an amendment to a Plan requiring the provision of security to such Plan pursuant to Section 206(g) of ERISA;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(i) the partial or complete withdrawal of the Borrower or any ERISA Affiliate from a Multiemployer Plan; or (j) the reorganization, insolvency or termination of a Multiemployer Plan within the meaning of Title IV of ERISA or a determination that a Multiemployer Plan is in “endangered” or “critical” status within the meaning of Section 432 of the Internal Revenue Code or Section 305 of ERISA.</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Amended and Restated Credit Agreement, dated as of September 30, 2021, among the Borrower, the lenders party thereto and Citibank, as administrative agent, as amended, restated, amended and restated, supplemented or otherwise modified from time to time.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specified in Section 2.03(a).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published intergovernmental agreement entered into in connection with the implementation of such Sections of the Internal Revenue Code and any fiscal or regulatory legislation, rules or practices adopted pursuant to such published intergovernmental agreements.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agreement dated April 16, 2025, addressed to the Borrower from the Agent and Citigroup Global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Inc. and any successor thereto.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per- and polyfluoroalkyl substances, polychlorinated biphenyls and radon gas and (b) any other chemicals, materials or substances designated, classified or regulated as hazardous or toxic or as a pollutant or contaminant or words of similar import under any Environmental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w:t>
      </w:r>
      <w:r>
        <w:rPr>
          <w:rFonts w:ascii="Times New Roman" w:cs="Times New Roman" w:eastAsia="Times New Roman" w:hAnsi="Times New Roman"/>
          <w:sz w:val="18"/>
          <w:szCs w:val="18"/>
          <w:color w:val="FF0000"/>
          <w:strike w:val="1"/>
        </w:rPr>
        <w:t>of the Borrower having assets with a book value of $200,000,000 or less</w:t>
      </w:r>
      <w:r>
        <w:rPr>
          <w:rFonts w:ascii="Times New Roman" w:cs="Times New Roman" w:eastAsia="Times New Roman" w:hAnsi="Times New Roman"/>
          <w:sz w:val="18"/>
          <w:szCs w:val="18"/>
          <w:u w:val="single" w:color="auto"/>
          <w:color w:val="0000FF"/>
        </w:rPr>
        <w:t>that is not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Significant Subsidiary</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specified in Section 2.17(b).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means the lenders listed on the signature pages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SOFR Advance comprising part of the same Borrowing, the period commencing on the date of such SOFR Advance or the date of the Conversion of any Base Rate Advance into such SOFR Advance and ending on the last day of the period selected by the Borrower pursuant to the provisions below and, thereafter, with respect to SOFR Advances, each subsequent period commencing on the last day of the immediately preceding Interest Period and ending on the last day of the period selected by the Borrower pursuant to the provisions below. The duration of each such Interest Period shall be one, three or six months or one week as the Borrower may, upon notice received by the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ind w:left="4880" w:right="2920" w:hanging="3588"/>
        <w:spacing w:after="0" w:line="783" w:lineRule="auto"/>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select any Interest Period that ends after the Termination Date;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-296545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ind w:left="644" w:firstLine="652"/>
        <w:spacing w:after="0" w:line="282" w:lineRule="auto"/>
        <w:tabs>
          <w:tab w:leader="none" w:pos="15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SOFR Advances comprising part of the same Borrowing shall be of the same duration;</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next preceding Business Day; and</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that (i) a Lender or its Parent Company is insolvent, or is generally unable to pay its debts as they become due, or admits in writing its inability to pay its debts as they become due, or makes a general assignment for the benefit of its creditors, or</w:t>
      </w:r>
    </w:p>
    <w:p>
      <w:pPr>
        <w:jc w:val="both"/>
        <w:ind w:left="4" w:hanging="4"/>
        <w:spacing w:after="0" w:line="253"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or its Parent Company is the subject of a Bail-In Action (as defined in Section 8.16) or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89"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Parties</w:t>
      </w:r>
      <w:r>
        <w:rPr>
          <w:rFonts w:ascii="Times New Roman" w:cs="Times New Roman" w:eastAsia="Times New Roman" w:hAnsi="Times New Roman"/>
          <w:sz w:val="18"/>
          <w:szCs w:val="18"/>
          <w:color w:val="auto"/>
        </w:rPr>
        <w:t>” means the Agent, each Lender, each of their Affiliates, and each of their respective directors, officers, employees, attorneys and agents.</w:t>
      </w:r>
    </w:p>
    <w:p>
      <w:pPr>
        <w:spacing w:after="0" w:line="16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Initial Lenders, each Assuming Lender that shall become a party hereto pursuant to Section 2.17 or Section 2.20 and each Person that shall become a party hereto pursuant to Section 8.07.</w:t>
      </w:r>
    </w:p>
    <w:p>
      <w:pPr>
        <w:spacing w:after="0" w:line="16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in the nature of a security interest or encumbrance of any kind, including, without limitation, the lien or retained security title of a conditional vendor and any easement, right of way or other encumbrance on title to real property.</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(a) this Agreement, (b) the Notes (if any) and (c) the Fee Letter.</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Market Association</w:t>
      </w:r>
      <w:r>
        <w:rPr>
          <w:rFonts w:ascii="Times New Roman" w:cs="Times New Roman" w:eastAsia="Times New Roman" w:hAnsi="Times New Roman"/>
          <w:sz w:val="18"/>
          <w:szCs w:val="18"/>
          <w:color w:val="auto"/>
        </w:rPr>
        <w:t>” means the London trade association, which is the self-described authoritative voice of the syndicated loan markets in Europe, the Middle East and Africa.</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acquisition with an aggregate consideration greater than or equal to $500,000,000.</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business, financial condition or operations of the Borrower and its Subsidiaries taken as a whole.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financial condition or operations of the Borrower and its Subsidiaries, taken as a whole, (b) the rights and remedies of the Agent or any Lender under this Agreement or any Note or (c) the ability of the Borrower to perform its payment obligations under this Agreement or any Note.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Acquisition” means the Borrower’s direct or indirect acquisition of all of the outstanding common stock of the Matterhorn Target in the manner contemplated by the Matterhorn Acquisition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“Matterhorn Acquisition Agreement” means that certain Agreement and Plan of Merger dated as of May 28, 2026, by and among the Borrower, Matterhorn Acquisition Corp, a Delaware corporation and a wholly owned Subsidiary of the Borrower and Shareholder Representative Services LLC, a Colorado limited liability company solely in its capacity as the agent for the securityholders of the Matterhorn Target, as may be amended, supplemented or otherwise modified in accordance with subclause (ii) of Section 3.05(a).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“Matterhorn Acquisition Agreement Representations” means such of the representations made by the Matterhorn Target in the Matterhorn Acquisition Agreement as are material to the interests of the Lenders, but only to the extent that the Borrower has (or a Subsidiary of the Borrower has) the right (taking into account any applicable cure provisions) to terminate its (and/or its Affiliates’) obligations, under the Matterhorn Acquisition Agreement as a result of the breach of such representations in the Matterhorn Acquisition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“Matterhorn Acquisition Closing Date” means the date of consummation of the Matterhorn Acquisition.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“Matterhorn Acquisition Termination Date” means the earliest to occur of (i) 11:59 p.m. on the date that is five Business Days after the End Date (as defined in the Matterhorn Acquisition Agreement as in effect on June 1, 2026), (ii) the date of any public announcement by the Borrower of its abandonment of the Matterhorn Acquisition, (iii) the valid termination in accordance with the terms of the Matterhorn Acquisition Agreement of the Borrower’s obligations under the Matterhorn Acquisition Agreement to consummate the Matterhorn Acquisition and (iv) the occurrence of the Matterhorn Acquisition Closing Date without drawing on the Matterhorn Certain Funds Commitments.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“Matterhorn Arrangers” means (i) the Matterhorn Initial Arrangers and (ii) BofA Securities, Inc., BNP Paribas Securities Corp.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Bank National Association.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Certain Funds Advance” means an Advance denominated in Dollars to the Borrower made or to be made during the Matterhorn Certain Funds Period where such Advance is to be made solely to the Borrower and to finance a Matterhorn Certain Funds Purpose.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“Matterhorn Certain Funds Commitment” means, with respect to a Lender, its Commitment hereunder to make a Matterhorn Certain Funds Advance hereunder in an amount as set forth opposite such Lender’s name on Exhibit B of Amendment No. 1 as such Lender’s “Matterhorn Certain Funds Commitment”.</w:t>
      </w:r>
    </w:p>
    <w:p>
      <w:pPr>
        <w:spacing w:after="0" w:line="176"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Certain Funds Period” means the period from and including the Amendment No. 1 Effective Date to the Matterhorn Acquisition Termination Date.</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Certain Funds Purpose” means (i) the payment of the consideration pursuant to the terms of the Matterhorn Acquisition Agreement and (ii) the payment of fees, costs and expenses related to the Matterhorn Transactions.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“Matterhorn Certain Funds Sublimit” means $1,000,000,000, which shall automatically be reduced to $0 on the Matterhorn Acquisition Closing Date (after giving effect to any Matterhorn Certain Funds Advance made on such date). The Matterhorn Certain Funds Sublimit is part of, and not in addition to, the Commitments, and shall automatically be reduced to $0 and expire at the end of the Matterhorn Certain Funds Period.</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“Matterhorn Initial Arrangers” means Morgan Stanley Senior Funding, Inc. and Citibank, N.A.</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Material Adverse Effect” means a “Material Adverse Effect” (as defined in the Matterhorn Acquisition Agreement as in effect on June 1, 2026).</w:t>
      </w:r>
    </w:p>
    <w:p>
      <w:pPr>
        <w:spacing w:after="0" w:line="16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“Matterhorn Specified Representations” means the representations and warranties of the Borrower (i) set forth in Sections 4.01(a), 4.01(b)(i) (limited to the execution, delivery and performance of this Agreement as in effect on the Matterhorn Acquisition Closing Date and incurrence of the Matterhorn Certain Funds Advance), 4.01(b)(ii) (limited to agreements in respect of Debt for borrowed money of the Borrower and its Subsidiaries in an aggregate principal amount outstanding or committed under any such agreement in excess of $200,000,000 (determined after giving effect to the Matterhorn Transactions)), 4.01(d) (limited to this Agreement as in effect on the Matterhorn Acquisition Closing Date), 4.01(g), 4.01(h) and the last sentence of Section 4.01(j) (limited to the Matterhorn Certain Funds Advance made on the Matterhorn Acquisition Closing Date) and (ii) that the Borrower is in compliance with the Patriot Act, except where failure to comply would not reasonably be expected to have a Material Adverse Effect.</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“Matterhorn Target” means MaintainX Inc. and its Subsidiaries.</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“Matterhorn Term Loan Credit Agreement” means that certain Term Loan Credit Agreement, dated as of June 15, 2026, among the Borrower, the lenders from time to time party thereto, and Citibank, N.A., as administrative agent.</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“Matterhorn Transactions” means (i) the Matterhorn Acquisition, (ii) the Borrower obtaining up to $1,000,000,000 of gross proceeds from the borrowing of senior unsecured term loans under the Matterhorn Term Loan Credit Agreement, (iii) the entering into Amendment No. 1,</w:t>
      </w:r>
    </w:p>
    <w:p>
      <w:pPr>
        <w:ind w:left="4" w:hanging="4"/>
        <w:spacing w:after="0" w:line="260" w:lineRule="auto"/>
        <w:tabs>
          <w:tab w:leader="none" w:pos="311"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Borrower’s making of the payments described in the definition of Matterhorn Certain Funds Purpose and (v) the transactions related to the foregoing.</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Single Employer Plan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specified in Section 2.20(</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payable to any Lender, delivered pursuant to a request made under Section 2.15 in substantially the form of Exhibit A hereto, evidencing the aggregate indebtedness of the Borrower to such Lender that may arise from the Advances made by such Lender.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shares of such Lender.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8.07(</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8.07(</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signed into law October 26, 2001.</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overdue for a period of more than 60 days or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 (c) pledges, deposits and other security to secure obligations under workers’ compensation laws or similar legislation or unemployment insurance or to secure public or statutory obligations; (d) easements, rights of way and other encumbrances on title to real property that do not materially adversely affect the use of such property for its present purposes; and (e) any Liens pursuant to any Loan Document.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 with respect to compliance with any test hereunder or calculation of any covenant (including calculations of Consolidated EBITDA and the Leverage Ratio) for an applicable period of measurement, that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or other transfer of all or substantially all Equity Interests in any Subsidiary of the Borrower or any division, product line, or facility used for operations of the Borrower or any of its Subsidiaries, shall be excluded, and (ii) in the case of any investment described in the definition of “Specified Transaction,” shall be included, (b) any repayment, prepayment, discharge, conversion or cancellation of Debt, and (c) any Debt incurred or assumed by the Borrower or any of its Subsidiaries in connection therewith and if such Debt has a floating or formula rate, shall have an implied rate of interest for the applicable period for purposes of this definition determined by utilizing the rate which is or would be in effect with respect to such Debt as at the relevant date of determination.</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rating that has been most recently announced by S&amp;P, Moody’s or Fitch, as the case may be, for any class of non-credit enhanced long-term senior unsecured debt issued by the Borrower or, if any such rating agency shall have issued more than one such rating, the lowest such rating issued by such rating agency. For purposes of the foregoing, (a) if only one of S&amp;P, Moody’s and Fitch shall have in effect a Public Debt Rating, the Applicable Margin and the Applicable Percentage shall be determined by reference to the available rating; (b) if none of S&amp;P, Moody’s or Fitch shall have in effect a Public Debt Rating, the Applicable Margin and the Applicable Percentage will be set in accordance with Level 5 under the definition of “</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as the case may be; (c)</w:t>
      </w:r>
    </w:p>
    <w:p>
      <w:pPr>
        <w:spacing w:after="0" w:line="5" w:lineRule="exact"/>
        <w:rPr>
          <w:sz w:val="20"/>
          <w:szCs w:val="20"/>
          <w:color w:val="auto"/>
        </w:rPr>
      </w:pPr>
    </w:p>
    <w:p>
      <w:pPr>
        <w:jc w:val="both"/>
        <w:ind w:left="4" w:hanging="4"/>
        <w:spacing w:after="0" w:line="251"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two of S&amp;P, Moody’s and Fitch shall have in effect a Public Debt Rating, and such ratings shall fall within different levels, the Applicable Margin and the Applicable Percentage shall be based upon the higher rating unless such ratings differ by two or more levels, in which case the applicable level will be deemed to be one level below the higher of such levels and (ii) if the Public Debt Ratings established by S&amp;P, Moody’s and Fitch shall fall within different levels, the Applicable Margin and the Applicable Percentage shall be based upon the ratings of two of the agencies falling within the same level, unless each agency’s ratings is at a separate level, in which case the applicable level will be deemed to be the middle level; (d) if any rating established by S&amp;P, Moody’s or Fitch shall be changed, such change shall be effective as of the date on which such change is first announced publicly by the rating agency making such change; and (e) if S&amp;P, Moody’s or Fitch shall change the basis on which ratings are established, each reference to the Public Debt Rating announced by S&amp;P, Moody’s or Fitch, as the case may be, shall refer to the then equivalent rating by S&amp;P, Moody’s or Fitch, as the case may be.</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8.07(</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owed at least a majority in interest of the then aggregate unpaid principal amount of the Advances owing to Lenders, or, if no such principal amount is then outstanding, Lenders having at least a majority in interest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Required Lenders at such time the Commitments of such Lender at such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region, country or territory which is, or whose government is, the subject or target of any comprehensive Sanctions.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or by the United Nations Security Council, </w:t>
      </w:r>
      <w:r>
        <w:rPr>
          <w:rFonts w:ascii="Times New Roman" w:cs="Times New Roman" w:eastAsia="Times New Roman" w:hAnsi="Times New Roman"/>
          <w:sz w:val="18"/>
          <w:szCs w:val="18"/>
          <w:color w:val="FF0000"/>
          <w:strike w:val="1"/>
        </w:rPr>
        <w:t>His Majesty’s Treasury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United Kingdom, the European Union or any European Union member state, (b) any Person located, organized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w:t>
      </w:r>
      <w:r>
        <w:rPr>
          <w:rFonts w:ascii="Times New Roman" w:cs="Times New Roman" w:eastAsia="Times New Roman" w:hAnsi="Times New Roman"/>
          <w:sz w:val="18"/>
          <w:szCs w:val="18"/>
          <w:color w:val="FF0000"/>
          <w:strike w:val="1"/>
        </w:rPr>
        <w:t>His Majesty’s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Treasury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United Kingdom.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“Significant Subsidiary” means each Subsidiary that is a “significant subsidiary” of the Borrower, as the term “significant subsidiary” is defined in Regulation S-X promulgated by the Securities and Exchange Commission.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Advance</w:t>
      </w:r>
      <w:r>
        <w:rPr>
          <w:rFonts w:ascii="Times New Roman" w:cs="Times New Roman" w:eastAsia="Times New Roman" w:hAnsi="Times New Roman"/>
          <w:sz w:val="18"/>
          <w:szCs w:val="18"/>
          <w:color w:val="auto"/>
        </w:rPr>
        <w:t>” means an Advance that bears interest as provided in Section 2.06(a)(ii).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xml:space="preserve">” means any investment, acquisition, disposition, transfer, incurrence or repayment of Debt, dividend, distribution, repurchase, redemption, exchange or other transaction that by the terms of this Agreement is required to be calculated on a “Pro Forma Basis” or after giving “Pro Forma Effect”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Borrower’s sole election, any such Specified Transaction having an aggregate value of less than $100,000,000 shall not be calculated on a “Pro Forma Basis” or after giving “Pro Forma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4"/>
        <w:spacing w:after="0" w:line="254"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Advance,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both"/>
        <w:ind w:firstLine="644"/>
        <w:spacing w:after="0" w:line="254" w:lineRule="auto"/>
        <w:tabs>
          <w:tab w:leader="none" w:pos="9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Advance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the earlier of (a) May 8, 2030, subject to the extension thereof pursuant to Section 2.20 and (b) the date of termination in whole of the aggregate Commitments pursuant to Section 2.04 or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Termination Date of any Lender that is a Non-Extending Lender to any requested extension pursuant to Section 2.20 shall be the Termination Date in effect immediately prior to the applicable extension date for all purposes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accounting terms not specifically defined herein shall be construed in accordance with United States of America generally accepted accounting principles as in effect in the United States of America from time to time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if the Borrower notifies the Agent that the Borrower requests an amendment to any provision hereof to eliminate the effect of any change occurring after the Effective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this Agreement to the contrary, the accounting for any lease (and whether the obligations thereunder constitute “Debt”) for the purposes of all financial definitions, calculations and covenants under this Agreement (other than for purposes of the delivery of financial statements prepared in accordance with GAAP) shall be based on GAAP as in effect prior to the adoption of Accounting Standards Codification 842 (or any similar accounting principle) such that “Debt” and “finance leases” shall specifically exclude liabilities that were considered operating lease liabilities under GAAP prior to such adoption (regardless of whether such leases or other agreements were then in effect) and without giving effect to any subsequent changes in GAAP (or the required implementation of any previously promulgated changes in GAAP) relating to the treatment of a lease as an operating lease or capitalized lease.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calculating compliance with any test contained in this agreement or determining Consolidated EBITDA or the Leverage Ratio, any Specified Transactions that have occurred during the applicable measurement period, or (except in connection with determining actual compliance (as opposed to compliance on a Pro Forma Basis) with the Leverage Ratio set forth in Section 5.03) subsequent to such measurement period and on or prior to or simultaneously with the date of determination, shall be calculated on a Pro Forma Basis assuming that all such Specified Transactions (and the change in Consolidated EBITDA resulting therefrom) had occurred on the first day of such period. If since the beginning of such period any Person (that subsequently became a Subsidiary or was merged with or into the Borrower or any Subsidiary since the beginning of such period) shall have made any Specified Transaction that would have required adjustment pursuant to this definition, then Consolidated EBITDA and the Leverage Ratio shall each be calculated giving Pro Forma Effect thereto for such period as if such Specified Transaction had occurred at the beginning of such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jc w:val="both"/>
        <w:ind w:firstLine="1304"/>
        <w:spacing w:after="0" w:line="258" w:lineRule="auto"/>
        <w:tabs>
          <w:tab w:leader="none" w:pos="15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The Agent does not warrant or accept responsibility for, and shall not have any liability with respect to (a) the continuation of, administration of, submission of, calculation of or any other matter related to the Base Rate, the Term SOFR Reference Rate, Adjusted Term SOFR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Term SOFR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Daily Simple SOFR</w:t>
      </w:r>
      <w:r>
        <w:rPr>
          <w:rFonts w:ascii="Times New Roman" w:cs="Times New Roman" w:eastAsia="Times New Roman" w:hAnsi="Times New Roman"/>
          <w:sz w:val="18"/>
          <w:szCs w:val="18"/>
          <w:color w:val="auto"/>
        </w:rPr>
        <w:t xml:space="preserv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w:t>
      </w:r>
      <w:r>
        <w:rPr>
          <w:rFonts w:ascii="Times New Roman" w:cs="Times New Roman" w:eastAsia="Times New Roman" w:hAnsi="Times New Roman"/>
          <w:sz w:val="18"/>
          <w:szCs w:val="18"/>
          <w:u w:val="single" w:color="auto"/>
          <w:color w:val="0000FF"/>
        </w:rPr>
        <w:t>, Daily Simple SOFR</w:t>
      </w:r>
      <w:r>
        <w:rPr>
          <w:rFonts w:ascii="Times New Roman" w:cs="Times New Roman" w:eastAsia="Times New Roman" w:hAnsi="Times New Roman"/>
          <w:sz w:val="18"/>
          <w:szCs w:val="18"/>
          <w:color w:val="auto"/>
        </w:rPr>
        <w:t xml:space="preserve">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Adjusted Term SOFR, Term SOFR, </w:t>
      </w:r>
      <w:r>
        <w:rPr>
          <w:rFonts w:ascii="Times New Roman" w:cs="Times New Roman" w:eastAsia="Times New Roman" w:hAnsi="Times New Roman"/>
          <w:sz w:val="18"/>
          <w:szCs w:val="18"/>
          <w:u w:val="single" w:color="auto"/>
          <w:color w:val="0000FF"/>
        </w:rPr>
        <w:t>Daily Simple SOFR,</w:t>
      </w:r>
      <w:r>
        <w:rPr>
          <w:rFonts w:ascii="Times New Roman" w:cs="Times New Roman" w:eastAsia="Times New Roman" w:hAnsi="Times New Roman"/>
          <w:sz w:val="18"/>
          <w:szCs w:val="18"/>
          <w:color w:val="auto"/>
        </w:rPr>
        <w:t xml:space="preserve"> any alternative, successor or replacement rate (including any Benchmark Replacement) or any relevant adjustments thereto, in each case, in a manner adverse to the Borrower. The Agent may select information sources or services in its reasonable discretion to ascertain the Base Rate, the Term SOFR Reference Rate, Adjusted Term SOFR, Term SOFR</w:t>
      </w:r>
      <w:r>
        <w:rPr>
          <w:rFonts w:ascii="Times New Roman" w:cs="Times New Roman" w:eastAsia="Times New Roman" w:hAnsi="Times New Roman"/>
          <w:sz w:val="18"/>
          <w:szCs w:val="18"/>
          <w:u w:val="single" w:color="auto"/>
          <w:color w:val="0000FF"/>
        </w:rPr>
        <w:t>, Daily Simple SOFR</w:t>
      </w:r>
      <w:r>
        <w:rPr>
          <w:rFonts w:ascii="Times New Roman" w:cs="Times New Roman" w:eastAsia="Times New Roman" w:hAnsi="Times New Roman"/>
          <w:sz w:val="18"/>
          <w:szCs w:val="18"/>
          <w:color w:val="auto"/>
        </w:rPr>
        <w:t xml:space="preserv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Each Lender severally agrees, on the terms and conditions hereinafter set forth, to make Advances to the Borrower in U.S. dollars from time to time on any Business Day during the period from the Effective Date until the Termination Date applicable to such Lender in an aggregate principal amount not to exceed at any time outstanding such Lender’s Commitment</w:t>
      </w:r>
      <w:r>
        <w:rPr>
          <w:rFonts w:ascii="Times New Roman" w:cs="Times New Roman" w:eastAsia="Times New Roman" w:hAnsi="Times New Roman"/>
          <w:sz w:val="18"/>
          <w:szCs w:val="18"/>
          <w:u w:val="single" w:color="auto"/>
          <w:color w:val="0000FF"/>
        </w:rPr>
        <w:t>; provided that in the case of a Matterhorn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Certain Funds Advance, (x) the Matterhorn Certain Funds Advance shall not exceed the Matterhorn Certain Funds Sublimit and (y) each Lender’s share of the Matterhorn Certain Funds Advance shall not exceed such Lender’s Matterhorn Certain Funds Commitment</w:t>
      </w:r>
      <w:r>
        <w:rPr>
          <w:rFonts w:ascii="Times New Roman" w:cs="Times New Roman" w:eastAsia="Times New Roman" w:hAnsi="Times New Roman"/>
          <w:sz w:val="18"/>
          <w:szCs w:val="18"/>
          <w:color w:val="000000"/>
        </w:rPr>
        <w:t>. Each Borrowing shall be in an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amount of $10,000,000 or an integral multiple of $1,000,000 in excess thereof and shall consist of Advances of the same Type made on the same day by the Lenders ratably according to their respective Commitments. Within the limits of each Lender’s Commitment, the Borrower may borrow under this Section 2.01, prepay pursuant to Section 2.09 and reborrow under this Section 2.01.</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 (a) Each Borrowing shall be made on notice, given not later than (x) 1:00 p.m. (New York City time) on the third U.S. Government Securities Business Day prior to the date of the proposed Borrowing in the case of a Borrowing consisting of SOFR Advances or (y) 1:00 p.m. (New York City time) on the day of the proposed Borrowing in the case of a Borrowing consisting of Base Rate Advances, by the Borrower to the Agent, which shall give to each Lender prompt notice thereof by telecopier or e-mail. Each such notice of a Borrowing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shall be in writing, sent via telecopier or e-mail in substantially the form of Exhibit B hereto, specifying therein the requested (i) date of such Borrowing, (1) Type of Advances comprising such Borrowing, (2) aggregate amount of such Borrowing,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(3) in the case of a Borrowing consisting of SOFR Advances, </w:t>
      </w:r>
      <w:r>
        <w:rPr>
          <w:rFonts w:ascii="Times New Roman" w:cs="Times New Roman" w:eastAsia="Times New Roman" w:hAnsi="Times New Roman"/>
          <w:sz w:val="18"/>
          <w:szCs w:val="18"/>
          <w:u w:val="single" w:color="auto"/>
          <w:color w:val="0000FF"/>
        </w:rPr>
        <w:t>(x) whether the interest rate with respect to such Advance shall be determined based on Adjusted Term SOFR or Daily Simple SOFR and</w:t>
      </w:r>
    </w:p>
    <w:p>
      <w:pPr>
        <w:spacing w:after="0" w:line="3" w:lineRule="exact"/>
        <w:rPr>
          <w:sz w:val="20"/>
          <w:szCs w:val="20"/>
          <w:color w:val="auto"/>
        </w:rPr>
      </w:pPr>
    </w:p>
    <w:p>
      <w:pPr>
        <w:jc w:val="both"/>
        <w:ind w:firstLine="8"/>
        <w:spacing w:after="0" w:line="252" w:lineRule="auto"/>
        <w:tabs>
          <w:tab w:leader="none" w:pos="263"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Adjusted Term SOFR,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initial Interest Period for each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Advance and (4) whether such Advance constitutes a Matterhorn Certain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Funds Advance; provided that if the Borrower requests an Advance to be made on the Matterhorn Acquisition Closing Date but fails to specify whether it is a Matterhorn Certain Funds Advance, such Advance will be deemed to be a Matterhorn Certain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Advance. Each Lender shall, before 3:00 P.M. (New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York City time) on the date of such Borrowing make available for the account of its Applicable Lending Office to the Agent at the Agent’s Account, in same day funds, such Lender’s ratable portion of such Borrowing. After the Agent’s receipt of such funds and upon fulfillment of the applicable conditions set forth in Article III, the Agent will make such funds available to the Borrower either by (i) crediting the account of the Borrower at the Agent’s address referred to in Section 8.02 or (ii) wire transfer of such funds, in each case as designated by the Borrower.</w:t>
      </w:r>
    </w:p>
    <w:p>
      <w:pPr>
        <w:spacing w:after="0" w:line="188" w:lineRule="exact"/>
        <w:rPr>
          <w:rFonts w:ascii="Times New Roman" w:cs="Times New Roman" w:eastAsia="Times New Roman" w:hAnsi="Times New Roman"/>
          <w:sz w:val="18"/>
          <w:szCs w:val="18"/>
          <w:u w:val="single" w:color="auto"/>
          <w:color w:val="0000FF"/>
        </w:rPr>
      </w:pPr>
    </w:p>
    <w:p>
      <w:pPr>
        <w:jc w:val="both"/>
        <w:ind w:firstLine="1394"/>
        <w:spacing w:after="0" w:line="266" w:lineRule="auto"/>
        <w:tabs>
          <w:tab w:leader="none" w:pos="16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subsection (a) above to the contrary notwithstanding, (i) the Borrower may not select SOFR Advances for any Borrowing if the aggregate amount of such Borrowing is less than $10,000,000 or if the obligation of the Lenders to make SOFR Advances shall then be suspended pursuant to Section 2.07 or 2.11 and (ii) the SOFR Advances may not be outstanding as part of more than ten separate Borrowings.</w:t>
      </w:r>
    </w:p>
    <w:p>
      <w:pPr>
        <w:spacing w:after="0" w:line="175" w:lineRule="exact"/>
        <w:rPr>
          <w:rFonts w:ascii="Times New Roman" w:cs="Times New Roman" w:eastAsia="Times New Roman" w:hAnsi="Times New Roman"/>
          <w:sz w:val="18"/>
          <w:szCs w:val="18"/>
          <w:color w:val="auto"/>
        </w:rPr>
      </w:pPr>
    </w:p>
    <w:p>
      <w:pPr>
        <w:jc w:val="both"/>
        <w:ind w:firstLine="1405"/>
        <w:spacing w:after="0" w:line="256" w:lineRule="auto"/>
        <w:tabs>
          <w:tab w:leader="none" w:pos="16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irrevocable and binding on the Borrower. In the case of any Borrowing that the related Notice of Borrowing specifies is to be comprised of SOFR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405"/>
        <w:spacing w:after="0" w:line="254" w:lineRule="auto"/>
        <w:tabs>
          <w:tab w:leader="none" w:pos="16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Advances comprising such Borrowing and (ii) in the case of such Lender, the Federal Funds Rate. If such Lender shall repay to the Agent such corresponding amount, such amount so repaid shall constitute such Lender’s Advance as part of such Borrowing for purposes of this Agreement and the Borrower shall not also be required to repay such amount to the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The Borrower agrees to pay to the Agent for the account of each Lender a facility fee (the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on the aggregate amount of such Lender’s Commitment (whether used or unused) from the Effective Date in the case of each Initial Lender and from the effective date specified in the Assumption Agreement or in the Assignment and Assumption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June 30, 2025, and on the Termination Date applicable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Defaulting Lender shall be entitled to receive any Facility Fee except in respect of its outstanding Advances for any period during which that Lender is a Defaulting Lender (and the Borrower shall not be required to pay such Facility Fee that otherwise would have been required to have been paid to that Defaulting Lender).</w:t>
      </w:r>
    </w:p>
    <w:p>
      <w:pPr>
        <w:spacing w:after="0" w:line="192" w:lineRule="exact"/>
        <w:rPr>
          <w:sz w:val="20"/>
          <w:szCs w:val="20"/>
          <w:color w:val="auto"/>
        </w:rPr>
      </w:pPr>
    </w:p>
    <w:p>
      <w:pPr>
        <w:ind w:firstLine="1304"/>
        <w:spacing w:after="0" w:line="282"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Borrower shall pay to the Agent for its own account such fees as may from time to time be agreed between the Borrower and the Agent.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Optional Termination or Reduction of the Commitments</w:t>
      </w:r>
      <w:r>
        <w:rPr>
          <w:rFonts w:ascii="Times New Roman" w:cs="Times New Roman" w:eastAsia="Times New Roman" w:hAnsi="Times New Roman"/>
          <w:sz w:val="18"/>
          <w:szCs w:val="18"/>
          <w:color w:val="auto"/>
        </w:rPr>
        <w:t xml:space="preserve">. The Borrower shall have the right, upon at least three Business Days’ notice to the Agent, to terminate in whole or permanently reduce ratably in part the unused portion of the respective Commitments of the Lenders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partial reduction shall be in the aggregate amount of $10,000,000 or an integral multiple of $1,000,000 in excess thereof. Any such notice may state that such notice is conditioned upon the occurrence of one or more events specified therein, in which case such notice may be revoked by the Borrower (by notice to the Agent on or prior to the specified date of termination or reduction) if such condition is not satisfied.</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The Borrower shall repay to the Agent for the ratable account of each Lender on the Termination Date applicable to such Lender the aggregate principal amount of the Advances then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Scheduled Interest</w:t>
      </w:r>
      <w:r>
        <w:rPr>
          <w:rFonts w:ascii="Times New Roman" w:cs="Times New Roman" w:eastAsia="Times New Roman" w:hAnsi="Times New Roman"/>
          <w:sz w:val="18"/>
          <w:szCs w:val="18"/>
          <w:color w:val="auto"/>
        </w:rPr>
        <w:t>. The Borrower shall pay interest on the unpaid principal amount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owing to each Lender from the date of such Advance until such principal amount shall be paid in full, at the following rates per annum:</w:t>
      </w:r>
    </w:p>
    <w:p>
      <w:pPr>
        <w:spacing w:after="0" w:line="207" w:lineRule="exact"/>
        <w:rPr>
          <w:sz w:val="20"/>
          <w:szCs w:val="20"/>
          <w:color w:val="auto"/>
        </w:rPr>
      </w:pPr>
    </w:p>
    <w:p>
      <w:pPr>
        <w:jc w:val="both"/>
        <w:ind w:left="1300" w:firstLine="652"/>
        <w:spacing w:after="0" w:line="261" w:lineRule="auto"/>
        <w:tabs>
          <w:tab w:leader="none" w:pos="21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xml:space="preserve">. During such periods as such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1300" w:firstLine="652"/>
        <w:spacing w:after="0" w:line="254" w:lineRule="auto"/>
        <w:tabs>
          <w:tab w:leader="none" w:pos="22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Advances</w:t>
      </w:r>
      <w:r>
        <w:rPr>
          <w:rFonts w:ascii="Times New Roman" w:cs="Times New Roman" w:eastAsia="Times New Roman" w:hAnsi="Times New Roman"/>
          <w:sz w:val="18"/>
          <w:szCs w:val="18"/>
          <w:color w:val="auto"/>
        </w:rPr>
        <w:t xml:space="preserve">. During such periods as such Advance is a SOFR Advance, </w:t>
      </w:r>
      <w:r>
        <w:rPr>
          <w:rFonts w:ascii="Times New Roman" w:cs="Times New Roman" w:eastAsia="Times New Roman" w:hAnsi="Times New Roman"/>
          <w:sz w:val="18"/>
          <w:szCs w:val="18"/>
          <w:u w:val="single" w:color="auto"/>
          <w:color w:val="0000FF"/>
        </w:rPr>
        <w:t>at the Borrower’s election, (1)</w:t>
      </w:r>
      <w:r>
        <w:rPr>
          <w:rFonts w:ascii="Times New Roman" w:cs="Times New Roman" w:eastAsia="Times New Roman" w:hAnsi="Times New Roman"/>
          <w:sz w:val="18"/>
          <w:szCs w:val="18"/>
          <w:color w:val="auto"/>
        </w:rPr>
        <w:t xml:space="preserve"> a rate per annum equal at all times during each Interest Period for such Advance to the sum of (x) Adjusted Term SOFR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SOFR Advance shall be Converted or paid in full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(2) a rate per annum equal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all times to the sum of (x) Daily Simple SOFR in effect from time to time plus (y) the Applicable Margin in effect from time to time, payable in arrears on each date that is on the numerically corresponding day in each calendar month that is one month after the Borrowing of such Advance and on the date such SOFR Advance shall be Converted or paid in full.</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under Section 6.01(a) or Section 6.01(e), the Agent may, and upon the request of the Required Lenders shall, require the Borrower to pay interest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on (i) the unpaid principal amount of each Advance owing to each Lender, payable in arrears on the dates referred to in clause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 or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(ii) above or, after acceleration, upon demand, at a rate per annum equal at all times to 2% per annum above the rate per annum required to be paid on such Advance pursuant to clause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 or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clause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(i)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acceleration of the Advances pursuant to Section 6.01, Default Interest shall accrue and be payable hereunder whether or not previously required by the Agent.</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Agent shall give prompt notice to the Borrower and the Lenders of the applicable interest rate determined by the Agent for purposes of Section 2.06(a)(i) or (ii).</w:t>
      </w:r>
    </w:p>
    <w:p>
      <w:pPr>
        <w:spacing w:after="0" w:line="162" w:lineRule="exact"/>
        <w:rPr>
          <w:sz w:val="20"/>
          <w:szCs w:val="20"/>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shall fail to provide notice of a Conversion or continuation pursuant to Section 2.08 for any SOFR Advance, then the Agent will forthwith so notify the Borrower and the Lenders and the Borrower will be deemed to have selected </w:t>
      </w:r>
      <w:r>
        <w:rPr>
          <w:rFonts w:ascii="Times New Roman" w:cs="Times New Roman" w:eastAsia="Times New Roman" w:hAnsi="Times New Roman"/>
          <w:sz w:val="18"/>
          <w:szCs w:val="18"/>
          <w:u w:val="single" w:color="auto"/>
          <w:color w:val="0000FF"/>
        </w:rPr>
        <w:t>(i) in the case of a SOFR Advance based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Interest Period of one month for such SOFR Advance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(ii) in the case of a SOFR Advance based on Daily Simple SOFR, an election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continue in Daily Simple SOFR</w:t>
      </w:r>
      <w:r>
        <w:rPr>
          <w:rFonts w:ascii="Times New Roman" w:cs="Times New Roman" w:eastAsia="Times New Roman" w:hAnsi="Times New Roman"/>
          <w:sz w:val="18"/>
          <w:szCs w:val="18"/>
          <w:color w:val="000000"/>
        </w:rPr>
        <w: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the aggregate unpaid principal amount of SOFR Advances comprising any Borrowing shall be reduced, by payment or prepayment or otherwise, to less than $1,000,000, such Advances shall automatically Convert into Base Rate Advances.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61" w:lineRule="auto"/>
        <w:tabs>
          <w:tab w:leader="none" w:pos="1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any Event of Default under Section 6.01(a), (i) each SOFR Advance will automatically </w:t>
      </w:r>
      <w:r>
        <w:rPr>
          <w:rFonts w:ascii="Times New Roman" w:cs="Times New Roman" w:eastAsia="Times New Roman" w:hAnsi="Times New Roman"/>
          <w:sz w:val="18"/>
          <w:szCs w:val="18"/>
          <w:u w:val="single" w:color="auto"/>
          <w:color w:val="0000FF"/>
        </w:rPr>
        <w:t>Convert into a Base Rate Advance (x) in the case of Term SOFR</w:t>
      </w:r>
      <w:r>
        <w:rPr>
          <w:rFonts w:ascii="Times New Roman" w:cs="Times New Roman" w:eastAsia="Times New Roman" w:hAnsi="Times New Roman"/>
          <w:sz w:val="18"/>
          <w:szCs w:val="18"/>
          <w:color w:val="auto"/>
        </w:rPr>
        <w:t xml:space="preserve">, on the last day of the then existing Interest Period </w:t>
      </w:r>
      <w:r>
        <w:rPr>
          <w:rFonts w:ascii="Times New Roman" w:cs="Times New Roman" w:eastAsia="Times New Roman" w:hAnsi="Times New Roman"/>
          <w:sz w:val="18"/>
          <w:szCs w:val="18"/>
          <w:color w:val="FF0000"/>
          <w:strike w:val="1"/>
        </w:rPr>
        <w:t>therefor, Convert into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Base Rate Advance</w:t>
      </w:r>
      <w:r>
        <w:rPr>
          <w:rFonts w:ascii="Times New Roman" w:cs="Times New Roman" w:eastAsia="Times New Roman" w:hAnsi="Times New Roman"/>
          <w:sz w:val="18"/>
          <w:szCs w:val="18"/>
          <w:u w:val="single" w:color="auto"/>
          <w:color w:val="0000FF"/>
        </w:rPr>
        <w:t>thereof, and (y) in the case of Daily Simple SOFR, immediately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(ii) the obligation of the Lenders to make, or to Convert Advances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into, SOFR Advances shall be suspended.</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2.22, if, on or prior to the first day of any Interest Period for any SOFR Advance;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determines (which determination shall be conclusive and binding absent manifest error) that “Adjusted Term SOFR” </w:t>
      </w:r>
      <w:r>
        <w:rPr>
          <w:rFonts w:ascii="Times New Roman" w:cs="Times New Roman" w:eastAsia="Times New Roman" w:hAnsi="Times New Roman"/>
          <w:sz w:val="18"/>
          <w:szCs w:val="18"/>
          <w:u w:val="single" w:color="auto"/>
          <w:color w:val="0000FF"/>
        </w:rPr>
        <w:t>or “Daily Simple SOFR”</w:t>
      </w:r>
      <w:r>
        <w:rPr>
          <w:rFonts w:ascii="Times New Roman" w:cs="Times New Roman" w:eastAsia="Times New Roman" w:hAnsi="Times New Roman"/>
          <w:sz w:val="18"/>
          <w:szCs w:val="18"/>
          <w:color w:val="auto"/>
        </w:rPr>
        <w:t xml:space="preserve">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Lenders notify the Agent that Adjusted Term SOFR for such Interest Period </w:t>
      </w:r>
      <w:r>
        <w:rPr>
          <w:rFonts w:ascii="Times New Roman" w:cs="Times New Roman" w:eastAsia="Times New Roman" w:hAnsi="Times New Roman"/>
          <w:sz w:val="18"/>
          <w:szCs w:val="18"/>
          <w:u w:val="single" w:color="auto"/>
          <w:color w:val="0000FF"/>
        </w:rPr>
        <w:t>or Daily Simple SOFR</w:t>
      </w:r>
      <w:r>
        <w:rPr>
          <w:rFonts w:ascii="Times New Roman" w:cs="Times New Roman" w:eastAsia="Times New Roman" w:hAnsi="Times New Roman"/>
          <w:sz w:val="18"/>
          <w:szCs w:val="18"/>
          <w:color w:val="auto"/>
        </w:rPr>
        <w:t xml:space="preserve"> for such Advances will not adequately and fairly reflect the cost to such Lenders of making, funding or maintaining their respective SOFR Advances for such Interest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each case, the Agent shall promptly so notify the Borrower and each Lender.</w:t>
      </w:r>
    </w:p>
    <w:p>
      <w:pPr>
        <w:spacing w:after="0" w:line="225" w:lineRule="exact"/>
        <w:rPr>
          <w:sz w:val="20"/>
          <w:szCs w:val="20"/>
          <w:color w:val="auto"/>
        </w:rPr>
      </w:pPr>
    </w:p>
    <w:p>
      <w:pPr>
        <w:jc w:val="both"/>
        <w:ind w:left="1300" w:firstLine="652"/>
        <w:spacing w:after="0" w:line="253" w:lineRule="auto"/>
        <w:tabs>
          <w:tab w:leader="none" w:pos="2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notice of the foregoing by the Agent to the Borrower, any obligation of the Lenders to make SOFR Advances, and any right of the Borrower to continue SOFR Advances or to convert Base Rate Advances to SOFR Advances, shall be suspended (to the extent of the affected SOFR Advances or affected Interest Periods) until the Agent (with respect to clause (b), at the instruction of the Required Lenders) revokes such notice. Upon receipt of such notice, (i) the Borrower may revoke any pending request for a borrowing of, conversion to or continuation of SOFR Advances (to the extent of the affected SOFR Advances or affected Interest Periods) or, failing that, the Borrower will be deemed to have converted any such request into a request for a Borrowing of or conversion to Base Rate Advances in the amount specified therein and (ii) any outstanding affected SOFR Advances will be deemed to have been converted into Base Rate Advances at the end of the applicable Interest Period. Upon any such conversion, the Borrower shall also pay accrued interest on the amount so converted. Subject to Section 2.22, if the Agent determines (which determination shall be conclusive and binding absent manifest error) that “Adjusted Term SOFR” </w:t>
      </w:r>
      <w:r>
        <w:rPr>
          <w:rFonts w:ascii="Times New Roman" w:cs="Times New Roman" w:eastAsia="Times New Roman" w:hAnsi="Times New Roman"/>
          <w:sz w:val="18"/>
          <w:szCs w:val="18"/>
          <w:u w:val="single" w:color="auto"/>
          <w:color w:val="0000FF"/>
        </w:rPr>
        <w:t>or “Daily Simple SOFR”</w:t>
      </w:r>
      <w:r>
        <w:rPr>
          <w:rFonts w:ascii="Times New Roman" w:cs="Times New Roman" w:eastAsia="Times New Roman" w:hAnsi="Times New Roman"/>
          <w:sz w:val="18"/>
          <w:szCs w:val="18"/>
          <w:color w:val="auto"/>
        </w:rPr>
        <w:t xml:space="preserve"> cannot be determined pursuant to the definition thereof on any given day, the interest rate on Base Rate Advances shall be determined by the Agent without reference to clause (c) of the definition of “Base Rate” until the Agent revokes such determination.</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Optional Conversion and Continuation of Advances</w:t>
      </w:r>
      <w:r>
        <w:rPr>
          <w:rFonts w:ascii="Times New Roman" w:cs="Times New Roman" w:eastAsia="Times New Roman" w:hAnsi="Times New Roman"/>
          <w:sz w:val="18"/>
          <w:szCs w:val="18"/>
          <w:color w:val="auto"/>
        </w:rPr>
        <w:t xml:space="preserve">. The Borrower may on any Business Day, upon notice given to the Agent not later than 12:00 noon (New York City time) on the third U.S. Government Securities Business Day prior to the date of the proposed Conversion or continuation and subject to the provisions of Sections 2.07 and 2.11, Convert all Advances of one Type comprising the same Borrowing into Advances of the other Type or continue all or any part of any SOFR Advance constituting the same Borrowing as a SOFR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Conversion of SOFR Advances into Base Rate Advances shall be made only on the last day of an Interest Period </w:t>
      </w:r>
      <w:r>
        <w:rPr>
          <w:rFonts w:ascii="Times New Roman" w:cs="Times New Roman" w:eastAsia="Times New Roman" w:hAnsi="Times New Roman"/>
          <w:sz w:val="18"/>
          <w:szCs w:val="18"/>
          <w:u w:val="single" w:color="auto"/>
          <w:color w:val="0000FF"/>
        </w:rPr>
        <w:t>or interest payment date, as applicable,</w:t>
      </w:r>
      <w:r>
        <w:rPr>
          <w:rFonts w:ascii="Times New Roman" w:cs="Times New Roman" w:eastAsia="Times New Roman" w:hAnsi="Times New Roman"/>
          <w:sz w:val="18"/>
          <w:szCs w:val="18"/>
          <w:color w:val="auto"/>
        </w:rPr>
        <w:t xml:space="preserve"> for such SOFR Advances, any Conversion of Base Rate Advances into SOFR Advances shall be in an amount not less than the minimum amount specified in Section 2.02(b)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and no Conversion of any Advances shall result in more separate Borrowings than permitted under Section 2.02(b)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Each such notice of a Conversion or continuation shall, within the restrictions specified above, specify (i) the date of such Conversion or continuation, (ii) the Advances to be Converted or continued, and (iii) if such Conversion or continuation is into SOFR Advances, the duration of the initial Interest Period for each such Advance. Each notice of Conversion shall be irrevocable and binding on the Borrower.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Prepayments of Advances</w:t>
      </w:r>
      <w:r>
        <w:rPr>
          <w:rFonts w:ascii="Times New Roman" w:cs="Times New Roman" w:eastAsia="Times New Roman" w:hAnsi="Times New Roman"/>
          <w:sz w:val="18"/>
          <w:szCs w:val="18"/>
          <w:color w:val="auto"/>
        </w:rPr>
        <w:t xml:space="preserve">. The Borrower may, at any time and from time to time without premium or penalty (but subject to Section 8.04(c)), upon notice at least two U.S. Government Securities Business Days’ prior to the date of such prepayment, in the case of SOFR Advances, and not later than 1:00 p.m. (New York City time) on the date of such prepayment, in the case of Base Rate Advances, to the Agent stating the proposed date and aggregate principal amount of the prepayment, and if such notice is given the Borrower shall, prepay the outstanding principal amount of the Advances comprising part of the same Borrowing in whole or ratably in part,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each partial prepayment shall be in an aggregate principal amount of $10,000,000 or an integral multiple of $1,000,000 in excess thereof and (y) in the event of any such prepayment of a SOFR Advance, the Borrower shall be obligated to reimburse the Lenders in respect thereof pursuant to Section 8.04(c). Notwithstanding the foregoing, any such notice may state that such notice is conditioned upon the occurrence of one or more events specified therein, in which case such notice may be revoked by the Borrower (by notice to the Agent on or prior to the specified date of termination or reduction) if such condition is not satisfied, provided that any revocation of a notice of prepayment shall not relieve the Borrower of its obligations in respect thereof, if any, under Section 8.04(c).</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due to either (i) the introduction of or any change in or in the interpretation of any law or regulation or (ii) the compliance with any guideline or request from any central bank or other governmental authority (whether or not having the force of law), in each case announced after the date hereof or the date a Lender becomes a party hereto pursuant to an Assumption Agreement or an Assignment and Assumption,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Lender assignee shall be entitled to compensation under this Section to the same extent that the Lender assigning such interest was entitled to claim as of the date of such assignment), there shall be any increase in the cost to any Lender of agreeing to make or making, funding or maintaining SOFR Advances (excluding for purposes of this Section 2.10 any such increased costs resulting from taxes, including Taxes or Other Taxes (as to which Section 2.13 shall govern)), then the Borrower shall from time to time, upon demand by such Lender (with a copy of such demand to the Agent), pay to the Agent for the account of such Lender additional amounts sufficient to compensate such Lender for such increased cost. A certificate setting forth in reasonable detail the reasons for and amount (including the calculation) of such increased cost, submitted to the Borrower and the Agent by such Lender, shall be conclusive and binding for all purposes,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 restrictions) to designate a different lending office if the making of such a designation would avoid the need for, or reduce the amount of, such increased cost and would not, in the reasonable judgment of such Lender, be otherwise disadvantageous to such Lender.</w:t>
      </w:r>
    </w:p>
    <w:p>
      <w:pPr>
        <w:spacing w:after="0" w:line="147" w:lineRule="exact"/>
        <w:rPr>
          <w:sz w:val="20"/>
          <w:szCs w:val="20"/>
          <w:color w:val="auto"/>
        </w:rPr>
      </w:pPr>
    </w:p>
    <w:p>
      <w:pPr>
        <w:jc w:val="both"/>
        <w:ind w:firstLine="1304"/>
        <w:spacing w:after="0" w:line="254" w:lineRule="auto"/>
        <w:tabs>
          <w:tab w:leader="none" w:pos="1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 governmental authority (whether or not having the force of law) announced after the date hereof or the date a Lender becomes a party hereto pursuant to an Assumption Agreement or an Assignment and Assumption,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Lender assignee shall be entitled to compensation under this Section to the same extent that the Lender assigning such interest was entitled to claim as of the date of such assignment), affects the amount of capital or liquidity required or expected to be maintained by such Lender or any corporation controlling such Lender and that the amount of such capital or liquidity is increased by or based upon the existence of such Lender’s commitment to lend hereunder,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8" w:name="page49"/>
    <w:bookmarkEnd w:id="48"/>
    <w:p>
      <w:pPr>
        <w:jc w:val="both"/>
        <w:ind w:firstLine="1304"/>
        <w:spacing w:after="0" w:line="258"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Section 2.10 shall apply to all requests, rules, guidelines or directives (x) issued in connection with the Dodd-Frank Wall Street Reform and Consumer Protection Act or (y) promulgated by the Bank for International Settlements, the Basel Committee on Banking Supervision (or any successor or similar authority) or the United States or foreign regulatory authorities, in each case pursuant to Basel III, regardless of the date enacted, adopted or issued. A certificate setting forth in reasonable detail the reasons for and such amounts (including a calculation thereof) submitted to the Borrower and the Agent by such Lender shall be conclusive and binding for all purposes, absent manifest error.</w:t>
      </w:r>
    </w:p>
    <w:p>
      <w:pPr>
        <w:spacing w:after="0" w:line="15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incurred more than 180 days prior to the date that such Lender notifies the Borrower of the circumstances giving rise to such increased costs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circumstance giving rise to such increased costs is retroactive, then the 180-day period referred to above shall be extended to include the period of retroactive effect thereof.</w:t>
      </w:r>
    </w:p>
    <w:p>
      <w:pPr>
        <w:spacing w:after="0" w:line="1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SOFR Advances or to fund or maintain SOFR Advances hereunder, (a) each SOFR Advance of such Lender will automatically, upon such demand, Convert into a Base Rate Advance and (b) the obligation of such Lender to make SOFR Advances or to Convert Advances into SOFR Advances shall be suspended until the Agent shall notify the Borrower and the Lenders that the circumstances causing such suspension no longer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 restrictions) to designate a different lending office if the making of such a designation would allow such Lender or its Applicable Lending Office to continue to perform its obligations to make SOFR Advances or to continue to fund or maintain SOFR Advances and would not, in the judgment of such Lender, be otherwise disadvantageous to such Lender.</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xml:space="preserve">. (a) The Borrower shall make each payment hereunder, irrespective of any right of counterclaim or set-off, not later than 1:00 p.m.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2.10, 2.13 or </w:t>
      </w:r>
      <w:r>
        <w:rPr>
          <w:rFonts w:ascii="Times New Roman" w:cs="Times New Roman" w:eastAsia="Times New Roman" w:hAnsi="Times New Roman"/>
          <w:sz w:val="18"/>
          <w:szCs w:val="18"/>
          <w:color w:val="FF0000"/>
          <w:strike w:val="1"/>
        </w:rPr>
        <w:t>8.04(c</w:t>
      </w:r>
      <w:r>
        <w:rPr>
          <w:rFonts w:ascii="Times New Roman" w:cs="Times New Roman" w:eastAsia="Times New Roman" w:hAnsi="Times New Roman"/>
          <w:sz w:val="18"/>
          <w:szCs w:val="18"/>
          <w:u w:val="single" w:color="auto"/>
          <w:color w:val="0000FF"/>
        </w:rPr>
        <w:t>8.04(c)</w:t>
      </w:r>
      <w:r>
        <w:rPr>
          <w:rFonts w:ascii="Times New Roman" w:cs="Times New Roman" w:eastAsia="Times New Roman" w:hAnsi="Times New Roman"/>
          <w:sz w:val="18"/>
          <w:szCs w:val="18"/>
          <w:color w:val="auto"/>
        </w:rPr>
        <w:t>)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2.17, and upon the Agent’s receipt of such Lender’s Assumption Agreement and recording of the information contained therein in the Register, from and after the applicable Increase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d)(i</w:t>
      </w:r>
      <w:r>
        <w:rPr>
          <w:rFonts w:ascii="Times New Roman" w:cs="Times New Roman" w:eastAsia="Times New Roman" w:hAnsi="Times New Roman"/>
          <w:sz w:val="18"/>
          <w:szCs w:val="18"/>
          <w:color w:val="auto"/>
        </w:rPr>
        <w:t>),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9" w:name="page50"/>
    <w:bookmarkEnd w:id="49"/>
    <w:p>
      <w:pPr>
        <w:jc w:val="both"/>
        <w:ind w:firstLine="1304"/>
        <w:spacing w:after="0" w:line="258" w:lineRule="auto"/>
        <w:tabs>
          <w:tab w:leader="none" w:pos="1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based on the Base Rate shall be made by the Agent on the basis of a year of 365 or 366 days, as the case may be, and all computations of interest based on Term </w:t>
      </w:r>
      <w:r>
        <w:rPr>
          <w:rFonts w:ascii="Times New Roman" w:cs="Times New Roman" w:eastAsia="Times New Roman" w:hAnsi="Times New Roman"/>
          <w:sz w:val="18"/>
          <w:szCs w:val="18"/>
          <w:u w:val="single" w:color="auto"/>
          <w:color w:val="0000FF"/>
        </w:rPr>
        <w:t>SOFR, Daily Simple</w:t>
      </w:r>
      <w:r>
        <w:rPr>
          <w:rFonts w:ascii="Times New Roman" w:cs="Times New Roman" w:eastAsia="Times New Roman" w:hAnsi="Times New Roman"/>
          <w:sz w:val="18"/>
          <w:szCs w:val="18"/>
          <w:color w:val="auto"/>
        </w:rPr>
        <w:t xml:space="preserve"> SOFR,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5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SOFR Advances to be made in the next following calendar month, such payment shall be made on the next preceding Business Day.</w:t>
      </w:r>
    </w:p>
    <w:p>
      <w:pPr>
        <w:spacing w:after="0" w:line="13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 (without prejudice to any claim such Lender may have against the Borrower for failure to make any payment in full when due).</w:t>
      </w:r>
    </w:p>
    <w:p>
      <w:pPr>
        <w:spacing w:after="0" w:line="14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 xml:space="preserve">SECTION 2.13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(a) Any and all payments by the Borrower to or for the account of any Lender or the Agent hereunder or under the Notes or any other documents to be delivered hereunder shall be made, in accordance with Section 2.12 or the applicable provisions of such other documents, free and clear of and without deduction for any and all present or future taxes, levies, imposts, deductions, charges or withholdings, and all liabilities with respect thereto, </w:t>
      </w:r>
      <w:r>
        <w:rPr>
          <w:rFonts w:ascii="Times New Roman" w:cs="Times New Roman" w:eastAsia="Times New Roman" w:hAnsi="Times New Roman"/>
          <w:sz w:val="17"/>
          <w:szCs w:val="17"/>
          <w:u w:val="single" w:color="auto"/>
          <w:color w:val="auto"/>
        </w:rPr>
        <w:t>excluding</w:t>
      </w:r>
      <w:r>
        <w:rPr>
          <w:rFonts w:ascii="Times New Roman" w:cs="Times New Roman" w:eastAsia="Times New Roman" w:hAnsi="Times New Roman"/>
          <w:sz w:val="17"/>
          <w:szCs w:val="17"/>
          <w:color w:val="auto"/>
        </w:rPr>
        <w:t>, in the case of each Lender and the Agent, (i) taxes imposed on its overall net income, franchise taxes imposed on it in lieu of net income taxes, branch profits taxes, in each case imposed on it by the jurisdiction under the laws of which such Lender or the Agent (as the case may be) is organized or in which its principal office is located (or, in the case of each Lender, in which its Applicable Lending Office is located) or any political subdivision thereof or by any jurisdiction or political subdivision thereof with which such Lender or Agent has a present or former connection (other than any connection arising solely from having executed, delivered, performed its obligations or received payment under, or enforced this Agreement), (ii) U.S. federal withholding taxes imposed on amounts payable to or for the account of such Lender with respect to an applicable interest in a Note or Commitment pursuant to a law in effect on the date on which (A) such Lender acquires such interest in the Note or Commitment or (a) such Lender changes its lending office, except in each case to the extent that, pursuant to Section 2.13, amounts with respect to such taxes were payable either to such Lender’s assignor immediately before such Lender became a party hereto or to such Lender immediately before it changed its lending office, (5) taxes attributable to such Lender’s or Agent’s failure to comply with Section 2.13(e)</w:t>
      </w:r>
      <w:r>
        <w:rPr>
          <w:rFonts w:ascii="Times New Roman" w:cs="Times New Roman" w:eastAsia="Times New Roman" w:hAnsi="Times New Roman"/>
          <w:sz w:val="17"/>
          <w:szCs w:val="17"/>
          <w:u w:val="single" w:color="auto"/>
          <w:color w:val="0000FF"/>
        </w:rPr>
        <w:t>(i)</w:t>
      </w:r>
      <w:r>
        <w:rPr>
          <w:rFonts w:ascii="Times New Roman" w:cs="Times New Roman" w:eastAsia="Times New Roman" w:hAnsi="Times New Roman"/>
          <w:sz w:val="17"/>
          <w:szCs w:val="17"/>
          <w:color w:val="auto"/>
        </w:rPr>
        <w:t>, and (6) any taxes imposed pursuant to FATCA (all such non-excluded taxes, levies, imposts, deductions, charges, withholdings and liabilities in respect of payments hereunder or under the Notes being hereinafter referred to as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If the Borrower </w:t>
      </w:r>
      <w:r>
        <w:rPr>
          <w:rFonts w:ascii="Times New Roman" w:cs="Times New Roman" w:eastAsia="Times New Roman" w:hAnsi="Times New Roman"/>
          <w:sz w:val="17"/>
          <w:szCs w:val="17"/>
          <w:u w:val="single" w:color="auto"/>
          <w:color w:val="0000FF"/>
        </w:rPr>
        <w:t>or the Agent, as applicable,</w:t>
      </w:r>
      <w:r>
        <w:rPr>
          <w:rFonts w:ascii="Times New Roman" w:cs="Times New Roman" w:eastAsia="Times New Roman" w:hAnsi="Times New Roman"/>
          <w:sz w:val="17"/>
          <w:szCs w:val="17"/>
          <w:color w:val="auto"/>
        </w:rPr>
        <w:t xml:space="preserve"> shall be required by law to deduct any amount from or in respect of any sum payable hereunder or under any Note or any other documents to be delivered hereunder to any Lender or the Agent, (1) if such deduction or withholding is in respect of Taxes, then the sum payable shall be increased </w:t>
      </w:r>
      <w:r>
        <w:rPr>
          <w:rFonts w:ascii="Times New Roman" w:cs="Times New Roman" w:eastAsia="Times New Roman" w:hAnsi="Times New Roman"/>
          <w:sz w:val="17"/>
          <w:szCs w:val="17"/>
          <w:u w:val="single" w:color="auto"/>
          <w:color w:val="0000FF"/>
        </w:rPr>
        <w:t>by the Borrower</w:t>
      </w:r>
      <w:r>
        <w:rPr>
          <w:rFonts w:ascii="Times New Roman" w:cs="Times New Roman" w:eastAsia="Times New Roman" w:hAnsi="Times New Roman"/>
          <w:sz w:val="17"/>
          <w:szCs w:val="17"/>
          <w:color w:val="auto"/>
        </w:rPr>
        <w:t xml:space="preserve"> as may be necessary so that after making all required deductions for Taxes (including deductions for Taxes applicable to additional sums payable under this Section 2.13) such Lender or the Agent (as the case may be) receives an amount equal to the sum it would have received had no such deductions for Taxes been made, (2) the Borrower </w:t>
      </w:r>
      <w:r>
        <w:rPr>
          <w:rFonts w:ascii="Times New Roman" w:cs="Times New Roman" w:eastAsia="Times New Roman" w:hAnsi="Times New Roman"/>
          <w:sz w:val="17"/>
          <w:szCs w:val="17"/>
          <w:u w:val="single" w:color="auto"/>
          <w:color w:val="0000FF"/>
        </w:rPr>
        <w:t>or the Agent, as applicable,</w:t>
      </w:r>
      <w:r>
        <w:rPr>
          <w:rFonts w:ascii="Times New Roman" w:cs="Times New Roman" w:eastAsia="Times New Roman" w:hAnsi="Times New Roman"/>
          <w:sz w:val="17"/>
          <w:szCs w:val="17"/>
          <w:color w:val="auto"/>
        </w:rPr>
        <w:t xml:space="preserve"> shall make all required deductions and</w:t>
      </w:r>
    </w:p>
    <w:p>
      <w:pPr>
        <w:spacing w:after="0" w:line="6" w:lineRule="exact"/>
        <w:rPr>
          <w:sz w:val="20"/>
          <w:szCs w:val="20"/>
          <w:color w:val="auto"/>
        </w:rPr>
      </w:pPr>
    </w:p>
    <w:p>
      <w:pPr>
        <w:ind w:firstLine="8"/>
        <w:spacing w:after="0" w:line="260" w:lineRule="auto"/>
        <w:tabs>
          <w:tab w:leader="none" w:pos="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0000FF"/>
        </w:rPr>
        <w:t>or the Agent, as applicable,</w:t>
      </w:r>
      <w:r>
        <w:rPr>
          <w:rFonts w:ascii="Times New Roman" w:cs="Times New Roman" w:eastAsia="Times New Roman" w:hAnsi="Times New Roman"/>
          <w:sz w:val="18"/>
          <w:szCs w:val="18"/>
          <w:color w:val="auto"/>
        </w:rPr>
        <w:t xml:space="preserve"> shall pay the full amount deducted to the relevant taxation authority or other authority in accordance with applicable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0" w:name="page51"/>
    <w:bookmarkEnd w:id="50"/>
    <w:p>
      <w:pPr>
        <w:jc w:val="both"/>
        <w:ind w:firstLine="1304"/>
        <w:spacing w:after="0" w:line="261" w:lineRule="auto"/>
        <w:tabs>
          <w:tab w:leader="none" w:pos="15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except any such taxes imposed with respect to an assignment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5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Lender and the Agent for and hold it harmless against the full amount of Taxes or Other Taxes (including, without limitation, Taxes or Other Taxes of any kind imposed or asserted by any jurisdiction on amounts payable under this Section 2.13)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42"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w:t>
      </w:r>
    </w:p>
    <w:p>
      <w:pPr>
        <w:spacing w:after="0" w:line="13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2.13(</w:t>
      </w:r>
      <w:r>
        <w:rPr>
          <w:rFonts w:ascii="Times New Roman" w:cs="Times New Roman" w:eastAsia="Times New Roman" w:hAnsi="Times New Roman"/>
          <w:sz w:val="18"/>
          <w:szCs w:val="18"/>
          <w:color w:val="FF0000"/>
          <w:strike w:val="1"/>
        </w:rPr>
        <w:t>e)(ii)(A</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and (ii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84"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9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1" w:name="page52"/>
    <w:bookmarkEnd w:id="51"/>
    <w:p>
      <w:pPr>
        <w:jc w:val="both"/>
        <w:ind w:left="180" w:firstLine="1300"/>
        <w:spacing w:after="0" w:line="261" w:lineRule="auto"/>
        <w:tabs>
          <w:tab w:leader="none" w:pos="17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Person shall, to the extent it is legally entitled to do so, deliver to the Borrower and the Agent (in such number of copies as shall be requested by the recipient) on or prior to the date on which such Lender becomes a Lender under this Agreement (and from time to time thereafter upon the reasonable request of the Borrower or the Agent), whichever of the following is applicable:</w:t>
      </w:r>
    </w:p>
    <w:p>
      <w:pPr>
        <w:spacing w:after="0" w:line="152" w:lineRule="exact"/>
        <w:rPr>
          <w:rFonts w:ascii="Times New Roman" w:cs="Times New Roman" w:eastAsia="Times New Roman" w:hAnsi="Times New Roman"/>
          <w:sz w:val="18"/>
          <w:szCs w:val="18"/>
          <w:color w:val="auto"/>
        </w:rPr>
      </w:pPr>
    </w:p>
    <w:p>
      <w:pPr>
        <w:ind w:left="2400" w:hanging="272"/>
        <w:spacing w:after="0"/>
        <w:tabs>
          <w:tab w:leader="none" w:pos="24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jc w:val="both"/>
        <w:ind w:left="14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46" w:lineRule="exact"/>
        <w:rPr>
          <w:rFonts w:ascii="Times New Roman" w:cs="Times New Roman" w:eastAsia="Times New Roman" w:hAnsi="Times New Roman"/>
          <w:sz w:val="18"/>
          <w:szCs w:val="18"/>
          <w:color w:val="auto"/>
        </w:rPr>
      </w:pPr>
    </w:p>
    <w:p>
      <w:pPr>
        <w:ind w:left="2380" w:hanging="252"/>
        <w:spacing w:after="0"/>
        <w:tabs>
          <w:tab w:leader="none" w:pos="2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84" w:lineRule="exact"/>
        <w:rPr>
          <w:rFonts w:ascii="Times New Roman" w:cs="Times New Roman" w:eastAsia="Times New Roman" w:hAnsi="Times New Roman"/>
          <w:sz w:val="18"/>
          <w:szCs w:val="18"/>
          <w:color w:val="auto"/>
        </w:rPr>
      </w:pPr>
    </w:p>
    <w:p>
      <w:pPr>
        <w:jc w:val="both"/>
        <w:ind w:left="1480" w:firstLine="648"/>
        <w:spacing w:after="0" w:line="256" w:lineRule="auto"/>
        <w:tabs>
          <w:tab w:leader="none" w:pos="23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claiming the benefits of the exemption for portfolio interest under Section 881(c) of the Internal Revenue Code, (x) a certificate substantially in the form of Exhibit D-1 to the effect that such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W-8BEN-E; or</w:t>
      </w:r>
    </w:p>
    <w:p>
      <w:pPr>
        <w:spacing w:after="0" w:line="160" w:lineRule="exact"/>
        <w:rPr>
          <w:rFonts w:ascii="Times New Roman" w:cs="Times New Roman" w:eastAsia="Times New Roman" w:hAnsi="Times New Roman"/>
          <w:sz w:val="18"/>
          <w:szCs w:val="18"/>
          <w:color w:val="auto"/>
        </w:rPr>
      </w:pPr>
    </w:p>
    <w:p>
      <w:pPr>
        <w:jc w:val="both"/>
        <w:ind w:left="1480" w:firstLine="648"/>
        <w:spacing w:after="0" w:line="256" w:lineRule="auto"/>
        <w:tabs>
          <w:tab w:leader="none" w:pos="238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Lender is not the beneficial owner, executed copies of IRS Form W-8IMY, accompanied by IRS Form W-8ECI, IRS Form W-8BEN or W-8BEN-E, a U.S. Tax Compliance Certificate substantially in the form of Exhibit D-2 or Exhibit D-3,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one or more direct or indirect partners of such Lender are claiming the portfolio interest exemption, such Lender may provide a U.S. Tax Compliance Certificate substantially in the form of Exhibit D-4 on behalf of each such direct and indirect partner;</w:t>
      </w:r>
    </w:p>
    <w:p>
      <w:pPr>
        <w:spacing w:after="0" w:line="146"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17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Person shall, to the extent it is legally entitled to do so, deliver to the Borrower and the Agent (in such number of copies as shall be requested by the recipient) on or prior to the date on which such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200" w:lineRule="exact"/>
        <w:rPr>
          <w:sz w:val="20"/>
          <w:szCs w:val="20"/>
          <w:color w:val="auto"/>
        </w:rPr>
      </w:pPr>
    </w:p>
    <w:p>
      <w:pPr>
        <w:spacing w:after="0" w:line="3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0" w:right="339" w:bottom="1440" w:gutter="0" w:footer="0" w:header="0"/>
        </w:sectPr>
      </w:pPr>
    </w:p>
    <w:bookmarkStart w:id="52" w:name="page53"/>
    <w:bookmarkEnd w:id="52"/>
    <w:p>
      <w:pPr>
        <w:jc w:val="both"/>
        <w:ind w:firstLine="1304"/>
        <w:spacing w:after="0" w:line="254" w:lineRule="auto"/>
        <w:tabs>
          <w:tab w:leader="none" w:pos="15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the Borrower, at the time or times prescribed by law and at such time or times reasonably requested in writing by the Borrower or the Agent, such documentation prescribed by applicable law (including as prescribed by Section 1471(b)(3)(C)(i) of the Internal Revenue Code) and such additional documentation reasonably requested in writing by the Borrower or the Agent as may be necessary for the Borrower or the Agent to comply with their obligations under FATCA, to determine that such Lender has complied with such Lender’s obligations under FATCA or to determine the amount to deduct and withhold from such payment. Solely for purposes of this clause (ii), “FATCA” shall include any amendments made to FATCA after the date of this Agreement.</w:t>
      </w:r>
    </w:p>
    <w:p>
      <w:pPr>
        <w:spacing w:after="0" w:line="16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2.13(e)</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“U.S. Person” means any Person that is a “United States person” as defined in Section 7701(a)</w:t>
      </w:r>
    </w:p>
    <w:p>
      <w:pPr>
        <w:spacing w:after="0" w:line="27"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w:t>
      </w:r>
    </w:p>
    <w:p>
      <w:pPr>
        <w:spacing w:after="0" w:line="16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claiming any additional amounts payable pursuant to this Section 2.13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reasonable judgment of such Lender, be otherwise disadvantageous to such Lender.</w:t>
      </w:r>
    </w:p>
    <w:p>
      <w:pPr>
        <w:spacing w:after="0" w:line="15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it has received a refund of any Taxes as to which it has been indemnified by the Borrower or with respect to which the Borrower has paid additional amounts pursuant to this Section 2.13, it shall pay to the Borrower an amount equal to such refund (but only to the extent of indemnity payments made, or additional amounts paid, by the Borrower under this Section 2.13 with respect to the Taxes giving rise to such refund), net of all out-of-pocket expenses (including Taxes) incurred by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such Lender, agrees to repay the amount paid over to the Borrower (plus any penalties, interest or other charges imposed by the relevant governmental authority) to the Lender in the event the Lender is required to repay such refund to such governmental authority. Notwithstanding anything to the contrary in this subsection, in no event will the applicable Lender be required to pay any amount to the Borrower pursuant to this subsection the payment of which would place the Lender in a less favorable net after-tax position than such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Lender to make available its tax returns (or any other information relating to its taxes that it deems confidential) to the Borrower or any other Person.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3" w:name="page54"/>
    <w:bookmarkEnd w:id="5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any Lender shall obtain any payment (whether voluntary, involuntary, through the exercise of any right of set off, or otherwise) on account of the Advances owing to it (other than (x) in respect of Defaulting Lenders or (y) pursuant to Section 2.10, 2.13 or </w:t>
      </w:r>
      <w:r>
        <w:rPr>
          <w:rFonts w:ascii="Times New Roman" w:cs="Times New Roman" w:eastAsia="Times New Roman" w:hAnsi="Times New Roman"/>
          <w:sz w:val="18"/>
          <w:szCs w:val="18"/>
          <w:color w:val="FF0000"/>
          <w:strike w:val="1"/>
        </w:rPr>
        <w:t>8.04(c</w:t>
      </w:r>
      <w:r>
        <w:rPr>
          <w:rFonts w:ascii="Times New Roman" w:cs="Times New Roman" w:eastAsia="Times New Roman" w:hAnsi="Times New Roman"/>
          <w:sz w:val="18"/>
          <w:szCs w:val="18"/>
          <w:u w:val="single" w:color="auto"/>
          <w:color w:val="0000FF"/>
        </w:rPr>
        <w:t>8.04(c)</w:t>
      </w:r>
      <w:r>
        <w:rPr>
          <w:rFonts w:ascii="Times New Roman" w:cs="Times New Roman" w:eastAsia="Times New Roman" w:hAnsi="Times New Roman"/>
          <w:sz w:val="18"/>
          <w:szCs w:val="18"/>
          <w:color w:val="auto"/>
        </w:rPr>
        <w:t xml:space="preserve">) or as otherwise expressly provided herein)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2.14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6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in respect of Advances. The Borrower agrees that upon notice by any Lender to the Borrower (with a copy of such notice to the Agent) to the effect that a Note is required or appropriate in order for such Lender to evidence (whether for purposes of pledge, enforcement or otherwise) the Advances owing to, or to be made by, such Lender, the Borrower shall promptly execute and deliver to such Lender a Note payable to such Lender in a principal amount up to the Commitment of such Lender.</w:t>
      </w:r>
    </w:p>
    <w:p>
      <w:pPr>
        <w:spacing w:after="0" w:line="147" w:lineRule="exact"/>
        <w:rPr>
          <w:sz w:val="20"/>
          <w:szCs w:val="20"/>
          <w:color w:val="auto"/>
        </w:rPr>
      </w:pPr>
    </w:p>
    <w:p>
      <w:pPr>
        <w:jc w:val="both"/>
        <w:ind w:firstLine="1304"/>
        <w:spacing w:after="0" w:line="258"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Agent pursuant to Section 8.07(</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d)(i</w:t>
      </w:r>
      <w:r>
        <w:rPr>
          <w:rFonts w:ascii="Times New Roman" w:cs="Times New Roman" w:eastAsia="Times New Roman" w:hAnsi="Times New Roman"/>
          <w:sz w:val="18"/>
          <w:szCs w:val="18"/>
          <w:color w:val="auto"/>
        </w:rPr>
        <w:t>)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hereunder and (iv) the amount of any sum received by the Agent from the Borrower hereunder and each Lender’s share thereof.</w:t>
      </w:r>
    </w:p>
    <w:p>
      <w:pPr>
        <w:spacing w:after="0" w:line="14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Entries made in good faith by the Agent in the Register pursuant to subsection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Agent or such Lender to make an entry, or any finding that an entry is incorrect, in the Register or such account or accounts shall not limit or otherwise affect the obligations of the Borrower under this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4" w:name="page55"/>
    <w:bookmarkEnd w:id="5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Advances shall be available (and the Borrower agrees that it shall use such proceeds) </w:t>
      </w:r>
      <w:r>
        <w:rPr>
          <w:rFonts w:ascii="Times New Roman" w:cs="Times New Roman" w:eastAsia="Times New Roman" w:hAnsi="Times New Roman"/>
          <w:sz w:val="18"/>
          <w:szCs w:val="18"/>
          <w:u w:val="single" w:color="auto"/>
          <w:color w:val="0000FF"/>
        </w:rPr>
        <w:t>(i) with respect to the Matterhorn Certain Funds Advance, solely for the Matterhorn Certain Funds Purpose and (ii) with respect to 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solely for general corporate purposes of the Borrower and its Subsidiaries.</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Increase in the Aggregate Commitments</w:t>
      </w:r>
      <w:r>
        <w:rPr>
          <w:rFonts w:ascii="Times New Roman" w:cs="Times New Roman" w:eastAsia="Times New Roman" w:hAnsi="Times New Roman"/>
          <w:sz w:val="18"/>
          <w:szCs w:val="18"/>
          <w:color w:val="auto"/>
        </w:rPr>
        <w:t xml:space="preserve">. (a) The Borrower may, at any time (including, for avoidance of doubt, after any reduction in the Commitments) but in any event not more than </w:t>
      </w:r>
      <w:r>
        <w:rPr>
          <w:rFonts w:ascii="Times New Roman" w:cs="Times New Roman" w:eastAsia="Times New Roman" w:hAnsi="Times New Roman"/>
          <w:sz w:val="18"/>
          <w:szCs w:val="18"/>
          <w:u w:val="single" w:color="auto"/>
          <w:color w:val="0000FF"/>
        </w:rPr>
        <w:t>(i) once in the calendar year of 2026 and (ii)</w:t>
      </w:r>
      <w:r>
        <w:rPr>
          <w:rFonts w:ascii="Times New Roman" w:cs="Times New Roman" w:eastAsia="Times New Roman" w:hAnsi="Times New Roman"/>
          <w:sz w:val="18"/>
          <w:szCs w:val="18"/>
          <w:color w:val="auto"/>
        </w:rPr>
        <w:t xml:space="preserve"> twice in any </w:t>
      </w:r>
      <w:r>
        <w:rPr>
          <w:rFonts w:ascii="Times New Roman" w:cs="Times New Roman" w:eastAsia="Times New Roman" w:hAnsi="Times New Roman"/>
          <w:sz w:val="18"/>
          <w:szCs w:val="18"/>
          <w:u w:val="single" w:color="auto"/>
          <w:color w:val="0000FF"/>
        </w:rPr>
        <w:t>other</w:t>
      </w:r>
      <w:r>
        <w:rPr>
          <w:rFonts w:ascii="Times New Roman" w:cs="Times New Roman" w:eastAsia="Times New Roman" w:hAnsi="Times New Roman"/>
          <w:sz w:val="18"/>
          <w:szCs w:val="18"/>
          <w:color w:val="auto"/>
        </w:rPr>
        <w:t xml:space="preserve"> calendar year prior to the Termination Date, by notice to the Agent, request that the aggregate amount of the Commitments be increased by a minimum amount of $25,000,000 and an integral multiple of $1,000,000 in excess thereof (each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to be effective as of a date that is at least 90 days prior to the Termination Date (the “</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xml:space="preserve">”) as specified in the related notice to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in no event shall the aggregate amount of the Commitments at any time exceed $2,000,000,000 and (ii) on the date of any request by the Borrower for a Commitment Increase and on the related Increase Date, as a condition to such Commitment Increase, the following conditions precedent shall be satisfied: (A) the representations and warranties contained in Section 4.01 are true and correct in all material respects on and as of such date, immediately before and immediately after giving effect to such Commitment Increase, as though made on and as of such date (except (x) to the extent such representations and warranties specifically relate to an earlier date, in which case such representations and warranties shall have been true and correct in all material respects on and as of such earlier date and (y) such representations and warranties that are qualified by materiality or Material Adverse Effect in the text thereof shall be true and correct in all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date referred to in Section 4.01(e)(ii) shall be deemed to be the date of the most recent audited financial statements referred to in Section 4.01(e)(i) or delivered in accordance with Section 5.01(i)(ii)) and (B) no event has occurred and is continuing, or would result from such Commitment Increase, that constitutes a Default.</w:t>
      </w:r>
    </w:p>
    <w:p>
      <w:pPr>
        <w:spacing w:after="0" w:line="157" w:lineRule="exact"/>
        <w:rPr>
          <w:sz w:val="20"/>
          <w:szCs w:val="20"/>
          <w:color w:val="auto"/>
        </w:rPr>
      </w:pPr>
    </w:p>
    <w:p>
      <w:pPr>
        <w:jc w:val="both"/>
        <w:ind w:firstLine="1304"/>
        <w:spacing w:after="0" w:line="253" w:lineRule="auto"/>
        <w:tabs>
          <w:tab w:leader="none" w:pos="15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its sole discretion, invite its existing Lenders and/or, subject to the consent of the Agent (which consent shall not be unreasonably withheld or delayed), additional Eligible Assignees to become Lenders pursuant to an Assumption Agreement. The Agent shall promptly notify the Lenders or such Eligible Assignees identified by the Borrower of a request by the Borrower for a Commitment Increase, which notice shall include (i) the proposed amount of such requested Commitment Increase, (ii) the proposed Increase Date and (iii) the date by which the Lenders or such Eligible Assignees wishing to participate in the Commitment Increase must respond (the “</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Each Lender that is willing to participate in such requested Commitment Increase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shall, in its sole discretion, give written notice to the Agent on or prior to the Commitment Date of the amount by which it is willing to increase its Commitment. Any Lender that fails to respond to a request for a Commitment Increase by the Commitment Date shall be deemed to have declined such request. The Commitment of each Eligible Assignee that agrees to participate in the requested Commitment Increase shall be in an amount of not less than $10,000,000. If Lenders and Eligible Assignees notify the Agent that they are willing to increase the amount of their respective Commitments by an aggregate amount that exceeds the amount of the requested Commitment Increase, the requested Commitment Increase shall be allocated among such Persons in such amounts as are agreed between the Borrower and the Agent.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5" w:name="page56"/>
    <w:bookmarkEnd w:id="55"/>
    <w:p>
      <w:pPr>
        <w:jc w:val="both"/>
        <w:ind w:firstLine="1304"/>
        <w:spacing w:after="0" w:line="258" w:lineRule="auto"/>
        <w:tabs>
          <w:tab w:leader="none" w:pos="15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Increase Date, each Eligible Assignee that accepts an offer to participate in a requested Commitment Increase in accordance with Section 2.17(b) (each such Eligible Assignee, and any Eligible Assignee that becomes a Lender in accordance with Section 2.20(</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Assuming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become a Lender party to this Agreement as of such Increase Date and the Commitment of each Increasing Lender for such requested Commitment Increase shall be so increased by such amount (or by the amount allocated to such Lender pursuant to the last sentence of Section 2.17(b)) as of such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Agent shall have received on or before such Increase Date the following:</w:t>
      </w:r>
    </w:p>
    <w:p>
      <w:pPr>
        <w:spacing w:after="0" w:line="156" w:lineRule="exact"/>
        <w:rPr>
          <w:rFonts w:ascii="Times New Roman" w:cs="Times New Roman" w:eastAsia="Times New Roman" w:hAnsi="Times New Roman"/>
          <w:sz w:val="18"/>
          <w:szCs w:val="18"/>
          <w:color w:val="auto"/>
        </w:rPr>
      </w:pPr>
    </w:p>
    <w:p>
      <w:pPr>
        <w:jc w:val="both"/>
        <w:ind w:left="1300" w:firstLine="976"/>
        <w:spacing w:after="0" w:line="266" w:lineRule="auto"/>
        <w:tabs>
          <w:tab w:leader="none" w:pos="248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resolutions of the Board of Directors of the Borrower or any committee of such Board authorizing the Commitment Increase and the corresponding modifications to this Agreement and (B) a customary opinion of counsel for the Borrower dated such date (which may be in-house counsel), covering customary matters relating thereto;</w:t>
      </w:r>
    </w:p>
    <w:p>
      <w:pPr>
        <w:spacing w:after="0" w:line="135" w:lineRule="exact"/>
        <w:rPr>
          <w:rFonts w:ascii="Times New Roman" w:cs="Times New Roman" w:eastAsia="Times New Roman" w:hAnsi="Times New Roman"/>
          <w:sz w:val="18"/>
          <w:szCs w:val="18"/>
          <w:color w:val="auto"/>
        </w:rPr>
      </w:pPr>
    </w:p>
    <w:p>
      <w:pPr>
        <w:ind w:left="1300" w:firstLine="976"/>
        <w:spacing w:after="0" w:line="282" w:lineRule="auto"/>
        <w:tabs>
          <w:tab w:leader="none" w:pos="255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agreement from each Assuming Lender, if any, in form and substance satisfactory to the Borrower and the Agent (each an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duly executed by such Assuming Lender, the Agent and the Borrower; and</w:t>
      </w:r>
    </w:p>
    <w:p>
      <w:pPr>
        <w:spacing w:after="0" w:line="121" w:lineRule="exact"/>
        <w:rPr>
          <w:rFonts w:ascii="Times New Roman" w:cs="Times New Roman" w:eastAsia="Times New Roman" w:hAnsi="Times New Roman"/>
          <w:sz w:val="18"/>
          <w:szCs w:val="18"/>
          <w:color w:val="auto"/>
        </w:rPr>
      </w:pPr>
    </w:p>
    <w:p>
      <w:pPr>
        <w:ind w:left="1300" w:firstLine="976"/>
        <w:spacing w:after="0" w:line="282" w:lineRule="auto"/>
        <w:tabs>
          <w:tab w:leader="none" w:pos="25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from each Increasing Lender of the increase in the amount of its Commitment in a writing satisfactory to the Borrower and the Agent.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Increase Date, upon fulfillment of the conditions set forth in the immediately preceding sentence of this Section 2.17(c), the Agent shall notify the Lenders (including, without limitation, each Assuming Lender) and the Borrower, on or before 1:00 P.M. (New York City time), by telecopier or other electronic means, of the occurrence of the Commitment Increase to be effected on such Increase Date and shall record in the Register the relevant information with respect to each Increasing Lender and each Assuming Lender on such date. Each Increasing Lender and each Assuming Lender shall, to the extent applicable, before 2:00 P.M. (New York City time) on the applicable Increase Date, purchase at par that portion of outstanding Advances of the other Lenders or take such other actions as the Agent may determine to be necessary to cause the Advances to be funded pro rata by the Lenders in accordance with the Commitments. In connection with any Commitment Increase, the Borrower, the Agent, each Assuming Lender and each Increasing Lender may make such amendments to this Agreement as the Agent determines to be reasonably necessary to evidence the Commitment Increase. This Section shall supersede Sections 2.14 and 8.01.</w:t>
      </w:r>
    </w:p>
    <w:p>
      <w:pPr>
        <w:spacing w:after="0" w:line="14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If a Lender becomes, and during the period it remains, a Defaulting Lender, any amount paid by the Borrower or otherwise received by the Agent for the account of such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2.18) the termination of the Commitments and payment in full of all obligations of the Borrower hereunder and will be applied by the Agent, to the fullest extent permitted by law, to the making of payments from time to time in the following order of priority: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Agent under this Agreement,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post-default interest and then current interest due and payable to the Non-Defaulting Lenders hereunder, ratably among them in accordance with the amounts of such interest then due and payable to them,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payment of fees then due and payable to the Non-Defaulting Lenders hereunder, ratably among them in accordance with the amounts of such fees then due and payable to them,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principal then due and payable to the Non-Defaulting Lenders hereunder ratably in accordance with the amounts thereof then due and payable to them,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ratable payment of other amounts then due and payable to the Non-Defaulting Lenders,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after the termination of the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6" w:name="page57"/>
    <w:bookmarkEnd w:id="56"/>
    <w:p>
      <w:pPr>
        <w:jc w:val="both"/>
        <w:ind w:firstLine="1304"/>
        <w:spacing w:after="0" w:line="261" w:lineRule="auto"/>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 Section 2.18, performance by the Borrower of its obligations shall not be excused or otherwise modified as a result of the operation of this Section 2.18. The rights and remedies against a Defaulting Lender under this Section 2.18 are in addition to any other rights and remedies which the Borrower, the Agent or any Lender may have against such Defaulting Lender.</w:t>
      </w:r>
    </w:p>
    <w:p>
      <w:pPr>
        <w:spacing w:after="0" w:line="15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Advances of the other Lenders or take such other actions as the Agent may determine to be necessary to cause the Advances to be funded and held on a pro rata basis by the Lenders in accordance with their pro rata share,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4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If (a) any Lender requests compensation under Section 2.10, (b) the Borrower is required to pay additional amounts to any Lender or any governmental authority for the account of any Lender pursuant to Section 2.13, (c) any Lender is a Defaulting Lender, (d) any Lender cannot make SOFR Advances as contemplated by Section 2.11, ii) any Lender is a Non-Extending Lender or iii) any Lender does not approve any consent, waiver or amendment that (1) requires the approval of all Lenders or all affected Lenders in accordance with the terms of Section 8.01 and (2) has been approved by the Required Lenders (a “</w:t>
      </w:r>
      <w:r>
        <w:rPr>
          <w:rFonts w:ascii="Times New Roman" w:cs="Times New Roman" w:eastAsia="Times New Roman" w:hAnsi="Times New Roman"/>
          <w:sz w:val="18"/>
          <w:szCs w:val="18"/>
          <w:u w:val="single" w:color="auto"/>
          <w:color w:val="auto"/>
        </w:rPr>
        <w:t>Non-Approving Lender</w:t>
      </w:r>
      <w:r>
        <w:rPr>
          <w:rFonts w:ascii="Times New Roman" w:cs="Times New Roman" w:eastAsia="Times New Roman" w:hAnsi="Times New Roman"/>
          <w:sz w:val="18"/>
          <w:szCs w:val="18"/>
          <w:color w:val="auto"/>
        </w:rPr>
        <w:t xml:space="preserve">”), then the Borrower may, at its sole expense and effort,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51" w:lineRule="exact"/>
        <w:rPr>
          <w:sz w:val="20"/>
          <w:szCs w:val="20"/>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applicable Eligible Assignee shall have paid to the Agent the assignment fee (if any) specified in Section 8.07;</w:t>
      </w:r>
    </w:p>
    <w:p>
      <w:pPr>
        <w:spacing w:after="0" w:line="19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Advances, accrued interest thereon, accrued fees and all other amounts payable to it hereunder (including any amounts under Section 8.04(c)) from the assignee (to the extent of such outstanding principal and accrued interest and fees) or the Borrower (in the case of all other amounts);</w:t>
      </w:r>
    </w:p>
    <w:p>
      <w:pPr>
        <w:spacing w:after="0" w:line="135" w:lineRule="exact"/>
        <w:rPr>
          <w:rFonts w:ascii="Times New Roman" w:cs="Times New Roman" w:eastAsia="Times New Roman" w:hAnsi="Times New Roman"/>
          <w:sz w:val="18"/>
          <w:szCs w:val="18"/>
          <w:color w:val="auto"/>
        </w:rPr>
      </w:pPr>
    </w:p>
    <w:p>
      <w:pPr>
        <w:ind w:left="660" w:firstLine="644"/>
        <w:spacing w:after="0" w:line="282" w:lineRule="auto"/>
        <w:tabs>
          <w:tab w:leader="none" w:pos="15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2.10 or payments required to be made pursuant to Section 2.13, such assignment will result in a reduction in such compensation or payments thereafter;</w:t>
      </w:r>
    </w:p>
    <w:p>
      <w:pPr>
        <w:spacing w:after="0" w:line="12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7" w:name="page58"/>
    <w:bookmarkEnd w:id="57"/>
    <w:p>
      <w:pPr>
        <w:ind w:left="660" w:firstLine="644"/>
        <w:spacing w:after="0" w:line="282" w:lineRule="auto"/>
        <w:tabs>
          <w:tab w:leader="none" w:pos="15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Non-Approving Lender, the applicable assignee shall have consented, or agreed to provide its consent upon becoming a Lender, to the applicable amendment, waiver or consent.</w:t>
      </w:r>
    </w:p>
    <w:p>
      <w:pPr>
        <w:spacing w:after="0" w:line="13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The Borrower may, by notice to the Agent (who shall promptly notify the Lenders) not earlier than 90 days and not later than 30 days prior to any anniversary of the Effective Date, request that the Termination Date then in effect hereunder (the “</w:t>
      </w:r>
      <w:r>
        <w:rPr>
          <w:rFonts w:ascii="Times New Roman" w:cs="Times New Roman" w:eastAsia="Times New Roman" w:hAnsi="Times New Roman"/>
          <w:sz w:val="18"/>
          <w:szCs w:val="18"/>
          <w:u w:val="single" w:color="auto"/>
          <w:color w:val="auto"/>
        </w:rPr>
        <w:t>Existing Termination Date</w:t>
      </w:r>
      <w:r>
        <w:rPr>
          <w:rFonts w:ascii="Times New Roman" w:cs="Times New Roman" w:eastAsia="Times New Roman" w:hAnsi="Times New Roman"/>
          <w:sz w:val="18"/>
          <w:szCs w:val="18"/>
          <w:color w:val="auto"/>
        </w:rPr>
        <w:t>”) be extended for an additional one year from the Existing Termination Date.</w:t>
      </w:r>
    </w:p>
    <w:p>
      <w:pPr>
        <w:spacing w:after="0" w:line="176" w:lineRule="exact"/>
        <w:rPr>
          <w:sz w:val="20"/>
          <w:szCs w:val="20"/>
          <w:color w:val="auto"/>
        </w:rPr>
      </w:pPr>
    </w:p>
    <w:p>
      <w:pPr>
        <w:jc w:val="both"/>
        <w:ind w:firstLine="1304"/>
        <w:spacing w:after="0" w:line="256"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Extend</w:t>
      </w:r>
      <w:r>
        <w:rPr>
          <w:rFonts w:ascii="Times New Roman" w:cs="Times New Roman" w:eastAsia="Times New Roman" w:hAnsi="Times New Roman"/>
          <w:sz w:val="18"/>
          <w:szCs w:val="18"/>
          <w:color w:val="auto"/>
        </w:rPr>
        <w:t>. Each Lender, acting in its sole and individual discretion, shall, by notice to the Agent given not earlier than 30 days prior to the applicable anniversary of the Effective Date and not later than the date (the “</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that is 20 days prior to the applicable anniversary of the Effective Date, advise the Agent whether or not such Lender agrees to such extension (and each Lender that determines not to so extend its Termination Date,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shall notify the Agent of such fact promptly after such determination (but in any event no later than the Notice Date) and any Lender that does not so advise the Agent on or before the Notice Date shall be deemed to be a Non-Extending Lender. The election of any Lender to agree to such extension shall not obligate any other Lender to so agree.</w:t>
      </w:r>
    </w:p>
    <w:p>
      <w:pPr>
        <w:spacing w:after="0" w:line="173"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Agent</w:t>
      </w:r>
      <w:r>
        <w:rPr>
          <w:rFonts w:ascii="Times New Roman" w:cs="Times New Roman" w:eastAsia="Times New Roman" w:hAnsi="Times New Roman"/>
          <w:sz w:val="18"/>
          <w:szCs w:val="18"/>
          <w:color w:val="auto"/>
        </w:rPr>
        <w:t>. The Agent shall notify the Borrower in writing of each Lender’s determination under this Section no later than 15 days prior to the applicable anniversary of the Effective Date (or, if such date is not a Business Day, on the immediately preceding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Non-Extending Lenders</w:t>
      </w:r>
      <w:r>
        <w:rPr>
          <w:rFonts w:ascii="Times New Roman" w:cs="Times New Roman" w:eastAsia="Times New Roman" w:hAnsi="Times New Roman"/>
          <w:sz w:val="18"/>
          <w:szCs w:val="18"/>
          <w:color w:val="auto"/>
        </w:rPr>
        <w:t xml:space="preserve">. The Borrower shall have the right to replace each Non-Extending Lender with, and add as “Lenders” under this Agreement in place thereof, one or more Eligible Assignees (each as an Assuming Lender) as provided in Section 8.07;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Assuming Lender shall enter into an Assignment and Assumption pursuant to which each such Assuming Lender shall take an assignment from a Non-Extending Lender.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Extension Requirement</w:t>
      </w:r>
      <w:r>
        <w:rPr>
          <w:rFonts w:ascii="Times New Roman" w:cs="Times New Roman" w:eastAsia="Times New Roman" w:hAnsi="Times New Roman"/>
          <w:sz w:val="18"/>
          <w:szCs w:val="18"/>
          <w:color w:val="auto"/>
        </w:rPr>
        <w:t>. If (and only if) the total of the Commitments of the Lenders that have agreed to extend their Termination Date (each,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and the Commitments of the Assuming Lenders shall be more than 50% of the aggregate amount of the Commitments in effect immediately prior to the Notice Date, then, effective as of the applicable anniversary of the Effective Date, the Termination Date of each Extending Lender and of each Assuming Lender shall be extended to the date falling one year after the Existing Termination Date (except that, if such date is not a Business Day, such Termination Date as so extended shall be the next preceding Business Day).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Extensions</w:t>
      </w:r>
      <w:r>
        <w:rPr>
          <w:rFonts w:ascii="Times New Roman" w:cs="Times New Roman" w:eastAsia="Times New Roman" w:hAnsi="Times New Roman"/>
          <w:sz w:val="18"/>
          <w:szCs w:val="18"/>
          <w:color w:val="auto"/>
        </w:rPr>
        <w:t>. Notwithstanding the foregoing, the extension of the Termination Date pursuant to this Section shall not be effective with respect to any Lender unless:</w:t>
      </w:r>
    </w:p>
    <w:p>
      <w:pPr>
        <w:spacing w:after="0" w:line="161"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on the date of such extension and after giving effect thereto;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8" w:name="page59"/>
    <w:bookmarkEnd w:id="58"/>
    <w:p>
      <w:pPr>
        <w:jc w:val="both"/>
        <w:ind w:left="1300" w:firstLine="328"/>
        <w:spacing w:after="0" w:line="254" w:lineRule="auto"/>
        <w:tabs>
          <w:tab w:leader="none" w:pos="18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contained in Section 4.01 of this Agreement are true and correct in all material respects on and as of the date of such extension and after giving effect thereto, as though made on and as of such date (except that (x) representations and warranties that are qualified by materiality or Material Adverse Effect in the text thereof shall be true and correct in all respects and (y) to the extent such representations and warranties specifically relate to an earlier date, such representations and warranties shall have been true and correct in all material respects on and as of such earlier date (other than representations and warranties qualified by materiality or Material Adverse Effect in the text thereof, which shall be true and correct in all respects on and as of such earlier date and provided that the date referred to in Section 4.01(e)(ii) shall be deemed to be the date of the most recent audited financial statements delivered in accordance with Section 5.01(i)(ii)).</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Sharing of Payments</w:t>
      </w:r>
      <w:r>
        <w:rPr>
          <w:rFonts w:ascii="Times New Roman" w:cs="Times New Roman" w:eastAsia="Times New Roman" w:hAnsi="Times New Roman"/>
          <w:sz w:val="18"/>
          <w:szCs w:val="18"/>
          <w:color w:val="auto"/>
        </w:rPr>
        <w:t>. In connection with any extension of the Existing Termination Date, the Borrower, the Agent and each Extending Lender may make such amendments to this Agreement as the Agent determines to be reasonably necessary to evidence the extension. This Section shall supersede Sections 2.14 and 8.01.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w:t>
      </w:r>
    </w:p>
    <w:p>
      <w:pPr>
        <w:spacing w:after="0" w:line="225" w:lineRule="exact"/>
        <w:rPr>
          <w:sz w:val="20"/>
          <w:szCs w:val="20"/>
          <w:color w:val="auto"/>
        </w:rPr>
      </w:pPr>
    </w:p>
    <w:p>
      <w:pPr>
        <w:jc w:val="both"/>
        <w:ind w:firstLine="1304"/>
        <w:spacing w:after="0" w:line="25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Section 2.22(a) will occur prior to the applicable Benchmark Transition Start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Agent will promptly notify the Borrower and the Lenders of (i) the implementation of any Benchmark Replacement and (ii) the effectiveness of any Conforming Changes in connection with the use, administration, adoption or implementation of a Benchmark Replacement. The Agent will notify the Borrower of (x) the removal or reinstatement of any tenor of a Benchmark pursuant to Section 2.22(</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c)(i</w:t>
      </w:r>
      <w:r>
        <w:rPr>
          <w:rFonts w:ascii="Times New Roman" w:cs="Times New Roman" w:eastAsia="Times New Roman" w:hAnsi="Times New Roman"/>
          <w:sz w:val="18"/>
          <w:szCs w:val="18"/>
          <w:color w:val="auto"/>
        </w:rPr>
        <w:t>) and (y) the commencement of any Benchmark Unavailability Period. Any determination, decision or election that may be made by the Agent or, if applicable, any Lender (or group of Lenders) pursuant to this Section 2.22,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 except, in each case, as expressly required pursuant to this Section 2.22(</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304"/>
        <w:spacing w:after="0" w:line="253"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Borrowing of, conversion to or continuation of SOFR Advances to be made, converted or continued during any Benchmark Unavailability Period and, failing that, the Borrower will be deemed to have converted any such request into a request for a Borrowing of or conversion to Base Rate Advances.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5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Effectiveness of Commitments</w:t>
      </w:r>
      <w:r>
        <w:rPr>
          <w:rFonts w:ascii="Times New Roman" w:cs="Times New Roman" w:eastAsia="Times New Roman" w:hAnsi="Times New Roman"/>
          <w:sz w:val="18"/>
          <w:szCs w:val="18"/>
          <w:color w:val="auto"/>
        </w:rPr>
        <w:t>. This Agreement shall become effective on and as of the first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the following conditions precedent have been satisfied:</w:t>
      </w:r>
    </w:p>
    <w:p>
      <w:pPr>
        <w:spacing w:after="0" w:line="162" w:lineRule="exact"/>
        <w:rPr>
          <w:sz w:val="20"/>
          <w:szCs w:val="20"/>
          <w:color w:val="auto"/>
        </w:rPr>
      </w:pPr>
    </w:p>
    <w:p>
      <w:pPr>
        <w:ind w:left="1540" w:hanging="236"/>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January 31, 2025.</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against the Borrower or any of its Subsidiaries pending or, to Borrower’s knowledge, threatened in writing before any court, governmental agency or arbitrator that (i) could be reasonably likely to have a Material Adverse Effect or (ii) could reasonably be expected to adversely affect the legality, validity or enforceability of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Agent that restrains, prevents or imposes materially adverse conditions upon the transactions contemplated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304"/>
        <w:spacing w:after="0" w:line="266" w:lineRule="auto"/>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accrued fees and expenses of the Agent and the Lenders required to be paid or reimbursed by the Borrower (including the accrued reasonable and documented fees and expenses of counsel to the Agent) that have been invoiced to the Borrower prior to the Effective Date.</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Agent shall have received a certificate signed by a duly authorized officer of the Borrower, dated the Effective Date, stating that:</w:t>
      </w:r>
    </w:p>
    <w:p>
      <w:pPr>
        <w:spacing w:after="0" w:line="161"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correct on and as of the Effective Date, and</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on or before the Effective Date the following, each in form and substance reasonably satisfactory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6" w:lineRule="exact"/>
        <w:rPr>
          <w:rFonts w:ascii="Times New Roman" w:cs="Times New Roman" w:eastAsia="Times New Roman" w:hAnsi="Times New Roman"/>
          <w:sz w:val="18"/>
          <w:szCs w:val="18"/>
          <w:color w:val="auto"/>
        </w:rPr>
      </w:pPr>
    </w:p>
    <w:p>
      <w:pPr>
        <w:jc w:val="both"/>
        <w:ind w:left="1300" w:firstLine="328"/>
        <w:spacing w:after="0" w:line="266" w:lineRule="auto"/>
        <w:tabs>
          <w:tab w:leader="none" w:pos="1873"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each party hereto, an executed counterpart of this Agreement delivered by such party or customary written evidence reasonably satisfactory to the Administrative Agent (which may include electronic transmission of a signed signature page)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each dated the Effective Date, to the extent requested by any Lender prior to the Effective Date pursuant to Section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w:t>
      </w:r>
    </w:p>
    <w:p>
      <w:pPr>
        <w:spacing w:after="0" w:line="206" w:lineRule="exact"/>
        <w:rPr>
          <w:rFonts w:ascii="Times New Roman" w:cs="Times New Roman" w:eastAsia="Times New Roman" w:hAnsi="Times New Roman"/>
          <w:sz w:val="18"/>
          <w:szCs w:val="18"/>
          <w:color w:val="auto"/>
        </w:rPr>
      </w:pPr>
    </w:p>
    <w:p>
      <w:pPr>
        <w:jc w:val="both"/>
        <w:ind w:left="1300" w:firstLine="328"/>
        <w:spacing w:after="0" w:line="266" w:lineRule="auto"/>
        <w:tabs>
          <w:tab w:leader="none" w:pos="194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Borrower approving this Agreement and the Notes (if any), and of all documents evidencing other necessary corporate action and governmental approvals, if any, with respect to this Agreement and the Notes (if any).</w:t>
      </w:r>
    </w:p>
    <w:p>
      <w:pPr>
        <w:spacing w:after="0" w:line="175" w:lineRule="exact"/>
        <w:rPr>
          <w:rFonts w:ascii="Times New Roman" w:cs="Times New Roman" w:eastAsia="Times New Roman" w:hAnsi="Times New Roman"/>
          <w:sz w:val="18"/>
          <w:szCs w:val="18"/>
          <w:color w:val="auto"/>
        </w:rPr>
      </w:pPr>
    </w:p>
    <w:p>
      <w:pPr>
        <w:jc w:val="both"/>
        <w:ind w:left="1300" w:firstLine="328"/>
        <w:spacing w:after="0" w:line="266" w:lineRule="auto"/>
        <w:tabs>
          <w:tab w:leader="none" w:pos="19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Borrower, dated as of the Effective Date, certifying the names and true signatures of officers of the Borrower authorized to sign this Agreement and the Notes (if any) and the other documents to be delivered hereunder.</w:t>
      </w:r>
    </w:p>
    <w:p>
      <w:pPr>
        <w:spacing w:after="0" w:line="175" w:lineRule="exact"/>
        <w:rPr>
          <w:rFonts w:ascii="Times New Roman" w:cs="Times New Roman" w:eastAsia="Times New Roman" w:hAnsi="Times New Roman"/>
          <w:sz w:val="18"/>
          <w:szCs w:val="18"/>
          <w:color w:val="auto"/>
        </w:rPr>
      </w:pPr>
    </w:p>
    <w:p>
      <w:pPr>
        <w:ind w:left="1300" w:right="20" w:firstLine="328"/>
        <w:spacing w:after="0" w:line="282" w:lineRule="auto"/>
        <w:tabs>
          <w:tab w:leader="none" w:pos="1873"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Wilson Sonsini Goodrich &amp; Rosati, PC, special counsel for the Borrower, dated the Effective Date and in customary form and substance.</w:t>
      </w:r>
    </w:p>
    <w:p>
      <w:pPr>
        <w:spacing w:after="0" w:line="161" w:lineRule="exact"/>
        <w:rPr>
          <w:rFonts w:ascii="Times New Roman" w:cs="Times New Roman" w:eastAsia="Times New Roman" w:hAnsi="Times New Roman"/>
          <w:sz w:val="18"/>
          <w:szCs w:val="18"/>
          <w:color w:val="auto"/>
        </w:rPr>
      </w:pPr>
    </w:p>
    <w:p>
      <w:pPr>
        <w:jc w:val="both"/>
        <w:ind w:firstLine="1397"/>
        <w:spacing w:after="0" w:line="266" w:lineRule="auto"/>
        <w:tabs>
          <w:tab w:leader="none" w:pos="16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all documentation and other information relating to the Borrower and requested in writing at least five Business Days prior to the Effective Date required by bank regulatory authorities under applicable “know your customer” and anti-money laundering rules and regulations, including the Patriot Act and the Beneficial Ownership Regulation (if applicable).</w:t>
      </w:r>
    </w:p>
    <w:p>
      <w:pPr>
        <w:spacing w:after="0" w:line="162" w:lineRule="exact"/>
        <w:rPr>
          <w:rFonts w:ascii="Times New Roman" w:cs="Times New Roman" w:eastAsia="Times New Roman" w:hAnsi="Times New Roman"/>
          <w:sz w:val="18"/>
          <w:szCs w:val="18"/>
          <w:color w:val="auto"/>
        </w:rPr>
      </w:pPr>
    </w:p>
    <w:p>
      <w:pPr>
        <w:ind w:right="20" w:firstLine="1394"/>
        <w:spacing w:after="0" w:line="282" w:lineRule="auto"/>
        <w:tabs>
          <w:tab w:leader="none" w:pos="164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in full all principal, interest, fees and other amounts outstanding under the Existing Credit Agreement and the commitments thereunder shall have been terminated.</w:t>
      </w:r>
    </w:p>
    <w:p>
      <w:pPr>
        <w:spacing w:after="0" w:line="161"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pursuant to the Fee Letter on or before the Effective Date shall have been paid.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Each Borrowing</w:t>
      </w:r>
      <w:r>
        <w:rPr>
          <w:rFonts w:ascii="Times New Roman" w:cs="Times New Roman" w:eastAsia="Times New Roman" w:hAnsi="Times New Roman"/>
          <w:sz w:val="18"/>
          <w:szCs w:val="18"/>
          <w:color w:val="auto"/>
        </w:rPr>
        <w:t xml:space="preserve">. The obligation of each Lender to make an Advance on the occasion of each Borrowing </w:t>
      </w:r>
      <w:r>
        <w:rPr>
          <w:rFonts w:ascii="Times New Roman" w:cs="Times New Roman" w:eastAsia="Times New Roman" w:hAnsi="Times New Roman"/>
          <w:sz w:val="18"/>
          <w:szCs w:val="18"/>
          <w:u w:val="single" w:color="auto"/>
          <w:color w:val="0000FF"/>
        </w:rPr>
        <w:t>(other than a Matterhorn Certain Funds Advance)</w:t>
      </w:r>
      <w:r>
        <w:rPr>
          <w:rFonts w:ascii="Times New Roman" w:cs="Times New Roman" w:eastAsia="Times New Roman" w:hAnsi="Times New Roman"/>
          <w:sz w:val="18"/>
          <w:szCs w:val="18"/>
          <w:color w:val="auto"/>
        </w:rPr>
        <w:t xml:space="preserve"> shall be subject to the conditions precedent that the Effective Date shall have occurred and on the date of such Borrowing:</w:t>
      </w:r>
    </w:p>
    <w:p>
      <w:pPr>
        <w:spacing w:after="0" w:line="176" w:lineRule="exact"/>
        <w:rPr>
          <w:sz w:val="20"/>
          <w:szCs w:val="20"/>
          <w:color w:val="auto"/>
        </w:rPr>
      </w:pPr>
    </w:p>
    <w:p>
      <w:pPr>
        <w:jc w:val="both"/>
        <w:ind w:firstLine="1397"/>
        <w:spacing w:after="0" w:line="266" w:lineRule="auto"/>
        <w:tabs>
          <w:tab w:leader="none" w:pos="16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statements shall be true (and each of the giving of the applicable Notice of Borrowing and the acceptance by the Borrower of the proceeds of such Borrowing shall constitute a representation and warranty by the Borrower that on the date of such Borrowing such statements are true):</w:t>
      </w:r>
    </w:p>
    <w:p>
      <w:pPr>
        <w:spacing w:after="0" w:line="175" w:lineRule="exact"/>
        <w:rPr>
          <w:rFonts w:ascii="Times New Roman" w:cs="Times New Roman" w:eastAsia="Times New Roman" w:hAnsi="Times New Roman"/>
          <w:sz w:val="18"/>
          <w:szCs w:val="18"/>
          <w:color w:val="auto"/>
        </w:rPr>
      </w:pPr>
    </w:p>
    <w:p>
      <w:pPr>
        <w:jc w:val="both"/>
        <w:ind w:left="1300" w:firstLine="328"/>
        <w:spacing w:after="0" w:line="256" w:lineRule="auto"/>
        <w:tabs>
          <w:tab w:leader="none" w:pos="18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(except the representations and warranties set forth in subsections (e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(ii) and (f</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thereof) are correct in all material respects on and as of such date, immediately before and immediately after giving effect to such Borrowing and to the application of the proceeds therefrom, as though made on and as of such date (except (x) to the extent such representations and warranties specifically relate to an earlier date, in which case such representations and warranties shall have been true and correct in all material respects on and as of such earlier date and (y) such representations and warranties that are qualified by materiality or Material Adverse Effect in the text thereof shall be true and correct in all respects), and</w:t>
      </w:r>
    </w:p>
    <w:p>
      <w:pPr>
        <w:spacing w:after="0" w:line="187" w:lineRule="exact"/>
        <w:rPr>
          <w:rFonts w:ascii="Times New Roman" w:cs="Times New Roman" w:eastAsia="Times New Roman" w:hAnsi="Times New Roman"/>
          <w:sz w:val="18"/>
          <w:szCs w:val="18"/>
          <w:color w:val="auto"/>
        </w:rPr>
      </w:pPr>
    </w:p>
    <w:p>
      <w:pPr>
        <w:ind w:left="1300" w:firstLine="328"/>
        <w:spacing w:after="0" w:line="282" w:lineRule="auto"/>
        <w:tabs>
          <w:tab w:leader="none" w:pos="18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from the application of the proceeds therefrom, that constitutes a Default; and</w:t>
      </w:r>
    </w:p>
    <w:p>
      <w:pPr>
        <w:spacing w:after="0" w:line="161" w:lineRule="exact"/>
        <w:rPr>
          <w:rFonts w:ascii="Times New Roman" w:cs="Times New Roman" w:eastAsia="Times New Roman" w:hAnsi="Times New Roman"/>
          <w:sz w:val="18"/>
          <w:szCs w:val="18"/>
          <w:color w:val="auto"/>
        </w:rPr>
      </w:pPr>
    </w:p>
    <w:p>
      <w:pPr>
        <w:ind w:left="1660" w:hanging="263"/>
        <w:spacing w:after="0"/>
        <w:tabs>
          <w:tab w:leader="none" w:pos="1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Notice of Borrowing with respect to such Borrowing in accordance with the terms and requirements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Borrower and the Lenders of the occurrence of the Effective Date.</w:t>
      </w:r>
    </w:p>
    <w:p>
      <w:pPr>
        <w:spacing w:after="0" w:line="17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On the Effective Date, the “Commitments” as defined in the Existing Credit Agreement shall terminate, without further action by any party thereto. The Lenders which are parties to the Existing Credit Agreement, comprising the “Required Lenders” as defined in the Existing Credit Agreement hereby waive any requirement of prior notice of termination of the Commitments (as defined in the Existing Credit Agreement) pursuant to Section 2.04 thereof and of prepayment of loans thereunder, to the extent necessary to give effect to Section 3.01(h) 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prepayment of loans thereunder shall be subject to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2.14 of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2" w:name="page63"/>
    <w:bookmarkEnd w:id="62"/>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SECTION 3.05 Matterhorn Certain Funds Advance. Solely during the Matterhorn Certain Funds Period, the obligation of each Lender to make a Matterhorn Certain Funds Advance on the Matterhorn Acquisition Closing Date is subject solely to the satisfaction (or waiver) of the following conditions:</w:t>
      </w:r>
    </w:p>
    <w:p>
      <w:pPr>
        <w:spacing w:after="0" w:line="176" w:lineRule="exact"/>
        <w:rPr>
          <w:sz w:val="20"/>
          <w:szCs w:val="20"/>
          <w:color w:val="auto"/>
        </w:rPr>
      </w:pPr>
    </w:p>
    <w:p>
      <w:pPr>
        <w:jc w:val="both"/>
        <w:ind w:firstLine="1304"/>
        <w:spacing w:after="0" w:line="253" w:lineRule="auto"/>
        <w:tabs>
          <w:tab w:leader="none" w:pos="1574" w:val="left"/>
        </w:tabs>
        <w:numPr>
          <w:ilvl w:val="1"/>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 the Matterhorn Acquisition shall have been, or substantially concurrently with the funding of the Matterhorn Certain Funds Advance on the Matterhorn Acquisition Closing Date shall be, consummated in all material respects in accordance with the terms of the Matterhorn Acquisition Agreement (as in effect on June 1, 2026, as may be amended, supplemented or otherwise modified in accordance with subclause (ii) below) and (ii) no provision of the Matterhorn Acquisition Agreement shall have been waived, amended, supplemented or otherwise modified, and no consent by the Borrower or any of its Subsidiaries shall have been provided thereunder, in each case which is materially adverse to the interests of the Lenders or the Matterhorn Initial Arrangers in their respective capacities as such without the Matterhorn Initial Arrangers’ prior written consent (such consent not to be unreasonably withheld, delayed or conditioned); provided, that (i) (x) any decrease in the purchase price (when taken together with all prior reductions after the date hereof) not exceeding a 12.5% decrease in the aggregate purchase price consideration to be paid under the Matterhorn Acquisition Agreement and</w:t>
      </w:r>
    </w:p>
    <w:p>
      <w:pPr>
        <w:jc w:val="both"/>
        <w:ind w:firstLine="8"/>
        <w:spacing w:after="0" w:line="251" w:lineRule="auto"/>
        <w:tabs>
          <w:tab w:leader="none" w:pos="257"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other decrease in the aggregate purchase price consideration that is allocated to reduce the Commitments hereunder and the commitments under the Matterhorn Term Loan Credit Agreement on a dollar-for-dollar basis, in each case, will be deemed not to be materially adverse to the interests of the Lenders or the Matterhorn Initial Arrangers and will not require the prior written consent of the Matterhorn Initial Arrangers, (ii) any increase in the aggregate purchase price consideration shall be deemed not to be materially adverse so long as such increase (x) is less than 12.5% in the aggregate purchase price consideration to be paid under the Matterhorn Acquisition Agreement or (y) consists of common equity of the Borrower given as consideration to the shareholders of the Matterhorn Target and (iii) any amendment, modification or waiver with respect to the definition of “Material Adverse Effect” contained in the Matterhorn Acquisition Agreement shall be deemed materially adverse to the Matterhorn Initial Arrangers and the Lenders.</w:t>
      </w:r>
    </w:p>
    <w:p>
      <w:pPr>
        <w:spacing w:after="0" w:line="193" w:lineRule="exact"/>
        <w:rPr>
          <w:rFonts w:ascii="Times New Roman" w:cs="Times New Roman" w:eastAsia="Times New Roman" w:hAnsi="Times New Roman"/>
          <w:sz w:val="18"/>
          <w:szCs w:val="18"/>
          <w:u w:val="single" w:color="auto"/>
          <w:color w:val="0000FF"/>
        </w:rPr>
      </w:pPr>
    </w:p>
    <w:p>
      <w:pPr>
        <w:ind w:left="1560" w:hanging="256"/>
        <w:spacing w:after="0"/>
        <w:tabs>
          <w:tab w:leader="none" w:pos="1560" w:val="left"/>
        </w:tabs>
        <w:numPr>
          <w:ilvl w:val="1"/>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Since June 1, 2026, there shall not have occurred any Matterhorn Material Adverse Effect.</w:t>
      </w:r>
    </w:p>
    <w:p>
      <w:pPr>
        <w:spacing w:after="0" w:line="225" w:lineRule="exact"/>
        <w:rPr>
          <w:rFonts w:ascii="Times New Roman" w:cs="Times New Roman" w:eastAsia="Times New Roman" w:hAnsi="Times New Roman"/>
          <w:sz w:val="18"/>
          <w:szCs w:val="18"/>
          <w:u w:val="single" w:color="auto"/>
          <w:color w:val="0000FF"/>
        </w:rPr>
      </w:pPr>
    </w:p>
    <w:p>
      <w:pPr>
        <w:jc w:val="both"/>
        <w:ind w:firstLine="1304"/>
        <w:spacing w:after="0" w:line="266" w:lineRule="auto"/>
        <w:tabs>
          <w:tab w:leader="none" w:pos="1548" w:val="left"/>
        </w:tabs>
        <w:numPr>
          <w:ilvl w:val="1"/>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Agent shall have received (i) a closing certificate confirming satisfaction of the conditions in Section 3.05(a), (b) and (d), (ii) a solvency certificate from the chief financial officer or other officer with equivalent duties of the Borrower in the form of Exhibit C to the Amendment No. 1 and (iii) a Notice of Borrowing with respect to such Matterhorn Certain Funds Advance in accordance with the terms and requirements hereof.</w:t>
      </w:r>
    </w:p>
    <w:p>
      <w:pPr>
        <w:spacing w:after="0" w:line="175" w:lineRule="exact"/>
        <w:rPr>
          <w:rFonts w:ascii="Times New Roman" w:cs="Times New Roman" w:eastAsia="Times New Roman" w:hAnsi="Times New Roman"/>
          <w:sz w:val="18"/>
          <w:szCs w:val="18"/>
          <w:u w:val="single" w:color="auto"/>
          <w:color w:val="0000FF"/>
        </w:rPr>
      </w:pPr>
    </w:p>
    <w:p>
      <w:pPr>
        <w:jc w:val="both"/>
        <w:ind w:firstLine="1304"/>
        <w:spacing w:after="0" w:line="261" w:lineRule="auto"/>
        <w:tabs>
          <w:tab w:leader="none" w:pos="1550" w:val="left"/>
        </w:tabs>
        <w:numPr>
          <w:ilvl w:val="1"/>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At the time of and upon giving effect to the borrowing and application of the Matterhorn Certain Funds Advance on the Matterhorn Acquisition Closing Date, (i) each of the Matterhorn Acquisition Agreement Representations and the Matterhorn Specified Representations shall be true and correct in all material respects (without duplication of any materiality qualifier set forth therein) as of the Matterhorn Acquisition Closing Date and (ii) there shall not exist any Event of Default under Section 6.01(a) or Section 6.01(e).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The Borrower represents and warrants as follows:</w:t>
      </w:r>
    </w:p>
    <w:p>
      <w:pPr>
        <w:spacing w:after="0" w:line="225" w:lineRule="exact"/>
        <w:rPr>
          <w:sz w:val="20"/>
          <w:szCs w:val="20"/>
          <w:color w:val="auto"/>
        </w:rPr>
      </w:pPr>
    </w:p>
    <w:p>
      <w:pPr>
        <w:ind w:left="1540" w:hanging="236"/>
        <w:spacing w:after="0"/>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 corporation duly organized, validly existing and in good standing under the laws of its jurisdiction of organization.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Borrower of this Agreement and the Notes to be delivered by it (if any), and the consummation of the transactions contemplated hereby, are within the Borrower’s corporate powers, have been duly authorized by all necessary corporate action on the part of the Borrower, and do not contravene (i) the Borrower’s charter or bylaws or (ii) law or any material contractual restriction binding on the Borrower, except, in the case of this clause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where such violations or contraventions would not reasonably be expected to have a Material Adverse Effect.</w:t>
      </w:r>
    </w:p>
    <w:p>
      <w:pPr>
        <w:spacing w:after="0" w:line="16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regulatory body is required for the due execution, delivery and performance by the Borrower of this Agreement or the Notes to be delivered by it (if any) except (i) those that have been obtained, filed or made or (ii) where the Borrower’s failure to receive, take or make such authorizations, approvals, actions, notices or filings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to be delivered by it (if any) when delivered hereunder will have been, duly executed and delivered by the Borrower. This Agreement is, and each of the Notes (if any) when delivered hereunder will be, the legal, valid and binding obligation of the Borrower enforceable against the Borrower in accordance with their respective terms except to the extent that the enforceability thereof may be limited by applicable bankruptcy, insolvency, moratorium and other laws affecting creditors’ rights generally and by equitable principles (regardless of whether enforcement in sought in equity or at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Consolidated balance sheet of the Borrower and its Subsidiaries as at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and the related Consolidated statements of operations and cash flows of the Borrower and its Subsidiaries for the fiscal year then ended, accompanied by an opinion of Ernst &amp; Young LLP, independent public accountants, copies of which have been made available to each Lender, fairly present in all material respects the Consolidated financial condition of the Borrower and its Subsidiaries as at such date and the Consolidated results of the operations of the Borrower and its Subsidiaries for the periods ended on such date, all in accordance with generally accepted accounting principles consistently applied.</w:t>
      </w:r>
    </w:p>
    <w:p>
      <w:pPr>
        <w:spacing w:after="0" w:line="183"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31,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there has been no Material Adverse Change.</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no pending or, to the Borrower’s knowledge, threatened in writing, action, suit, investigation, litigation or proceeding, including, without limitation, any Environmental Action, against the Borrower or any of its Subsidiaries before any court, governmental agency or arbitrator that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could reasonably be expected to have a Material Adverse Effect </w:t>
      </w:r>
      <w:r>
        <w:rPr>
          <w:rFonts w:ascii="Times New Roman" w:cs="Times New Roman" w:eastAsia="Times New Roman" w:hAnsi="Times New Roman"/>
          <w:sz w:val="18"/>
          <w:szCs w:val="18"/>
          <w:color w:val="FF0000"/>
          <w:strike w:val="1"/>
        </w:rPr>
        <w:t>or (ii) could reasonably be expected to adversely affect the legality,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validity or enforceability of the Loan Documents</w:t>
      </w:r>
      <w:r>
        <w:rPr>
          <w:rFonts w:ascii="Times New Roman" w:cs="Times New Roman" w:eastAsia="Times New Roman" w:hAnsi="Times New Roman"/>
          <w:sz w:val="18"/>
          <w:szCs w:val="18"/>
          <w:color w:val="000000"/>
        </w:rPr>
        <w:t>.</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required to register as an “investment company” within the meaning of the Investment Company Act of 1940,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firstLine="1304"/>
        <w:spacing w:after="0" w:line="254" w:lineRule="auto"/>
        <w:tabs>
          <w:tab w:leader="none" w:pos="15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information, exhibit or report furnished by or on behalf of the Borrower to the Agent or any Lender in connection with the negotiation of this Agreement (other than Projections (as defined below), budgets, estimates and other forward-looking information or information of a general economic or industry nature), when taken together with the Borrower’s filings with the Securities and Exchange Commission, contained when furnished any untrue statement of a material fact or omitted to state a material fact necessary to make the statements made therein not materially misleading. Any projections or pro forma financial information contained in such information, exhibits or reports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are based upon good faith estimates and assumptions believed by the Borrower to be reasonable at the time made, it being recognized by the Agent and the Lenders that such projections and pro forma information are not to be viewed as facts and that actual results during the period or periods covered thereby may differ from the projected or pro forma results </w:t>
      </w:r>
      <w:r>
        <w:rPr>
          <w:rFonts w:ascii="Times New Roman" w:cs="Times New Roman" w:eastAsia="Times New Roman" w:hAnsi="Times New Roman"/>
          <w:sz w:val="18"/>
          <w:szCs w:val="18"/>
          <w:u w:val="single" w:color="auto"/>
          <w:color w:val="0000FF"/>
        </w:rPr>
        <w:t>and such differences may be material</w:t>
      </w:r>
      <w:r>
        <w:rPr>
          <w:rFonts w:ascii="Times New Roman" w:cs="Times New Roman" w:eastAsia="Times New Roman" w:hAnsi="Times New Roman"/>
          <w:sz w:val="18"/>
          <w:szCs w:val="18"/>
          <w:color w:val="auto"/>
        </w:rPr>
        <w:t xml:space="preserve"> (it being understood that forecasts and projections by their nature involve approximations and uncertainties </w:t>
      </w:r>
      <w:r>
        <w:rPr>
          <w:rFonts w:ascii="Times New Roman" w:cs="Times New Roman" w:eastAsia="Times New Roman" w:hAnsi="Times New Roman"/>
          <w:sz w:val="18"/>
          <w:szCs w:val="18"/>
          <w:u w:val="single" w:color="auto"/>
          <w:color w:val="0000FF"/>
        </w:rPr>
        <w:t>and that the Borrower makes no representation that such forecasts and projections results will in fact be realized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Sanctions, and the Borrower and its Subsidiaries, and to the knowledge of the Borrower, its officers, employees, directors and any agent of the Borrower or any Subsidiary that acts in any capacity in connection with, or benefits from, the credit facility established hereby,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Anti-Corruption Laws or applicable Sanctions.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BORROWER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So long as any Advance shall remain unpaid or any Lender shall have any Commitment hereunder, the Borrower will:</w:t>
      </w:r>
    </w:p>
    <w:p>
      <w:pPr>
        <w:spacing w:after="0" w:line="162" w:lineRule="exact"/>
        <w:rPr>
          <w:sz w:val="20"/>
          <w:szCs w:val="20"/>
          <w:color w:val="auto"/>
        </w:rPr>
      </w:pPr>
    </w:p>
    <w:p>
      <w:pPr>
        <w:jc w:val="both"/>
        <w:ind w:firstLine="1304"/>
        <w:spacing w:after="0" w:line="258" w:lineRule="auto"/>
        <w:tabs>
          <w:tab w:leader="none" w:pos="15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of its Subsidiaries to comply, with all applicable laws, rules, regulations and orders, such compliance to include, without limitation, compliance with ERISA, Environmental Laws and the Patriot Act, except in each case where failure to comply would not reasonably be expected to have a Material Adverse Effect; and maintain in effect and enforce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Sanctions.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xml:space="preserve">. Pay and discharge, and cause each of its Subsidiaries to pay and discharge, before the same shall become delinquent, all taxes, assessments and governmental charges or levies imposed upon it or upon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of its Subsidiaries shall be required to pay or discharge any such tax, assessment, charge or levy (i) that is being contested in good faith and by proper proceedings and as to which appropriate reserves are being maintained to the extent required by generally accepted accounting principles or (ii) if the failure to make any such payment or discharge any of the foregoing would not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8" w:lineRule="auto"/>
        <w:tabs>
          <w:tab w:leader="none" w:pos="15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xml:space="preserve">.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Borrower and its Subsidiaries may self-insure to the same extent as other companies engaged in similar businesses and owing similar properties in the same general areas in which the Borrower or such Subsidiary operates and to the extent consistent with prudent business practice.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and cause each of its Subsidiaries to preserve and maintain, its corporate or other organizational existence and the rights (charter and statutory) and franchises material to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and its Subsidiaries may consummate any transaction permitted under Section 5.02(b)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and any Subsidiary of the Borrower may be merged with any other Subsidiary of the Borrower or may be liquidated, wound up or dissolved;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neither the Borrower nor any of its Subsidiaries shall be required to preserve any such right or franchise if the failure to do so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during regular business hours and from time to time, upon reasonable notice, permit the Agent or any of the Lenders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 provided that (x) unless an Event of Default has occurred and is continuing, no Lender may conduct more than one visit, examination or inspection per year, (y) an officer of the Borrower shall be present during any discussions with any independent public accountants, and (z) all such visits, examinations or inspections shall be coordinated through the Agent and shall not unreasonably interfere with the operations of the Borrower and its Subsidiaries. Notwithstanding anything to the contrary in this Section 5.01(e)</w:t>
      </w:r>
      <w:r>
        <w:rPr>
          <w:rFonts w:ascii="Times New Roman" w:cs="Times New Roman" w:eastAsia="Times New Roman" w:hAnsi="Times New Roman"/>
          <w:sz w:val="18"/>
          <w:szCs w:val="18"/>
          <w:u w:val="single" w:color="auto"/>
          <w:color w:val="0000FF"/>
        </w:rPr>
        <w:t>(i) or otherwise set forth in this Agreement</w:t>
      </w:r>
      <w:r>
        <w:rPr>
          <w:rFonts w:ascii="Times New Roman" w:cs="Times New Roman" w:eastAsia="Times New Roman" w:hAnsi="Times New Roman"/>
          <w:sz w:val="18"/>
          <w:szCs w:val="18"/>
          <w:color w:val="auto"/>
        </w:rPr>
        <w:t>, neither the Borrower nor any of its Subsidiaries will be required to disclose, permit the inspection, examination or making of extracts, or discussion of, any document, information or other matter that (i) constitutes non-financial trade secrets or non-financial proprietary information, (ii) in respect of which disclosure to Agent or any Lender (or its respective designated representative) is then prohibited by applicable law or any agreement binding on the Borrower or any of its Subsidiaries or (iii) is subject to attorney-client or similar privilege or constitutes attorney work product.</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of its Subsidiaries to keep, proper books of record and account, in which entries correct and accurate in all material respects and sufficient to prepare financial statements in accordance with generally accepted accounting principles in effect from time to time shall be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Maintain and preserve, and cause each of its Subsidiaries to maintain and preserve, all of its properties that are used or useful in the conduct of its business in good working order and condition, ordinary wear and tear, condemnation and casualty excepted, in each case except where the failure to do so would not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440" w:hanging="256"/>
        <w:spacing w:after="0"/>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Agent (for distribution to the Lenders):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5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45 days after the end of each of the first three quarters of each fiscal year of the Borrower, the Consolidated balance sheet of the Borrower and its Subsidiaries as of the end of such quarter and Consolidated statements of operations and cash flows of the Borrower and its Subsidiaries for the period commencing at the end of the previous fiscal year and ending with the end of such quarter, duly certified (subject to year-end audit adjustments and absence of footnotes) by the chief financial officer of the Borrower as having been prepared in accordance with generally accepted accounting principles (it being agreed that delivery of the Borrower’s Quarterly Report on Form 10-Q will satisfy this requirement, which such report shall be deemed to have been delivered hereunder on the date on which the Borrower files such report with the Securities and Exchange Commission) and a certificate of the chief financial officer or other financial officer of the Borrower certifying whether a Default exists and setting forth in reasonable detail the calculations of the financial covenant set forth in Section 5.03 applicable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operations and cash flows of the Borrower and its Subsidiaries for such fiscal year, in each case accompanied by an opinion of Ernst &amp; Young LLP or other independent public accountants of national standing (without a “going concern” or like qualification or exception and without any qualification or exception as to the scope of such audit other than any qualification or exception related to (i) an upcoming maturity date in respect of any Debt or (ii) any potential inability to satisfy any financial maintenance covenant on a future date in a future period) to the effect that such Consolidated financial statements fairly present in all material respects its financial condition and results of operations on a Consolidated basis in accordance with generally accepted accounting principles consistently applied (it being agreed that delivery of the Borrower’s Annual Report on Form 10-K will satisfy this requirement, which such report shall be deemed to have been delivered hereunder on the date on which Borrower files such report with the Securities and Exchange Commission) and a certificate of the chief financial officer or other financial officer of the Borrower as to whether a Default exists and setting forth in reasonable detail the calculations of the financial covenant set forth in Section 5.03 applicable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7" w:name="page68"/>
    <w:bookmarkEnd w:id="67"/>
    <w:p>
      <w:pPr>
        <w:jc w:val="both"/>
        <w:ind w:left="1300" w:firstLine="652"/>
        <w:spacing w:after="0" w:line="266" w:lineRule="auto"/>
        <w:tabs>
          <w:tab w:leader="none" w:pos="22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days after the occurrence of each Default continuing on the date of such statement, a statement of the chief financial officer or other executive officer of the Borrower setting forth details of such Default and the action that the Borrower has taken and proposes to take with respect thereto;</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filing thereof, copies of all reports and registration statements that the Borrower or any Subsidiary files with the Securities and Exchange Commission or any national securities exchange and not otherwise required to be delivered to the Agent pursuant hereto;</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against the Borrower or any of its Subsidiaries of the type described in Section 4.01(f)</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in writing therefor, information and documentation reasonably requested by the Agent or any Lender for purposes of compliance with applicable “know your customer” and anti-money-laundering rules and regulations, including, without limitation, the Patriot Act and the Beneficial Ownership Regulation (if applicable); and</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3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Borrower or any of its Subsidiaries as any Lender through the Agent may from time to time reasonably request.</w:t>
      </w:r>
      <w:r>
        <w:rPr>
          <w:rFonts w:ascii="Times New Roman" w:cs="Times New Roman" w:eastAsia="Times New Roman" w:hAnsi="Times New Roman"/>
          <w:sz w:val="18"/>
          <w:szCs w:val="18"/>
          <w:u w:val="single" w:color="auto"/>
          <w:color w:val="0000FF"/>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clauses (i), (ii), (iv) and (v) of this Section 5.01(i) may be delivered electronically and if so delivered, shall be deemed to have been delivered on the date on which such documents are filed for public availability on the Securities and Exchange Commission’s Electronic Data Gathering and Retrieval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upon request provide to the Agent by electronic mail electronic versions (i.e., soft copies or links to access such documents) of such documents.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So long as any Advance shall remain unpaid or any Lender shall have any Commitment hereunder, the Borrower will not:</w:t>
      </w:r>
    </w:p>
    <w:p>
      <w:pPr>
        <w:spacing w:after="0" w:line="162" w:lineRule="exact"/>
        <w:rPr>
          <w:sz w:val="20"/>
          <w:szCs w:val="20"/>
          <w:color w:val="auto"/>
        </w:rPr>
      </w:pPr>
    </w:p>
    <w:p>
      <w:pPr>
        <w:ind w:firstLine="1304"/>
        <w:spacing w:after="0" w:line="282"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Create or suffer to exist, or permit any of its Subsidiaries to create or suffer to exist, any Lien on or with respect to any of its properties, whether now owned or hereafter acquired, other than:</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Liens and Liens in respect of Capital Lease Obligations upon or in any real property or equipment (including any accessions, additions, parts, replacements, fixtures, improvements and attachments thereto and the proceeds thereof, and customary cash security deposits) acquired or held by the Borrower or any Subsidiary to secure the purchase price of such property or equipment or to secure obligations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amount (as may be increased by an amount equal to any accrued and unpaid interest thereon, any premium or other amount paid and any fees and expenses incurred in connection with such extension, renewal or replacement) or a lesser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Lien shall extend to or cover any properties of any character other than the real property or equipment being acquired or held (and any accessions, addition, parts, replacements, fixtures, improvements and attachments thereto and the proceeds thereof, and customary cash security deposits), and no such extension, renewal or replacement shall extend to or cover any properties not theretofore subject to the Lien being extended, renewed or replaced (and any accessions, additions, parts, replacements, fixtures, improvements and attachments thereto and the proceeds thereof, and customary cash security deposits),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1140" w:hanging="30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existing on the Effective Date,</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is merged into or consolidated with the Borrower or any Subsidiary of the Borrower or becomes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merger, consolidation or acquisition and do not extend to any assets other than those of the Person (and its Subsidiaries) so merged into or consolidated with the Borrower or such Subsidiary or acquired by the Borrower or such Subsidiary,</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the obligations secured by Liens permitted in reliance on this clause (v), together with (but without duplication of) the aggregate principal amount of Debt incurred and then outstanding under Section 5.02(e)(iv), does not exceed the greater of</w:t>
      </w:r>
    </w:p>
    <w:p>
      <w:pPr>
        <w:spacing w:after="0" w:line="176" w:lineRule="exact"/>
        <w:rPr>
          <w:sz w:val="20"/>
          <w:szCs w:val="20"/>
          <w:color w:val="auto"/>
        </w:rPr>
      </w:pPr>
    </w:p>
    <w:p>
      <w:pPr>
        <w:ind w:left="180" w:right="20" w:firstLine="652"/>
        <w:spacing w:after="0" w:line="282" w:lineRule="auto"/>
        <w:tabs>
          <w:tab w:leader="none" w:pos="108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Consolidated Tangible Assets as of the end of the fiscal quarter ended immediately prior to the date such obligations are incurred or secured for which financial statements of the Borrower are available and (y) $750,000,000 at any time outstanding,</w:t>
      </w:r>
    </w:p>
    <w:p>
      <w:pPr>
        <w:spacing w:after="0" w:line="162" w:lineRule="exact"/>
        <w:rPr>
          <w:sz w:val="20"/>
          <w:szCs w:val="20"/>
          <w:color w:val="auto"/>
        </w:rPr>
      </w:pPr>
    </w:p>
    <w:p>
      <w:pPr>
        <w:ind w:left="180" w:firstLine="652"/>
        <w:spacing w:after="0" w:line="282" w:lineRule="auto"/>
        <w:tabs>
          <w:tab w:leader="none" w:pos="11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contractual liens of depository institutions or institutions holding securities accounts (including rights of set-off or similar rights or remedies),</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2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tenders, statutory obligations, surety and appeal bonds, bids, leases, government contracts, contracts for the purchase of property, performance and return-of-money bonds, and other similar obligations,</w:t>
      </w:r>
    </w:p>
    <w:p>
      <w:pPr>
        <w:spacing w:after="0" w:line="161" w:lineRule="exact"/>
        <w:rPr>
          <w:rFonts w:ascii="Times New Roman" w:cs="Times New Roman" w:eastAsia="Times New Roman" w:hAnsi="Times New Roman"/>
          <w:sz w:val="18"/>
          <w:szCs w:val="18"/>
          <w:color w:val="auto"/>
        </w:rPr>
      </w:pPr>
    </w:p>
    <w:p>
      <w:pPr>
        <w:ind w:left="1280" w:hanging="448"/>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license, or similar agreement, as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180" w:firstLine="652"/>
        <w:spacing w:after="0" w:line="282" w:lineRule="auto"/>
        <w:tabs>
          <w:tab w:leader="none" w:pos="11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earnest money deposits or escrow deposits made by the Borrower or any of its Subsidiaries in connection with any letter of intent or purchase agreement,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9" w:name="page70"/>
    <w:bookmarkEnd w:id="69"/>
    <w:p>
      <w:pPr>
        <w:ind w:left="180" w:firstLine="652"/>
        <w:spacing w:after="0" w:line="282" w:lineRule="auto"/>
        <w:tabs>
          <w:tab w:leader="none" w:pos="11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of patents, trademarks, copyrights and other intellectual property rights granted by the Borrower or any of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or orders not constituting an Event of Default under Section 6.01(f) or securing appeal or other surety bonds or similar instruments with respect to such judgments,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2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(and the proceeds thereof) at the time acquired by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does not extend to any other property of the Borrower or any of its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Lien shall not have been created in anticipation of or in connection with such transaction or series of transactions pursuant to which such property was acquired by the Borrower or any of its Subsidiaries,</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1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in the ordinary course of business which do not interfere in any material respect with the business operations of the Borrower and its Subsidiaries, taken as a whole,</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granted in favor of a trustee to secure fees and other amounts owing to such trustee under an indenture or other agreement,</w:t>
      </w:r>
    </w:p>
    <w:p>
      <w:pPr>
        <w:spacing w:after="0" w:line="161" w:lineRule="exact"/>
        <w:rPr>
          <w:rFonts w:ascii="Times New Roman" w:cs="Times New Roman" w:eastAsia="Times New Roman" w:hAnsi="Times New Roman"/>
          <w:sz w:val="18"/>
          <w:szCs w:val="18"/>
          <w:color w:val="auto"/>
        </w:rPr>
      </w:pPr>
    </w:p>
    <w:p>
      <w:pPr>
        <w:ind w:left="1280" w:hanging="448"/>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arising under leases that have been or should be, in accordance with GAAP, recorded as finance leases,</w:t>
      </w:r>
    </w:p>
    <w:p>
      <w:pPr>
        <w:spacing w:after="0" w:line="225"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as security for contested taxes or contested import or customs duties,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2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extension or renewal of any Lien permitted by clause (iii), (iv), (v) or (xiv) above upon or in the same property theretofore subject thereto (and any accessions, additions, parts, replacements, fixtures, improvements and attachments thereto and the proceeds thereof, and customary cash security deposits) or the replacement, extension or renewal (without increase in the amount (other than by an amount equal to any accrued and unpaid interest thereon, any premium or other amount paid and any fees and expenses incurred in connection with such replacement, extension or replacement) or change in any direct or contingent obligor) of the Debt secured thereby,</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Hedge Agreements entered into in the ordinary course of business and not for speculative purposes, and Liens arising under repurchase agreements, reverse repurchase agreements, securities lending and borrowing arrangements and similar arrangements, in each case, in the ordinary course of business,</w:t>
      </w:r>
    </w:p>
    <w:p>
      <w:pPr>
        <w:spacing w:after="0" w:line="175" w:lineRule="exact"/>
        <w:rPr>
          <w:rFonts w:ascii="Times New Roman" w:cs="Times New Roman" w:eastAsia="Times New Roman" w:hAnsi="Times New Roman"/>
          <w:sz w:val="18"/>
          <w:szCs w:val="18"/>
          <w:color w:val="auto"/>
        </w:rPr>
      </w:pPr>
    </w:p>
    <w:p>
      <w:pPr>
        <w:ind w:left="1220" w:hanging="388"/>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intercompany obligations among the Borrower and its Subsidiaries and between Subsidiaries, </w:t>
      </w:r>
      <w:r>
        <w:rPr>
          <w:rFonts w:ascii="Times New Roman" w:cs="Times New Roman" w:eastAsia="Times New Roman" w:hAnsi="Times New Roman"/>
          <w:sz w:val="18"/>
          <w:szCs w:val="18"/>
          <w:color w:val="FF0000"/>
          <w:strike w:val="1"/>
        </w:rPr>
        <w:t>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that is not a wholly-owned Subsidiary, any encumbrances or restrictions, including any put and call arrangements, related to equity interests in such Person set forth in the organizational documents of such Person or any related joint venture, shareholders’ or similar agreement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48" w:lineRule="exact"/>
        <w:rPr>
          <w:rFonts w:ascii="Times New Roman" w:cs="Times New Roman" w:eastAsia="Times New Roman" w:hAnsi="Times New Roman"/>
          <w:sz w:val="18"/>
          <w:szCs w:val="18"/>
          <w:color w:val="auto"/>
        </w:rPr>
      </w:pPr>
    </w:p>
    <w:p>
      <w:pPr>
        <w:ind w:left="180" w:firstLine="652"/>
        <w:spacing w:after="0" w:line="282" w:lineRule="auto"/>
        <w:tabs>
          <w:tab w:leader="none" w:pos="1329" w:val="left"/>
        </w:tabs>
        <w:numPr>
          <w:ilvl w:val="0"/>
          <w:numId w:val="6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Liens on the net cash proceeds of any Acquisition Indebtedness held in escrow by a third party escrow agent prior to the release thereof from escrow.</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jc w:val="both"/>
        <w:ind w:firstLine="1304"/>
        <w:spacing w:after="0" w:line="256"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the assets (whether now owned or hereafter acquired) of the Borrower and its Subsidiaries taken as a whole to, any Person, except that (i) any Subsidiary of the Borrower may merge or consolidate with or into the Borrower so long as the Borrower is the surviving entity in such merger or consolidation and (ii) the Borrower may merge or consolidate with or into any other Person so long as the Borrower is the surviving Person and remains organized under the laws of any state or political subdivision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Default shall have occurred and be continuing at the time of such transaction or would immediately result therefrom.</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 in Nature of Business</w:t>
      </w:r>
      <w:r>
        <w:rPr>
          <w:rFonts w:ascii="Times New Roman" w:cs="Times New Roman" w:eastAsia="Times New Roman" w:hAnsi="Times New Roman"/>
          <w:sz w:val="18"/>
          <w:szCs w:val="18"/>
          <w:color w:val="auto"/>
        </w:rPr>
        <w:t>. Make, or permit any of its Subsidiaries to, taken as a whole, make, any material change in the nature of their businesses as carried on at the date hereof, it being understood that the foregoing shall not restrict the Borrower and its Subsidiaries from carrying on any business that is related, ancillary, incidental, or complementary thereto or a reasonable extension thereof.</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Permit any of its Subsidiaries to create or suffer to exist any Debt other than:</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to the Borrower or to a Subsidiary of the Borrower,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Liens permitted by Section 5.02(a)(ii) or (xiv),</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Debt of the Borrower’s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Debt permitted in reliance on this clause (iv), together with (but without duplication of) the aggregate principal outstanding amount of obligations secured by Liens permitted under Section 5.02(a)(v), does not exceed the greater of (x) 15% of Consolidated Tangible Assets as of the end of the fiscal quarter ended immediately prior to the date such Debt was incurred for which financial statements of the Borrower are available and (y) $750,000,000 at any time outstanding,</w:t>
      </w:r>
    </w:p>
    <w:p>
      <w:pPr>
        <w:spacing w:after="0" w:line="183"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negotiable instruments for deposit or collection or similar transactions in the ordinary course of business,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of any Debt otherwise permitted under this Section 5.02(e),</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arising under Hedge Agreements entered into in the normal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of a Person that becomes a Subsidiary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exists at the time such Person becomes a Subsidiary and is not created in contemplation of or in connection with such Person becoming a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left="1300" w:firstLine="652"/>
        <w:spacing w:after="0" w:line="266" w:lineRule="auto"/>
        <w:tabs>
          <w:tab w:leader="none" w:pos="22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arising in connection with customary cash management services and from the honoring by a bank or financial institution of a check, draft or similar instrument drawn against insufficient funds, in each case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extinguished within five Business Days after its incurrence,</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0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with respect to surety, appeal, indemnity, performance or other similar bonds in the ordinary course of business or with respect to agreements providing for indemnification or adjustment of purchase price,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as an account party in respect of trade or standby letters of credit, bank guarantees or bankers’ acceptances in an aggregate amount not to exceed the greater of (x) 5.0% of Consolidated Tangible Assets as of the end of the fiscal quarter ended immediately prior to the date such Debt was incurred for which financial statements of the Borrower are available and (y) $100,000,000 at any time outstanding,</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30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obligations with respect to reimbursement type obligations regarding workers compensation claims), but not in respect of Debt, and</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7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business credit card programs, purchase cards or “p-cards”, automatic clearinghouse arrangements or other fund transfer or payment processing services, overdraft protections, other treasury, depository and cash management services and similar arrangements incurred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Request any Borrowing, or use, or permit its Subsidiaries or its or their respective directors, officers, employees and any agent of the Borrower or any Subsidiary that acts in any capacity in connection with, or benefits from, the credit facility established hereby to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the United Kingdom or in a European Union member state, or (iii) in any manner that would result in the violation of any Sanctions applicable to any party hereto.</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So long as any Advance shall remain unpaid or any Lender shall have any Commitment hereunder, the Borrower will not permit, as of the last day of any fiscal quarter of the Borrower, commencing with the fiscal quarter ending July 31, 2025, the ratio of</w:t>
      </w:r>
    </w:p>
    <w:p>
      <w:pPr>
        <w:jc w:val="both"/>
        <w:ind w:firstLine="8"/>
        <w:spacing w:after="0" w:line="252" w:lineRule="auto"/>
        <w:tabs>
          <w:tab w:leader="none" w:pos="2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Covenant Debt as of such day to (ii) Consolidated EBITDA for the four consecutive fiscal quarters of the Borrower ending on such day (such ratio, the “</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to exceed 3.50:1.00;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w:t>
      </w:r>
      <w:r>
        <w:rPr>
          <w:rFonts w:ascii="Times New Roman" w:cs="Times New Roman" w:eastAsia="Times New Roman" w:hAnsi="Times New Roman"/>
          <w:sz w:val="18"/>
          <w:szCs w:val="18"/>
          <w:color w:val="FF0000"/>
          <w:strike w:val="1"/>
        </w:rPr>
        <w:t>written notice (such notice, an “</w:t>
      </w:r>
      <w:r>
        <w:rPr>
          <w:rFonts w:ascii="Times New Roman" w:cs="Times New Roman" w:eastAsia="Times New Roman" w:hAnsi="Times New Roman"/>
          <w:sz w:val="18"/>
          <w:szCs w:val="18"/>
          <w:u w:val="single" w:color="auto"/>
          <w:color w:val="FF0000"/>
          <w:strike w:val="1"/>
        </w:rPr>
        <w:t>Increase Leverage Notice</w:t>
      </w:r>
      <w:r>
        <w:rPr>
          <w:rFonts w:ascii="Times New Roman" w:cs="Times New Roman" w:eastAsia="Times New Roman" w:hAnsi="Times New Roman"/>
          <w:sz w:val="18"/>
          <w:szCs w:val="18"/>
          <w:color w:val="FF0000"/>
          <w:strike w:val="1"/>
        </w:rPr>
        <w:t>”) to the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from</w:t>
      </w:r>
      <w:r>
        <w:rPr>
          <w:rFonts w:ascii="Times New Roman" w:cs="Times New Roman" w:eastAsia="Times New Roman" w:hAnsi="Times New Roman"/>
          <w:sz w:val="18"/>
          <w:szCs w:val="18"/>
          <w:u w:val="single" w:color="auto"/>
          <w:color w:val="0000FF"/>
        </w:rPr>
        <w:t>election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to the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 connection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Material Acquisition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has been consummated</w:t>
      </w:r>
      <w:r>
        <w:rPr>
          <w:rFonts w:ascii="Times New Roman" w:cs="Times New Roman" w:eastAsia="Times New Roman" w:hAnsi="Times New Roman"/>
          <w:sz w:val="18"/>
          <w:szCs w:val="18"/>
          <w:color w:val="000000"/>
        </w:rPr>
        <w:t>, the maximum Leverage Ratio permitted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pursuant to this Section 5.03 shall be increased to 4.00:1.00 for the last day of each of the four consecutive fiscal quarters following the consummation of such Material Acquisition;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following such four consecutive fiscal quarters for which the maximum Leverage Ratio is increased, the maximum Leverage Ratio permitted pursuant to this Section 5.03 shall revert to 3.50:1.00 for not fewer than two consecutive fiscal quarters before a subsequent </w:t>
      </w:r>
      <w:r>
        <w:rPr>
          <w:rFonts w:ascii="Times New Roman" w:cs="Times New Roman" w:eastAsia="Times New Roman" w:hAnsi="Times New Roman"/>
          <w:sz w:val="18"/>
          <w:szCs w:val="18"/>
          <w:color w:val="FF0000"/>
          <w:strike w:val="1"/>
        </w:rPr>
        <w:t>Increase Leverage Notice is delivered to the Agent</w:t>
      </w:r>
      <w:r>
        <w:rPr>
          <w:rFonts w:ascii="Times New Roman" w:cs="Times New Roman" w:eastAsia="Times New Roman" w:hAnsi="Times New Roman"/>
          <w:sz w:val="18"/>
          <w:szCs w:val="18"/>
          <w:u w:val="single" w:color="auto"/>
          <w:color w:val="0000FF"/>
        </w:rPr>
        <w:t>election is made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 shall occur and be continuing:</w:t>
      </w:r>
    </w:p>
    <w:p>
      <w:pPr>
        <w:spacing w:after="0" w:line="225" w:lineRule="exact"/>
        <w:rPr>
          <w:sz w:val="20"/>
          <w:szCs w:val="20"/>
          <w:color w:val="auto"/>
        </w:rPr>
      </w:pPr>
    </w:p>
    <w:p>
      <w:pPr>
        <w:jc w:val="both"/>
        <w:ind w:firstLine="1304"/>
        <w:spacing w:after="0" w:line="266" w:lineRule="auto"/>
        <w:tabs>
          <w:tab w:leader="none" w:pos="15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Advance when the same becomes due and payable; or the Borrower shall fail to pay any interest on any Advance or make any other payment of fees or other amounts payable under this Agreement or any Note (if any) within five Business Days after the same becomes due and payable; or</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 herein or in connection with this Agreement shall prove to have been incorrect in any material respect when made;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fail to perform or observe any term, covenant or agreement contained in Section 5.01(d) (as to the existence of the Borrower), </w:t>
      </w:r>
      <w:r>
        <w:rPr>
          <w:rFonts w:ascii="Times New Roman" w:cs="Times New Roman" w:eastAsia="Times New Roman" w:hAnsi="Times New Roman"/>
          <w:sz w:val="18"/>
          <w:szCs w:val="18"/>
          <w:color w:val="FF0000"/>
          <w:strike w:val="1"/>
        </w:rPr>
        <w:t>5.01</w:t>
      </w:r>
      <w:r>
        <w:rPr>
          <w:rFonts w:ascii="Times New Roman" w:cs="Times New Roman" w:eastAsia="Times New Roman" w:hAnsi="Times New Roman"/>
          <w:sz w:val="18"/>
          <w:szCs w:val="18"/>
          <w:u w:val="single" w:color="auto"/>
          <w:color w:val="0000FF"/>
        </w:rPr>
        <w:t>5.01</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(iii), 5.02 or 5</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the Required Lenders;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or any of its Subsidiaries shall fail to pay any principal of or premium or interest on any Debt that is outstanding in a principal amount or, in the case of Hedge Agreements, net obligations (determined as of any date as the amount such Person would be required to pay to its counterparty in accordance with the terms thereof as if terminated on such date of determination after giving effect to any netting arrangement relating to such Hedge Agreement) of at least $200,000,000 in the aggregate (but excluding Debt outstanding hereunder) of the Borrower or such Subsidiary (as the case may be) (“</w:t>
      </w:r>
      <w:r>
        <w:rPr>
          <w:rFonts w:ascii="Times New Roman" w:cs="Times New Roman" w:eastAsia="Times New Roman" w:hAnsi="Times New Roman"/>
          <w:sz w:val="18"/>
          <w:szCs w:val="18"/>
          <w:u w:val="single" w:color="auto"/>
          <w:color w:val="auto"/>
        </w:rPr>
        <w:t>Material Debt</w:t>
      </w:r>
      <w:r>
        <w:rPr>
          <w:rFonts w:ascii="Times New Roman" w:cs="Times New Roman" w:eastAsia="Times New Roman" w:hAnsi="Times New Roman"/>
          <w:sz w:val="18"/>
          <w:szCs w:val="18"/>
          <w:color w:val="auto"/>
        </w:rPr>
        <w:t xml:space="preserve">”), when the same becomes due and payable (whether by scheduled maturity, required prepayment, acceleration, demand or otherwise), and such failure shall continue after the applicable grace period, if any, specified in the agreement or instrument relating to such Material Debt; or (ii) the Borrower or any of its Subsidiaries breaches or defaults in the observance or performance of any other agreement or condition relating to any such Material Debt or any “change of control” (or equivalent term) with respect to the Borrower shall occur with respect to such Material Debt, the effect of which is to (x) cause, or to permit the holder or holders of such Material Debt (or a trustee or agent on behalf of such holder or holders) to cause (after the expiration of any grace period), with the giving of notice (if required), such Material Debt to become due prior to its scheduled maturity or (y) cause (after the expiration of any grace period), with the giving of notice if required, the Borrower or any of its Subsidiaries to purchase or redeem or make an offer to purchase or redeem such Material Debt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(d)(ii) shall not apply to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secured Debt that becomes due as a result of the voluntary sale or transfer of the property or assets securing such Debt</w:t>
      </w:r>
      <w:r>
        <w:rPr>
          <w:rFonts w:ascii="Times New Roman" w:cs="Times New Roman" w:eastAsia="Times New Roman" w:hAnsi="Times New Roman"/>
          <w:sz w:val="18"/>
          <w:szCs w:val="18"/>
          <w:color w:val="FF0000"/>
          <w:strike w:val="1"/>
        </w:rPr>
        <w:t>; or</w:t>
      </w:r>
      <w:r>
        <w:rPr>
          <w:rFonts w:ascii="Times New Roman" w:cs="Times New Roman" w:eastAsia="Times New Roman" w:hAnsi="Times New Roman"/>
          <w:sz w:val="18"/>
          <w:szCs w:val="18"/>
          <w:u w:val="single" w:color="auto"/>
          <w:color w:val="0000FF"/>
        </w:rPr>
        <w:t>, (B) any prepayment, repurchase,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defeasance of any Acquisition Indebtedness if the related Material Acquisition is not consummated, (C) any Indebtedness that becomes due as a result of a voluntary prepayment, repurchase, redemption or defeasance thereof, or any refinancing thereof, permitted under this Agreement or (D) in the case of any Hedge Agreement, termination events or equivalent events pursuant to the terms of such Hedge Agreement not arising as a result of a default by the Borrower or any Subsidiary thereunder;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304"/>
        <w:spacing w:after="0" w:line="253" w:lineRule="auto"/>
        <w:tabs>
          <w:tab w:leader="none" w:pos="15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(other than an Immaterial Subsidiary)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(other than an Immaterial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(other than an Immaterial Subsidiary) shall take any corporate action to authorize any of the actions set forth above in this subsection (e); or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Final judgments or orders for the payment of money in excess of $200,000,000 in the aggregate shall be rendered against the Borrower or any of its Subsidiaries and either (i) enforcement proceedings shall have been commenced by any creditor upon such judgment or order (and such execution shall not be paid, bonded or effectively stayed) or (ii) there shall be any period of 60 consecutive days during which such judgment is not paid or bonded and a stay of enforcement of such judgment or order, by reason of a pending appeal or otherwise, is not in effect;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judgment or order shall not be an Event of Default under this Section 6.01(f)</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to the extent that the amount of such judgment or order (or portion thereof) is paid or is covered by a valid and binding policy of insurance as to which the insurer does not dispute coverage; or</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or two or more Persons acting in concert shall have acquired beneficial ownership (within the meaning of Rule 13d-3 of the Securities and Exchange Commission under the Exchange Act), directly or indirectly, of Voting Stock of the Borrower representing 40% or more of the combined voting power of all Voting Stock of the Borrower; or (ii) occupation of a majority of the seats (other than vacant seats) on the board of directors of the Borrower by Persons who were neither (i) (x) directors of the Borrower on the date of this Agreement, (y) nominated or appointed by the board of directors of the Borrower or (z) approved by the board of directors of the Borrower for consideration by the stockholders for election nor (ii) appointed by directors so nominated, appointed or approved; or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of its ERISA Affiliates shall incur, or shall be reasonably likely to incur liability in excess of $200,000,000 in the aggregate as a result of one or more ERISA Events; 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Borrower under the United States Federal Bankruptcy Code,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hereby irrevocably appoints Citibank to act on its behalf as the Agent hereunder and authorizes the Agent to take such actions on its behalf and to exercise such powers as are delegated to the Agent by the terms hereof, together with such actions and powers as are reasonably incidental thereto. The provisions of this Article (other than Section 7.07) are solely for the benefit of the Agent and the Lenders, and the Borrower shall not have rights as a third-party beneficiary of any of such provisions. It is understood and agreed that the use of the term “agent” herein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Lenders.</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(a) The Agent shall not have any duties or obligations except those expressly set forth herein, and its duties hereunder shall be administrative in nature. Without limiting the generality of the foregoing, the Agent:</w:t>
      </w:r>
    </w:p>
    <w:p>
      <w:pPr>
        <w:spacing w:after="0" w:line="162" w:lineRule="exact"/>
        <w:rPr>
          <w:sz w:val="20"/>
          <w:szCs w:val="20"/>
          <w:color w:val="auto"/>
        </w:rPr>
      </w:pPr>
    </w:p>
    <w:p>
      <w:pPr>
        <w:ind w:left="2160" w:hanging="208"/>
        <w:spacing w:after="0"/>
        <w:tabs>
          <w:tab w:leader="none" w:pos="2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58" w:lineRule="auto"/>
        <w:tabs>
          <w:tab w:leader="none" w:pos="15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 (v) the satisfaction of any condition set forth in Article III or elsewhere herein, other than to confirm receipt of items expressly required to be delivered to the Agent.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the Agent (for the purposes of this Section 7.05,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the extent not reimbursed by the Borrower following demand therefor), ratably according to the respective principal amounts of the Advances then owed to each of them (or if no Advances are at the time outstanding, ratably according to the respective amounts of their Commitments at the time demand is made), from and against any and all claims, damages, losses, liabilities and expenses (including, without limitation, reasonable fees and expenses of counsel but subject to any limitations otherwise set forth in this Agreement) incurred by or asserted or awarded against the Indemnified Agent in any way relating to or arising out of this Agreement or any action taken or omitted by the Indemnified Agent under this Agreement except to the extent such claim, damage, loss, liability or expense is found in a final, non-appealable judgment by a court of competent jurisdiction to have resulted from (x) the Indemnified Agent’s gross negligence, bad faith or willful misconduct or (y) the material breach in bad faith by the Indemnified Agent of its express obligations under this Agreement (collectively, the “</w:t>
      </w:r>
      <w:r>
        <w:rPr>
          <w:rFonts w:ascii="Times New Roman" w:cs="Times New Roman" w:eastAsia="Times New Roman" w:hAnsi="Times New Roman"/>
          <w:sz w:val="18"/>
          <w:szCs w:val="18"/>
          <w:u w:val="single" w:color="auto"/>
          <w:color w:val="auto"/>
        </w:rPr>
        <w:t>Indemnified Costs</w:t>
      </w:r>
      <w:r>
        <w:rPr>
          <w:rFonts w:ascii="Times New Roman" w:cs="Times New Roman" w:eastAsia="Times New Roman" w:hAnsi="Times New Roman"/>
          <w:sz w:val="18"/>
          <w:szCs w:val="18"/>
          <w:color w:val="auto"/>
        </w:rPr>
        <w:t>”). Without limitation of the foregoing, each Lender agrees to reimburse the Indemnified Agent promptly upon demand for its ratable share of any out of pocket expenses (including reasonable counsel fees) incurred by the Indemnified Agent in connection with the preparation, execution, delivery, administration, modification, amendment or enforcement (whether through negotiations, legal proceedings or otherwise) of, or legal advice in respect of rights or responsibilities under, this Agreement, to the extent that the Indemnified Agent is not reimbursed for such expenses by the Borrower. In the case of any investigation, litigation or proceeding giving rise to any Indemnified Costs, this Section 7.05 applies whether any such investigation, litigation or proceeding is brought by the Indemnified Agent, any Lender or a third party. This Section 7.05 shall not apply with respect to taxes other than any taxes that represent losses or damages arising from any non-tax claim.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Commitments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(a) The Agent may at any time give notice of its resignation to the Lenders and the Borrower, which resignation shall be effective on the Resignation Effective Date. Upon receipt of any such notice of resignation, the Required Lenders shall have the right to appoint a successor which is, so long as no Event of Default under Section 6.01(a) or Section 6.01(e) is continuing, reasonably acceptable to the Borrower,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firstLine="1304"/>
        <w:spacing w:after="0" w:line="256" w:lineRule="auto"/>
        <w:tabs>
          <w:tab w:leader="none" w:pos="15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serving as Agent is a Defaulting Lender pursuant to clause (v) of the definition thereof, the Required Lenders may, to the extent permitted by applicable law, by notice in writing to the Borrower and such Person remove such Person as Agent and appoint a successor which is, so long as no Event of Default under Section 6.01(a) or Section 6.01(e) is continuing, reasonably acceptable to the Borrower.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Agent shall be discharged from its duties and obligations hereunder and (2)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Arrangers or syndication agents, if any, listed on the cover page hereof shall have any powers, duties or responsibilities under this Agreement, except in its capacity, as applicable, as the Agent or a Lender 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Certain Lender ERISA Matters</w:t>
      </w:r>
      <w:r>
        <w:rPr>
          <w:rFonts w:ascii="Times New Roman" w:cs="Times New Roman" w:eastAsia="Times New Roman" w:hAnsi="Times New Roman"/>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at least one of the following is and will be true:</w:t>
      </w:r>
    </w:p>
    <w:p>
      <w:pPr>
        <w:spacing w:after="0" w:line="176" w:lineRule="exact"/>
        <w:rPr>
          <w:sz w:val="20"/>
          <w:szCs w:val="20"/>
          <w:color w:val="auto"/>
        </w:rPr>
      </w:pPr>
    </w:p>
    <w:p>
      <w:pPr>
        <w:jc w:val="both"/>
        <w:ind w:left="1300" w:firstLine="652"/>
        <w:spacing w:after="0" w:line="266" w:lineRule="auto"/>
        <w:tabs>
          <w:tab w:leader="none" w:pos="21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firstLine="1296"/>
        <w:spacing w:after="0" w:line="261"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3" w:lineRule="auto"/>
        <w:tabs>
          <w:tab w:leader="none" w:pos="2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the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Agent under this Agreement, any other Loan Document or any documents related hereto or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Section, the following terms shall have the following meanings: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(a) If the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Agent has determined in its sole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the Agent pending its return or repayment as contemplated below in this Section 7.11 and held in trust for the benefit of the Agent, and such Lender shall (or, with respect to any Payment Recipient who received such funds on its behalf, shall cause such Payment Recipient to) promptly, but in no event later than two Business Days thereafter (or such later date as the Agent may, in its sole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96" w:lineRule="exact"/>
        <w:rPr>
          <w:sz w:val="20"/>
          <w:szCs w:val="20"/>
          <w:color w:val="auto"/>
        </w:rPr>
      </w:pPr>
    </w:p>
    <w:p>
      <w:pPr>
        <w:jc w:val="both"/>
        <w:ind w:firstLine="1304"/>
        <w:spacing w:after="0" w:line="255" w:lineRule="auto"/>
        <w:tabs>
          <w:tab w:leader="none" w:pos="15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immediately preceding clauses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the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left="1300" w:firstLine="652"/>
        <w:spacing w:after="0" w:line="261" w:lineRule="auto"/>
        <w:tabs>
          <w:tab w:leader="none" w:pos="22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notify the Agent of its receipt of such payment, prepayment or repayment, the details thereof (in reasonable detail) and that it is so notifying the Agent pursuant to this Section 7.11(b).</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the Agent pursuant to this Section 7.11(b) shall not have any effect on a Payment Recipient’s obligations pursuant to Section 7.11(a) or on whether or not an Erroneous Payment has been made.</w:t>
      </w:r>
    </w:p>
    <w:p>
      <w:pPr>
        <w:spacing w:after="0" w:line="162" w:lineRule="exact"/>
        <w:rPr>
          <w:sz w:val="20"/>
          <w:szCs w:val="20"/>
          <w:color w:val="auto"/>
        </w:rPr>
      </w:pPr>
    </w:p>
    <w:p>
      <w:pPr>
        <w:jc w:val="both"/>
        <w:ind w:firstLine="1304"/>
        <w:spacing w:after="0" w:line="266"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authorizes the Agent to set off, net and apply any and all amounts at any time owing to such Lender under any Loan Document, or otherwise payable or distributable by the Agent to such Lender under any Loan Document with respect to any payment of principal, interest, fees or other amounts, against any amount that the Agent has demanded to be returned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1300" w:firstLine="652"/>
        <w:spacing w:after="0" w:line="251" w:lineRule="auto"/>
        <w:tabs>
          <w:tab w:leader="none" w:pos="218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Agent’s notice to such Lender at any time, then effective immediately (with the consideration therefor being acknowledged by the parties hereto), (A) such Lender shall be deemed to have assigned its Advances (but not its Commitments) in an amount equal to the Erroneous Payment Return Deficiency (or such lesser amount as the Agent may specify) (such assignment of the Advances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Agent in such instance)), and is hereby (together with the Borrower) deemed to execute and deliver an Assignment and Assumption (or, to the extent applicable, an agreement incorporating an Assignment and Assumption by reference pursuant to an electronic platform as to which the Agent and such parties are participants) with respect to such Erroneous Payment Deficiency Assignment, and such Lender shall deliver any Notes evidencing such Advances to the Borrower or the Agent (but the failure of such Person to deliver any such Notes shall not affect the effectiveness of the foregoing assignment), (B) the Agent as the assignee Lender shall be deemed to have acquired the Erroneous Payment Deficiency Assignment, (C) upon such deemed acquisition, the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Agent and the Borrower shall each be deemed to have waived any consents required under this Agreement to any such Erroneous Payment Deficiency Assignment, and (E) the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left="1300" w:firstLine="652"/>
        <w:spacing w:after="0" w:line="253" w:lineRule="auto"/>
        <w:tabs>
          <w:tab w:leader="none" w:pos="222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8.07 (but excluding, in all events, any assignment consent or approval requirements (whether from the Borrower or otherwise)), the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Agent on or with respect to any such Advances acquired from such Lender pursuant to an Erroneous Payment Deficiency Assignment (to the extent that any such Advances are then owned by the Agent) and (y) may, in the sole discretion of the Agent, be reduced by any amount specified by the Agent in writing to the applicable Lender from time to time.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Agent may be equitably subrogated, in the event that an Erroneous Payment (or portion thereof) is not recovered from any Payment Recipient that has received such Erroneous Payment (or portion thereof) for any reason, the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Subrogation Rights</w:t>
      </w:r>
      <w:r>
        <w:rPr>
          <w:rFonts w:ascii="Times New Roman" w:cs="Times New Roman" w:eastAsia="Times New Roman" w:hAnsi="Times New Roman"/>
          <w:sz w:val="18"/>
          <w:szCs w:val="18"/>
          <w:color w:val="auto"/>
        </w:rPr>
        <w:t xml:space="preserve">”) (provided that the Borrower’s obligations under the Loan Documents in respect of the Erroneous Payment Subrogation Rights shall not be duplicative of such obligations in respect of Advances that have been assigned to the Agent under an Erroneous Payment Deficiency Assignment) and (y) an Erroneous Payment shall not pay, prepay, repay, discharge or otherwise satisfy any obligations owed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7.11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Agent; provided, further, that for the avoidance of doubt, immediately preceding clauses (x) and (y) shall not apply to the extent any such Erroneous Payment is, and solely with respect to the amount of such Erroneous Payment that is, comprised of funds received by the Agent from the Borrower for the purpose of making such Erroneous Payment.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304"/>
        <w:spacing w:after="0" w:line="261" w:lineRule="auto"/>
        <w:tabs>
          <w:tab w:leader="none" w:pos="15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7.11 shall survive the resignation or replacement of the Agent, any transfer of rights or obligations by, or the replacement of, a Lender, the termination of the Commitments and/or the repayment, satisfaction or discharge of all obligations (or any portion thereof) of the Borrower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provided in Sections 2.17, 2.20 and 2.22, no amendment or waiver of any provision of this Agreement, nor consent to any departure by the Borrower therefrom, shall in any event be effective unless the same shall be in writing and signed by the Required Lenders (or the Agent with the consent of the Required Lenders),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waiver or consent shall, unless in writing and signed by (a) all the Lenders, do any of the following: (i) waive any of the conditions specified in Section 3.01, (ii) change the definition of “Required Lenders” or the percentage of the Commitments or of the aggregate unpaid principal amount of the Advances, or the number of Lenders, that shall be required for the Lenders or any of them to take any action hereunder or (iii) amend this Section 8.01 or (b) each Lender affected thereby, do any of the following: (i) increase, or extend the date for termination of, the Commitment of such Lender, (ii) reduce the principal of, or rate of interest on, the Advances or any fees or other amounts payable hereunder to such Lender, (iii) postpone any date fixed for any payment of principal of, or interest on, the Advances or any fees or other amounts payable hereunder to such Lender or (iv) change Section 2.14 in a manner that would alter the pro rata sharing of payments required thereby;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amendment, waiver or consent shall, unless in writing and signed by the Agent in addition to the Lenders required above to take such action, affect the rights or duties of the Agent under this Agreement or any Note. 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Advances may not be extended, the rate of interest on any of its Advances may not be reduced and the principal amount of any of its Advances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spacing w:after="0" w:line="19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Notices; Effectiveness; Electronic Communication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paragraph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below) or as otherwise provided in Section 5.01(i), all notices and other communications provided for herein shall be in writing and shall be delivered by hand or overnight courier service, mailed by certified or registered mail or sent by facsimile (other than to the Borrower) or email as follows:</w:t>
      </w:r>
    </w:p>
    <w:p>
      <w:pPr>
        <w:spacing w:after="0" w:line="180" w:lineRule="exact"/>
        <w:rPr>
          <w:sz w:val="20"/>
          <w:szCs w:val="20"/>
          <w:color w:val="auto"/>
        </w:rPr>
      </w:pPr>
    </w:p>
    <w:p>
      <w:pPr>
        <w:ind w:left="1300" w:firstLine="652"/>
        <w:spacing w:after="0" w:line="282" w:lineRule="auto"/>
        <w:tabs>
          <w:tab w:leader="none" w:pos="21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 One Market Street, Suite 400, San Francisco, California 94105, Attention of Treasurer (E-mail: treasops@autodesk.com), with a copy to Attention of General Counsel (E-mail: general.counsel@autodesk.com);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300" w:firstLine="652"/>
        <w:spacing w:after="0" w:line="282" w:lineRule="auto"/>
        <w:tabs>
          <w:tab w:leader="none" w:pos="22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 to it at One Penns Way, OPS 2/2, New Castle, Delaware 19720, Attention of Lending Agency; E-mail: usagencyservicing@citi.com;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or e-mail) set forth in its Administrative Questionnaire.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80" w:lineRule="exact"/>
        <w:rPr>
          <w:sz w:val="20"/>
          <w:szCs w:val="20"/>
          <w:color w:val="auto"/>
        </w:rPr>
      </w:pPr>
    </w:p>
    <w:p>
      <w:pPr>
        <w:jc w:val="both"/>
        <w:ind w:firstLine="1304"/>
        <w:spacing w:after="0" w:line="258" w:lineRule="auto"/>
        <w:tabs>
          <w:tab w:leader="none" w:pos="15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firstLine="1304"/>
        <w:spacing w:after="0" w:line="266"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The Borrower may change its address or email address for notices and other communications hereunder by notice to the Agent. Any other party hereto may change its address, e-mail address or facsimile number for notices and other communications hereunder by notice to the other parties hereto.</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Agent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1300" w:firstLine="652"/>
        <w:spacing w:after="0" w:line="253" w:lineRule="auto"/>
        <w:tabs>
          <w:tab w:leader="none" w:pos="22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(each an “</w:t>
      </w:r>
      <w:r>
        <w:rPr>
          <w:rFonts w:ascii="Times New Roman" w:cs="Times New Roman" w:eastAsia="Times New Roman" w:hAnsi="Times New Roman"/>
          <w:sz w:val="18"/>
          <w:szCs w:val="18"/>
          <w:u w:val="single" w:color="auto"/>
          <w:color w:val="auto"/>
        </w:rPr>
        <w:t>Agent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except to the extent caused by Agent’s or any Agent Party’s gross negligence or willful misconduct.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the Borrower provides to the Agent pursuant to this Agreement or the transactions contemplated therein which is distributed to the Agent or any Lender by means of electronic communications pursuant to this Section, including through the Platform.</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Costs and Expenses; Indemnification</w:t>
      </w:r>
      <w:r>
        <w:rPr>
          <w:rFonts w:ascii="Times New Roman" w:cs="Times New Roman" w:eastAsia="Times New Roman" w:hAnsi="Times New Roman"/>
          <w:sz w:val="18"/>
          <w:szCs w:val="18"/>
          <w:color w:val="auto"/>
        </w:rPr>
        <w:t xml:space="preserve">. (a) The Borrower agrees to pay </w:t>
      </w:r>
      <w:r>
        <w:rPr>
          <w:rFonts w:ascii="Times New Roman" w:cs="Times New Roman" w:eastAsia="Times New Roman" w:hAnsi="Times New Roman"/>
          <w:sz w:val="18"/>
          <w:szCs w:val="18"/>
          <w:color w:val="FF0000"/>
          <w:strike w:val="1"/>
        </w:rPr>
        <w:t>on demand, and upon</w:t>
      </w:r>
      <w:r>
        <w:rPr>
          <w:rFonts w:ascii="Times New Roman" w:cs="Times New Roman" w:eastAsia="Times New Roman" w:hAnsi="Times New Roman"/>
          <w:sz w:val="18"/>
          <w:szCs w:val="18"/>
          <w:u w:val="single" w:color="auto"/>
          <w:color w:val="0000FF"/>
        </w:rPr>
        <w:t>promptly following the</w:t>
      </w:r>
      <w:r>
        <w:rPr>
          <w:rFonts w:ascii="Times New Roman" w:cs="Times New Roman" w:eastAsia="Times New Roman" w:hAnsi="Times New Roman"/>
          <w:sz w:val="18"/>
          <w:szCs w:val="18"/>
          <w:color w:val="auto"/>
        </w:rPr>
        <w:t xml:space="preserve"> presentation of a statement of account therefor, all reasonable and documented out-of-pocket costs and expenses of the Agent in connection with the preparation, execution, delivery, administration, modification and amendment of this Agreement, the Notes and the other documents to be delivered hereunder, including, without limitation, the reasonable and documented out-of-pocket fees and expenses of one counsel for the Agent (which, as of the date hereof, is Davis Polk &amp; Wardwell LLP) with respect thereto and with respect to advising the Agent as to its rights and responsibilities under this Agreement. The Borrower further agrees</w:t>
      </w:r>
      <w:r>
        <w:rPr>
          <w:rFonts w:ascii="Times New Roman" w:cs="Times New Roman" w:eastAsia="Times New Roman" w:hAnsi="Times New Roman"/>
          <w:sz w:val="18"/>
          <w:szCs w:val="18"/>
          <w:u w:val="single" w:color="auto"/>
          <w:color w:val="0000FF"/>
        </w:rPr>
        <w:t>, following the occurrence and during the continuance of any Default,</w:t>
      </w:r>
      <w:r>
        <w:rPr>
          <w:rFonts w:ascii="Times New Roman" w:cs="Times New Roman" w:eastAsia="Times New Roman" w:hAnsi="Times New Roman"/>
          <w:sz w:val="18"/>
          <w:szCs w:val="18"/>
          <w:color w:val="auto"/>
        </w:rPr>
        <w:t xml:space="preserve"> to pay on demand all costs and expenses of the Agent and the Lenders, if any (including, without limitation, reasonable counsel fees and expenses of one counsel for the Agent and the Lenders, taken as a whole, and if reasonably necessary, a single local counsel for the Agent and the Lenders, taken as a whole, in each jurisdiction for which local counsel is reasonably deemed necessary), in connection with the enforcement (whether through negotiations, legal proceedings or otherwise) of this Agreement, the Notes and the other documents to be delivered hereunder, including, without limitation, in connection with the enforcement of rights under this Section 8.04(a).</w:t>
      </w:r>
    </w:p>
    <w:p>
      <w:pPr>
        <w:spacing w:after="0" w:line="192" w:lineRule="exact"/>
        <w:rPr>
          <w:sz w:val="20"/>
          <w:szCs w:val="20"/>
          <w:color w:val="auto"/>
        </w:rPr>
      </w:pPr>
    </w:p>
    <w:p>
      <w:pPr>
        <w:jc w:val="both"/>
        <w:ind w:firstLine="1304"/>
        <w:spacing w:after="0" w:line="252" w:lineRule="auto"/>
        <w:tabs>
          <w:tab w:leader="none" w:pos="15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indemnify and hold harmless the Agent, each Arranger and each Lender and each of their Related Parties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fees and expenses of one counsel for all such Indemnified Parties, taken as a whole, and if reasonably necessary, a single local counsel for all Indemnified Parties, taken as a whole, in each jurisdiction for which local counsel is reasonably deemed necessary and, solely in the case of a conflict of interest, one special counsel to each group of similarly situated Indemnified Parties affected by such conflict where such group notifies the Borrower of such conflict and thereafter retains such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Advances or (ii) the actual or alleged presence of Hazardous Materials on or at any currently or formerly owned, leased or operated property of the Borrower or any of its Subsidiaries or any Environmental Action or liability under any Environmental Law relating in any way to the Borrower or any of its Subsidiaries, except to the extent such claim, damage, loss, liability or expense is found in a final, non-appealable judgment by a court of competent jurisdiction to have resulted from (x) such Indemnified Party’s gross negligence, bad faith or willful misconduct, (y) the material breach by such Indemnified Party of its express obligations under this Agreement pursuant to a claim initiated by the Borrower or (z) any dispute solely among Indemnified Parties (not arising as a result of an act or omission by the Borrower or any of its Subsidiaries) other than claims against the Agent or any of its Affiliates in its capacity, or in fulfilling its role, as the Agent under this Agreement. In the case of an investigation, litigation or other proceeding to which the indemnity in this Section 8.04(b)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shall not be liable for the settlement of any such investigation, litigation or proceedings effected without the Borrower’s consent (which consent shall not be unreasonably withheld or delayed).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parties hereto agree not to assert any claim for special, indirect, consequential or punitive damages against any other party hereto,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 No Lender-Related Party shall be liable for any damages arising from the use by unintended recipients of any information or other materials distributed by it through telecommunications, electronic or other information transmission systems in connection with this Agreement or the transactions contemplated hereby or thereby except to the extent such damages are found in a final, non-appealable judgment by a court of competent jurisdiction to have been caused by the gross negligence or willful misconduct of such Lender-Related Party. This Section 8.04(b)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shall not apply with respect to taxes other than any taxes that represent losses or damages arising from any non-tax claim.</w:t>
      </w:r>
    </w:p>
    <w:p>
      <w:pPr>
        <w:spacing w:after="0" w:line="192" w:lineRule="exact"/>
        <w:rPr>
          <w:sz w:val="20"/>
          <w:szCs w:val="20"/>
          <w:color w:val="auto"/>
        </w:rPr>
      </w:pPr>
    </w:p>
    <w:p>
      <w:pPr>
        <w:jc w:val="both"/>
        <w:ind w:firstLine="1304"/>
        <w:spacing w:after="0" w:line="254" w:lineRule="auto"/>
        <w:tabs>
          <w:tab w:leader="none" w:pos="154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of principal of, or Conversion of, any SOFR Advance is made by the Borrower to or for the account of a Lender other than on the last day of the Interest Period for such Advance, as a result of a payment or Conversion pursuant to Section 2.07(d) or </w:t>
      </w:r>
      <w:r>
        <w:rPr>
          <w:rFonts w:ascii="Times New Roman" w:cs="Times New Roman" w:eastAsia="Times New Roman" w:hAnsi="Times New Roman"/>
          <w:sz w:val="18"/>
          <w:szCs w:val="18"/>
          <w:color w:val="FF0000"/>
          <w:strike w:val="1"/>
        </w:rPr>
        <w:t>2.07</w:t>
      </w:r>
      <w:r>
        <w:rPr>
          <w:rFonts w:ascii="Times New Roman" w:cs="Times New Roman" w:eastAsia="Times New Roman" w:hAnsi="Times New Roman"/>
          <w:sz w:val="18"/>
          <w:szCs w:val="18"/>
          <w:u w:val="single" w:color="auto"/>
          <w:color w:val="0000FF"/>
        </w:rPr>
        <w:t>2.07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0000FF"/>
        </w:rPr>
        <w:t>i</w:t>
      </w:r>
      <w:r>
        <w:rPr>
          <w:rFonts w:ascii="Times New Roman" w:cs="Times New Roman" w:eastAsia="Times New Roman" w:hAnsi="Times New Roman"/>
          <w:sz w:val="18"/>
          <w:szCs w:val="18"/>
          <w:color w:val="auto"/>
        </w:rPr>
        <w:t>), 2.09 or 2.11,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8.07 as a result of a demand by the Borrower pursuant to Section 2.19, the Borrower shall, upon demand by such Lender (with a copy of such demand to the Agent and setting forth in reasonable detail the calculation of the amounts demanded),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Borrower hereunder, the agreements and obligations of the Borrower contained in Sections 2.10, 2.13 and 8.04 shall survive the payment in full of principal, interest and all other amounts payable hereunder and under the Notes and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6884670</wp:posOffset>
            </wp:positionH>
            <wp:positionV relativeFrom="paragraph">
              <wp:posOffset>-1547495</wp:posOffset>
            </wp:positionV>
            <wp:extent cx="5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-1530350</wp:posOffset>
            </wp:positionV>
            <wp:extent cx="57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Upon either (a) the occurrence and during the continuance of any Event of Default under Section 6.01(a) or </w:t>
      </w:r>
      <w:r>
        <w:rPr>
          <w:rFonts w:ascii="Times New Roman" w:cs="Times New Roman" w:eastAsia="Times New Roman" w:hAnsi="Times New Roman"/>
          <w:sz w:val="18"/>
          <w:szCs w:val="18"/>
          <w:color w:val="FF0000"/>
          <w:strike w:val="1"/>
        </w:rPr>
        <w:t>6.01(e</w:t>
      </w:r>
      <w:r>
        <w:rPr>
          <w:rFonts w:ascii="Times New Roman" w:cs="Times New Roman" w:eastAsia="Times New Roman" w:hAnsi="Times New Roman"/>
          <w:sz w:val="18"/>
          <w:szCs w:val="18"/>
          <w:u w:val="single" w:color="auto"/>
          <w:color w:val="0000FF"/>
        </w:rPr>
        <w:t>6.01e</w:t>
      </w:r>
      <w:r>
        <w:rPr>
          <w:rFonts w:ascii="Times New Roman" w:cs="Times New Roman" w:eastAsia="Times New Roman" w:hAnsi="Times New Roman"/>
          <w:sz w:val="18"/>
          <w:szCs w:val="18"/>
          <w:color w:val="auto"/>
        </w:rPr>
        <w:t xml:space="preserve">) involving the Borrower or (b) (i) the occurrence and during the continuance of any other Event of Default and (4)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but excluding deposits in (i) trust or other fiduciary accounts (to the extent of amounts held therein in trust in the ordinary course of business on behalf of third parties), (ii) payroll accounts, (iii) health-savings accounts and worker’s compensation accounts, (iv) withholding tax accounts and (v) zero balance accounts used in the ordinary course of business)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 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 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any Defaulting Lender exercises any such right of setoff, (x) all amounts so set off will be paid over immediately to the Agent for further application in accordance with the provisions of Section 2.18(a) and, pending such payment, will be segregated by such Defaulting Lender from its other funds and deemed held in trust for the benefit of the Agent and the Lenders and (y) such Defaulting Lender will provide promptly to the Agent a statement describing in reasonable detail the obligations owing to such Defaulting Lender as to which it exercised such right of setoff. The rights of each Lender and its Affiliates under this Section are in addition to other rights and remedies (including, without limitation, other rights of set off) that such Lender and its Affiliates may have.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(other than Section 2.01, which shall only become effective upon satisfaction of the conditions precedent set forth in Section 3.01) when it shall have been executed by the Borrower, the Agent and each Initial Lender and thereafter shall be binding upon and inure to the benefit of the Borrower, the Agent and each Lender and their respective permitted successors and assigns, except that the Borrower shall not have the right to assign its rights hereunder or any interest herein without the prior written consent of each Lender (and any other attempted assignment or transfer by any party hereto shall be null and void).</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paragraph (b) of this Section, (5) by way of participation in accordance with the provisions of paragraph (d) of this Section, or (6)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of this Section and, to the extent expressly contemplated hereby, the Related Parties of each of the Agent and the Lenders) any legal or equitable right, remedy or claim under or by reason of this Agreement.</w:t>
      </w:r>
    </w:p>
    <w:p>
      <w:pPr>
        <w:spacing w:after="0" w:line="189" w:lineRule="exact"/>
        <w:rPr>
          <w:sz w:val="20"/>
          <w:szCs w:val="20"/>
          <w:color w:val="auto"/>
        </w:rPr>
      </w:pPr>
    </w:p>
    <w:p>
      <w:pPr>
        <w:jc w:val="both"/>
        <w:ind w:firstLine="1304"/>
        <w:spacing w:after="0" w:line="266" w:lineRule="auto"/>
        <w:tabs>
          <w:tab w:leader="none" w:pos="15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1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or in the case of an assignment to a Lender or an Affiliate of a Lender, no minimum amount need be assigned; and</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55" w:lineRule="auto"/>
        <w:tabs>
          <w:tab w:leader="none" w:pos="305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or an integral multiple of $1,000,000 in excess thereof, unless each of the Agent and, so long as no Event of Default under Section 6.01(a) or 6.01(e) has occurred and is continuing at the time of such assignment, the Borrower otherwise consents (each such consent not to be unreasonably withheld or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80" w:firstLine="652"/>
        <w:spacing w:after="0" w:line="282" w:lineRule="auto"/>
        <w:tabs>
          <w:tab w:leader="none" w:pos="10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(B) of this Section and, in addition:</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(x) an Event of Default under Section 6.01(a) or 6.01(e) has occurred and is continuing at the time of such assignment, or (y) such assignment is to a Lender or an Affiliate of a Lender </w:t>
      </w:r>
      <w:r>
        <w:rPr>
          <w:rFonts w:ascii="Times New Roman" w:cs="Times New Roman" w:eastAsia="Times New Roman" w:hAnsi="Times New Roman"/>
          <w:sz w:val="18"/>
          <w:szCs w:val="18"/>
          <w:u w:val="single" w:color="auto"/>
          <w:color w:val="0000FF"/>
        </w:rPr>
        <w:t>or an Approved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Agent within ten Business Days after having received written notice thereof; and</w:t>
      </w:r>
    </w:p>
    <w:p>
      <w:pPr>
        <w:spacing w:after="0" w:line="3" w:lineRule="exact"/>
        <w:rPr>
          <w:rFonts w:ascii="Times New Roman" w:cs="Times New Roman" w:eastAsia="Times New Roman" w:hAnsi="Times New Roman"/>
          <w:sz w:val="18"/>
          <w:szCs w:val="18"/>
          <w:color w:val="auto"/>
        </w:rPr>
      </w:pPr>
    </w:p>
    <w:p>
      <w:pPr>
        <w:ind w:left="180" w:firstLine="1300"/>
        <w:spacing w:after="0" w:line="260" w:lineRule="auto"/>
        <w:tabs>
          <w:tab w:leader="none" w:pos="19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Agent (such consent not to be unreasonably withheld or delayed) shall be required for assignments to a Person that is not a Lender or an Affiliate of such Lender.</w:t>
      </w:r>
    </w:p>
    <w:p>
      <w:pPr>
        <w:spacing w:after="0" w:line="18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(other than Borrower) shall execute and deliver to the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may, in its sole discretion, elect to waive such processing and recordation fee in the case of any assignment. The assignee, if it is not a Lender, shall deliver to the Agent an Administrative Questionnaire.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Borrower or any of the Borrower’s Affiliates or Subsidiaries or (B) to any Defaulting Lender, its Parent Company or any of its Subsidiaries, or any Person who, upon becoming a Lender hereunder, would constitute any of the foregoing Persons described in this clause (B).</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2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28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and each other Lender hereunder (and interest accrued thereon), and (y) acquire (and fund as appropriate) its full pro rata share of all Advances in accordance with its ratable share of the Commitments.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2.10, 2.13 and 8.04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of this Section.</w:t>
      </w:r>
    </w:p>
    <w:p>
      <w:pPr>
        <w:spacing w:after="0" w:line="194" w:lineRule="exact"/>
        <w:rPr>
          <w:sz w:val="20"/>
          <w:szCs w:val="20"/>
          <w:color w:val="auto"/>
        </w:rPr>
      </w:pPr>
    </w:p>
    <w:p>
      <w:pPr>
        <w:jc w:val="both"/>
        <w:ind w:firstLine="1304"/>
        <w:spacing w:after="0" w:line="256"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Agent, acting solely for this purpose as an agent of the Borrower, shall maintain at one of its offices in the United States a copy of each Assumption Agreement and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as to its Commitment,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 and other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first proviso of Section 8.01 that affects such Participant. The Borrower agrees that each Participant shall be entitled to the benefits of Sections 2.10 and 2.13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the provisions of Section 2.19 as if it were an assignee under paragraph (b) of this Section. To the extent permitted by law, each Participant also shall be entitled to the benefits of Section 8.05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2.14 as though it were a Lender.</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acting solely for this purpose as a nonfiduciary agent of the Borrower, shall maintain a register on which it enters the name and address of each Participant and the principal amounts (and stated interest) of each Participant’s interest in the Advances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hereunder)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2" w:lineRule="exact"/>
        <w:rPr>
          <w:sz w:val="20"/>
          <w:szCs w:val="20"/>
          <w:color w:val="auto"/>
        </w:rPr>
      </w:pPr>
    </w:p>
    <w:p>
      <w:pPr>
        <w:jc w:val="both"/>
        <w:ind w:firstLine="1304"/>
        <w:spacing w:after="0" w:line="258" w:lineRule="auto"/>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Sections 2.10 and 2.13 than the applicable Lender would have been entitled to receive with respect to the participation sold to such Participant, unless the sale of the participation to such Participant is made with the Borrower’s prior written consent. A Participant organized under the laws of a jurisdiction outside the United States shall not be entitled to the benefits of Section 2.13 unless the Borrower is notified of the participation sold to such Participant and such Participant agrees, for the benefit of the Borrower, to comply with Section 2.13(e)</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as though it were a Lender.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 and the Lenders agrees to maintain the confidentiality of the Borrower Information (as defined below), and agrees that it shall only use such Borrower Information in connection with the transactions contemplated by this Agreement and not disclose such information other than (a) to its Affiliates and to its and its Affiliates’ Related Parties on a need to know basis that are expected to be involved in the evaluation of such information in connection with the transactions contemplated by this Agreement (it being understood that the Persons to whom such disclosure is made will be informed of the confidential nature of such Borrower Information and instructed to keep such Borrower Information confidential in accordance with the terms hereof),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Agent and the Lenders agree to the extent not prohibited by applicable law, rule, regulation or order, to inform the Borrower promptly of the disclosure thereof and to the extent practicable,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and the Lenders shall bear no liability for failure to provide such notice), (d) to any other party hereto, (e) in connection with the exercise of any remedies hereunder or any action or proceeding relating to this Agreement or the enforcement of rights hereunder, (f) subject to an agreement for the benefit of the Borrower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the Borrower and its obligations, this Agreement or payments hereunder or to any credit insurance provider relating to the Borrower and its obligations, (iii) any rating agency, or (7) the CUSIP Service Bureau or any similar organization, v) with the written consent of the Borrower or vi) to the extent such Borrower Information (x) becomes publicly available other than as a result of a breach of this Section or (y) becomes available to the Agent, any Lender or any of their respective Affiliates on a nonconfidential basis from a source other than the Borrower (unless such disclosure is known to the Agent or such Lender to have violated a confidentiality obligation). In addition, the Agent and the Lenders may disclose the existence of this Agreement and information about this Agreement to market data collectors, similar service providers to the lending industry and service providers to the Agent or any Lender in connection with the administration of this Agreement, the other Loan Documents, and the Commitments.</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means all information received from the Borrower or any of its Subsidiaries relating to the Borrower or any of its Subsidiaries or any of their respective businesses, other than any such information that is available to the Agent or any Lender on a nonconfidential basis prior to disclosure by the Borrower or any of its Subsidiaries (unless such disclosure is known to the Agent or such Lender to have violated a confidentiality obligation).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Notes shall be governed by, and construed in accordance with, the laws of the State of New York</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provided that the determination of whether the Matterhorn Acquisition has been consummated in accordance with the terms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Matterhorn Acquisition Agreement shall, in each case, be governed by and construed in accordance with the domestic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other electronic transmission (including a .pdf e-mail transmission) shall be effective as delivery of a manually executed counterpart of this Agreement.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xml:space="preserve">. (a)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The Borrower hereby irrevocably consents to the service of process in any action or proceeding </w:t>
      </w:r>
      <w:r>
        <w:rPr>
          <w:rFonts w:ascii="Times New Roman" w:cs="Times New Roman" w:eastAsia="Times New Roman" w:hAnsi="Times New Roman"/>
          <w:sz w:val="18"/>
          <w:szCs w:val="18"/>
          <w:u w:val="single" w:color="auto"/>
          <w:color w:val="0000FF"/>
        </w:rPr>
        <w:t>(whether in tort, contract, law or equity)</w:t>
      </w:r>
      <w:r>
        <w:rPr>
          <w:rFonts w:ascii="Times New Roman" w:cs="Times New Roman" w:eastAsia="Times New Roman" w:hAnsi="Times New Roman"/>
          <w:sz w:val="18"/>
          <w:szCs w:val="18"/>
          <w:color w:val="auto"/>
        </w:rPr>
        <w:t xml:space="preserve">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w:t>
      </w:r>
    </w:p>
    <w:p>
      <w:pPr>
        <w:spacing w:after="0" w:line="194" w:lineRule="exact"/>
        <w:rPr>
          <w:sz w:val="20"/>
          <w:szCs w:val="20"/>
          <w:color w:val="auto"/>
        </w:rPr>
      </w:pPr>
    </w:p>
    <w:p>
      <w:pPr>
        <w:jc w:val="both"/>
        <w:ind w:firstLine="1304"/>
        <w:spacing w:after="0" w:line="261" w:lineRule="auto"/>
        <w:tabs>
          <w:tab w:leader="none" w:pos="15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irrevocably and unconditionally waives, to the fullest extent it may legally and effectively do so, any objection that it may now or hereafter have to the laying of venue of any suit, action or proceeding </w:t>
      </w:r>
      <w:r>
        <w:rPr>
          <w:rFonts w:ascii="Times New Roman" w:cs="Times New Roman" w:eastAsia="Times New Roman" w:hAnsi="Times New Roman"/>
          <w:sz w:val="18"/>
          <w:szCs w:val="18"/>
          <w:u w:val="single" w:color="auto"/>
          <w:color w:val="0000FF"/>
        </w:rPr>
        <w:t>(whether in tort, contract, law or equity)</w:t>
      </w:r>
      <w:r>
        <w:rPr>
          <w:rFonts w:ascii="Times New Roman" w:cs="Times New Roman" w:eastAsia="Times New Roman" w:hAnsi="Times New Roman"/>
          <w:sz w:val="18"/>
          <w:szCs w:val="18"/>
          <w:color w:val="auto"/>
        </w:rPr>
        <w:t xml:space="preserve">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Patriot Act Notice; Beneficial Ownership Regulation</w:t>
      </w:r>
      <w:r>
        <w:rPr>
          <w:rFonts w:ascii="Times New Roman" w:cs="Times New Roman" w:eastAsia="Times New Roman" w:hAnsi="Times New Roman"/>
          <w:sz w:val="18"/>
          <w:szCs w:val="18"/>
          <w:color w:val="auto"/>
        </w:rPr>
        <w:t>. Each Lender and the Agent (for itself and not on behalf of any Lender) hereby notifies the Borrower that pursuant to the requirements of the Patriot Act and the Beneficial Ownership Regulation (if applicable), it is required to obtain, verify and record information that identifies the Borrower, which information includes the name and address of the Borrower and other information that will allow such Lender or the Agent, as applicable, to identify the Borrower in accordance with the Patriot Act and the Beneficial Ownership Regulation (if applicable). The Borrower shall provide, to the extent commercially reasonable, such information and take such actions as are reasonably requested by the Agent or any Lenders in order to assist the Agent and the Lenders in maintaining compliance with the Patriot Act and the Beneficial Ownership Regulation (if applicable).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Advance or other obligation owing under this Agreement, together with all fees, charges and other amounts that are treated as interest on such Advance or other obligation under applicable law (collectively,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Advance or other obligation in accordance with applicable law, the rate of interest payable in respect of such Advance or other obligation hereunder, together with all charges payable in respect thereof, shall be limited to the Maximum Rate. To the extent lawful, the interest and charges that would have been paid in respect of such Advance or other obligation but were not paid as a result of the operation of this Section 8.13 shall be cumulated and the interest and charges payable to such Lender or other Person in respect of other Advances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Advance or other obligation or refunded to the Borrower so that at no time shall the interest and charges paid or payable in respect of such Advance or other obligation exceed the maximum amount collectible at the Maximum 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No Fiduciary Duty; Other Relationships</w:t>
      </w:r>
      <w:r>
        <w:rPr>
          <w:rFonts w:ascii="Times New Roman" w:cs="Times New Roman" w:eastAsia="Times New Roman" w:hAnsi="Times New Roman"/>
          <w:sz w:val="18"/>
          <w:szCs w:val="18"/>
          <w:color w:val="auto"/>
        </w:rPr>
        <w:t>. The Borrower acknowledges that the Lenders have no fiduciary relationship with, or fiduciary duty to, the Borrower arising out of or in connection with this Agreement, and the relationship between each Lender and the Borrower is solely that of creditor and debtor. This Agreement does not create a joint venture among the parties hereto. No relationship created hereunder shall in any way affect the ability of the Agent and each Lender to enter into or maintain business relationships with the Borrower or any Affiliate thereof beyond the relationships specifically contemplated by this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“execute,” “execution,” “signed,” “signature,” and words of like import in or related to any document to be signed in connection with this Agreement and the transactions contemplated hereby (including without limitation Assignment and Assumptions, amendments or other modifications, any Notice of Borrowing,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Acknowledgement and Consent to Bail-In of Certain Affected Financial Institutions</w:t>
      </w:r>
      <w:r>
        <w:rPr>
          <w:rFonts w:ascii="Times New Roman" w:cs="Times New Roman" w:eastAsia="Times New Roman" w:hAnsi="Times New Roman"/>
          <w:sz w:val="18"/>
          <w:szCs w:val="18"/>
          <w:color w:val="auto"/>
        </w:rPr>
        <w:t>.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5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52"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620" w:firstLine="332"/>
        <w:spacing w:after="0" w:line="261" w:lineRule="auto"/>
        <w:tabs>
          <w:tab w:leader="none" w:pos="222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OF THE BORROWER, THE AGENT AND THE LENDERS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Remainder Intentionally Omitted</w:t>
      </w:r>
      <w:r>
        <w:rPr>
          <w:rFonts w:ascii="Times New Roman" w:cs="Times New Roman" w:eastAsia="Times New Roman" w:hAnsi="Times New Roman"/>
          <w:sz w:val="18"/>
          <w:szCs w:val="18"/>
          <w:u w:val="single" w:color="auto"/>
          <w:color w:val="0000FF"/>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22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3920" w:type="dxa"/>
            <w:vAlign w:val="bottom"/>
          </w:tcPr>
          <w:p>
            <w:pPr>
              <w:spacing w:after="0"/>
              <w:rPr>
                <w:sz w:val="24"/>
                <w:szCs w:val="24"/>
                <w:color w:val="auto"/>
              </w:rPr>
            </w:pPr>
          </w:p>
        </w:tc>
        <w:tc>
          <w:tcPr>
            <w:tcW w:w="4340" w:type="dxa"/>
            <w:vAlign w:val="bottom"/>
            <w:gridSpan w:val="5"/>
          </w:tcPr>
          <w:p>
            <w:pPr>
              <w:jc w:val="center"/>
              <w:ind w:right="850"/>
              <w:spacing w:after="0"/>
              <w:rPr>
                <w:sz w:val="20"/>
                <w:szCs w:val="20"/>
                <w:color w:val="auto"/>
              </w:rPr>
            </w:pPr>
            <w:r>
              <w:rPr>
                <w:rFonts w:ascii="Times New Roman" w:cs="Times New Roman" w:eastAsia="Times New Roman" w:hAnsi="Times New Roman"/>
                <w:sz w:val="18"/>
                <w:szCs w:val="18"/>
                <w:color w:val="auto"/>
              </w:rPr>
              <w:t>COMMITMENTS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MATTERHORN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CERTAIN</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FUNDS</w:t>
            </w:r>
          </w:p>
        </w:tc>
        <w:tc>
          <w:tcPr>
            <w:tcW w:w="10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LENDER</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COMMITMENT</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COMMITMENT</w:t>
            </w: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141,333,333.36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282,666,666.67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141,333,333.33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282,666,666.67</w:t>
            </w:r>
          </w:p>
        </w:tc>
        <w:tc>
          <w:tcPr>
            <w:tcW w:w="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4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141,333,333.33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282,666,666.66</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141,333,333.33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282,666,666.66</w:t>
            </w:r>
          </w:p>
        </w:tc>
        <w:tc>
          <w:tcPr>
            <w:tcW w:w="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4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141,333,333.33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282,666,666.66</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73,333,333.33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146,666,666.67</w:t>
            </w:r>
          </w:p>
        </w:tc>
        <w:tc>
          <w:tcPr>
            <w:tcW w:w="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4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73,333,333.33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146,666,666.67</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73,333,333.33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146,666,666.67</w:t>
            </w:r>
          </w:p>
        </w:tc>
        <w:tc>
          <w:tcPr>
            <w:tcW w:w="80" w:type="dxa"/>
            <w:vAlign w:val="bottom"/>
          </w:tcPr>
          <w:p>
            <w:pPr>
              <w:spacing w:after="0"/>
              <w:rPr>
                <w:sz w:val="18"/>
                <w:szCs w:val="18"/>
                <w:color w:val="auto"/>
              </w:rPr>
            </w:pPr>
          </w:p>
        </w:tc>
      </w:tr>
      <w:tr>
        <w:trPr>
          <w:trHeight w:val="249"/>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424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73,333,333.33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146,666,666.67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1,000,000,000.00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2,000,000,000.00</w:t>
            </w:r>
          </w:p>
        </w:tc>
        <w:tc>
          <w:tcPr>
            <w:tcW w:w="8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2"/>
        </w:trPr>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$1,000,000,000</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15, 2026 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auto"/>
        </w:rPr>
        <w:t>as Borrower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auto"/>
        </w:rPr>
        <w:t>as Lenders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u w:val="single" w:color="auto"/>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MORGAN STANLEY SENIOR FUNDING, INC., CITIBANK, N.A. and BNP PARIBAS SECURITIES CORP.</w:t>
      </w:r>
    </w:p>
    <w:p>
      <w:pPr>
        <w:spacing w:after="0" w:line="24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u w:val="single" w:color="auto"/>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838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TABLE OF CONTENTS</w:t>
            </w:r>
          </w:p>
        </w:tc>
        <w:tc>
          <w:tcPr>
            <w:tcW w:w="1120" w:type="dxa"/>
            <w:vAlign w:val="bottom"/>
          </w:tcPr>
          <w:p>
            <w:pPr>
              <w:spacing w:after="0"/>
              <w:rPr>
                <w:sz w:val="17"/>
                <w:szCs w:val="17"/>
                <w:color w:val="auto"/>
              </w:rPr>
            </w:pPr>
          </w:p>
        </w:tc>
      </w:tr>
      <w:tr>
        <w:trPr>
          <w:trHeight w:val="459"/>
        </w:trPr>
        <w:tc>
          <w:tcPr>
            <w:tcW w:w="174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1820" w:type="dxa"/>
            <w:vAlign w:val="bottom"/>
            <w:tcBorders>
              <w:top w:val="single" w:sz="8" w:color="auto"/>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Certain Defined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Terms Generally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1.05</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47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AMOUNTS AND TERMS OF THE ADVANCES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Advances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Making the Advances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Advances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Interest on Advances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Optional Conversion and Continuation of Advances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Prepayments of Advances and Reduction/Prepayment Events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Increased Costs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Illegality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2.14</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Sharing of Payments, Etc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Evidence of Debt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2.16</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2.17</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2.18</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Defaulting Lenders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2.19</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Replacement of Lenders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2.20</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2.21</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2.22</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Benchmark Replacement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47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CONDITIONS TO EFFECTIVENESS AND LENDING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Conditions Precedent to Effectiveness of Commitments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Conditions Precedent to Funding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47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Representations and Warranties of the Borrower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472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 OF THE BORROWER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Affirmative Covenants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Negative Covenants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4"/>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8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Financial Covenant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9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7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00" w:type="dxa"/>
            <w:vAlign w:val="bottom"/>
          </w:tcPr>
          <w:p>
            <w:pPr>
              <w:spacing w:after="0"/>
              <w:rPr>
                <w:sz w:val="18"/>
                <w:szCs w:val="18"/>
                <w:color w:val="auto"/>
              </w:rPr>
            </w:pPr>
          </w:p>
        </w:tc>
        <w:tc>
          <w:tcPr>
            <w:tcW w:w="8740" w:type="dxa"/>
            <w:vAlign w:val="bottom"/>
            <w:gridSpan w:val="4"/>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9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THE AGENT</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7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as a Lender</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Exculpatory Provisions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Agent</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Delegation of Duties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Resignation of Agent</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Other Duties, etc</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Lender ERISA Matters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00" w:type="dxa"/>
            <w:vAlign w:val="bottom"/>
          </w:tcPr>
          <w:p>
            <w:pPr>
              <w:spacing w:after="0"/>
              <w:rPr>
                <w:sz w:val="18"/>
                <w:szCs w:val="18"/>
                <w:color w:val="auto"/>
              </w:rPr>
            </w:pPr>
          </w:p>
        </w:tc>
        <w:tc>
          <w:tcPr>
            <w:tcW w:w="8740" w:type="dxa"/>
            <w:vAlign w:val="bottom"/>
            <w:gridSpan w:val="4"/>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9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7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Amendments, Etc</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Waiver; Remedies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 and Expenses; Indemnification</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8.05</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 of Set-off</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8.06</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8.07</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8.08</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Confidentiality</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8.09</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Governing Law</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8.10</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8.11</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Jurisdiction, Etc</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8.12</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Patriot Act Notice; Beneficial Ownership Regulation</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8.13</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8.14</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Fiduciary Duty; Other Relationships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8.15</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8.16</w:t>
            </w: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Acknowledgement and Consent to Bail-In of Certain Affected Financial Institutions</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8.17</w:t>
            </w:r>
          </w:p>
        </w:tc>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19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1900" w:type="dxa"/>
            <w:vAlign w:val="bottom"/>
          </w:tcPr>
          <w:p>
            <w:pPr>
              <w:spacing w:after="0"/>
              <w:rPr>
                <w:sz w:val="24"/>
                <w:szCs w:val="24"/>
                <w:color w:val="auto"/>
              </w:rPr>
            </w:pPr>
          </w:p>
        </w:tc>
      </w:tr>
      <w:tr>
        <w:trPr>
          <w:trHeight w:val="39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Note</w:t>
            </w:r>
          </w:p>
        </w:tc>
        <w:tc>
          <w:tcPr>
            <w:tcW w:w="1900" w:type="dxa"/>
            <w:vAlign w:val="bottom"/>
          </w:tcPr>
          <w:p>
            <w:pPr>
              <w:spacing w:after="0"/>
              <w:rPr>
                <w:sz w:val="24"/>
                <w:szCs w:val="24"/>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190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190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Tax Compliance Certificates</w:t>
            </w:r>
          </w:p>
        </w:tc>
        <w:tc>
          <w:tcPr>
            <w:tcW w:w="1900" w:type="dxa"/>
            <w:vAlign w:val="bottom"/>
          </w:tcPr>
          <w:p>
            <w:pPr>
              <w:spacing w:after="0"/>
              <w:rPr>
                <w:sz w:val="18"/>
                <w:szCs w:val="18"/>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19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15, 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AUTODESK,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hereto, and 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Lenders (as hereinafter defined),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Indebtedness</w:t>
      </w:r>
      <w:r>
        <w:rPr>
          <w:rFonts w:ascii="Times New Roman" w:cs="Times New Roman" w:eastAsia="Times New Roman" w:hAnsi="Times New Roman"/>
          <w:sz w:val="18"/>
          <w:szCs w:val="18"/>
          <w:color w:val="auto"/>
        </w:rPr>
        <w:t xml:space="preserve">” means any Debt of the Borrower or any Subsidiary that has been incurred for the purpose of financing, in whole or in part, a Material Acquisition and any related transactions (including for the purpose of refinancing or replacing all or a portion of any related bridge facilities or any pre-existing Debt of the Persons or assets to be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the release of the proceeds thereof to the Borrower and the Subsidiaries is contingent upon the substantially simultaneous consummation of such Material Acquisition and, pending such release, such proceeds are held in escrow (and, if the definitive agreement for such Material Acquisition is terminated prior to the consummation of such Material Acquisition, or if such Material Acquisition is otherwise not consummated by the date specified in the definitive documentation evidencing, governing the rights of the holders of or otherwise relating to such Debt, then, in each case, such proceeds are, and pursuant to the terms of such definitive documentation are required to be, promptly applied to satisfy and discharge all obligations of the Borrower and the Subsidiaries in respect of such Debt) or (y) such Debt contains a “special mandatory redemption” provision (or a similar provision) if such Material Acquisition is not consummated by the date specified in the definitive documentation evidencing, governing the rights of the holders of or otherwise relating to such Debt (and, if the definitive agreement for such Material Acquisition is terminated prior to the consummation of such Material Acquisition or such Material Acquisition is otherwise not consummated by the date so specified, such Debt is, and pursuant to such “special mandatory redemption” (or similar) provision is required to be, redeemed or otherwise satisfied and discharged within 90 days of such termination or such specified date, as the case may be).</w:t>
      </w:r>
    </w:p>
    <w:p>
      <w:pPr>
        <w:spacing w:after="0" w:line="19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the purposes of any calculation, the rate per annum equal to Term SOFR for such calculation;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would be less than the Floor, such rate will be deemed to be the Floor for the purposes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Agent.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by a Lender to the Borrower as part of a Borrowing and refers to a Base Rate Advance or a SOFR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Advance).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Account</w:t>
      </w:r>
      <w:r>
        <w:rPr>
          <w:rFonts w:ascii="Times New Roman" w:cs="Times New Roman" w:eastAsia="Times New Roman" w:hAnsi="Times New Roman"/>
          <w:sz w:val="18"/>
          <w:szCs w:val="18"/>
          <w:color w:val="auto"/>
        </w:rPr>
        <w:t>” means the account of the Agent maintained by the Agent at Citibank at its office at One Penns Way, OPS 2/2, New Castle, Delaware 19720, Account No. [***], Attention: Lending Agency.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money laundering or corruption.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any Lender, the office of such Lender specified as its “Lending Office” in its Administrative Questionnaire delivered to the Agent, or such other office of such Lender as such Lender may from time to time specify to the Borrower and the Agent.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Applicable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Margin for</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Margin for</w:t>
            </w:r>
          </w:p>
        </w:tc>
      </w:tr>
      <w:tr>
        <w:trPr>
          <w:trHeight w:val="216"/>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Public Debt Rating</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SOFR</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Base Rate</w:t>
            </w:r>
          </w:p>
        </w:tc>
      </w:tr>
      <w:tr>
        <w:trPr>
          <w:trHeight w:val="241"/>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S&amp;P/Moody’s/Fitch</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Advances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Advances</w:t>
            </w:r>
          </w:p>
        </w:tc>
      </w:tr>
      <w:tr>
        <w:trPr>
          <w:trHeight w:val="176"/>
        </w:trPr>
        <w:tc>
          <w:tcPr>
            <w:tcW w:w="600" w:type="dxa"/>
            <w:vAlign w:val="bottom"/>
            <w:tcBorders>
              <w:top w:val="single" w:sz="8" w:color="auto"/>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1</w:t>
            </w:r>
          </w:p>
        </w:tc>
        <w:tc>
          <w:tcPr>
            <w:tcW w:w="788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86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 / A1 / A+ or above</w:t>
            </w:r>
          </w:p>
        </w:tc>
        <w:tc>
          <w:tcPr>
            <w:tcW w:w="13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0.625%</w:t>
            </w:r>
          </w:p>
        </w:tc>
        <w:tc>
          <w:tcPr>
            <w:tcW w:w="126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0.000%</w:t>
            </w:r>
          </w:p>
        </w:tc>
      </w:tr>
      <w:tr>
        <w:trPr>
          <w:trHeight w:val="176"/>
        </w:trPr>
        <w:tc>
          <w:tcPr>
            <w:tcW w:w="56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2</w:t>
            </w:r>
          </w:p>
        </w:tc>
        <w:tc>
          <w:tcPr>
            <w:tcW w:w="1080" w:type="dxa"/>
            <w:vAlign w:val="bottom"/>
            <w:tcBorders>
              <w:top w:val="single" w:sz="8" w:color="auto"/>
            </w:tcBorders>
            <w:gridSpan w:val="2"/>
          </w:tcPr>
          <w:p>
            <w:pPr>
              <w:spacing w:after="0"/>
              <w:rPr>
                <w:sz w:val="15"/>
                <w:szCs w:val="15"/>
                <w:color w:val="auto"/>
              </w:rPr>
            </w:pPr>
          </w:p>
        </w:tc>
        <w:tc>
          <w:tcPr>
            <w:tcW w:w="696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7"/>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 A2 / 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3</w:t>
            </w:r>
          </w:p>
        </w:tc>
        <w:tc>
          <w:tcPr>
            <w:tcW w:w="8040" w:type="dxa"/>
            <w:vAlign w:val="bottom"/>
            <w:tcBorders>
              <w:bottom w:val="single" w:sz="8" w:color="CCEEFF"/>
            </w:tcBorders>
            <w:gridSpan w:val="4"/>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6"/>
        </w:trPr>
        <w:tc>
          <w:tcPr>
            <w:tcW w:w="8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A3 /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0.875%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4</w:t>
            </w:r>
          </w:p>
        </w:tc>
        <w:tc>
          <w:tcPr>
            <w:tcW w:w="804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5</w:t>
            </w:r>
          </w:p>
        </w:tc>
        <w:tc>
          <w:tcPr>
            <w:tcW w:w="8040" w:type="dxa"/>
            <w:vAlign w:val="bottom"/>
            <w:tcBorders>
              <w:bottom w:val="single" w:sz="8" w:color="CCEEFF"/>
            </w:tcBorders>
            <w:gridSpan w:val="4"/>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7"/>
        </w:trPr>
        <w:tc>
          <w:tcPr>
            <w:tcW w:w="8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Baa2 / BBB or below</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0.125%</w:t>
            </w:r>
          </w:p>
        </w:tc>
      </w:tr>
    </w:tbl>
    <w:p>
      <w:pPr>
        <w:spacing w:after="0" w:line="198"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Debt Rating</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Applicable</w:t>
            </w:r>
          </w:p>
        </w:tc>
      </w:tr>
      <w:tr>
        <w:trPr>
          <w:trHeight w:val="24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S&amp;P/Moody’s/Fitch</w:t>
            </w: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r>
      <w:tr>
        <w:trPr>
          <w:trHeight w:val="175"/>
        </w:trPr>
        <w:tc>
          <w:tcPr>
            <w:tcW w:w="56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1</w:t>
            </w:r>
          </w:p>
        </w:tc>
        <w:tc>
          <w:tcPr>
            <w:tcW w:w="3260" w:type="dxa"/>
            <w:vAlign w:val="bottom"/>
            <w:tcBorders>
              <w:top w:val="single" w:sz="8" w:color="auto"/>
              <w:bottom w:val="single" w:sz="8" w:color="CCEEFF"/>
            </w:tcBorders>
            <w:shd w:val="clear" w:color="auto" w:fill="CCEEFF"/>
          </w:tcPr>
          <w:p>
            <w:pPr>
              <w:spacing w:after="0"/>
              <w:rPr>
                <w:sz w:val="15"/>
                <w:szCs w:val="15"/>
                <w:color w:val="auto"/>
              </w:rPr>
            </w:pPr>
          </w:p>
        </w:tc>
        <w:tc>
          <w:tcPr>
            <w:tcW w:w="60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A1 / A+ or above</w:t>
            </w:r>
          </w:p>
        </w:tc>
        <w:tc>
          <w:tcPr>
            <w:tcW w:w="7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0.050%</w:t>
            </w:r>
          </w:p>
        </w:tc>
      </w:tr>
      <w:tr>
        <w:trPr>
          <w:trHeight w:val="175"/>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2</w:t>
            </w:r>
          </w:p>
        </w:tc>
        <w:tc>
          <w:tcPr>
            <w:tcW w:w="32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 A2 / A</w:t>
            </w:r>
          </w:p>
        </w:tc>
        <w:tc>
          <w:tcPr>
            <w:tcW w:w="7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0.065%</w:t>
            </w:r>
          </w:p>
        </w:tc>
      </w:tr>
      <w:tr>
        <w:trPr>
          <w:trHeight w:val="175"/>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3</w:t>
            </w:r>
          </w:p>
        </w:tc>
        <w:tc>
          <w:tcPr>
            <w:tcW w:w="326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7"/>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 A3 / A-</w:t>
            </w:r>
          </w:p>
        </w:tc>
        <w:tc>
          <w:tcPr>
            <w:tcW w:w="7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0.075%</w:t>
            </w:r>
          </w:p>
        </w:tc>
      </w:tr>
      <w:tr>
        <w:trPr>
          <w:trHeight w:val="175"/>
        </w:trPr>
        <w:tc>
          <w:tcPr>
            <w:tcW w:w="5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Level 4</w:t>
            </w:r>
          </w:p>
        </w:tc>
        <w:tc>
          <w:tcPr>
            <w:tcW w:w="32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7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0.100%</w:t>
            </w:r>
          </w:p>
        </w:tc>
      </w:tr>
      <w:tr>
        <w:trPr>
          <w:trHeight w:val="176"/>
        </w:trPr>
        <w:tc>
          <w:tcPr>
            <w:tcW w:w="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Level 5</w:t>
            </w:r>
          </w:p>
        </w:tc>
        <w:tc>
          <w:tcPr>
            <w:tcW w:w="326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Baa2 / BBB or below</w:t>
            </w:r>
          </w:p>
        </w:tc>
        <w:tc>
          <w:tcPr>
            <w:tcW w:w="7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0.125%</w:t>
            </w:r>
          </w:p>
        </w:tc>
      </w:tr>
      <w:tr>
        <w:trPr>
          <w:trHeight w:val="655"/>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(i) the Matterhorn Initial Arrangers and (ii) BNP Paribas Securities Corp.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8.07(b)(iii)), and accepted by the Agent, in substantially the form of Exhibit C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commencing on the Effective Date and ending on the Matterhorn Acquisition Termination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2.22(c)(i).</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highest of:</w:t>
      </w:r>
    </w:p>
    <w:p>
      <w:pPr>
        <w:spacing w:after="0" w:line="162" w:lineRule="exact"/>
        <w:rPr>
          <w:sz w:val="20"/>
          <w:szCs w:val="20"/>
          <w:color w:val="auto"/>
        </w:rPr>
      </w:pPr>
    </w:p>
    <w:p>
      <w:pPr>
        <w:ind w:left="1540" w:hanging="248"/>
        <w:spacing w:after="0"/>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announced publicly by Citibank in New York, New York, from time to time, as Citibank’s base rate;</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½ of one percent per annum above the Federal Funds Rate; and</w:t>
      </w:r>
    </w:p>
    <w:p>
      <w:pPr>
        <w:spacing w:after="0" w:line="225" w:lineRule="exact"/>
        <w:rPr>
          <w:rFonts w:ascii="Times New Roman" w:cs="Times New Roman" w:eastAsia="Times New Roman" w:hAnsi="Times New Roman"/>
          <w:sz w:val="18"/>
          <w:szCs w:val="18"/>
          <w:color w:val="auto"/>
        </w:rPr>
      </w:pPr>
    </w:p>
    <w:p>
      <w:pPr>
        <w:ind w:left="1520" w:hanging="228"/>
        <w:spacing w:after="0"/>
        <w:tabs>
          <w:tab w:leader="none" w:pos="1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for a one-month tenor in effect on such day plus 1.00%;</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9" w:name="page100"/>
    <w:bookmarkEnd w:id="99"/>
    <w:p>
      <w:pPr>
        <w:ind w:left="6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Base Rate as so determined would be less than 1.00%, such rate shall be deemed to be 1.00% for purposes of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that bears interest as provided in Section 2.06(a)(i).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or Daily Simple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Daily Simple SOFR or the then-current Benchmark, then “Benchmark” means the applicable Benchmark Replacement to the extent that such Benchmark Replacement has replaced such prior benchmark rate pursuant to Section 2.22(a).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5" w:lineRule="exact"/>
        <w:rPr>
          <w:sz w:val="20"/>
          <w:szCs w:val="20"/>
          <w:color w:val="auto"/>
        </w:rPr>
      </w:pPr>
    </w:p>
    <w:p>
      <w:pPr>
        <w:jc w:val="both"/>
        <w:ind w:right="20" w:firstLine="644"/>
        <w:spacing w:after="0" w:line="266" w:lineRule="auto"/>
        <w:tabs>
          <w:tab w:leader="none" w:pos="90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9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0" w:name="page101"/>
    <w:bookmarkEnd w:id="10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44"/>
        <w:spacing w:after="0" w:line="261" w:lineRule="auto"/>
        <w:tabs>
          <w:tab w:leader="none" w:pos="8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93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9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2.22 and (b) ending at the time that a Benchmark Replacement has replaced the then-current Benchmark for all purposes hereunder and under any Loan Document in accordance with Section 2.22.</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has the meaning specified in Section 8.08.</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made by the Lenders pursuant to Section 2.01.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of the year on which banks are not required or authorized by law to close in New York City.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 obligations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(a) the U.S. dollar amount set forth opposite such Lender’s name on Schedule I hereto as such Lender’s “Commitment” or (b) if such Lender has entered into an Assignment and Assumption, the amount set forth for such Lender in the Register maintained by the Agent pursuant to Section 8.07(d)(i), in each case as such amount may be reduced pursuant to Section 2.04 or increased or decreased pursuant to an Assignment and Assumption. As of the Effective Date, the aggregate amount of the Commitments of all Lenders is equal to $1,000,000,000.</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Adjusted Term SOFR, Daily Simple SOFR or the use, administration, adoption or implementation of any Benchmark Replacement, any technical, administrative or operational changes (including changes to the definition of “Base Rate,”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in consultation with the Borrower, reasonably decides may be appropriate to reflect the adoption and implementation of any such rate or to permit the use and administration thereof by the Agent in a manner substantially consistent with market practice (or, if the Agent, in consultation with the Borrower, reasonably decides that adoption of any portion of such market practice is not administratively feasible or if the Agent, in consultation with the Borrower, reasonably determines that no market practice for the administration of any such rate exists, in such other manner of administration as the Agent, in consultation with the Borrower, decides is reasonably necessary in connection with the administration of this Agreement and the other Loan Documents).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Covenant Debt</w:t>
      </w:r>
      <w:r>
        <w:rPr>
          <w:rFonts w:ascii="Times New Roman" w:cs="Times New Roman" w:eastAsia="Times New Roman" w:hAnsi="Times New Roman"/>
          <w:sz w:val="18"/>
          <w:szCs w:val="18"/>
          <w:color w:val="auto"/>
        </w:rPr>
        <w:t xml:space="preserve">” means Debt of the types described in clauses (a), (c) and (e) of the definition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Consolidated Covenant Debt, at any time after the definitive agreement for any Material Acquisition shall have been executed, any Acquisition Indebtedness with respect to such Material Acquisition, unless such Material Acquisition shall have been consummated, shall be disregarded.</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2" w:name="page103"/>
    <w:bookmarkEnd w:id="10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net income (or net loss) plus, to the extent deducted in determining such net income (or net loss), the sum (without duplication) of (a) interest expense, (b) income tax expense, (c) depreciation expense, (d) amortization expense, (e) any increases in deferred or unearned revenue or substantially equivalent items (net of any increases in deferred costs (which deferred costs, for avoidance of doubt, do not include deferred commissions, capitalized costs to acquire revenue contracts or substantially equivalent items)), (f) all unusual and non-recurring expenses, charges and losses, (g) in connection with any acquisition, all non-recurring restructuring costs, facilities relocation costs, acquisition integration costs and fees, including cash severance payments, and non-recurring fees and expenses, in each case paid during such period in connection with such acquisition and within twelve (12) months of the completion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added back to net income (or net loss) pursuant to this clause (g) in respect of any such costs, fees, payments and expenses paid in cash in connection with all such acquisitions shall not exceed 20% of Consolidated EBITDA (calculated before giving effect to this clause (g) in the aggregate for any period of four fiscal quarters of the Borrower) and (h) non-cash expenses, charges and losses including, without limitation, restructuring expenses, goodwill, fixed asset and other intangibles impairment, acquisition integration costs, facilities relocation costs and charges and expenses related to the issuance of options and other equity based compensation to directors, employees and consultants, and minus, to the extent included in determining such net income (or net loss), the sum of (x) unusual and non-recurring gains and (y) any decreases in deferred or unearned revenue or substantially equivalent items (net of any decreases in deferred costs (which deferred costs, for avoidance of doubt, do not include deferred commissions, capitalized costs to acquire revenue contracts or substantially equivalent items)); in each case determined on a Consolidated basis for the Borrower and its Subsidiaries in accordance with GAAP and calculated on a Pro Forma Basis in accordance with Section 1.03(b).</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as of any date of determination, for the Borrower and its Subsidiaries (determined in each case on a Consolidated basis):</w:t>
      </w:r>
    </w:p>
    <w:p>
      <w:pPr>
        <w:spacing w:after="0" w:line="162" w:lineRule="exact"/>
        <w:rPr>
          <w:sz w:val="20"/>
          <w:szCs w:val="20"/>
          <w:color w:val="auto"/>
        </w:rPr>
      </w:pPr>
    </w:p>
    <w:p>
      <w:pPr>
        <w:ind w:left="880" w:hanging="236"/>
        <w:spacing w:after="0"/>
        <w:tabs>
          <w:tab w:leader="none" w:pos="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 of total assets of the Borrower and its Subsidiaries,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all property that should be classified as intangibles (without duplication of deductions in respect of items already deducted in arriving at total assets), including goodwill, minority interests, research and development costs, trademarks, trade names, copyrights, patents and franchises.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2.07 or 2.08.</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“SOFR Rate Day”), a rate per annum equal to the greater of (a) SOFR for the day (such day, a “SOFR Determination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Administrator on the SOFR Administrator’s Website, and (b) the Floor. If by 5:00 p.m. (New York City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3" w:name="page104"/>
    <w:bookmarkEnd w:id="103"/>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(other than (i) accounts payable incurred in the ordinary course of such Person’s business or which are being contested in good faith, (ii) accrued liabilities (including deferred payments in respect of services by employees), and</w:t>
      </w:r>
    </w:p>
    <w:p>
      <w:pPr>
        <w:spacing w:after="0" w:line="1" w:lineRule="exact"/>
        <w:rPr>
          <w:sz w:val="20"/>
          <w:szCs w:val="20"/>
          <w:color w:val="auto"/>
        </w:rPr>
      </w:pPr>
    </w:p>
    <w:p>
      <w:pPr>
        <w:jc w:val="both"/>
        <w:ind w:left="4" w:hanging="4"/>
        <w:spacing w:after="0" w:line="250" w:lineRule="auto"/>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earn-outs and contractual indemnity obligations in connection with acquisitions),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contingent or otherwise, of such Person in respect of bankers acceptances, letters of credit or similar extensions of credit, (g) all net obligations of such Person in respect of Hedge Agreements (determined as of any date as the amount such Person would be required to pay to its counterparty in accordance with the terms thereof as if terminated on such date of determination, after giving effect to any netting arrangement relating to such Hedge Agreement), (h) all Debt of others referred to in clauses (a) through (g) above or clause (i) below (collectively, “</w:t>
      </w:r>
      <w:r>
        <w:rPr>
          <w:rFonts w:ascii="Times New Roman" w:cs="Times New Roman" w:eastAsia="Times New Roman" w:hAnsi="Times New Roman"/>
          <w:sz w:val="18"/>
          <w:szCs w:val="18"/>
          <w:u w:val="single" w:color="auto"/>
          <w:color w:val="auto"/>
        </w:rPr>
        <w:t>Guaranteed Debt</w:t>
      </w:r>
      <w:r>
        <w:rPr>
          <w:rFonts w:ascii="Times New Roman" w:cs="Times New Roman" w:eastAsia="Times New Roman" w:hAnsi="Times New Roman"/>
          <w:sz w:val="18"/>
          <w:szCs w:val="18"/>
          <w:color w:val="auto"/>
        </w:rPr>
        <w:t>”) guaranteed directly or indirectly in any manner by such Person, or in effect guaranteed directly or indirectly by such Person through an agreement</w:t>
      </w:r>
    </w:p>
    <w:p>
      <w:pPr>
        <w:spacing w:after="0" w:line="3" w:lineRule="exact"/>
        <w:rPr>
          <w:rFonts w:ascii="Times New Roman" w:cs="Times New Roman" w:eastAsia="Times New Roman" w:hAnsi="Times New Roman"/>
          <w:sz w:val="18"/>
          <w:szCs w:val="18"/>
          <w:color w:val="auto"/>
        </w:rPr>
      </w:pPr>
    </w:p>
    <w:p>
      <w:pPr>
        <w:jc w:val="both"/>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of others referred to in clauses (a) through (h) above (including Guaranteed Debt) secured by any Lien on property (including, without limitation, accounts and contract rights) owned by such Person, even though such Person has not assumed or become liable for the payment of such Debt.</w:t>
      </w:r>
    </w:p>
    <w:p>
      <w:pPr>
        <w:spacing w:after="0" w:line="188"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The amount of Debt of any Person for purposes of clause (i) above shall (unless such Debt has been assumed by such Person) be deemed to be equal to the lesser of (i) the aggregate unpaid amount of such Debt and (ii) the fair market value of the property encumbered thereby as determined by such Person in good faith. The amount of any Guaranteed Debt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3"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162"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subject to Section 2.18(c), (i) any Lender that has failed for three or more Business Days to comply with its obligations under this Agreement to make an Advance or make any other payment due hereunder (each, a “</w:t>
      </w:r>
      <w:r>
        <w:rPr>
          <w:rFonts w:ascii="Times New Roman" w:cs="Times New Roman" w:eastAsia="Times New Roman" w:hAnsi="Times New Roman"/>
          <w:sz w:val="18"/>
          <w:szCs w:val="18"/>
          <w:u w:val="single" w:color="auto"/>
          <w:color w:val="auto"/>
        </w:rPr>
        <w:t>funding obligation</w:t>
      </w:r>
      <w:r>
        <w:rPr>
          <w:rFonts w:ascii="Times New Roman" w:cs="Times New Roman" w:eastAsia="Times New Roman" w:hAnsi="Times New Roman"/>
          <w:sz w:val="18"/>
          <w:szCs w:val="18"/>
          <w:color w:val="auto"/>
        </w:rPr>
        <w:t>”), unless such Lender has notified the Agent and the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(ii) any Lender that has notified the Agent or the Borrower in writing, or has stated publicly, that it does not intend to comply with its funding obligations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the Agent’s and the Borrower’s receipt of such written confirmation), or (v) any Lender with respect to which, or with respect to the Parent Company of which, a Lender Insolvency Event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be deemed to occur with respect to a Lender or its Parent Company solely as a result of the acquisition or maintenance of an ownership interest in such Lender or Parent Company by a governmental authority or instrumentality thereof where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2.18(c)) upon notification of such determination by the Agent to the Borrower and the Lenders.</w:t>
      </w: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(i) a Lender; (ii) an Affiliate of a Lender; (iii) an Approved Fund and (iv) any other Person approved by the Agent and, unless an Event of Default under Section 6.01(a) or Section 6.01(e) has occurred and is continuing at the time any assignment is effected in accordance with Section 8.07, the Borrower, such approval not to be unreasonably withheld or delayed; provided, however, that neither the Borrower nor an Affiliate of the Borrower shall qualify as an Eligible Assignee.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arising out of or relating to any Environmental Law, Environmental Permit or Hazardous Materials, including as arising from alleged injury or threat of injury to any Person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5" w:name="page106"/>
    <w:bookmarkEnd w:id="10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exposure to Hazardous Materials, worker safety or natural resources, including, without limitation, those relating to the use, handling, transportation, treatment, storage, disposal, release or discharge of Hazardous Materials.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for purposes of Title IV of ERISA is a member of the Borrower’s controlled group, or under common control or treated as a single employer with the Borrower, within the meaning of Section 414 of the Internal Revenue Code.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(i) the occurrence of a reportable event, within the meaning of Section 4043(a) of ERISA, with respect to any Plan unless the 30-day notice requirement with respect to such event has been waived by the PBGC, or (ii) the requirements of Section 4043(b) of ERISA are met with respect to the Borrower or an ERISA Affiliate that is a contributing sponsor, as defined in Section 4001(a)(13) of ERISA, of a Plan, and such event is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imposition of a lien under Section 303(k) of ERISA or Section 430(k) of the Internal Revenue Code shall have been met with respect to any Plan; (g) the adoption of an amendment to a Plan requiring the provision of security to such Plan pursuant to Section 206(g) of ERISA;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(i) the partial or complete withdrawal of the Borrower or any ERISA Affiliate from a Multiemployer Plan; or (j) the reorganization, insolvency or termination of a Multiemployer Plan within the meaning of Title IV of ERISA or a determination that a Multiemployer Plan is in “endangered” or “critical” status within the meaning of Section 432 of the Internal Revenue Code or Section 305 of ERISA.</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6" w:name="page107"/>
    <w:bookmarkEnd w:id="106"/>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Debt</w:t>
      </w:r>
      <w:r>
        <w:rPr>
          <w:rFonts w:ascii="Times New Roman" w:cs="Times New Roman" w:eastAsia="Times New Roman" w:hAnsi="Times New Roman"/>
          <w:sz w:val="18"/>
          <w:szCs w:val="18"/>
          <w:color w:val="auto"/>
        </w:rPr>
        <w:t>” means (i) borrowings under the Existing Credit Agreement, without giving effect to any increase in the commitments thereunder after the Effective Date (for the avoidance of doubt, the aggregate commitments under the Existing Credit Agreement as of the Effective Date is $2,000,000,000), (ii) intercompany Debt among the Borrower and/or its Subsidiaries, (iii) factoring arrangements, capital leases, letters of credit, foreign subsidiary working capital facilities, hedge liabilities, purchase money and equipment financings and other similar obligations, (iv) commercial paper issuances by the Borrower and/or its Subsidiaries that are not used to finance the Matterhorn Acquisition, (v) any Debt of the Matterhorn Target assumed or acquired in connection with the Matterhorn Acquisition that is not used to finance the Matterhorn Acquisition, (vi) any refinancing of the Borrower’s 3.5% notes due June 15, 2027 and (vii) other Debt in an aggregate principal amount not exceeding $200,000,000.</w:t>
      </w:r>
    </w:p>
    <w:p>
      <w:pPr>
        <w:spacing w:after="0" w:line="19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May 8, 2025, among the Borrower, the lenders party thereto and Citibank, as administrative agent, as amended, restated, amended and restated, supplemented or otherwise modified from time to time.</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published intergovernmental agreement entered into in connection with the implementation of such Sections of the Internal Revenue Code and any fiscal or regulatory legislation, rules or practices adopted pursuant to such published intergovernmental agreements.</w:t>
      </w:r>
    </w:p>
    <w:p>
      <w:pPr>
        <w:spacing w:after="0" w:line="183"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18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(i) the letter agreement dated June 1, 2026, addressed to the Borrower from Morgan Stanley Senior Funding, Inc. and</w:t>
      </w:r>
    </w:p>
    <w:p>
      <w:pPr>
        <w:spacing w:after="0" w:line="27" w:lineRule="exact"/>
        <w:rPr>
          <w:sz w:val="20"/>
          <w:szCs w:val="20"/>
          <w:color w:val="auto"/>
        </w:rPr>
      </w:pPr>
    </w:p>
    <w:p>
      <w:pPr>
        <w:ind w:left="644" w:right="2900" w:hanging="644"/>
        <w:spacing w:after="0" w:line="490" w:lineRule="auto"/>
        <w:tabs>
          <w:tab w:leader="none" w:pos="2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agreement dated June 1, 2026, addressed to the Borrower from Citigroup Global Markets Inc. “</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Inc. and any successor thereto.</w:t>
      </w: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means the date occurring during the Availability Period on which the conditions precedent set forth in Section 3.02 are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satisfied.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7" w:name="page108"/>
    <w:bookmarkEnd w:id="107"/>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per- and polyfluoroalkyl substances, polychlorinated biphenyls and radon gas and (b) any other chemicals, materials or substances designated, classified or regulated as hazardous or toxic or as a pollutant or contaminant or words of similar import under any Environmental Law.</w:t>
      </w:r>
    </w:p>
    <w:p>
      <w:pPr>
        <w:spacing w:after="0" w:line="18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that is not a Significant Subsidiary.</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means the lenders listed on the signature pages hereof.</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SOFR Advance comprising part of the same Borrowing, the period commencing on the date of such SOFR Advance or the date of the Conversion of any Base Rate Advance into such SOFR Advance and ending on the last day of the period selected by the Borrower pursuant to the provisions below and, thereafter, with respect to SOFR Advances, each subsequent period commencing on the last day of the immediately preceding Interest Period and ending on the last day of the period selected by the Borrower pursuant to the provisions below. The duration of each such Interest Period shall be one, three or six months or one week as the Borrower may, upon notice received by the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ind w:left="1544" w:hanging="248"/>
        <w:spacing w:after="0"/>
        <w:tabs>
          <w:tab w:leader="none" w:pos="1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select any Interest Period that ends after the Maturity Date;</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SOFR Advances comprising part of the same Borrowing shall be of the same duration;</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next preceding Business Day; and</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that (i) a Lender or its Parent Company is insolvent, or is generally unable to pay its debts as they become due, or admits in writing its inability to pay its debts as they become due, or makes a general assignment for the benefit of its creditors, or</w:t>
      </w:r>
    </w:p>
    <w:p>
      <w:pPr>
        <w:jc w:val="both"/>
        <w:ind w:left="4" w:hanging="4"/>
        <w:spacing w:after="0" w:line="253" w:lineRule="auto"/>
        <w:tabs>
          <w:tab w:leader="none" w:pos="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or its Parent Company is the subject of a Bail-In Action (as defined in Section 8.16) or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8" w:name="page109"/>
    <w:bookmarkEnd w:id="10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Parties</w:t>
      </w:r>
      <w:r>
        <w:rPr>
          <w:rFonts w:ascii="Times New Roman" w:cs="Times New Roman" w:eastAsia="Times New Roman" w:hAnsi="Times New Roman"/>
          <w:sz w:val="18"/>
          <w:szCs w:val="18"/>
          <w:color w:val="auto"/>
        </w:rPr>
        <w:t>” means the Agent, each Lender, each of their Affiliates, and each of their respective directors, officers, employees, attorneys and agents.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Initial Lenders and each Person that shall become a party hereto pursuant to Section 8.07.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in the nature of a security interest or encumbrance of any kind, including, without limitation, the lien or retained security title of a conditional vendor and any easement, right of way or other encumbrance on title to real property.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(a) this Agreement, (b) the Notes (if any) and (c) the Fee Letter.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Market Association</w:t>
      </w:r>
      <w:r>
        <w:rPr>
          <w:rFonts w:ascii="Times New Roman" w:cs="Times New Roman" w:eastAsia="Times New Roman" w:hAnsi="Times New Roman"/>
          <w:sz w:val="18"/>
          <w:szCs w:val="18"/>
          <w:color w:val="auto"/>
        </w:rPr>
        <w:t>” means the London trade association, which is the self-described authoritative voice of the syndicated loan markets in Europe, the Middle East and Africa.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acquisition with an aggregate consideration greater than or equal to $500,000,000.</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business, financial condition or operations of the Borrower and its Subsidiaries taken as a whole.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financial condition or operations of the Borrower and its Subsidiaries, taken as a whole, (b) the rights and remedies of the Agent or any Lender under this Agreement or any Note or (c) the ability of the Borrower to perform its payment obligations under this Agreement or any Note.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date that is 364 days following the Funding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w:t>
      </w:r>
      <w:r>
        <w:rPr>
          <w:rFonts w:ascii="Times New Roman" w:cs="Times New Roman" w:eastAsia="Times New Roman" w:hAnsi="Times New Roman"/>
          <w:sz w:val="18"/>
          <w:szCs w:val="18"/>
          <w:color w:val="auto"/>
        </w:rPr>
        <w:t>” means the Borrower’s direct or indirect acquisition of all of the outstanding common stock of the Matterhorn Target in the manner contemplated by the Matterhorn Acquisition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 Agreement</w:t>
      </w:r>
      <w:r>
        <w:rPr>
          <w:rFonts w:ascii="Times New Roman" w:cs="Times New Roman" w:eastAsia="Times New Roman" w:hAnsi="Times New Roman"/>
          <w:sz w:val="18"/>
          <w:szCs w:val="18"/>
          <w:color w:val="auto"/>
        </w:rPr>
        <w:t xml:space="preserve">” means that certain Agreement and Plan of Merger dated as of May 28, 2026, by and among the Borrower, Matterhorn Acquisition Corp, a Delaware corporation and a wholly owned Subsidiary of the Borrower and Shareholder Representative Services LLC, a Colorado limited liability company solely in its capacity as the agent for the securityholders of the Matterhorn Target, as may be amended, supplemented or otherwise modified in accordance with subclause (ii) of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 Consideration</w:t>
      </w:r>
      <w:r>
        <w:rPr>
          <w:rFonts w:ascii="Times New Roman" w:cs="Times New Roman" w:eastAsia="Times New Roman" w:hAnsi="Times New Roman"/>
          <w:sz w:val="18"/>
          <w:szCs w:val="18"/>
          <w:color w:val="auto"/>
        </w:rPr>
        <w:t>” means the aggregate consideration set forth in the Matterhorn Acquisition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 Agreement Representations</w:t>
      </w:r>
      <w:r>
        <w:rPr>
          <w:rFonts w:ascii="Times New Roman" w:cs="Times New Roman" w:eastAsia="Times New Roman" w:hAnsi="Times New Roman"/>
          <w:sz w:val="18"/>
          <w:szCs w:val="18"/>
          <w:color w:val="auto"/>
        </w:rPr>
        <w:t>” means such of the representations made by the Matterhorn Target in the Matterhorn Acquisition Agreement as are material to the interests of the Lenders, but only to the extent that the Borrower has (or a Subsidiary of the Borrower has) the right (taking into account any applicable cure provisions) to terminate its (and/or its Affiliates’) obligations, under the Matterhorn Acquisition Agreement as a result of the breach of such representations in the Matterhorn Acquisition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9" w:name="page110"/>
    <w:bookmarkEnd w:id="10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 Closing Date</w:t>
      </w:r>
      <w:r>
        <w:rPr>
          <w:rFonts w:ascii="Times New Roman" w:cs="Times New Roman" w:eastAsia="Times New Roman" w:hAnsi="Times New Roman"/>
          <w:sz w:val="18"/>
          <w:szCs w:val="18"/>
          <w:color w:val="auto"/>
        </w:rPr>
        <w:t>” means the date of consummation of the Matterhorn Acquisition.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Acquisition Termination Date</w:t>
      </w:r>
      <w:r>
        <w:rPr>
          <w:rFonts w:ascii="Times New Roman" w:cs="Times New Roman" w:eastAsia="Times New Roman" w:hAnsi="Times New Roman"/>
          <w:sz w:val="18"/>
          <w:szCs w:val="18"/>
          <w:color w:val="auto"/>
        </w:rPr>
        <w:t>” means the earliest to occur of (i) 11:59 p.m. on the date that is five Business Days after the End Date (as defined in the Matterhorn Acquisition Agreement as in effect on June 1, 2026), (ii) the date of any public announcement by the Borrower of its abandonment of the Matterhorn Acquisition, (iii) the valid termination in accordance with the terms of the Matterhorn Acquisition Agreement of the Borrower’s obligations under the Matterhorn Acquisition Agreement to consummate the Matterhorn Acquisition and (iv) the occurrence of the Matterhorn Acquisition Closing Date without drawing on the Commitments.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Certain Funds Purpose</w:t>
      </w:r>
      <w:r>
        <w:rPr>
          <w:rFonts w:ascii="Times New Roman" w:cs="Times New Roman" w:eastAsia="Times New Roman" w:hAnsi="Times New Roman"/>
          <w:sz w:val="18"/>
          <w:szCs w:val="18"/>
          <w:color w:val="auto"/>
        </w:rPr>
        <w:t>” means (i) the payment of the consideration pursuant to the terms of the Matterhorn Acquisition Agreement and (ii) the payment of fees, costs and expenses related to the Matterhorn Transactions.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Initial Arrangers</w:t>
      </w:r>
      <w:r>
        <w:rPr>
          <w:rFonts w:ascii="Times New Roman" w:cs="Times New Roman" w:eastAsia="Times New Roman" w:hAnsi="Times New Roman"/>
          <w:sz w:val="18"/>
          <w:szCs w:val="18"/>
          <w:color w:val="auto"/>
        </w:rPr>
        <w:t>” means Morgan Stanley Senior Funding, Inc. and Citibank, N.A.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Material Adverse Effect</w:t>
      </w:r>
      <w:r>
        <w:rPr>
          <w:rFonts w:ascii="Times New Roman" w:cs="Times New Roman" w:eastAsia="Times New Roman" w:hAnsi="Times New Roman"/>
          <w:sz w:val="18"/>
          <w:szCs w:val="18"/>
          <w:color w:val="auto"/>
        </w:rPr>
        <w:t>” means a “Material Adverse Effect” (as defined in the Matterhorn Acquisition Agreement as in effect on June 1, 2026).</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Specified Representations</w:t>
      </w:r>
      <w:r>
        <w:rPr>
          <w:rFonts w:ascii="Times New Roman" w:cs="Times New Roman" w:eastAsia="Times New Roman" w:hAnsi="Times New Roman"/>
          <w:sz w:val="18"/>
          <w:szCs w:val="18"/>
          <w:color w:val="auto"/>
        </w:rPr>
        <w:t xml:space="preserve">” means the representations and warranties of the Borrower (i) set forth in </w:t>
      </w:r>
      <w:r>
        <w:rPr>
          <w:rFonts w:ascii="Times New Roman" w:cs="Times New Roman" w:eastAsia="Times New Roman" w:hAnsi="Times New Roman"/>
          <w:sz w:val="18"/>
          <w:szCs w:val="18"/>
          <w:u w:val="single" w:color="auto"/>
          <w:color w:val="auto"/>
        </w:rPr>
        <w:t>Sections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4.01(b)(i)</w:t>
      </w:r>
      <w:r>
        <w:rPr>
          <w:rFonts w:ascii="Times New Roman" w:cs="Times New Roman" w:eastAsia="Times New Roman" w:hAnsi="Times New Roman"/>
          <w:sz w:val="18"/>
          <w:szCs w:val="18"/>
          <w:color w:val="auto"/>
        </w:rPr>
        <w:t xml:space="preserve"> (limited to the execution, delivery and performance of this Agreement as in effect on the Matterhorn Acquisition Closing Date and incurrence of the Advance on the Matterhorn Acquisition Closing Date), </w:t>
      </w:r>
      <w:r>
        <w:rPr>
          <w:rFonts w:ascii="Times New Roman" w:cs="Times New Roman" w:eastAsia="Times New Roman" w:hAnsi="Times New Roman"/>
          <w:sz w:val="18"/>
          <w:szCs w:val="18"/>
          <w:u w:val="single" w:color="auto"/>
          <w:color w:val="auto"/>
        </w:rPr>
        <w:t>4.01(b)(ii)</w:t>
      </w:r>
      <w:r>
        <w:rPr>
          <w:rFonts w:ascii="Times New Roman" w:cs="Times New Roman" w:eastAsia="Times New Roman" w:hAnsi="Times New Roman"/>
          <w:sz w:val="18"/>
          <w:szCs w:val="18"/>
          <w:color w:val="auto"/>
        </w:rPr>
        <w:t xml:space="preserve"> (limited to agreements in respect of Debt for borrowed money of the Borrower and its Subsidiaries in an aggregate principal amount outstanding or committed under any such agreement in excess of $200,000,000 (determined after giving effect to the Matterhorn Transactions)), </w:t>
      </w:r>
      <w:r>
        <w:rPr>
          <w:rFonts w:ascii="Times New Roman" w:cs="Times New Roman" w:eastAsia="Times New Roman" w:hAnsi="Times New Roman"/>
          <w:sz w:val="18"/>
          <w:szCs w:val="18"/>
          <w:u w:val="single" w:color="auto"/>
          <w:color w:val="auto"/>
        </w:rPr>
        <w:t>4.01(d)(limited to this Agreement as in effect on the Matterhorn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4.01(h)</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4.01(j) (limited to the Advance made on the Matterhorn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and (ii) that the Borrower is in compliance with the Patriot Act, except where failure to comply would not reasonably be expected to have a Material Adverse Effect.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Target</w:t>
      </w:r>
      <w:r>
        <w:rPr>
          <w:rFonts w:ascii="Times New Roman" w:cs="Times New Roman" w:eastAsia="Times New Roman" w:hAnsi="Times New Roman"/>
          <w:sz w:val="18"/>
          <w:szCs w:val="18"/>
          <w:color w:val="auto"/>
        </w:rPr>
        <w:t>” means MaintainX Inc. and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Matterhorn Transactions</w:t>
      </w:r>
      <w:r>
        <w:rPr>
          <w:rFonts w:ascii="Times New Roman" w:cs="Times New Roman" w:eastAsia="Times New Roman" w:hAnsi="Times New Roman"/>
          <w:sz w:val="18"/>
          <w:szCs w:val="18"/>
          <w:color w:val="auto"/>
        </w:rPr>
        <w:t>” means (i) the Matterhorn Acquisition, (ii) the Borrower obtaining a commitment increase of up to $500,000,000 under the Existing Credit Agreement, (iii) the entering into this Agreement, (iv) the Borrower’s making of the payments described in the definition of Matterhorn Certain Funds Purpose and (v) the transactions related to the foregoing.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0" w:name="page111"/>
    <w:bookmarkEnd w:id="1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Single Employer Plan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xml:space="preserve">” means, with respect to any Reduction/Prepayment Amount, the cash (which term, for purposes of this definition, shall include cash equivalents) proceeds actually received by the Borrower or its Subsidiaries in respect of such Reduction/Prepayment Amount, including any cash received in respect of any noncash proceeds, but only as and when received, in excess of any threshold amount set forth in the definition of Reduction/Prepayment Amount, and net of the sum, without duplication, of (i) all fees and expenses incurred in connection with such event by the Borrower and its Subsidiaries, (ii) in the case of a sale, transfer, lease or other disposition (including pursuant to a sale and leaseback transaction) of an asset, the amount of all payments required to be made by the Borrower and its Subsidiaries as a result of such event to repay debt for borrowed money secured by such asset and (iii) the amount of all taxes paid (or reasonably estimated to be payable) by the Borrower and its Subsidiaries, and the amount of any reserves established by the Borrower and its Subsidiaries in accordance with GAAP or other applicable accounting standards to fund any purchase price adjustment,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of such reserves exceeds the amounts charged against such reserve, then such excess, upon determination thereof, shall then constitute Net Cash Proceeds.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payable to any Lender, delivered pursuant to a request made under Section 2.15 in substantially the form of Exhibit A hereto, evidencing the aggregate indebtedness of the Borrower to such Lender that may arise from the Advances made by such Lender.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shares of such Lender.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8.07(e).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8.07(e).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signed into law October 26, 2001.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overdue for a period of more than 60 days or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 (c) pledges, deposits and other security to secure obligations under workers’ compensation laws or similar legislation or unemployment insurance or to secure public or statutory obligations; (d) easements, rights of way and other encumbrances on title to real property that do not materially adversely affect the use of such property for its present purposes; and (e) any Liens pursuant to any Loan Document.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1" w:name="page112"/>
    <w:bookmarkEnd w:id="111"/>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 with respect to compliance with any test hereunder or calculation of any covenant (including calculations of Consolidated EBITDA and the Leverage Ratio) for an applicable period of measurement, that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or other transfer of all or substantially all Equity Interests in any Subsidiary of the Borrower or any division, product line, or facility used for operations of the Borrower or any of its Subsidiaries, shall be excluded, and (ii) in the case of any investment described in the definition of “Specified Transaction,” shall be included, (b) any repayment, prepayment, discharge, conversion or cancellation of Debt, and (c) any Debt incurred or assumed by the Borrower or any of its Subsidiaries in connection therewith and if such Debt has a floating or formula rate, shall have an implied rate of interest for the applicable period for purposes of this definition determined by utilizing the rate which is or would be in effect with respect to such Debt as at the relevant date of determination.</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rating that has been most recently announced by S&amp;P, Moody’s or Fitch, as the case may be, for any class of non-credit enhanced long-term senior unsecured debt issued by the Borrower or, if any such rating agency shall have issued more than one such rating, the lowest such rating issued by such rating agency. For purposes of the foregoing, (a) if only one of S&amp;P, Moody’s and Fitch shall have in effect a Public Debt Rating, the Applicable Margin and the Applicable Percentage shall be determined by reference to the available rating; (b) if none of S&amp;P, Moody’s or Fitch shall have in effect a Public Debt Rating, the Applicable Margin and the Applicable Percentage will be set in accordance with Level 5 under the definition of “</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as the case may be; (c)</w:t>
      </w:r>
    </w:p>
    <w:p>
      <w:pPr>
        <w:spacing w:after="0" w:line="5" w:lineRule="exact"/>
        <w:rPr>
          <w:sz w:val="20"/>
          <w:szCs w:val="20"/>
          <w:color w:val="auto"/>
        </w:rPr>
      </w:pPr>
    </w:p>
    <w:p>
      <w:pPr>
        <w:jc w:val="both"/>
        <w:ind w:left="4" w:hanging="4"/>
        <w:spacing w:after="0" w:line="251" w:lineRule="auto"/>
        <w:tabs>
          <w:tab w:leader="none" w:pos="2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two of S&amp;P, Moody’s and Fitch shall have in effect a Public Debt Rating, and such ratings shall fall within different levels, the Applicable Margin and the Applicable Percentage shall be based upon the higher rating unless such ratings differ by two or more levels, in which case the applicable level will be deemed to be one level below the higher of such levels and (ii) if the Public Debt Ratings established by S&amp;P, Moody’s and Fitch shall fall within different levels, the Applicable Margin and the Applicable Percentage shall be based upon the ratings of two of the agencies falling within the same level, unless each agency’s ratings is at a separate level, in which case the applicable level will be deemed to be the middle level; (d) if any rating established by S&amp;P, Moody’s or Fitch shall be changed, such change shall be effective as of the date on which such change is first announced publicly by the rating agency making such change; and (e) if S&amp;P, Moody’s or Fitch shall change the basis on which ratings are established, each reference to the Public Debt Rating announced by S&amp;P, Moody’s or Fitch, as the case may be, shall refer to the then equivalent rating by S&amp;P, Moody’s or Fitch, as the case may be.</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Term Loan Facility</w:t>
      </w:r>
      <w:r>
        <w:rPr>
          <w:rFonts w:ascii="Times New Roman" w:cs="Times New Roman" w:eastAsia="Times New Roman" w:hAnsi="Times New Roman"/>
          <w:sz w:val="18"/>
          <w:szCs w:val="18"/>
          <w:color w:val="auto"/>
        </w:rPr>
        <w:t>” shall mean a term loan facility entered into by the Borrower for the purpose of financing the Matterhorn Transactions that is subject to conditions precedent to funding that are no less favorable to the Borrower than the conditions set forth in Section 3.02, as determined by the Borrower in its reasonable discretion.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Reduction/Prepayment Amount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20" w:hanging="252"/>
        <w:spacing w:after="0"/>
        <w:tabs>
          <w:tab w:leader="none" w:pos="12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committed amount of any Qualifying Term Loan Facility;</w:t>
      </w:r>
    </w:p>
    <w:p>
      <w:pPr>
        <w:spacing w:after="0" w:line="225" w:lineRule="exact"/>
        <w:rPr>
          <w:rFonts w:ascii="Times New Roman" w:cs="Times New Roman" w:eastAsia="Times New Roman" w:hAnsi="Times New Roman"/>
          <w:sz w:val="18"/>
          <w:szCs w:val="18"/>
          <w:color w:val="auto"/>
        </w:rPr>
      </w:pPr>
    </w:p>
    <w:p>
      <w:pPr>
        <w:jc w:val="both"/>
        <w:ind w:firstLine="968"/>
        <w:spacing w:after="0" w:line="261" w:lineRule="auto"/>
        <w:tabs>
          <w:tab w:leader="none" w:pos="12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actually received by the Borrower or any of its Subsidiaries after the Effective Date (including into escrow, so long as the conditions to release from escrow are not more restrictive to the Borrower than the conditions set forth in Section 3.02) from the issuance or sale of any debt securities (including any debt securities convertible or exchangeable into equity securities or hybrid debt-equity securities) or incurrence of any other Debt for borrowed money, other than Excluded Debt;</w:t>
      </w:r>
    </w:p>
    <w:p>
      <w:pPr>
        <w:spacing w:after="0" w:line="179" w:lineRule="exact"/>
        <w:rPr>
          <w:rFonts w:ascii="Times New Roman" w:cs="Times New Roman" w:eastAsia="Times New Roman" w:hAnsi="Times New Roman"/>
          <w:sz w:val="18"/>
          <w:szCs w:val="18"/>
          <w:color w:val="auto"/>
        </w:rPr>
      </w:pPr>
    </w:p>
    <w:p>
      <w:pPr>
        <w:jc w:val="both"/>
        <w:ind w:firstLine="968"/>
        <w:spacing w:after="0" w:line="254"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received by the Borrower after the Effective Date from the issuance or sale of any equity securities by the Borrower (including, to the extent not duplicative of clause (b) above, any securities convertible or exchangeable into or exercisable for equity securities or other equity-linked securities), other than (i) issuances pursuant to employee stock plans, compensation plans or other benefit or employee or director incentive arrangements (including, for the avoidance of doubt, employee and director 401(k) plans), (ii) equity securities issued or transferred directly (and not constituting cash proceeds of any issuance of such equity securities) as consideration in connection with any acquisition or the making of any investment, (iii) any reinvestment by employees of the Matterhorn Target of cash proceeds of the Matterhorn Acquisition Consideration received by such employees into stock of the Borrower, (iv) upon vesting, exercise, exchange or conversion of restricted stock units, performance stock units, options or other rights to acquire shares of common stock and (v) equity securities issued to or by a Subsidiary of the Borrower to the Borrower or any other Subsidiary of the Borrower; or</w:t>
      </w:r>
    </w:p>
    <w:p>
      <w:pPr>
        <w:spacing w:after="0" w:line="188" w:lineRule="exact"/>
        <w:rPr>
          <w:rFonts w:ascii="Times New Roman" w:cs="Times New Roman" w:eastAsia="Times New Roman" w:hAnsi="Times New Roman"/>
          <w:sz w:val="18"/>
          <w:szCs w:val="18"/>
          <w:color w:val="auto"/>
        </w:rPr>
      </w:pPr>
    </w:p>
    <w:p>
      <w:pPr>
        <w:jc w:val="both"/>
        <w:ind w:firstLine="968"/>
        <w:spacing w:after="0" w:line="256" w:lineRule="auto"/>
        <w:tabs>
          <w:tab w:leader="none" w:pos="12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received by the Borrower or any of its Subsidiaries after the Effective Date from the sale or other disposition of any property or assets of the Borrower or any of its Domestic Subsidiaries (including any sale and leaseback transaction and sales or issuances of equity interests in any Subsidiary of the Borrower, but excluding proceeds of any casualty loss or damage to, or any condemnation of, any property or asset of the Borrower or any of its Subsidiaries) outside the ordinary course of business, other than (i) sales, issuances and other dispositions between or among the Borrower and its Subsidiaries and (ii) sales and other dispositions the Net Cash Proceeds of which do not exceed $100,000,000 in any transaction or series of related transactions.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8.07(d)(i).</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3" w:name="page114"/>
    <w:bookmarkEnd w:id="1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owed at least a majority in interest of the then aggregate unpaid principal amount of the Advances owing to Lenders, or, if no such principal amount is then outstanding, Lenders having at least a majority in interest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Required Lenders at such time the Commitments of such Lender at such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region, country or territory which is, or whose government is, the subject or target of any comprehensive Sanctions.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United Kingdom, the European Union or any European Union member state, (b) any Person located,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the United Kingdom.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each Subsidiary that is a “significant subsidiary” of the Borrower, as the term “significant subsidiary” is defined in Regulation S-X promulgated by the Securities and Exchange Commission.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4" w:name="page115"/>
    <w:bookmarkEnd w:id="11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Advance</w:t>
      </w:r>
      <w:r>
        <w:rPr>
          <w:rFonts w:ascii="Times New Roman" w:cs="Times New Roman" w:eastAsia="Times New Roman" w:hAnsi="Times New Roman"/>
          <w:sz w:val="18"/>
          <w:szCs w:val="18"/>
          <w:color w:val="auto"/>
        </w:rPr>
        <w:t>” means an Advance that bears interest as provided in Section 2.06(a)(ii).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xml:space="preserve">” means any investment, acquisition, disposition, transfer, incurrence or repayment of Debt, dividend, distribution, repurchase, redemption, exchange or other transaction that by the terms of this Agreement is required to be calculated on a “Pro Forma Basis” or after giving “Pro Forma Effect”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Borrower’s sole election, any such Specified Transaction having an aggregate value of less than $100,000,000 shall not be calculated on a “Pro Forma Basis” or after giving “Pro Forma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4"/>
        <w:spacing w:after="0" w:line="254" w:lineRule="auto"/>
        <w:tabs>
          <w:tab w:leader="none" w:pos="8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Advance,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9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Advance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5" w:name="page116"/>
    <w:bookmarkEnd w:id="115"/>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has the meaning specified in Section 2.03(a).</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61" w:lineRule="auto"/>
        <w:tabs>
          <w:tab w:leader="none" w:pos="187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accounting terms not specifically defined herein shall be construed in accordance with United States of America generally accepted accounting principles as in effect in the United States of America from time to time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p>
    <w:p>
      <w:pPr>
        <w:jc w:val="both"/>
        <w:ind w:firstLine="8"/>
        <w:spacing w:after="0" w:line="251" w:lineRule="auto"/>
        <w:tabs>
          <w:tab w:leader="none" w:pos="2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notifies the Agent that the Borrower requests an amendment to any provision hereof to eliminate the effect of any change occurring after the Effective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this Agreement to the contrary, the accounting for any lease (and whether the obligations thereunder constitute “Debt”) for the purposes of all financial definitions, calculations and covenants under this Agreement (other than for purposes of the delivery of financial statements prepared in accordance with GAAP) shall be based on GAAP as in effect prior to the adoption of Accounting Standards Codification 842 (or any similar accounting principle) such that “Debt” and “finance leases” shall specifically exclude liabilities that were considered operating lease liabilities under GAAP prior to such adoption (regardless of whether such leases or other agreements were then in effect) and without giving effect to any subsequent changes in GAAP (or the required implementation of any previously promulgated changes in GAAP) relating to the treatment of a lease as an operating lease or capitalized lease.</w:t>
      </w:r>
    </w:p>
    <w:p>
      <w:pPr>
        <w:spacing w:after="0" w:line="192"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7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calculating compliance with any test contained in this agreement or determining Consolidated EBITDA or the Leverage Ratio, any Specified Transactions that have occurred during the applicable measurement period, or (except in connection with determining actual compliance (as opposed to compliance on a Pro Forma Basis) with the Leverage Ratio set forth in Section 5.03) subsequent to such measurement period and on or prior to or simultaneously with the date of determination, shall be calculated on a Pro Forma Basis assuming that all such Specified Transactions (and the change in Consolidated EBITDA resulting therefrom) had occurred on the first day of such period. If since the beginning of such period any Person (that subsequently became a Subsidiary or was merged with or into the Borrower or any Subsidiary since the beginning of such period) shall have made any Specified Transaction that would have required adjustment pursuant to this definition, then Consolidated EBITDA and the Leverage Ratio shall each be calculated giving Pro Forma Effect thereto for such period as if such Specified Transaction had occurred at the beginning of such period.</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firstLine="1628"/>
        <w:spacing w:after="0" w:line="258" w:lineRule="auto"/>
        <w:tabs>
          <w:tab w:leader="none" w:pos="18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Agent does not warrant or accept responsibility for, and shall not have any liability with respect to (a) the continuation of, administration of, submission of, calculation of or any other matter related to the Base Rate, the Term SOFR Reference Rate, Adjusted Term SOFR, Term SOFR or Daily Simple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Daily Simple SOFR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Adjusted Term SOFR, Term SOFR, Daily Simple SOFR, any alternative, successor or replacement rate (including any Benchmark Replacement) or any relevant adjustments thereto, in each case, in a manner adverse to the Borrower. The Agent may select information sources or services in its reasonable discretion to ascertain the Base Rate, the Term SOFR Reference Rate, Adjusted Term SOFR, Term SOFR, Daily Simple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Each Lender severally agrees, on the terms and conditions hereinafter set forth, to make an Advance to the Borrower in U.S. dollars on the Funding Date, in an amount not to exceed such Lender’s Commitment in effect immediately prior to the making of such Advance. Subject to the foregoing, such Advance from each Lender shall be of the same Type with the same Interest Period. Any Advance borrowed under this Section 2.01 and repaid or prepaid may not be reborrowed.</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 (a) Each Borrowing shall be made upon prior notice, given not later than (x) 1:00 p.m. (New York City time) on the third U.S. Government Securities Business Day prior to the date of the proposed Borrowing in the case of a Borrowing consisting of SOFR Advances or (y) 1:00 p.m. (New York City time) on the day of the proposed Borrowing in the case of a Borrowing consisting of Base Rate Advances, by the Borrower to the Agent, which shall give to each Lender prompt notice thereof by telecopier or e-mail. Each such notice of a Borrowing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shall be in writing, sent via telecopier or e-mail in substantially the form of Exhibit B hereto, specifying therein the requested (i) date of such Borrowing, (ii) Type of Advances comprising such Borrowing, (iii) aggregate amount of such Borrowing, and (iv) in the case of a Borrowing consisting of SOFR Advances (x) whether the interest rate with respect to such Advance shall be determined based on Adjusted Term SOFR or Daily Simple SOFR and (y) in the case of Adjusted Term SOFR, the initial Interest Period for each such Advance. Each Lender shall, before 3:00 p.m. (New York City time) on the date of such Borrowing make available for the account of its Applicable Lending Office to the Agent at the Agent’s Account, in same day funds, such Lender’s ratable portion of such Borrowing. After the Agent’s receipt of such funds and upon fulfillment of the applicable conditions set forth in Article III, the Agent will make such funds available to the Borrower either by (i) crediting the account of the Borrower at the Agent’s address referred to in Section 8.02 or (ii) wire transfer of such funds, in each case as designated by the Borrower.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ind w:left="1880" w:hanging="252"/>
        <w:spacing w:after="0"/>
        <w:tabs>
          <w:tab w:leader="none" w:pos="1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irrevocable and binding on the Borrower. In the case of any Borrowing that the related Notice of Borrowing specifies is to be comprised of SOFR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87"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8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Advances comprising such Borrowing and (ii) in the case of such Lender, the Federal Funds Rate. If such Lender shall repay to the Agent such corresponding amount, such amount so repaid shall constitute such Lender’s Advance as part of such Borrowing for purposes of this Agreement and the Borrower shall not also be required to repay such amount to the Agent.</w:t>
      </w:r>
    </w:p>
    <w:p>
      <w:pPr>
        <w:spacing w:after="0" w:line="188"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The Borrower agrees to pay to the Agent, for the account of each Lender, a ticking fee (the “</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which shall accrue at the Applicable Percentage on the amount of such Lender’s undrawn Commitment on each day during the period from and including September 29, 2026 to but excluding the earlier of the Funding Date and the Matterhorn Acquisition Termination Date, earned in full and due payable in full on such earlier date (or if such date is not a Business Day, then payable on the next following Business Day).</w:t>
      </w:r>
    </w:p>
    <w:p>
      <w:pPr>
        <w:spacing w:after="0" w:line="180" w:lineRule="exact"/>
        <w:rPr>
          <w:sz w:val="20"/>
          <w:szCs w:val="20"/>
          <w:color w:val="auto"/>
        </w:rPr>
      </w:pPr>
    </w:p>
    <w:p>
      <w:pPr>
        <w:ind w:left="1880" w:hanging="252"/>
        <w:spacing w:after="0"/>
        <w:tabs>
          <w:tab w:leader="none" w:pos="1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Borrower shall pay to the Agent for its own account such fees as may from time to time be agreed between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Agent.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8" w:lineRule="auto"/>
        <w:tabs>
          <w:tab w:leader="none" w:pos="187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the right, upon at least three Business Days’ notice to the Agent, to terminate in whole or permanently reduce ratably in part the unused portion of the respective Commitments of the Lenders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partial reduction shall be in the aggregate amount of $10,000,000 or an integral multiple of $1,000,000 in excess thereof. Any such notice may state that such notice is conditioned upon the occurrence of one or more events specified therein, in which case such notice may be revoked by the Borrower (by notice to the Agent on or prior to the specified date of termination or reduction) if such condition is not satisfied.</w:t>
      </w:r>
    </w:p>
    <w:p>
      <w:pPr>
        <w:spacing w:after="0" w:line="183" w:lineRule="exact"/>
        <w:rPr>
          <w:rFonts w:ascii="Times New Roman" w:cs="Times New Roman" w:eastAsia="Times New Roman" w:hAnsi="Times New Roman"/>
          <w:sz w:val="18"/>
          <w:szCs w:val="18"/>
          <w:color w:val="auto"/>
        </w:rPr>
      </w:pPr>
    </w:p>
    <w:p>
      <w:pPr>
        <w:ind w:firstLine="1628"/>
        <w:spacing w:after="0" w:line="282" w:lineRule="auto"/>
        <w:tabs>
          <w:tab w:leader="none" w:pos="18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all Commitments (including any unused or undrawn Commitments) shall automatically terminate in full on the earlier of (x) the Funding Date (after giving effect to any Borrowing on such date) and (y) the Matterhorn Acquisition Termination Date.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On the Maturity Date, the Borrower shall repay to the Agent for the ratable account of each Lender the aggregate principal amount of the Advances then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Scheduled Interest</w:t>
      </w:r>
      <w:r>
        <w:rPr>
          <w:rFonts w:ascii="Times New Roman" w:cs="Times New Roman" w:eastAsia="Times New Roman" w:hAnsi="Times New Roman"/>
          <w:sz w:val="18"/>
          <w:szCs w:val="18"/>
          <w:color w:val="auto"/>
        </w:rPr>
        <w:t>. The Borrower shall pay interest on the unpaid principal amount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owing to each Lender from the date of such Advance until such principal amount shall be paid in full, at the following rates per annum:</w:t>
      </w:r>
    </w:p>
    <w:p>
      <w:pPr>
        <w:spacing w:after="0" w:line="207" w:lineRule="exact"/>
        <w:rPr>
          <w:sz w:val="20"/>
          <w:szCs w:val="20"/>
          <w:color w:val="auto"/>
        </w:rPr>
      </w:pPr>
    </w:p>
    <w:p>
      <w:pPr>
        <w:jc w:val="both"/>
        <w:ind w:left="1380" w:firstLine="815"/>
        <w:spacing w:after="0" w:line="261" w:lineRule="auto"/>
        <w:tabs>
          <w:tab w:leader="none" w:pos="2405"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xml:space="preserve">. During such periods as such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179" w:lineRule="exact"/>
        <w:rPr>
          <w:rFonts w:ascii="Times New Roman" w:cs="Times New Roman" w:eastAsia="Times New Roman" w:hAnsi="Times New Roman"/>
          <w:sz w:val="18"/>
          <w:szCs w:val="18"/>
          <w:color w:val="auto"/>
        </w:rPr>
      </w:pPr>
    </w:p>
    <w:p>
      <w:pPr>
        <w:jc w:val="both"/>
        <w:ind w:left="1380" w:firstLine="815"/>
        <w:spacing w:after="0" w:line="254" w:lineRule="auto"/>
        <w:tabs>
          <w:tab w:leader="none" w:pos="2468"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Advances</w:t>
      </w:r>
      <w:r>
        <w:rPr>
          <w:rFonts w:ascii="Times New Roman" w:cs="Times New Roman" w:eastAsia="Times New Roman" w:hAnsi="Times New Roman"/>
          <w:sz w:val="18"/>
          <w:szCs w:val="18"/>
          <w:color w:val="auto"/>
        </w:rPr>
        <w:t xml:space="preserve">. During such periods as such Advance is a SOFR Advance, at the Borrower’s election, (1) a rate per annum equal at all times during each Interest Period for such Advance to the sum of (x) Adjusted Term SOFR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SOFR Advance shall be Converted or paid in full or (2) a rate per annum equal at all times to the sum of (x) Daily Simple SOFR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each date that is on the numerically corresponding day in each calendar month that is one month after the Borrowing of such Advance and on the date such SOFR Advance shall be Converted or paid in full.</w:t>
      </w:r>
    </w:p>
    <w:p>
      <w:pPr>
        <w:spacing w:after="0" w:line="191"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7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under Section 6.01(a) or Section 6.01(e), the Agent may, and upon the request of the Required Lenders shall, require the Borrower to pay interest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on (i) the unpaid principal amount of each Advance owing to each Lender, payable in arrears on the dates referred to in clause (a)(i) or (a)(ii) above or, after acceleration, upon demand, at a rate per annum equal at all times to 2% per annum above the rate per annum required to be paid on such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clause (a)</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acceleration of the Advances pursuant to Section 6.01, Default Interest shall accrue and be payable hereunder whether or not previously required by the Agent.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Agent shall give prompt notice to the Borrower and the Lenders of the applicable interest rate determined by the Agent for purposes of Section 2.06(a)(i) or (ii).</w:t>
      </w:r>
    </w:p>
    <w:p>
      <w:pPr>
        <w:spacing w:after="0" w:line="162" w:lineRule="exact"/>
        <w:rPr>
          <w:sz w:val="20"/>
          <w:szCs w:val="20"/>
          <w:color w:val="auto"/>
        </w:rPr>
      </w:pPr>
    </w:p>
    <w:p>
      <w:pPr>
        <w:ind w:left="1880" w:hanging="252"/>
        <w:spacing w:after="0"/>
        <w:tabs>
          <w:tab w:leader="none" w:pos="1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shall fail to provide notice of a Conversion or continuation pursuant to Section 2.08 for any SOFR Advance, then the Agent will forthwith so notify the Borrower and the Lenders and the Borrower will be deemed to have selected (i) in the case of a SOFR Advance based on Term SOFR, an Interest Period of one month for such SOFR Advance and (ii) in the case of a SOFR Advance based on Daily Simple SOFR, an election to continue in Daily Simple SOFR.</w:t>
      </w:r>
    </w:p>
    <w:p>
      <w:pPr>
        <w:spacing w:after="0" w:line="179" w:lineRule="exact"/>
        <w:rPr>
          <w:rFonts w:ascii="Times New Roman" w:cs="Times New Roman" w:eastAsia="Times New Roman" w:hAnsi="Times New Roman"/>
          <w:sz w:val="18"/>
          <w:szCs w:val="18"/>
          <w:color w:val="auto"/>
        </w:rPr>
      </w:pPr>
    </w:p>
    <w:p>
      <w:pPr>
        <w:ind w:right="20" w:firstLine="1628"/>
        <w:spacing w:after="0" w:line="282" w:lineRule="auto"/>
        <w:tabs>
          <w:tab w:leader="none" w:pos="187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the aggregate unpaid principal amount of SOFR Advances comprising any Borrowing shall be reduced, by payment or prepayment or otherwise, to less than $1,000,000, such Advances shall automatically Convert into Base Rate Advances.</w:t>
      </w:r>
    </w:p>
    <w:p>
      <w:pPr>
        <w:spacing w:after="0" w:line="161" w:lineRule="exact"/>
        <w:rPr>
          <w:rFonts w:ascii="Times New Roman" w:cs="Times New Roman" w:eastAsia="Times New Roman" w:hAnsi="Times New Roman"/>
          <w:sz w:val="18"/>
          <w:szCs w:val="18"/>
          <w:color w:val="auto"/>
        </w:rPr>
      </w:pPr>
    </w:p>
    <w:p>
      <w:pPr>
        <w:jc w:val="both"/>
        <w:ind w:right="20" w:firstLine="1628"/>
        <w:spacing w:after="0" w:line="266" w:lineRule="auto"/>
        <w:tabs>
          <w:tab w:leader="none" w:pos="188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under Section 6.01(a), (i) each SOFR Advance will automatically Convert into a Base Rate Advance (x) in the case of Term SOFR, on the last day of the then existing Interest Period thereof, and (y) in the case of Daily Simple SOFR, immediately and (ii) the obligation of the Lenders to make, or to Convert Advances into, SOFR Advances shall be suspended.</w:t>
      </w:r>
    </w:p>
    <w:p>
      <w:pPr>
        <w:spacing w:after="0" w:line="175" w:lineRule="exact"/>
        <w:rPr>
          <w:rFonts w:ascii="Times New Roman" w:cs="Times New Roman" w:eastAsia="Times New Roman" w:hAnsi="Times New Roman"/>
          <w:sz w:val="18"/>
          <w:szCs w:val="18"/>
          <w:color w:val="auto"/>
        </w:rPr>
      </w:pPr>
    </w:p>
    <w:p>
      <w:pPr>
        <w:ind w:left="1860" w:hanging="232"/>
        <w:spacing w:after="0"/>
        <w:tabs>
          <w:tab w:leader="none" w:pos="18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2.22, if, on or prior to the first day of any Interest Period for any SOFR Advance;</w:t>
      </w:r>
    </w:p>
    <w:p>
      <w:pPr>
        <w:spacing w:after="0" w:line="225" w:lineRule="exact"/>
        <w:rPr>
          <w:rFonts w:ascii="Times New Roman" w:cs="Times New Roman" w:eastAsia="Times New Roman" w:hAnsi="Times New Roman"/>
          <w:sz w:val="18"/>
          <w:szCs w:val="18"/>
          <w:color w:val="auto"/>
        </w:rPr>
      </w:pPr>
    </w:p>
    <w:p>
      <w:pPr>
        <w:ind w:left="1380" w:firstLine="815"/>
        <w:spacing w:after="0" w:line="282" w:lineRule="auto"/>
        <w:tabs>
          <w:tab w:leader="none" w:pos="242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determines (which determination shall be conclusive and binding absent manifest error) that “Adjusted Term SOFR” or “Daily Simple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45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notify the Agent that Adjusted Term SOFR for such Interest Period or Daily Simple SOFR for such Advances will not adequately and fairly reflect the cost to such Lenders of making, funding or maintaining their respective SOFR Advances for such Interest Period, then, in each case, the Agent shall promptly so notify the Borrower and each Lender.</w:t>
      </w:r>
    </w:p>
    <w:p>
      <w:pPr>
        <w:spacing w:after="0" w:line="175" w:lineRule="exact"/>
        <w:rPr>
          <w:rFonts w:ascii="Times New Roman" w:cs="Times New Roman" w:eastAsia="Times New Roman" w:hAnsi="Times New Roman"/>
          <w:sz w:val="18"/>
          <w:szCs w:val="18"/>
          <w:color w:val="auto"/>
        </w:rPr>
      </w:pPr>
    </w:p>
    <w:p>
      <w:pPr>
        <w:jc w:val="both"/>
        <w:ind w:left="1380" w:firstLine="815"/>
        <w:spacing w:after="0" w:line="253" w:lineRule="auto"/>
        <w:tabs>
          <w:tab w:leader="none" w:pos="250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notice of the foregoing by the Agent to the Borrower, any obligation of the Lenders to make SOFR Advances, and any right of the Borrower to continue SOFR Advances or to convert Base Rate Advances to SOFR Advances, shall be suspended (to the extent of the affected SOFR Advances or affected Interest Periods) until the Agent (with respect to clause (b), at the instruction of the Required Lenders) revokes such notice. Upon receipt of such notice, (i) the Borrower may revoke any pending request for a borrowing of, conversion to or continuation of SOFR Advances (to the extent of the affected SOFR Advances or affected Interest Periods) or, failing that, the Borrower will be deemed to have converted any such request into a request for a Borrowing of or conversion to Base Rate Advances in the amount specified therein and (ii) any outstanding affected SOFR Advances will be deemed to have been converted into Base Rate Advances at the end of the applicable Interest Period. Upon any such conversion, the Borrower shall also pay accrued interest on the amount so converted. Subject to Section 2.22, if the Agent determines (which determination shall be conclusive and binding absent manifest error) that “Adjusted Term SOFR” or “Daily Simple SOFR” cannot be determined pursuant to the definition thereof on any given day, the interest rate on Base Rate Advances shall be determined by the Agent without reference to clause (c) of the definition of “Base Rate” until the Agent revokes such determination.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Optional Conversion and Continuation of Advances</w:t>
      </w:r>
      <w:r>
        <w:rPr>
          <w:rFonts w:ascii="Times New Roman" w:cs="Times New Roman" w:eastAsia="Times New Roman" w:hAnsi="Times New Roman"/>
          <w:sz w:val="18"/>
          <w:szCs w:val="18"/>
          <w:color w:val="auto"/>
        </w:rPr>
        <w:t xml:space="preserve">. The Borrower may on any Business Day, upon notice given to the Agent not later than 12:00 noon (New York City time) on the third U.S. Government Securities Business Day prior to the date of the proposed Conversion or continuation and subject to the provisions of Sections 2.07 and 2.11, Convert all Advances of one Type comprising the same Borrowing into Advances of the other Type or continue all or any part of any SOFR Advance constituting the same Borrowing as a SOFR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Conversion of SOFR Advances into Base Rate Advances shall be made only on the last day of an Interest Period or interest payment date, as applicable, for such SOFR Advances, any Conversion of Base Rate Advances into SOFR Advances shall be in an amount not less than the minimum amount specified in Section 2.02(b) and no Conversion of any Advances shall result in more separate Borrowings than permitted under Section 2.02(b). Each such notice of a Conversion or continuation shall, within the restrictions specified above, specify (i) the date of such Conversion or continuation, (ii) the Advances to be Converted or continued, and (iii) if such Conversion or continuation is into SOFR Advances, the duration of the initial Interest Period for each such Advance. Each notice of Conversion shall be irrevocable and binding on the Borrower.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Prepayments of Advances and Reduction/Prepayment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53" w:lineRule="auto"/>
        <w:tabs>
          <w:tab w:leader="none" w:pos="18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xml:space="preserve">. The Borrower may, at any time and from time to time without premium or penalty (but subject to Section 8.04(c)), upon notice at least two U.S. Government Securities Business Days’ prior to the date of such prepayment, in the case of SOFR Advances, and not later than 1:00 p.m. (New York City time) on the date of such prepayment, in the case of Base Rate Advances, to the Agent stating the proposed date and aggregate principal amount of the prepayment, and if such notice is given the Borrower shall, prepay the outstanding principal amount of the Advances comprising part of the same Borrowing in whole or ratably in part,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each partial prepayment shall be in an aggregate principal amount of $10,000,000 or an integral multiple of $1,000,000 in excess thereof and (y) in the event of any such prepayment of a SOFR Advance, the Borrower shall be obligated to reimburse the Lenders in respect thereof pursuant to Section 8.04(c). Notwithstanding the foregoing, any such notice may state that such notice is conditioned upon the occurrence of one or more events specified therein, in which case such notice may be revoked by the Borrower (by notice to the Agent on or prior to the specified date of termination or reduction) if such condition is not satisfied, provided that any revocation of a notice of prepayment shall not relieve the Borrower of its obligations in respect thereof, if any, under Section 8.04(c).</w:t>
      </w:r>
    </w:p>
    <w:p>
      <w:pPr>
        <w:spacing w:after="0" w:line="191" w:lineRule="exact"/>
        <w:rPr>
          <w:rFonts w:ascii="Times New Roman" w:cs="Times New Roman" w:eastAsia="Times New Roman" w:hAnsi="Times New Roman"/>
          <w:sz w:val="18"/>
          <w:szCs w:val="18"/>
          <w:color w:val="auto"/>
        </w:rPr>
      </w:pPr>
    </w:p>
    <w:p>
      <w:pPr>
        <w:jc w:val="both"/>
        <w:ind w:firstLine="1628"/>
        <w:spacing w:after="0" w:line="252" w:lineRule="auto"/>
        <w:tabs>
          <w:tab w:leader="none" w:pos="18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 and Commitment Reductions</w:t>
      </w:r>
      <w:r>
        <w:rPr>
          <w:rFonts w:ascii="Times New Roman" w:cs="Times New Roman" w:eastAsia="Times New Roman" w:hAnsi="Times New Roman"/>
          <w:sz w:val="18"/>
          <w:szCs w:val="18"/>
          <w:color w:val="auto"/>
        </w:rPr>
        <w:t xml:space="preserve">. In the event and on each occasion that, before or after the Funding Date, the Borrower or, if applicable, any of its Subsidiaries, receives any Reduction/Prepayment Amount that is subject to the prepayment or commitment reduction provisions of this Section 2.09(b), then, subject to the proviso of this Section 2.09(b), (i) the Borrower shall, upon receipt of such Reduction/Prepayment Amount, promptly notify the Agent of such Reduction/Prepayment Amount (together with a reasonably detailed calculation thereof and in respect of any Reduction/Prepayment Amount described in clause (d) of the definition of such term, notify the Administrative Agent as to whether it intends to reinvest such Reduction/Prepayment Amount pursuant to clause (2) of the proviso of this Section 2.09(b)) and (ii)(A) if such Reduction/Prepayment Amount is received prior to the Funding Date, the Commitments shall automatically and permanently be reduced by an amount equal to the lesser of (x) the aggregate amount of Commitments then available and (y) 100% of such Reduction/Prepayment Amount and (B) if such Reduction/Prepayment Amount is received after the Funding Date, within three (3) Business Days of receipt of such Reduction/Prepayment Amount, the Borrower shall prepay Loans in an amount equal to the lesser of (x) the aggregate principal amount of Loans then outstanding and (y) 100% of such Reduction/Prepayment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Reduction/Prepayment Amount described in clause (a) of the definition of such term shall only be required to be applied to reduce the Commitments, with such reduction to occur automatically upon the effectiveness of definitive documentation for the applicable Qualifying Term Loan Facility, and (2) in respect of a Reduction/Prepayment Amount described in clause (d) of the definition of such term, (x) following the Funding Date the Borrower shall not be required to make any prepayment under this Section 2.09(b) if such Reduction/Prepayment Amount is reinvested in long-term assets to be used in the business of the Borrower and/or any of its Subsidiaries within 180 days following the receipt thereof and Borrower shall have given prior written notice to the Agent of its intent to reinvest such Reduction/Prepayment Amount (but, for the avoidance of doubt, if not so reinvested, any portion of such Reduction/Prepayment Amount not so reinvested shall be applied to prepay the Loans in accordance with the foregoing and such Reduction/Prepayment Amount shall be deemed to have been received at the end of such 180-day period for purposes of the foregoing) and (y) this Section 2.09(b) shall not apply to such Reduction/Prepayment Amount until the aggregate amount of all such Reduction/Prepayment Amounts described in clause (d) of the definition of such definition equals to $200,000,000, and then only the portion in excess of $200,000,000 shall be subject this Section 2.09(b). Any amounts prepaid pursuant to any mandatory prepayment of the Loans under this Section 2.09(b) may not be re-borrowed.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mandatory prepayments required by this Section 2.09(b) with respect to any Net Cash Proceeds received by a Subsidiary of the Borrower that is not a Domestic Subsidiary shall not be required if and for so long as the Borrower has determined in good faith that repatriation to the Borrower of such Net Cash Proceeds would have material adverse tax consequences.</w:t>
      </w:r>
    </w:p>
    <w:p>
      <w:pPr>
        <w:spacing w:after="0" w:line="176" w:lineRule="exact"/>
        <w:rPr>
          <w:sz w:val="20"/>
          <w:szCs w:val="20"/>
          <w:color w:val="auto"/>
        </w:rPr>
      </w:pPr>
    </w:p>
    <w:p>
      <w:pPr>
        <w:ind w:firstLine="1628"/>
        <w:spacing w:after="0" w:line="282" w:lineRule="auto"/>
        <w:tabs>
          <w:tab w:leader="none" w:pos="186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optional and mandatory prepayments and reductions of Commitments set forth in this Section 2.09 shall be allocated among the Lenders on a pro rata basis.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due to either (i) the introduction of or any change in or in the interpretation of any law or regulation or (ii) the compliance with any guideline or request from any central bank or other governmental authority (whether or not having the force of law), in each case announced after the date hereof or the date a Lender becomes a party hereto pursuant to an Assignment and Assumption,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Lender assignee shall be entitled to compensation under this Section to the same extent that the Lender assigning such interest was entitled to claim as of the date of such assignment), there shall be any increase in the cost to any Lender of agreeing to make or making, funding or maintaining SOFR Advances (excluding for purposes of this Section 2.10 any such increased costs resulting from taxes, including Taxes or Other Taxes (as to which Section 2.13 shall govern)), then the Borrower shall from time to time, upon demand by such Lender (with a copy of such demand to the Agent), pay to the Agent for the account of such Lender additional amounts sufficient to compensate such Lender for such increased cost. A certificate setting forth in reasonable detail the reasons for and amount (including the calculation) of such increased cost, submitted to the Borrower and the Agent by such Lender, shall be conclusive and binding for all purposes,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 restrictions) to designate a different lending office if the making of such a designation would avoid the need for, or reduce the amount of, such increased cost and would not, in the reasonable judgment of such Lender, be otherwise disadvantageous to such Lender.</w:t>
      </w:r>
    </w:p>
    <w:p>
      <w:pPr>
        <w:spacing w:after="0" w:line="187" w:lineRule="exact"/>
        <w:rPr>
          <w:sz w:val="20"/>
          <w:szCs w:val="20"/>
          <w:color w:val="auto"/>
        </w:rPr>
      </w:pPr>
    </w:p>
    <w:p>
      <w:pPr>
        <w:jc w:val="both"/>
        <w:ind w:firstLine="1628"/>
        <w:spacing w:after="0" w:line="254" w:lineRule="auto"/>
        <w:tabs>
          <w:tab w:leader="none" w:pos="188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 governmental authority (whether or not having the force of law) announced after the date hereof or the date a Lender becomes a party hereto pursuant to an Assignment and Assumption,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Lender assignee shall be entitled to compensation under this Section to the same extent that the Lender assigning such interest was entitled to claim as of the date of such assignment), affects the amount of capital or liquidity required or expected to be maintained by such Lender or any corporation controlling such Lender and that the amount of such capital or liquidity is increased by or based upon the existence of such Lender’s commitment to lend hereunder,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1628"/>
        <w:spacing w:after="0" w:line="258" w:lineRule="auto"/>
        <w:tabs>
          <w:tab w:leader="none" w:pos="18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Section 2.10 shall apply to all requests, rules, guidelines or directives (x) issued in connection with the Dodd-Frank Wall Street Reform and Consumer Protection Act or (y) promulgated by the Bank for International Settlements, the Basel Committee on Banking Supervision (or any successor or similar authority) or the United States or foreign regulatory authorities, in each case pursuant to Basel III, regardless of the date enacted, adopted or issued. A certificate setting forth in reasonable detail the reasons for and such amounts (including a calculation thereof) submitted to the Borrower and the Agent by such Lender shall be conclusive and binding for all purposes, absent manifest error.</w:t>
      </w:r>
    </w:p>
    <w:p>
      <w:pPr>
        <w:spacing w:after="0" w:line="183"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incurred more than 180 days prior to the date that such Lender notifies the Borrower of the circumstances giving rise to such increased costs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circumstance giving rise to such increased costs is retroactive, then the 180-day period referred to above shall be extended to include the period of retroactive effect thereof.</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SOFR Advances or to fund or maintain SOFR Advances hereunder, (a) each SOFR Advance of such Lender will automatically, upon such demand, Convert into a Base Rate Advance and (b) the obligation of such Lender to make SOFR Advances or to Convert Advances into SOFR Advances shall be suspended until the Agent shall notify the Borrower and the Lenders that the circumstances causing such suspension no longer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 restrictions) to designate a different lending office if the making of such a designation would allow such Lender or its Applicable Lending Office to continue to perform its obligations to make SOFR Advances or to continue to fund or maintain SOFR Advances and would not, in the judgment of such Lender, be otherwise disadvantageous to such Lender.</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The Borrower shall make each payment hereunder, irrespective of any right of counterclaim or set-off, not later than 1:00 p.m. (New York City time) on the day when due in U.S. dollars to the Agent at the Agent’s Account in same day funds. The Agent will promptly thereafter cause to be distributed like funds relating to the payment of principal or interest or the Ticking Fee ratably (other than amounts payable pursuant to Section 2.03, 2.10, 2.13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8.07(d)(i),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firstLine="1628"/>
        <w:spacing w:after="0" w:line="258" w:lineRule="auto"/>
        <w:tabs>
          <w:tab w:leader="none" w:pos="18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based on the Base Rate shall be made by the Agent on the basis of a year of 365 or 366 days, as the case may be, and all computations of interest based on Term SOFR, Daily Simple SOFR or the Federal Funds Rate and the Ticking Fee shall be made by the Agent on the basis of a year of 360 days, in each case for the actual number of days (including the first day but excluding the last day) occurring in the period for which such interest or the Ticking Fee are payable. Each determination by the Agent of an interest rate hereunder shall be conclusive and binding for all purposes, absent manifest error.</w:t>
      </w:r>
    </w:p>
    <w:p>
      <w:pPr>
        <w:spacing w:after="0" w:line="183"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Ticking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SOFR Advances to be made in the next following calendar month, such payment shall be made on the next preceding Business Day.</w:t>
      </w:r>
    </w:p>
    <w:p>
      <w:pPr>
        <w:spacing w:after="0" w:line="179" w:lineRule="exact"/>
        <w:rPr>
          <w:rFonts w:ascii="Times New Roman" w:cs="Times New Roman" w:eastAsia="Times New Roman" w:hAnsi="Times New Roman"/>
          <w:sz w:val="18"/>
          <w:szCs w:val="18"/>
          <w:color w:val="auto"/>
        </w:rPr>
      </w:pPr>
    </w:p>
    <w:p>
      <w:pPr>
        <w:jc w:val="both"/>
        <w:ind w:firstLine="1628"/>
        <w:spacing w:after="0" w:line="255" w:lineRule="auto"/>
        <w:tabs>
          <w:tab w:leader="none" w:pos="18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 (without prejudice to any claim such Lender may have against the Borrower for failure to make any payment in full when due).</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Any and all payments by the Borrower to or for the account of any Lender or the Agent hereunder or under the Notes or any other documents to be delivered hereunder shall be made, in accordance with Section 2.12 or the applicable provisions of such other documents, free and clear of and without deduction for any and all present or future taxes, levies, imposts, deductions, charges or withholdings, and all liabilities with respect thereto,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in the case of each Lender and the Agent, (i) taxes imposed on its overall net income, franchise taxes imposed on it in lieu of net income taxes, branch profits taxes, in each case imposed on it by the jurisdiction under the laws of which such Lender or the Agent (as the case may be) is organized or in which its principal office is located (or, in the case of each Lender, in which its Applicable Lending Office is located) or any political subdivision thereof or by any jurisdiction or political subdivision thereof with which such Lender or Agent has a present or former connection (other than any connection arising solely from having executed, delivered, performed its obligations or received payment under, or enforced this Agreement), (ii) U.S. federal withholding taxes imposed on amounts payable to or for the account of such Lender with respect to an applicable interest in a Note or Commitment pursuant to a law in effect on the date on which (A) such Lender acquires such interest in the Note or Commitment or (B) such Lender changes its lending office, except in each case to the extent that, pursuant to Section 2.13, amounts with respect to such taxes were payable either to such Lender’s assignor immediately before such Lender became a party hereto or to such Lender immediately before it changed its lending office, (iii) taxes attributable to such Lender’s or Agent’s failure to comply with Section 2.13(e)(i), and (iv) any taxes imposed pursuant to FATCA (all such non-excluded taxes, levies, imposts, deductions, charges, withholdings and liabilities in respect of payments hereunder or under the Notes being hereinafter referred to as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If the Borrower or the Agent, as applicable, shall be required by law to deduct any amount from or in respect of any sum payable hereunder or under any Note or any other documents to be delivered hereunder to any Lender or the Agent, (1) if such deduction or withholding is in respect of Taxes, then the sum payable shall be increased by the Borrower as may be necessary so that after making all required deductions for Taxes (including deductions for Taxes applicable to additional sums payable under this Section 2.13) such Lender or the Agent (as the case may be) receives an amount equal to the sum it would have received had no such deductions for Taxes been made, (2) the Borrower or the Agent, as applicable, shall make all required deductions and (3) the Borrower or the Agent, as applicable, shall pay the full amount deducted to the relevant taxation authority or other authority in accordance with applicable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left="-20" w:firstLine="1628"/>
        <w:spacing w:after="0" w:line="261" w:lineRule="auto"/>
        <w:tabs>
          <w:tab w:leader="none" w:pos="187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except any such taxes imposed with respect to an assignment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20" w:firstLine="1628"/>
        <w:spacing w:after="0" w:line="258" w:lineRule="auto"/>
        <w:tabs>
          <w:tab w:leader="none" w:pos="18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Lender and the Agent for and hold it harmless against the full amount of Taxes or Other Taxes (including, without limitation, Taxes or Other Taxes of any kind imposed or asserted by any jurisdiction on amounts payable under this Section 2.13)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83" w:lineRule="exact"/>
        <w:rPr>
          <w:rFonts w:ascii="Times New Roman" w:cs="Times New Roman" w:eastAsia="Times New Roman" w:hAnsi="Times New Roman"/>
          <w:sz w:val="18"/>
          <w:szCs w:val="18"/>
          <w:color w:val="auto"/>
        </w:rPr>
      </w:pPr>
    </w:p>
    <w:p>
      <w:pPr>
        <w:jc w:val="both"/>
        <w:ind w:left="-20" w:firstLine="1628"/>
        <w:spacing w:after="0" w:line="266" w:lineRule="auto"/>
        <w:tabs>
          <w:tab w:leader="none" w:pos="187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w:t>
      </w:r>
    </w:p>
    <w:p>
      <w:pPr>
        <w:spacing w:after="0" w:line="175" w:lineRule="exact"/>
        <w:rPr>
          <w:rFonts w:ascii="Times New Roman" w:cs="Times New Roman" w:eastAsia="Times New Roman" w:hAnsi="Times New Roman"/>
          <w:sz w:val="18"/>
          <w:szCs w:val="18"/>
          <w:color w:val="auto"/>
        </w:rPr>
      </w:pPr>
    </w:p>
    <w:p>
      <w:pPr>
        <w:jc w:val="both"/>
        <w:ind w:left="-20" w:firstLine="1628"/>
        <w:spacing w:after="0" w:line="254" w:lineRule="auto"/>
        <w:tabs>
          <w:tab w:leader="none" w:pos="185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2.13(a), (a)(a)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8" w:lineRule="exact"/>
        <w:rPr>
          <w:rFonts w:ascii="Times New Roman" w:cs="Times New Roman" w:eastAsia="Times New Roman" w:hAnsi="Times New Roman"/>
          <w:sz w:val="18"/>
          <w:szCs w:val="18"/>
          <w:color w:val="auto"/>
        </w:rPr>
      </w:pPr>
    </w:p>
    <w:p>
      <w:pPr>
        <w:ind w:left="2440" w:hanging="265"/>
        <w:spacing w:after="0"/>
        <w:tabs>
          <w:tab w:leader="none" w:pos="24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60" w:firstLine="1544"/>
        <w:spacing w:after="0" w:line="266" w:lineRule="auto"/>
        <w:tabs>
          <w:tab w:leader="none" w:pos="3203"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26" w:name="page127"/>
    <w:bookmarkEnd w:id="126"/>
    <w:p>
      <w:pPr>
        <w:jc w:val="both"/>
        <w:ind w:left="260" w:right="20" w:firstLine="1544"/>
        <w:spacing w:after="0" w:line="261" w:lineRule="auto"/>
        <w:tabs>
          <w:tab w:leader="none" w:pos="209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Person shall, to the extent it is legally entitled to do so, deliver to the Borrower and the Agent (in such number of copies as shall be requested by the recipient) on or prior to the date on which such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560" w:firstLine="811"/>
        <w:spacing w:after="0" w:line="256" w:lineRule="auto"/>
        <w:tabs>
          <w:tab w:leader="none" w:pos="264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2620" w:hanging="249"/>
        <w:spacing w:after="0"/>
        <w:tabs>
          <w:tab w:leader="none" w:pos="262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1560" w:firstLine="811"/>
        <w:spacing w:after="0" w:line="256" w:lineRule="auto"/>
        <w:tabs>
          <w:tab w:leader="none" w:pos="2653"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claiming the benefits of the exemption for portfolio interest under Section 881(c) of the Internal Revenue Code, (x) a certificate substantially in the form of Exhibit D-1 to the effect that such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8"/>
          <w:szCs w:val="18"/>
          <w:u w:val="single" w:color="auto"/>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and (y) executed copies of IRS Form W-8BEN or W-8BEN-E; or</w:t>
      </w:r>
    </w:p>
    <w:p>
      <w:pPr>
        <w:spacing w:after="0" w:line="187" w:lineRule="exact"/>
        <w:rPr>
          <w:rFonts w:ascii="Times New Roman" w:cs="Times New Roman" w:eastAsia="Times New Roman" w:hAnsi="Times New Roman"/>
          <w:sz w:val="18"/>
          <w:szCs w:val="18"/>
          <w:color w:val="auto"/>
        </w:rPr>
      </w:pPr>
    </w:p>
    <w:p>
      <w:pPr>
        <w:jc w:val="both"/>
        <w:ind w:left="1560" w:firstLine="811"/>
        <w:spacing w:after="0" w:line="256" w:lineRule="auto"/>
        <w:tabs>
          <w:tab w:leader="none" w:pos="2629"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Lender is not the beneficial owner, executed copies of IRS Form W-8IMY, accompanied by IRS Form W-8ECI, IRS Form W-8BEN or W-8BEN-E, a U.S. Tax Compliance Certificate substantially in the form of Exhibit D-2 or Exhibit D-3,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one or more direct or indirect partners of such Lender are claiming the portfolio interest exemption, such Lender may provide a U.S. Tax Compliance Certificate substantially in the form of Exhibit D-4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17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Person shall, to the extent it is legally entitled to do so, deliver to the Borrower and the Agent (in such number of copies as shall be requested by the recipient) on or prior to the date on which such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7" w:name="page128"/>
    <w:bookmarkEnd w:id="127"/>
    <w:p>
      <w:pPr>
        <w:jc w:val="both"/>
        <w:ind w:left="1300" w:firstLine="1300"/>
        <w:spacing w:after="0" w:line="254" w:lineRule="auto"/>
        <w:tabs>
          <w:tab w:leader="none" w:pos="29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the Borrower, at the time or times prescribed by law and at such time or times reasonably requested in writing by the Borrower or the Agent, such documentation prescribed by applicable law (including as prescribed by Section 1471(b)(3)(C)(i) of the Internal Revenue Code) and such additional documentation reasonably requested in writing by the Borrower or the Agent as may be necessary for the Borrower or the Agent to comply with their obligations under FATCA, to determine that such Lender has complied with such Lender’s obligations under FATCA or to determine the amount to deduct and withhold from such payment. Solely for purposes of this clause (ii), “FATCA” shall include any amendments made to FATCA after the date of this Agreement.</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2.13(e)(i), “U.S. Person” means any Person that is a “United States person” as defined in Section 7701(a)</w:t>
      </w:r>
    </w:p>
    <w:p>
      <w:pPr>
        <w:spacing w:after="0" w:line="27" w:lineRule="exact"/>
        <w:rPr>
          <w:sz w:val="20"/>
          <w:szCs w:val="20"/>
          <w:color w:val="auto"/>
        </w:rPr>
      </w:pPr>
    </w:p>
    <w:p>
      <w:pPr>
        <w:ind w:left="360" w:hanging="352"/>
        <w:spacing w:after="0"/>
        <w:tabs>
          <w:tab w:leader="none" w:pos="3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w:t>
      </w:r>
    </w:p>
    <w:p>
      <w:pPr>
        <w:spacing w:after="0" w:line="206"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5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claiming any additional amounts payable pursuant to this Section 2.13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reasonable judgment of such Lender, be otherwise disadvantageous to such Lender.</w:t>
      </w:r>
    </w:p>
    <w:p>
      <w:pPr>
        <w:spacing w:after="0" w:line="179"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8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it has received a refund of any Taxes as to which it has been indemnified by the Borrower or with respect to which the Borrower has paid additional amounts pursuant to this Section 2.13, it shall pay to the Borrower an amount equal to such refund (but only to the extent of indemnity payments made, or additional amounts paid, by the Borrower under this Section 2.13 with respect to the Taxes giving rise to such refund), net of all out-of-pocket expenses (including Taxes) incurred by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such Lender, agrees to repay the amount paid over to the Borrower (plus any penalties, interest or other charges imposed by the relevant governmental authority) to the Lender in the event the Lender is required to repay such refund to such governmental authority. Notwithstanding anything to the contrary in this subsection, in no event will the applicable Lender be required to pay any amount to the Borrower pursuant to this subsection the payment of which would place the Lender in a less favorable net after-tax position than such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Lender to make available its tax returns (or any other information relating to its taxes that it deems confidential) to the Borrower or any other Person.</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any Lender shall obtain any payment (whether voluntary, involuntary, through the exercise of any right of set off, or otherwise) on account of the Advances owing to it (other than (x) in respect of Defaulting Lenders or (y) pursuant to Section 2.10, 2.13 or 8.04(c)) or as otherwise expressly provided herein)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2.14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in respect of Advances. The Borrower agrees that upon notice by any Lender to the Borrower (with a copy of such notice to the Agent) to the effect that a Note is required or appropriate in order for such Lender to evidence (whether for purposes of pledge, enforcement or otherwise) the Advances owing to, or to be made by, such Lender, the Borrower shall promptly execute and deliver to such Lender a Note payable to such Lender in a principal amount up to the Commitment of such Lender.</w:t>
      </w:r>
    </w:p>
    <w:p>
      <w:pPr>
        <w:spacing w:after="0" w:line="187" w:lineRule="exact"/>
        <w:rPr>
          <w:sz w:val="20"/>
          <w:szCs w:val="20"/>
          <w:color w:val="auto"/>
        </w:rPr>
      </w:pPr>
    </w:p>
    <w:p>
      <w:pPr>
        <w:jc w:val="both"/>
        <w:ind w:firstLine="1628"/>
        <w:spacing w:after="0" w:line="255" w:lineRule="auto"/>
        <w:tabs>
          <w:tab w:leader="none" w:pos="187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Agent pursuant to Section 8.07(d)(i)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Assignment and Assumption delivered to and accepted by it, (iii) the amount of any principal or interest due and payable or to become due and payable from the Borrower to each Lender hereunder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sum received by the Agent from the Borrower hereunder and each Lender’s share thereof.</w:t>
      </w:r>
    </w:p>
    <w:p>
      <w:pPr>
        <w:spacing w:after="0" w:line="206"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7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Agent in the Register pursuant to subsection (i)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Agent or such Lender to make an entry, or any finding that an entry is incorrect, in the Register or such account or accounts shall not limit or otherwise affect the obligations of the Borrower under this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the Borrower agrees that it shall use such proceeds) solely for the Matterhorn Certain Funds Purpose.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2.17 [Reserved].</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If a Lender becomes, and during the period it remains, a Defaulting Lender, any amount paid by the Borrower or otherwise received by the Agent for the account of such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2.18) the termination of the Commitments and payment in full of all obligations of the Borrower hereunder and will be applied by the Agent, to the fullest extent permitted by law, to the making of payments from time to time in the following order of priority: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Agent under this Agreement,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post-default interest and then current interest due and payable to the Non-Defaulting Lenders hereunder, ratably among them in accordance with the amounts of such interest then due and payable to them,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payment of fees then due and payable to the Non-Defaulting Lenders hereunder, ratably among them in accordance with the amounts of such fees then due and payable to them,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principal then due and payable to the Non-Defaulting Lenders hereunder ratably in accordance with the amounts thereof then due and payable to them,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ratable payment of other amounts then due and payable to the Non-Defaulting Lenders,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after the termination of the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firstLine="1628"/>
        <w:spacing w:after="0" w:line="261" w:lineRule="auto"/>
        <w:tabs>
          <w:tab w:leader="none" w:pos="189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 Section 2.18, performance by the Borrower of its obligations shall not be excused or otherwise modified as a result of the operation of this Section 2.18. The rights and remedies against a Defaulting Lender under this Section 2.18 are in addition to any other rights and remedies which the Borrower, the Agent or any Lender may have against such Defaulting Lender.</w:t>
      </w:r>
    </w:p>
    <w:p>
      <w:pPr>
        <w:spacing w:after="0" w:line="179"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7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Advances of the other Lenders or take such other actions as the Agent may determine to be necessary to cause the Advances to be funded and held on a pro rata basis by the Lenders in accordance with their pro rata share,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If (a) any Lender requests compensation under Section 2.10, (b) the Borrower is required to pay additional amounts to any Lender or any governmental authority for the account of any Lender pursuant to Section 2.13, (c) any Lender is a Defaulting Lender, (d) any Lender cannot make SOFR Advances as contemplated by Section 2.11, (e) [reserved] or (f) any Lender does not approve any consent, waiver or amendment that (i) requires the approval of all Lenders or all affected Lenders in accordance with the terms of Section 8.01 and (ii) has been approved by the Required Lenders (a “</w:t>
      </w:r>
      <w:r>
        <w:rPr>
          <w:rFonts w:ascii="Times New Roman" w:cs="Times New Roman" w:eastAsia="Times New Roman" w:hAnsi="Times New Roman"/>
          <w:sz w:val="18"/>
          <w:szCs w:val="18"/>
          <w:u w:val="single" w:color="auto"/>
          <w:color w:val="auto"/>
        </w:rPr>
        <w:t>Non-Approving Lender</w:t>
      </w:r>
      <w:r>
        <w:rPr>
          <w:rFonts w:ascii="Times New Roman" w:cs="Times New Roman" w:eastAsia="Times New Roman" w:hAnsi="Times New Roman"/>
          <w:sz w:val="18"/>
          <w:szCs w:val="18"/>
          <w:color w:val="auto"/>
        </w:rPr>
        <w:t xml:space="preserve">”), then the Borrower may, at its sole expense and effort,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2" w:lineRule="exact"/>
        <w:rPr>
          <w:sz w:val="20"/>
          <w:szCs w:val="20"/>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applicable Eligible Assignee shall have paid to the Agent the assignment fee (if any) specified in Section 8.07;</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Advances, accrued interest thereon, accrued fees and all other amounts payable to it hereunder (including any amounts under Section 8.04(c)) from the assignee (to the extent of such outstanding principal and accrued interest and fees) or the Borrower (in the case of all other amounts);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ind w:left="660" w:firstLine="644"/>
        <w:spacing w:after="0" w:line="282" w:lineRule="auto"/>
        <w:tabs>
          <w:tab w:leader="none" w:pos="15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2.10 or payments required to be made pursuant to Section 2.13,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Non-Approving Lender, the applicable assignee shall have consented, or agreed to provide its consent upon becoming a Lender, to the applicable amendment, waiver or consent.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2.20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w:t>
      </w:r>
    </w:p>
    <w:p>
      <w:pPr>
        <w:spacing w:after="0" w:line="225" w:lineRule="exact"/>
        <w:rPr>
          <w:sz w:val="20"/>
          <w:szCs w:val="20"/>
          <w:color w:val="auto"/>
        </w:rPr>
      </w:pPr>
    </w:p>
    <w:p>
      <w:pPr>
        <w:jc w:val="both"/>
        <w:ind w:firstLine="1628"/>
        <w:spacing w:after="0" w:line="256" w:lineRule="auto"/>
        <w:tabs>
          <w:tab w:leader="none" w:pos="18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Section 2.22(a) will occur prior to the applicable Benchmark Transition Start Date.</w:t>
      </w:r>
    </w:p>
    <w:p>
      <w:pPr>
        <w:spacing w:after="0" w:line="187" w:lineRule="exact"/>
        <w:rPr>
          <w:rFonts w:ascii="Times New Roman" w:cs="Times New Roman" w:eastAsia="Times New Roman" w:hAnsi="Times New Roman"/>
          <w:sz w:val="18"/>
          <w:szCs w:val="18"/>
          <w:color w:val="auto"/>
        </w:rPr>
      </w:pPr>
    </w:p>
    <w:p>
      <w:pPr>
        <w:jc w:val="both"/>
        <w:ind w:firstLine="1628"/>
        <w:spacing w:after="0" w:line="261" w:lineRule="auto"/>
        <w:tabs>
          <w:tab w:leader="none" w:pos="190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w:t>
      </w:r>
    </w:p>
    <w:p>
      <w:pPr>
        <w:spacing w:after="0" w:line="179"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7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Agent will promptly notify the Borrower and the Lenders of (i) the implementation of any Benchmark Replacement and (ii) the effectiveness of any Conforming Changes in connection with the use, administration, adoption or implementation of a Benchmark Replacement. The Agent will notify the Borrower of (x) the removal or reinstatement of any tenor of a Benchmark pursuant to Section 2.22(c)(i) and (y) the commencement of any Benchmark Unavailability Period. Any determination, decision or election that may be made by the Agent or, if applicable, any Lender (or group of Lenders) pursuant to this Section 2.22,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 except, in each case, as expressly required pursuant to this Section 2.22(c)(i).</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both"/>
        <w:ind w:firstLine="1628"/>
        <w:spacing w:after="0" w:line="253" w:lineRule="auto"/>
        <w:tabs>
          <w:tab w:leader="none" w:pos="18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Borrowing of, conversion to or continuation of SOFR Advances to be made, converted or continued during any Benchmark Unavailability Period and, failing that, the Borrower will be deemed to have converted any such request into a request for a Borrowing of or conversion to Base Rate Advances.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Effectiveness of Commitments</w:t>
      </w:r>
      <w:r>
        <w:rPr>
          <w:rFonts w:ascii="Times New Roman" w:cs="Times New Roman" w:eastAsia="Times New Roman" w:hAnsi="Times New Roman"/>
          <w:sz w:val="18"/>
          <w:szCs w:val="18"/>
          <w:color w:val="auto"/>
        </w:rPr>
        <w:t>. This Agreement shall become effective on and as of the first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the following conditions precedent have been satisfied:</w:t>
      </w:r>
    </w:p>
    <w:p>
      <w:pPr>
        <w:spacing w:after="0" w:line="162" w:lineRule="exact"/>
        <w:rPr>
          <w:sz w:val="20"/>
          <w:szCs w:val="20"/>
          <w:color w:val="auto"/>
        </w:rPr>
      </w:pPr>
    </w:p>
    <w:p>
      <w:pPr>
        <w:ind w:left="1860" w:hanging="232"/>
        <w:spacing w:after="0"/>
        <w:tabs>
          <w:tab w:leader="none" w:pos="18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January 31, 2026.</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against the Borrower or any of its Subsidiaries pending or, to Borrower’s knowledge, threatened in writing before any court, governmental agency or arbitrator that (i) could be reasonably likely to have a Material Adverse Effect or (ii) could reasonably be expected to adversely affect the legality, validity or enforceability of the Loan Documents.</w:t>
      </w:r>
    </w:p>
    <w:p>
      <w:pPr>
        <w:spacing w:after="0" w:line="175"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Agent that restrains, prevents or imposes materially adverse conditions upon the transactions contemplated hereby.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ind w:firstLine="1628"/>
        <w:spacing w:after="0" w:line="266" w:lineRule="auto"/>
        <w:tabs>
          <w:tab w:leader="none" w:pos="18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accrued fees and expenses of the Agent and the Lenders required to be paid or reimbursed by the Borrower (including the accrued reasonable and documented fees and expenses of counsel to the Agent) that have been invoiced to the Borrower prior to the Effective Date.</w:t>
      </w:r>
    </w:p>
    <w:p>
      <w:pPr>
        <w:spacing w:after="0" w:line="175" w:lineRule="exact"/>
        <w:rPr>
          <w:rFonts w:ascii="Times New Roman" w:cs="Times New Roman" w:eastAsia="Times New Roman" w:hAnsi="Times New Roman"/>
          <w:sz w:val="18"/>
          <w:szCs w:val="18"/>
          <w:color w:val="auto"/>
        </w:rPr>
      </w:pPr>
    </w:p>
    <w:p>
      <w:pPr>
        <w:ind w:right="20" w:firstLine="1628"/>
        <w:spacing w:after="0" w:line="282" w:lineRule="auto"/>
        <w:tabs>
          <w:tab w:leader="none" w:pos="18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Agent shall have received a certificate signed by a duly authorized officer of the Borrower, dated the Effective Date, stating that:</w:t>
      </w:r>
    </w:p>
    <w:p>
      <w:pPr>
        <w:spacing w:after="0" w:line="161" w:lineRule="exact"/>
        <w:rPr>
          <w:rFonts w:ascii="Times New Roman" w:cs="Times New Roman" w:eastAsia="Times New Roman" w:hAnsi="Times New Roman"/>
          <w:sz w:val="18"/>
          <w:szCs w:val="18"/>
          <w:color w:val="auto"/>
        </w:rPr>
      </w:pPr>
    </w:p>
    <w:p>
      <w:pPr>
        <w:ind w:left="2400" w:hanging="205"/>
        <w:spacing w:after="0"/>
        <w:tabs>
          <w:tab w:leader="none" w:pos="24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correct on and as of the Effective Date, and</w:t>
      </w:r>
    </w:p>
    <w:p>
      <w:pPr>
        <w:spacing w:after="0" w:line="225" w:lineRule="exact"/>
        <w:rPr>
          <w:rFonts w:ascii="Times New Roman" w:cs="Times New Roman" w:eastAsia="Times New Roman" w:hAnsi="Times New Roman"/>
          <w:sz w:val="18"/>
          <w:szCs w:val="18"/>
          <w:color w:val="auto"/>
        </w:rPr>
      </w:pPr>
    </w:p>
    <w:p>
      <w:pPr>
        <w:ind w:left="2460" w:hanging="265"/>
        <w:spacing w:after="0"/>
        <w:tabs>
          <w:tab w:leader="none" w:pos="2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 or an Event of Default.</w:t>
      </w:r>
    </w:p>
    <w:p>
      <w:pPr>
        <w:spacing w:after="0" w:line="225" w:lineRule="exact"/>
        <w:rPr>
          <w:rFonts w:ascii="Times New Roman" w:cs="Times New Roman" w:eastAsia="Times New Roman" w:hAnsi="Times New Roman"/>
          <w:sz w:val="18"/>
          <w:szCs w:val="18"/>
          <w:color w:val="auto"/>
        </w:rPr>
      </w:pPr>
    </w:p>
    <w:p>
      <w:pPr>
        <w:ind w:left="1860" w:hanging="232"/>
        <w:spacing w:after="0"/>
        <w:tabs>
          <w:tab w:leader="none" w:pos="1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on or before the Effective Date the following, each in form and substance reasonably satisfactory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Agent:</w:t>
      </w:r>
    </w:p>
    <w:p>
      <w:pPr>
        <w:spacing w:after="0" w:line="206"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40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each party hereto, an executed counterpart of this Agreement delivered by such party or customary written evidence reasonably satisfactory to the Agent (which may include electronic transmission of a signed signature page)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ind w:left="2460" w:hanging="265"/>
        <w:spacing w:after="0"/>
        <w:tabs>
          <w:tab w:leader="none" w:pos="2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each dated the Effective Date, to the extent requested by any Lender prior to the Effective Date pursuant to</w:t>
      </w:r>
    </w:p>
    <w:p>
      <w:pPr>
        <w:spacing w:after="0" w:line="2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2.15.</w:t>
      </w:r>
    </w:p>
    <w:p>
      <w:pPr>
        <w:spacing w:after="0" w:line="206"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50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Borrower approving this Agreement and the Notes (if any), and of all documents evidencing other necessary corporate action and governmental approvals, if any, with respect to this Agreement and the Notes (if any).</w:t>
      </w:r>
    </w:p>
    <w:p>
      <w:pPr>
        <w:spacing w:after="0" w:line="175" w:lineRule="exact"/>
        <w:rPr>
          <w:rFonts w:ascii="Times New Roman" w:cs="Times New Roman" w:eastAsia="Times New Roman" w:hAnsi="Times New Roman"/>
          <w:sz w:val="18"/>
          <w:szCs w:val="18"/>
          <w:color w:val="auto"/>
        </w:rPr>
      </w:pPr>
    </w:p>
    <w:p>
      <w:pPr>
        <w:jc w:val="both"/>
        <w:ind w:left="1380" w:right="20" w:firstLine="815"/>
        <w:spacing w:after="0" w:line="266" w:lineRule="auto"/>
        <w:tabs>
          <w:tab w:leader="none" w:pos="250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Borrower, dated as of the Effective Date, certifying the names and true signatures of officers of the Borrower authorized to sign this Agreement and the Notes (if any) and the other documents to be delivered hereunder.</w:t>
      </w:r>
    </w:p>
    <w:p>
      <w:pPr>
        <w:spacing w:after="0" w:line="175" w:lineRule="exact"/>
        <w:rPr>
          <w:rFonts w:ascii="Times New Roman" w:cs="Times New Roman" w:eastAsia="Times New Roman" w:hAnsi="Times New Roman"/>
          <w:sz w:val="18"/>
          <w:szCs w:val="18"/>
          <w:color w:val="auto"/>
        </w:rPr>
      </w:pPr>
    </w:p>
    <w:p>
      <w:pPr>
        <w:ind w:left="1380" w:right="20" w:firstLine="815"/>
        <w:spacing w:after="0" w:line="282" w:lineRule="auto"/>
        <w:tabs>
          <w:tab w:leader="none" w:pos="247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Hogan Lovells US LLP, special counsel for the Borrower, dated the Effective Date and in customary form and substance.</w:t>
      </w:r>
    </w:p>
    <w:p>
      <w:pPr>
        <w:spacing w:after="0" w:line="16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Business Days prior to the Effective Date, the Lenders shall have received all documentation and other information relating to the Borrower and requested in writing at least ten Business Days prior to the Effective Date required by bank regulatory authorities under applicable “know your customer” and anti-money laundering rules and regulations, including the Patriot Act and the Beneficial Ownership Regulation (if applicable).</w:t>
      </w:r>
    </w:p>
    <w:p>
      <w:pPr>
        <w:spacing w:after="0" w:line="17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pursuant to any Fee Letter on or before the Effective Date shall have been 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Funding</w:t>
      </w:r>
      <w:r>
        <w:rPr>
          <w:rFonts w:ascii="Times New Roman" w:cs="Times New Roman" w:eastAsia="Times New Roman" w:hAnsi="Times New Roman"/>
          <w:sz w:val="18"/>
          <w:szCs w:val="18"/>
          <w:color w:val="auto"/>
        </w:rPr>
        <w:t>. The obligation of each Lender to make an Advance on the Funding Date during the Availability Period shall be subject to the conditions precedent that the Effective Date shall have occurred and satisfaction (or waiver) of the following conditions precedent:</w:t>
      </w:r>
    </w:p>
    <w:p>
      <w:pPr>
        <w:spacing w:after="0" w:line="176" w:lineRule="exact"/>
        <w:rPr>
          <w:sz w:val="20"/>
          <w:szCs w:val="20"/>
          <w:color w:val="auto"/>
        </w:rPr>
      </w:pPr>
    </w:p>
    <w:p>
      <w:pPr>
        <w:jc w:val="both"/>
        <w:ind w:firstLine="1628"/>
        <w:spacing w:after="0" w:line="252" w:lineRule="auto"/>
        <w:tabs>
          <w:tab w:leader="none" w:pos="18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Matterhorn Acquisition shall have been, or substantially concurrently with the funding of the Advances on the Funding Date shall be, consummated in all material respects in accordance with the terms of the Matterhorn Acquisition Agreement (as in effect on June 1, 2026, as may be amended, supplemented or otherwise modified in accordance with subclause (ii) below) and (ii) no provision of the Matterhorn Acquisition Agreement shall have been waived, amended, supplemented or otherwise modified, and no consent by the Borrower or any of its Subsidiaries shall have been provided thereunder, in each case which is materially adverse to the interests of the Lenders or the Matterhorn Initial Arrangers in their respective capacities as such without the Matterhorn Initial Arrangers’ prior written consent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(x) any decrease in the purchase price (when taken together with all prior reductions after the date hereof) not exceeding a 12.5% decrease in the aggregate purchase price consideration to be paid under the Matterhorn Acquisition Agreement and (y) any other decrease in the aggregate purchase price consideration that is allocated to reduce the Commitments hereunder and the commitments under the Existing Credit Agreement on a dollar-for-dollar basis, in each case, will be deemed not to be materially adverse to the interests of the Lenders or the Matterhorn Initial Arrangers and will not require the prior written consent of the Matterhorn Initial Arrangers , (ii) any increase in the aggregate purchase price consideration shall be deemed not to be materially adverse so long as such increase (x) is less than 12.5% in the aggregate purchase price consideration to be paid under the Matterhorn Acquisition Agreement or (y) consists of common equity of the Borrower given as consideration to the shareholders of the Matterhorn Target and (iii) any amendment, modification or waiver with respect to the definition of “Material Adverse Effect” contained in the Matterhorn Acquisition Agreement shall be deemed materially adverse to the Matterhorn Initial Arrangers and the Lenders.</w:t>
      </w:r>
    </w:p>
    <w:p>
      <w:pPr>
        <w:spacing w:after="0" w:line="19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1, 2026, there shall not have occurred any Matterhorn Material Adverse Effect.</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received (i) a closing certificate confirming satisfaction of the conditions set forth in clauses (a), (b) and (d) of this Section 3.02, (ii) a solvency certificate from the chief financial officer or other officer with equivalent duties of the Borrower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attached hereto and (iii) a Notice of Borrowing with respect to such Borrowing in accordance with the terms and requirements hereof.</w:t>
      </w:r>
    </w:p>
    <w:p>
      <w:pPr>
        <w:spacing w:after="0" w:line="175"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9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upon giving effect to the borrowing and application of the Advances on the Funding Date, (i) each of the Matterhorn Acquisition Agreement Representations and the Matterhorn Specified Representations shall be true and correct in all material respects (without duplication of any materiality qualifier set forth therein) as of the Funding Date and (ii) there shall not exist any Event of Default under Section 6.01(a) or Section 6.01(e).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Borrower and the Lenders of the occurrence of the Effective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The Borrower represents and warrants as follows: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The Borrower is a corporation duly organized, validly existing and in good standing under the laws of its jurisdiction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207" w:lineRule="exact"/>
        <w:rPr>
          <w:sz w:val="20"/>
          <w:szCs w:val="20"/>
          <w:color w:val="auto"/>
        </w:rPr>
      </w:pPr>
    </w:p>
    <w:p>
      <w:pPr>
        <w:jc w:val="both"/>
        <w:ind w:firstLine="1628"/>
        <w:spacing w:after="0" w:line="258" w:lineRule="auto"/>
        <w:tabs>
          <w:tab w:leader="none" w:pos="187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Borrower of this Agreement and the Notes to be delivered by it (if any), and the consummation of the transactions contemplated hereby, are within the Borrower’s corporate powers, have been duly authorized by all necessary corporate action on the part of the Borrower, and do not contravene (i) the Borrower’s charter or bylaws or (ii) law or any material contractual restriction binding on the Borrower, except, in the case of this clause (i), where such violations or contraventions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7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regulatory body is required for the due execution, delivery and performance by the Borrower of this Agreement or the Notes to be delivered by it (if any) except (i) those that have been obtained, filed or made or (ii) where the Borrower’s failure to receive, take or make such authorizations, approvals, actions, notices or filings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to be delivered by it (if any) when delivered hereunder will have been, duly executed and delivered by the Borrower. This Agreement is, and each of the Notes (if any) when delivered hereunder will be, the legal, valid and binding obligation of the Borrower enforceable against the Borrower in accordance with their respective terms except to the extent that the enforceability thereof may be limited by applicable bankruptcy, insolvency, moratorium and other laws affecting creditors’ rights generally and by equitable principles (regardless of whether enforcement in sought in equity or at law).</w:t>
      </w:r>
    </w:p>
    <w:p>
      <w:pPr>
        <w:spacing w:after="0" w:line="183"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8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Consolidated balance sheet of the Borrower and its Subsidiaries as at January 31, 2026, and the related Consolidated statements of operations and cash flows of the Borrower and its Subsidiaries for the fiscal year then ended, accompanied by an opinion of Ernst &amp; Young LLP, independent public accountants, copies of which have been made available to each Lender, fairly present in all material respects the Consolidated financial condition of the Borrower and its Subsidiaries as at such date and the Consolidated results of the operations of the Borrower and its Subsidiaries for the periods ended on such date, all in accordance with generally accepted accounting principles consistently applied.</w:t>
      </w:r>
    </w:p>
    <w:p>
      <w:pPr>
        <w:spacing w:after="0" w:line="183" w:lineRule="exact"/>
        <w:rPr>
          <w:rFonts w:ascii="Times New Roman" w:cs="Times New Roman" w:eastAsia="Times New Roman" w:hAnsi="Times New Roman"/>
          <w:sz w:val="18"/>
          <w:szCs w:val="18"/>
          <w:color w:val="auto"/>
        </w:rPr>
      </w:pPr>
    </w:p>
    <w:p>
      <w:pPr>
        <w:ind w:left="2160" w:hanging="262"/>
        <w:spacing w:after="0"/>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31, 2026, there has been no Material Adverse Change.</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Borrower’s knowledge, threatened in writing, action, suit, investigation, litigation or proceeding, including, without limitation, any Environmental Action, against the Borrower or any of its Subsidiaries before any court, governmental agency or arbitrator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ind w:left="1620"/>
        <w:spacing w:after="0"/>
        <w:rPr>
          <w:sz w:val="20"/>
          <w:szCs w:val="20"/>
          <w:color w:val="auto"/>
        </w:rPr>
      </w:pPr>
      <w:r>
        <w:rPr>
          <w:rFonts w:ascii="Times New Roman" w:cs="Times New Roman" w:eastAsia="Times New Roman" w:hAnsi="Times New Roman"/>
          <w:sz w:val="18"/>
          <w:szCs w:val="18"/>
          <w:color w:val="auto"/>
        </w:rPr>
        <w:t>(h) The Borrower is not required to register as an “investment company” within the meaning of the Investment Company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as amended.</w:t>
      </w:r>
    </w:p>
    <w:p>
      <w:pPr>
        <w:spacing w:after="0" w:line="207" w:lineRule="exact"/>
        <w:rPr>
          <w:sz w:val="20"/>
          <w:szCs w:val="20"/>
          <w:color w:val="auto"/>
        </w:rPr>
      </w:pPr>
    </w:p>
    <w:p>
      <w:pPr>
        <w:jc w:val="both"/>
        <w:ind w:firstLine="1628"/>
        <w:spacing w:after="0" w:line="254" w:lineRule="auto"/>
        <w:tabs>
          <w:tab w:leader="none" w:pos="18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information, exhibit or report furnished by or on behalf of the Borrower to the Agent or any Lender in connection with the negotiation of this Agreement (other than Projections (as defined below), budgets, estimates and other forward-looking information or information of a general economic or industry nature), when taken together with the Borrower’s filings with the Securities and Exchange Commission, contained when furnished any untrue statement of a material fact or omitted to state a material fact necessary to make the statements made therein not materially misleading. Any projections or pro forma financial information contained in such information, exhibits or reports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are based upon good faith estimates and assumptions believed by the Borrower to be reasonable at the time made, it being recognized by the Agent and the Lenders that such projections and pro forma information are not to be viewed as facts and that actual results during the period or periods covered thereby may differ from the projected or pro forma results and such differences may be material (it being understood that forecasts and projections by their nature involve approximations and uncertainties and that the Borrower makes no representation that such forecasts and projections results will in fact be realized).</w:t>
      </w:r>
    </w:p>
    <w:p>
      <w:pPr>
        <w:spacing w:after="0" w:line="188"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Sanctions, and the Borrower and its Subsidiaries, and to the knowledge of the Borrower, its officers, employees, directors and any agent of the Borrower or any Subsidiary that acts in any capacity in connection with, or benefits from, the credit facility established hereby,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Anti-Corruption Laws or applicable Sanctions.</w:t>
      </w:r>
    </w:p>
    <w:p>
      <w:pPr>
        <w:spacing w:after="0" w:line="188"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BORROWER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So long as any Advance shall remain unpaid or any Lender shall have any Commitment hereunder, the Borrower will:</w:t>
      </w:r>
    </w:p>
    <w:p>
      <w:pPr>
        <w:spacing w:after="0" w:line="162" w:lineRule="exact"/>
        <w:rPr>
          <w:sz w:val="20"/>
          <w:szCs w:val="20"/>
          <w:color w:val="auto"/>
        </w:rPr>
      </w:pPr>
    </w:p>
    <w:p>
      <w:pPr>
        <w:jc w:val="both"/>
        <w:ind w:firstLine="1628"/>
        <w:spacing w:after="0" w:line="258" w:lineRule="auto"/>
        <w:tabs>
          <w:tab w:leader="none" w:pos="18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of its Subsidiaries to comply, with all applicable laws, rules, regulations and orders, such compliance to include, without limitation, compliance with ERISA, Environmental Laws and the Patriot Act, except in each case where failure to comply would not reasonably be expected to have a Material Adverse Effect; and maintain in effect and enforce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Sanctions.</w:t>
      </w:r>
    </w:p>
    <w:p>
      <w:pPr>
        <w:spacing w:after="0" w:line="183"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7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xml:space="preserve">. Pay and discharge, and cause each of its Subsidiaries to pay and discharge, before the same shall become delinquent, all taxes, assessments and governmental charges or levies imposed upon it or upon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of its Subsidiaries shall be required to pay or discharge any such tax, assessment, charge or levy (i) that is being contested in good faith and by proper proceedings and as to which appropriate reserves are being maintained to the extent required by generally accepted accounting principles or (ii) if the failure to make any such payment or discharge any of the foregoing would not reasonably be expected to have a Material Adverse Effect.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left="-20" w:firstLine="1628"/>
        <w:spacing w:after="0" w:line="258" w:lineRule="auto"/>
        <w:tabs>
          <w:tab w:leader="none" w:pos="18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xml:space="preserve">.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and its Subsidiaries may self-insure to the same extent as other companies engaged in similar businesses and owing similar properties in the same general areas in which the Borrower or such Subsidiary operates and to the extent consistent with prudent business practice.</w:t>
      </w:r>
    </w:p>
    <w:p>
      <w:pPr>
        <w:spacing w:after="0" w:line="183" w:lineRule="exact"/>
        <w:rPr>
          <w:rFonts w:ascii="Times New Roman" w:cs="Times New Roman" w:eastAsia="Times New Roman" w:hAnsi="Times New Roman"/>
          <w:sz w:val="18"/>
          <w:szCs w:val="18"/>
          <w:color w:val="auto"/>
        </w:rPr>
      </w:pPr>
    </w:p>
    <w:p>
      <w:pPr>
        <w:jc w:val="both"/>
        <w:ind w:left="-20" w:firstLine="1628"/>
        <w:spacing w:after="0" w:line="256" w:lineRule="auto"/>
        <w:tabs>
          <w:tab w:leader="none" w:pos="18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and cause each of its Subsidiaries to preserve and maintain, its corporate or other organizational existence and the rights (charter and statutory) and franchises material to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and its Subsidiaries may consummate any transaction permitted under Section 5.02(b)(i) and any Subsidiary of the Borrower may be merged with any other Subsidiary of the Borrower or may be liquidated, wound up or dissolved;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neither the Borrower nor any of its Subsidiaries shall be required to preserve any such right or franchise if the failure to do so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20" w:firstLine="1628"/>
        <w:spacing w:after="0" w:line="253" w:lineRule="auto"/>
        <w:tabs>
          <w:tab w:leader="none" w:pos="18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during regular business hours and from time to time, upon reasonable notice, permit the Agent or any of the Lenders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 provided that (x) unless an Event of Default has occurred and is continuing, no Lender may conduct more than one visit, examination or inspection per year, (y) an officer of the Borrower shall be present during any discussions with any independent public accountants, and (z) all such visits, examinations or inspections shall be coordinated through the Agent and shall not unreasonably interfere with the operations of the Borrower and its Subsidiaries. Notwithstanding anything to the contrary in this Section 5.01(e)(i) or otherwise set forth in this Agreement, neither the Borrower nor any of its Subsidiaries will be required to disclose, permit the inspection, examination or making of extracts, or discussion of, any document, information or other matter that (i) constitutes non-financial trade secrets or non-financial proprietary information, (ii) in respect of which disclosure to Agent or any Lender (or its respective designated representative) is then prohibited by applicable law or any agreement binding on the Borrower or any of its Subsidiaries or (iii) is subject to attorney-client or similar privilege or constitutes attorney work product.</w:t>
      </w:r>
    </w:p>
    <w:p>
      <w:pPr>
        <w:spacing w:after="0" w:line="189" w:lineRule="exact"/>
        <w:rPr>
          <w:rFonts w:ascii="Times New Roman" w:cs="Times New Roman" w:eastAsia="Times New Roman" w:hAnsi="Times New Roman"/>
          <w:sz w:val="18"/>
          <w:szCs w:val="18"/>
          <w:color w:val="auto"/>
        </w:rPr>
      </w:pPr>
    </w:p>
    <w:p>
      <w:pPr>
        <w:jc w:val="both"/>
        <w:ind w:left="-20" w:firstLine="1628"/>
        <w:spacing w:after="0" w:line="266" w:lineRule="auto"/>
        <w:tabs>
          <w:tab w:leader="none" w:pos="18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of its Subsidiaries to keep, proper books of record and account, in which entries correct and accurate in all material respects and sufficient to prepare financial statements in accordance with generally accepted accounting principles in effect from time to time shall be made.</w:t>
      </w:r>
    </w:p>
    <w:p>
      <w:pPr>
        <w:spacing w:after="0" w:line="175" w:lineRule="exact"/>
        <w:rPr>
          <w:rFonts w:ascii="Times New Roman" w:cs="Times New Roman" w:eastAsia="Times New Roman" w:hAnsi="Times New Roman"/>
          <w:sz w:val="18"/>
          <w:szCs w:val="18"/>
          <w:color w:val="auto"/>
        </w:rPr>
      </w:pPr>
    </w:p>
    <w:p>
      <w:pPr>
        <w:jc w:val="both"/>
        <w:ind w:left="-20" w:firstLine="1628"/>
        <w:spacing w:after="0" w:line="266" w:lineRule="auto"/>
        <w:tabs>
          <w:tab w:leader="none" w:pos="18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Maintain and preserve, and cause each of its Subsidiaries to maintain and preserve, all of its properties that are used or useful in the conduct of its business in good working order and condition, ordinary wear and tear, condemnation and casualty excepted, in each case except where the failure to do so would not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37" w:name="page138"/>
    <w:bookmarkEnd w:id="137"/>
    <w:p>
      <w:pPr>
        <w:ind w:left="760" w:hanging="252"/>
        <w:spacing w:after="0"/>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20" w:hanging="212"/>
        <w:spacing w:after="0"/>
        <w:tabs>
          <w:tab w:leader="none" w:pos="7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Agent (for distribution to the Lenders):</w:t>
      </w:r>
    </w:p>
    <w:p>
      <w:pPr>
        <w:spacing w:after="0" w:line="225" w:lineRule="exact"/>
        <w:rPr>
          <w:rFonts w:ascii="Times New Roman" w:cs="Times New Roman" w:eastAsia="Times New Roman" w:hAnsi="Times New Roman"/>
          <w:sz w:val="18"/>
          <w:szCs w:val="18"/>
          <w:color w:val="auto"/>
        </w:rPr>
      </w:pPr>
    </w:p>
    <w:p>
      <w:pPr>
        <w:jc w:val="both"/>
        <w:ind w:left="180" w:firstLine="814"/>
        <w:spacing w:after="0" w:line="253" w:lineRule="auto"/>
        <w:tabs>
          <w:tab w:leader="none" w:pos="120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45 days after the end of each of the first three quarters of each fiscal year of the Borrower, the Consolidated balance sheet of the Borrower and its Subsidiaries as of the end of such quarter and Consolidated statements of operations and cash flows of the Borrower and its Subsidiaries for the period commencing at the end of the previous fiscal year and ending with the end of such quarter, duly certified (subject to year-end audit adjustments and absence of footnotes) by the chief financial officer of the Borrower as having been prepared in accordance with generally accepted accounting principles (it being agreed that delivery of the Borrower’s Quarterly Report on Form 10-Q will satisfy this requirement, which such report shall be deemed to have been delivered hereunder on the date on which the Borrower files such report with the Securities and Exchange Commission) and a certificate of the chief financial officer or other financial officer of the Borrower certifying whether a Default exists and setting forth in reasonable detail the calculations of the financial covenant set forth in Section 5.03 applicable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91" w:lineRule="exact"/>
        <w:rPr>
          <w:rFonts w:ascii="Times New Roman" w:cs="Times New Roman" w:eastAsia="Times New Roman" w:hAnsi="Times New Roman"/>
          <w:sz w:val="18"/>
          <w:szCs w:val="18"/>
          <w:color w:val="auto"/>
        </w:rPr>
      </w:pPr>
    </w:p>
    <w:p>
      <w:pPr>
        <w:jc w:val="both"/>
        <w:ind w:left="180" w:firstLine="814"/>
        <w:spacing w:after="0" w:line="252" w:lineRule="auto"/>
        <w:tabs>
          <w:tab w:leader="none" w:pos="127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operations and cash flows of the Borrower and its Subsidiaries for such fiscal year, in each case accompanied by an opinion of Ernst &amp; Young LLP or other independent public accountants of national standing (without a “going concern” or like qualification or exception and without any qualification or exception as to the scope of such audit other than any qualification or exception related to (i) an upcoming maturity date in respect of any Debt or (ii) any potential inability to satisfy any financial maintenance covenant on a future date in a future period) to the effect that such Consolidated financial statements fairly present in all material respects its financial condition and results of operations on a Consolidated basis in accordance with generally accepted accounting principles consistently applied (it being agreed that delivery of the Borrower’s Annual Report on Form 10-K will satisfy this requirement, which such report shall be deemed to have been delivered hereunder on the date on which Borrower files such report with the Securities and Exchange Commission) and a certificate of the chief financial officer or other financial officer of the Borrower as to whether a Default exists and setting forth in reasonable detail the calculations of the financial covenant set forth in Section 5.03 applicable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96" w:lineRule="exact"/>
        <w:rPr>
          <w:rFonts w:ascii="Times New Roman" w:cs="Times New Roman" w:eastAsia="Times New Roman" w:hAnsi="Times New Roman"/>
          <w:sz w:val="18"/>
          <w:szCs w:val="18"/>
          <w:color w:val="auto"/>
        </w:rPr>
      </w:pPr>
    </w:p>
    <w:p>
      <w:pPr>
        <w:jc w:val="both"/>
        <w:ind w:left="180" w:firstLine="814"/>
        <w:spacing w:after="0" w:line="266" w:lineRule="auto"/>
        <w:tabs>
          <w:tab w:leader="none" w:pos="130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days after the occurrence of each Default continuing on the date of such statement, a statement of the chief financial officer or other executive officer of the Borrower setting forth details of such Default and the action that the Borrower has taken and proposes to take with respect thereto;</w:t>
      </w:r>
    </w:p>
    <w:p>
      <w:pPr>
        <w:spacing w:after="0" w:line="175" w:lineRule="exact"/>
        <w:rPr>
          <w:rFonts w:ascii="Times New Roman" w:cs="Times New Roman" w:eastAsia="Times New Roman" w:hAnsi="Times New Roman"/>
          <w:sz w:val="18"/>
          <w:szCs w:val="18"/>
          <w:color w:val="auto"/>
        </w:rPr>
      </w:pPr>
    </w:p>
    <w:p>
      <w:pPr>
        <w:jc w:val="both"/>
        <w:ind w:left="180" w:firstLine="814"/>
        <w:spacing w:after="0" w:line="266" w:lineRule="auto"/>
        <w:tabs>
          <w:tab w:leader="none" w:pos="129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filing thereof, copies of all reports and registration statements that the Borrower or any Subsidiary files with the Securities and Exchange Commission or any national securities exchange and not otherwise required to be delivered to the Agent pursuant hereto;</w:t>
      </w:r>
    </w:p>
    <w:p>
      <w:pPr>
        <w:spacing w:after="0" w:line="175" w:lineRule="exact"/>
        <w:rPr>
          <w:rFonts w:ascii="Times New Roman" w:cs="Times New Roman" w:eastAsia="Times New Roman" w:hAnsi="Times New Roman"/>
          <w:sz w:val="18"/>
          <w:szCs w:val="18"/>
          <w:color w:val="auto"/>
        </w:rPr>
      </w:pPr>
    </w:p>
    <w:p>
      <w:pPr>
        <w:ind w:left="180" w:firstLine="814"/>
        <w:spacing w:after="0" w:line="282" w:lineRule="auto"/>
        <w:tabs>
          <w:tab w:leader="none" w:pos="124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against the Borrower or any of its Subsidiaries of the type described in Section 4.01(f);</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8" w:name="page139"/>
    <w:bookmarkEnd w:id="138"/>
    <w:p>
      <w:pPr>
        <w:jc w:val="both"/>
        <w:ind w:left="1300" w:firstLine="814"/>
        <w:spacing w:after="0" w:line="266" w:lineRule="auto"/>
        <w:tabs>
          <w:tab w:leader="none" w:pos="24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in writing therefor, information and documentation reasonably requested by the Agent or any Lender for purposes of compliance with applicable “know your customer” and anti-money-laundering rules and regulations, including, without limitation, the Patriot Act and the Beneficial Ownership Regulation (if applicable); and</w:t>
      </w:r>
    </w:p>
    <w:p>
      <w:pPr>
        <w:spacing w:after="0" w:line="175" w:lineRule="exact"/>
        <w:rPr>
          <w:rFonts w:ascii="Times New Roman" w:cs="Times New Roman" w:eastAsia="Times New Roman" w:hAnsi="Times New Roman"/>
          <w:sz w:val="18"/>
          <w:szCs w:val="18"/>
          <w:color w:val="auto"/>
        </w:rPr>
      </w:pPr>
    </w:p>
    <w:p>
      <w:pPr>
        <w:ind w:left="1300" w:firstLine="814"/>
        <w:spacing w:after="0" w:line="282" w:lineRule="auto"/>
        <w:tabs>
          <w:tab w:leader="none" w:pos="24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Borrower or any of its Subsidiaries as any Lender through the Agent may from time to time reasonably request.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clauses (i), (ii), (iv) and (v) of this Section 5.01(i) may be delivered electronically and if so delivered, shall be deemed to have been delivered on the date on which such documents are filed for public availability on the Securities and Exchange Commission’s Electronic Data Gathering and Retrieval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upon request provide to the Agent by electronic mail electronic versions (i.e., soft copies or links to access such documents) of such documents.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So long as any Advance shall remain unpaid or any Lender shall have any Commitment hereunder, the Borrower will not:</w:t>
      </w:r>
    </w:p>
    <w:p>
      <w:pPr>
        <w:spacing w:after="0" w:line="162" w:lineRule="exact"/>
        <w:rPr>
          <w:sz w:val="20"/>
          <w:szCs w:val="20"/>
          <w:color w:val="auto"/>
        </w:rPr>
      </w:pPr>
    </w:p>
    <w:p>
      <w:pPr>
        <w:ind w:firstLine="1628"/>
        <w:spacing w:after="0" w:line="282" w:lineRule="auto"/>
        <w:tabs>
          <w:tab w:leader="none" w:pos="18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Create or suffer to exist, or permit any of its Subsidiaries to create or suffer to exist, any Lien on or with respect to any of its properties, whether now owned or hereafter acquired, other than:</w:t>
      </w:r>
    </w:p>
    <w:p>
      <w:pPr>
        <w:spacing w:after="0" w:line="161" w:lineRule="exact"/>
        <w:rPr>
          <w:rFonts w:ascii="Times New Roman" w:cs="Times New Roman" w:eastAsia="Times New Roman" w:hAnsi="Times New Roman"/>
          <w:sz w:val="18"/>
          <w:szCs w:val="18"/>
          <w:color w:val="auto"/>
        </w:rPr>
      </w:pPr>
    </w:p>
    <w:p>
      <w:pPr>
        <w:ind w:left="2400" w:hanging="205"/>
        <w:spacing w:after="0"/>
        <w:tabs>
          <w:tab w:leader="none" w:pos="24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jc w:val="both"/>
        <w:ind w:left="1380" w:firstLine="815"/>
        <w:spacing w:after="0" w:line="253" w:lineRule="auto"/>
        <w:tabs>
          <w:tab w:leader="none" w:pos="24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Liens and Liens in respect of Capital Lease Obligations upon or in any real property or equipment (including any accessions, additions, parts, replacements, fixtures, improvements and attachments thereto and the proceeds thereof, and customary cash security deposits) acquired or held by the Borrower or any Subsidiary to secure the purchase price of such property or equipment or to secure obligations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amount (as may be increased by an amount equal to any accrued and unpaid interest thereon, any premium or other amount paid and any fees and expenses incurred in connection with such extension, renewal or replacement) or a lesser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Lien shall extend to or cover any properties of any character other than the real property or equipment being acquired or held (and any accessions, addition, parts, replacements, fixtures, improvements and attachments thereto and the proceeds thereof, and customary cash security deposits), and no such extension, renewal or replacement shall extend to or cover any properties not theretofore subject to the Lien being extended, renewed or replaced (and any accessions, additions, parts, replacements, fixtures, improvements and attachments thereto and the proceeds thereof, and customary cash security deposits),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1380" w:hanging="305"/>
        <w:spacing w:after="0"/>
        <w:tabs>
          <w:tab w:leader="none" w:pos="13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existing on the Effective Date,</w:t>
      </w:r>
    </w:p>
    <w:p>
      <w:pPr>
        <w:spacing w:after="0" w:line="225" w:lineRule="exact"/>
        <w:rPr>
          <w:rFonts w:ascii="Times New Roman" w:cs="Times New Roman" w:eastAsia="Times New Roman" w:hAnsi="Times New Roman"/>
          <w:sz w:val="18"/>
          <w:szCs w:val="18"/>
          <w:color w:val="auto"/>
        </w:rPr>
      </w:pPr>
    </w:p>
    <w:p>
      <w:pPr>
        <w:jc w:val="both"/>
        <w:ind w:left="260" w:firstLine="815"/>
        <w:spacing w:after="0" w:line="261" w:lineRule="auto"/>
        <w:tabs>
          <w:tab w:leader="none" w:pos="13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is merged into or consolidated with the Borrower or any Subsidiary of the Borrower or becomes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merger, consolidation or acquisition and do not extend to any assets other than those of the Person (and its Subsidiaries) so merged into or consolidated with the Borrower or such Subsidiary or acquired by the Borrower or such Subsidiary,</w:t>
      </w:r>
    </w:p>
    <w:p>
      <w:pPr>
        <w:spacing w:after="0" w:line="179" w:lineRule="exact"/>
        <w:rPr>
          <w:rFonts w:ascii="Times New Roman" w:cs="Times New Roman" w:eastAsia="Times New Roman" w:hAnsi="Times New Roman"/>
          <w:sz w:val="18"/>
          <w:szCs w:val="18"/>
          <w:color w:val="auto"/>
        </w:rPr>
      </w:pPr>
    </w:p>
    <w:p>
      <w:pPr>
        <w:jc w:val="both"/>
        <w:ind w:left="260" w:firstLine="815"/>
        <w:spacing w:after="0" w:line="258" w:lineRule="auto"/>
        <w:tabs>
          <w:tab w:leader="none" w:pos="13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the obligations secured by Liens permitted in reliance on this clause (v), together with (but without duplication of) the aggregate principal amount of Debt incurred and then outstanding under Section 5.02(e)(iv), does not exceed the greater of (x) 15% of Consolidated Tangible Assets as of the end of the fiscal quarter ended immediately prior to the date such obligations are incurred or secured for which financial statements of the Borrower are available and (y) $750,000,000 at any time outstanding,</w:t>
      </w:r>
    </w:p>
    <w:p>
      <w:pPr>
        <w:spacing w:after="0" w:line="183" w:lineRule="exact"/>
        <w:rPr>
          <w:rFonts w:ascii="Times New Roman" w:cs="Times New Roman" w:eastAsia="Times New Roman" w:hAnsi="Times New Roman"/>
          <w:sz w:val="18"/>
          <w:szCs w:val="18"/>
          <w:color w:val="auto"/>
        </w:rPr>
      </w:pPr>
    </w:p>
    <w:p>
      <w:pPr>
        <w:ind w:left="260" w:firstLine="815"/>
        <w:spacing w:after="0" w:line="282" w:lineRule="auto"/>
        <w:tabs>
          <w:tab w:leader="none" w:pos="13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contractual liens of depository institutions or institutions holding securities accounts (including rights of set-off or similar rights or remedies),</w:t>
      </w:r>
    </w:p>
    <w:p>
      <w:pPr>
        <w:spacing w:after="0" w:line="161" w:lineRule="exact"/>
        <w:rPr>
          <w:rFonts w:ascii="Times New Roman" w:cs="Times New Roman" w:eastAsia="Times New Roman" w:hAnsi="Times New Roman"/>
          <w:sz w:val="18"/>
          <w:szCs w:val="18"/>
          <w:color w:val="auto"/>
        </w:rPr>
      </w:pPr>
    </w:p>
    <w:p>
      <w:pPr>
        <w:ind w:left="260" w:right="20" w:firstLine="815"/>
        <w:spacing w:after="0" w:line="282" w:lineRule="auto"/>
        <w:tabs>
          <w:tab w:leader="none" w:pos="144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tenders, statutory obligations, surety and appeal bonds, bids, leases, government contracts, contracts for the purchase of property, performance and return-of-money bonds, and other similar obligations,</w:t>
      </w:r>
    </w:p>
    <w:p>
      <w:pPr>
        <w:spacing w:after="0" w:line="161" w:lineRule="exact"/>
        <w:rPr>
          <w:rFonts w:ascii="Times New Roman" w:cs="Times New Roman" w:eastAsia="Times New Roman" w:hAnsi="Times New Roman"/>
          <w:sz w:val="18"/>
          <w:szCs w:val="18"/>
          <w:color w:val="auto"/>
        </w:rPr>
      </w:pPr>
    </w:p>
    <w:p>
      <w:pPr>
        <w:ind w:left="1500" w:hanging="425"/>
        <w:spacing w:after="0"/>
        <w:tabs>
          <w:tab w:leader="none" w:pos="1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license, or similar agreement, as</w:t>
      </w:r>
    </w:p>
    <w:p>
      <w:pPr>
        <w:spacing w:after="0" w:line="27"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260" w:firstLine="815"/>
        <w:spacing w:after="0" w:line="282" w:lineRule="auto"/>
        <w:tabs>
          <w:tab w:leader="none" w:pos="13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earnest money deposits or escrow deposits made by the Borrower or any of its Subsidiaries in connection with any letter of intent or purchase agreement,</w:t>
      </w:r>
    </w:p>
    <w:p>
      <w:pPr>
        <w:spacing w:after="0" w:line="161" w:lineRule="exact"/>
        <w:rPr>
          <w:rFonts w:ascii="Times New Roman" w:cs="Times New Roman" w:eastAsia="Times New Roman" w:hAnsi="Times New Roman"/>
          <w:sz w:val="18"/>
          <w:szCs w:val="18"/>
          <w:color w:val="auto"/>
        </w:rPr>
      </w:pPr>
    </w:p>
    <w:p>
      <w:pPr>
        <w:ind w:left="260" w:firstLine="815"/>
        <w:spacing w:after="0" w:line="282" w:lineRule="auto"/>
        <w:tabs>
          <w:tab w:leader="none" w:pos="13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left="260" w:firstLine="815"/>
        <w:spacing w:after="0" w:line="282" w:lineRule="auto"/>
        <w:tabs>
          <w:tab w:leader="none" w:pos="139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260" w:firstLine="815"/>
        <w:spacing w:after="0" w:line="282" w:lineRule="auto"/>
        <w:tabs>
          <w:tab w:leader="none" w:pos="147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of patents, trademarks, copyrights and other intellectual property rights granted by the Borrower or any of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260" w:right="20" w:firstLine="815"/>
        <w:spacing w:after="0" w:line="282" w:lineRule="auto"/>
        <w:tabs>
          <w:tab w:leader="none" w:pos="14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or orders not constituting an Event of Default under Section 6.01(f) or securing appeal or other surety bonds or similar instruments with respect to such judgments,</w:t>
      </w:r>
    </w:p>
    <w:p>
      <w:pPr>
        <w:spacing w:after="0" w:line="161" w:lineRule="exact"/>
        <w:rPr>
          <w:rFonts w:ascii="Times New Roman" w:cs="Times New Roman" w:eastAsia="Times New Roman" w:hAnsi="Times New Roman"/>
          <w:sz w:val="18"/>
          <w:szCs w:val="18"/>
          <w:color w:val="auto"/>
        </w:rPr>
      </w:pPr>
    </w:p>
    <w:p>
      <w:pPr>
        <w:jc w:val="both"/>
        <w:ind w:left="260" w:firstLine="815"/>
        <w:spacing w:after="0" w:line="261" w:lineRule="auto"/>
        <w:tabs>
          <w:tab w:leader="none" w:pos="147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(and the proceeds thereof) at the time acquired by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does not extend to any other property of the Borrower or any of its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Lien shall not have been created in anticipation of or in connection with such transaction or series of transactions pursuant to which such property was acquired by the Borrower or any of its Subsidiaries,</w:t>
      </w:r>
    </w:p>
    <w:p>
      <w:pPr>
        <w:spacing w:after="0" w:line="179" w:lineRule="exact"/>
        <w:rPr>
          <w:rFonts w:ascii="Times New Roman" w:cs="Times New Roman" w:eastAsia="Times New Roman" w:hAnsi="Times New Roman"/>
          <w:sz w:val="18"/>
          <w:szCs w:val="18"/>
          <w:color w:val="auto"/>
        </w:rPr>
      </w:pPr>
    </w:p>
    <w:p>
      <w:pPr>
        <w:ind w:left="260" w:firstLine="815"/>
        <w:spacing w:after="0" w:line="282" w:lineRule="auto"/>
        <w:tabs>
          <w:tab w:leader="none" w:pos="14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in the ordinary course of business which do not interfere in any material respect with the business operations of the Borrower and its Subsidiaries, taken as a whole,</w:t>
      </w:r>
    </w:p>
    <w:p>
      <w:pPr>
        <w:spacing w:after="0" w:line="161" w:lineRule="exact"/>
        <w:rPr>
          <w:rFonts w:ascii="Times New Roman" w:cs="Times New Roman" w:eastAsia="Times New Roman" w:hAnsi="Times New Roman"/>
          <w:sz w:val="18"/>
          <w:szCs w:val="18"/>
          <w:color w:val="auto"/>
        </w:rPr>
      </w:pPr>
    </w:p>
    <w:p>
      <w:pPr>
        <w:ind w:left="260" w:firstLine="815"/>
        <w:spacing w:after="0" w:line="282" w:lineRule="auto"/>
        <w:tabs>
          <w:tab w:leader="none" w:pos="146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granted in favor of a trustee to secure fees and other amounts owing to such trustee under an indenture or other agreement,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0" w:name="page141"/>
    <w:bookmarkEnd w:id="140"/>
    <w:p>
      <w:pPr>
        <w:ind w:left="2620" w:hanging="445"/>
        <w:spacing w:after="0"/>
        <w:tabs>
          <w:tab w:leader="none" w:pos="2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arising under leases that have been or should be, in accordance with GAAP, recorded as finance leases,</w:t>
      </w:r>
    </w:p>
    <w:p>
      <w:pPr>
        <w:spacing w:after="0" w:line="225" w:lineRule="exact"/>
        <w:rPr>
          <w:rFonts w:ascii="Times New Roman" w:cs="Times New Roman" w:eastAsia="Times New Roman" w:hAnsi="Times New Roman"/>
          <w:sz w:val="18"/>
          <w:szCs w:val="18"/>
          <w:color w:val="auto"/>
        </w:rPr>
      </w:pPr>
    </w:p>
    <w:p>
      <w:pPr>
        <w:ind w:left="2660" w:hanging="485"/>
        <w:spacing w:after="0"/>
        <w:tabs>
          <w:tab w:leader="none" w:pos="26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as security for contested taxes or contested import or customs duties,</w:t>
      </w:r>
    </w:p>
    <w:p>
      <w:pPr>
        <w:spacing w:after="0" w:line="225" w:lineRule="exact"/>
        <w:rPr>
          <w:rFonts w:ascii="Times New Roman" w:cs="Times New Roman" w:eastAsia="Times New Roman" w:hAnsi="Times New Roman"/>
          <w:sz w:val="18"/>
          <w:szCs w:val="18"/>
          <w:color w:val="auto"/>
        </w:rPr>
      </w:pPr>
    </w:p>
    <w:p>
      <w:pPr>
        <w:jc w:val="both"/>
        <w:ind w:left="1360" w:firstLine="815"/>
        <w:spacing w:after="0" w:line="256" w:lineRule="auto"/>
        <w:tabs>
          <w:tab w:leader="none" w:pos="256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extension or renewal of any Lien permitted by clause (iii), (iv), (v) or (xiv) above upon or in the same property theretofore subject thereto (and any accessions, additions, parts, replacements, fixtures, improvements and attachments thereto and the proceeds thereof, and customary cash security deposits) or the replacement, extension or renewal (without increase in the amount (other than by an amount equal to any accrued and unpaid interest thereon, any premium or other amount paid and any fees and expenses incurred in connection with such replacement, extension or replacement) or change in any direct or contingent obligor) of the Debt secured thereby,</w:t>
      </w:r>
    </w:p>
    <w:p>
      <w:pPr>
        <w:spacing w:after="0" w:line="187" w:lineRule="exact"/>
        <w:rPr>
          <w:rFonts w:ascii="Times New Roman" w:cs="Times New Roman" w:eastAsia="Times New Roman" w:hAnsi="Times New Roman"/>
          <w:sz w:val="18"/>
          <w:szCs w:val="18"/>
          <w:color w:val="auto"/>
        </w:rPr>
      </w:pPr>
    </w:p>
    <w:p>
      <w:pPr>
        <w:jc w:val="both"/>
        <w:ind w:left="1360" w:firstLine="815"/>
        <w:spacing w:after="0" w:line="266" w:lineRule="auto"/>
        <w:tabs>
          <w:tab w:leader="none" w:pos="2557"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Hedge Agreements entered into in the ordinary course of business and not for speculative purposes, and Liens arising under repurchase agreements, reverse repurchase agreements, securities lending and borrowing arrangements and similar arrangements, in each case, in the ordinary course of business,</w:t>
      </w:r>
    </w:p>
    <w:p>
      <w:pPr>
        <w:spacing w:after="0" w:line="175" w:lineRule="exact"/>
        <w:rPr>
          <w:rFonts w:ascii="Times New Roman" w:cs="Times New Roman" w:eastAsia="Times New Roman" w:hAnsi="Times New Roman"/>
          <w:sz w:val="18"/>
          <w:szCs w:val="18"/>
          <w:color w:val="auto"/>
        </w:rPr>
      </w:pPr>
    </w:p>
    <w:p>
      <w:pPr>
        <w:ind w:left="2560" w:hanging="385"/>
        <w:spacing w:after="0"/>
        <w:tabs>
          <w:tab w:leader="none" w:pos="2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intercompany obligations among the Borrower and its Subsidiaries and between Subsidiaries,</w:t>
      </w:r>
    </w:p>
    <w:p>
      <w:pPr>
        <w:spacing w:after="0" w:line="225" w:lineRule="exact"/>
        <w:rPr>
          <w:rFonts w:ascii="Times New Roman" w:cs="Times New Roman" w:eastAsia="Times New Roman" w:hAnsi="Times New Roman"/>
          <w:sz w:val="18"/>
          <w:szCs w:val="18"/>
          <w:color w:val="auto"/>
        </w:rPr>
      </w:pPr>
    </w:p>
    <w:p>
      <w:pPr>
        <w:jc w:val="both"/>
        <w:ind w:left="1360" w:firstLine="815"/>
        <w:spacing w:after="0" w:line="266" w:lineRule="auto"/>
        <w:tabs>
          <w:tab w:leader="none" w:pos="262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that is not a wholly-owned Subsidiary, any encumbrances or restrictions, including any put and call arrangements, related to equity interests in such Person set forth in the organizational documents of such Person or any related joint venture, shareholders’ or similar agreement, and</w:t>
      </w:r>
    </w:p>
    <w:p>
      <w:pPr>
        <w:spacing w:after="0" w:line="175" w:lineRule="exact"/>
        <w:rPr>
          <w:rFonts w:ascii="Times New Roman" w:cs="Times New Roman" w:eastAsia="Times New Roman" w:hAnsi="Times New Roman"/>
          <w:sz w:val="18"/>
          <w:szCs w:val="18"/>
          <w:color w:val="auto"/>
        </w:rPr>
      </w:pPr>
    </w:p>
    <w:p>
      <w:pPr>
        <w:ind w:left="1360" w:firstLine="815"/>
        <w:spacing w:after="0" w:line="282" w:lineRule="auto"/>
        <w:tabs>
          <w:tab w:leader="none" w:pos="267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net cash proceeds of any Acquisition Indebtedness held in escrow by a third party escrow agent prior to the release thereof from escrow.</w:t>
      </w:r>
    </w:p>
    <w:p>
      <w:pPr>
        <w:spacing w:after="0" w:line="161" w:lineRule="exact"/>
        <w:rPr>
          <w:rFonts w:ascii="Times New Roman" w:cs="Times New Roman" w:eastAsia="Times New Roman" w:hAnsi="Times New Roman"/>
          <w:sz w:val="18"/>
          <w:szCs w:val="18"/>
          <w:color w:val="auto"/>
        </w:rPr>
      </w:pPr>
    </w:p>
    <w:p>
      <w:pPr>
        <w:jc w:val="both"/>
        <w:ind w:left="-20" w:firstLine="1628"/>
        <w:spacing w:after="0" w:line="256" w:lineRule="auto"/>
        <w:tabs>
          <w:tab w:leader="none" w:pos="1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the assets (whether now owned or hereafter acquired) of the Borrower and its Subsidiaries taken as a whole to, any Person, except that (i) any Subsidiary of the Borrower may merge or consolidate with or into the Borrower so long as the Borrower is the surviving entity in such merger or consolidation and (ii) the Borrower may merge or consolidate with or into any other Person so long as the Borrower is the surviving Person and remains organized under the laws of any state or political subdivision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Default shall have occurred and be continuing at the time of such transaction or would immediately result therefrom.</w:t>
      </w:r>
    </w:p>
    <w:p>
      <w:pPr>
        <w:spacing w:after="0" w:line="187" w:lineRule="exact"/>
        <w:rPr>
          <w:rFonts w:ascii="Times New Roman" w:cs="Times New Roman" w:eastAsia="Times New Roman" w:hAnsi="Times New Roman"/>
          <w:sz w:val="18"/>
          <w:szCs w:val="18"/>
          <w:color w:val="auto"/>
        </w:rPr>
      </w:pPr>
    </w:p>
    <w:p>
      <w:pPr>
        <w:ind w:left="1860" w:hanging="252"/>
        <w:spacing w:after="0"/>
        <w:tabs>
          <w:tab w:leader="none" w:pos="18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 w:right="20" w:firstLine="1628"/>
        <w:spacing w:after="0" w:line="266" w:lineRule="auto"/>
        <w:tabs>
          <w:tab w:leader="none" w:pos="1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 in Nature of Business</w:t>
      </w:r>
      <w:r>
        <w:rPr>
          <w:rFonts w:ascii="Times New Roman" w:cs="Times New Roman" w:eastAsia="Times New Roman" w:hAnsi="Times New Roman"/>
          <w:sz w:val="18"/>
          <w:szCs w:val="18"/>
          <w:color w:val="auto"/>
        </w:rPr>
        <w:t>. Make, or permit any of its Subsidiaries to, taken as a whole, make, any material change in the nature of their businesses as carried on at the date hereof, it being understood that the foregoing shall not restrict the Borrower and its Subsidiaries from carrying on any business that is related, ancillary, incidental, or complementary thereto or a reasonable extension thereof.</w:t>
      </w:r>
    </w:p>
    <w:p>
      <w:pPr>
        <w:spacing w:after="0" w:line="175" w:lineRule="exact"/>
        <w:rPr>
          <w:rFonts w:ascii="Times New Roman" w:cs="Times New Roman" w:eastAsia="Times New Roman" w:hAnsi="Times New Roman"/>
          <w:sz w:val="18"/>
          <w:szCs w:val="18"/>
          <w:color w:val="auto"/>
        </w:rPr>
      </w:pPr>
    </w:p>
    <w:p>
      <w:pPr>
        <w:ind w:left="1860" w:hanging="252"/>
        <w:spacing w:after="0"/>
        <w:tabs>
          <w:tab w:leader="none" w:pos="18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Permit any of its Subsidiaries to create or suffer to exist any Debt other than:</w:t>
      </w:r>
    </w:p>
    <w:p>
      <w:pPr>
        <w:spacing w:after="0" w:line="225" w:lineRule="exact"/>
        <w:rPr>
          <w:rFonts w:ascii="Times New Roman" w:cs="Times New Roman" w:eastAsia="Times New Roman" w:hAnsi="Times New Roman"/>
          <w:sz w:val="18"/>
          <w:szCs w:val="18"/>
          <w:color w:val="auto"/>
        </w:rPr>
      </w:pPr>
    </w:p>
    <w:p>
      <w:pPr>
        <w:ind w:left="2380" w:hanging="205"/>
        <w:spacing w:after="0"/>
        <w:tabs>
          <w:tab w:leader="none" w:pos="23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to the Borrower or to a Subsidiary of the Borrower,</w:t>
      </w:r>
    </w:p>
    <w:p>
      <w:pPr>
        <w:spacing w:after="0" w:line="225" w:lineRule="exact"/>
        <w:rPr>
          <w:rFonts w:ascii="Times New Roman" w:cs="Times New Roman" w:eastAsia="Times New Roman" w:hAnsi="Times New Roman"/>
          <w:sz w:val="18"/>
          <w:szCs w:val="18"/>
          <w:color w:val="auto"/>
        </w:rPr>
      </w:pPr>
    </w:p>
    <w:p>
      <w:pPr>
        <w:ind w:left="2440" w:hanging="265"/>
        <w:spacing w:after="0"/>
        <w:tabs>
          <w:tab w:leader="none" w:pos="24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480" w:hanging="305"/>
        <w:spacing w:after="0"/>
        <w:tabs>
          <w:tab w:leader="none" w:pos="2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Liens permitted by Section 5.02(a)(ii) or (xiv),</w:t>
      </w:r>
    </w:p>
    <w:p>
      <w:pPr>
        <w:spacing w:after="0" w:line="225" w:lineRule="exact"/>
        <w:rPr>
          <w:rFonts w:ascii="Times New Roman" w:cs="Times New Roman" w:eastAsia="Times New Roman" w:hAnsi="Times New Roman"/>
          <w:sz w:val="18"/>
          <w:szCs w:val="18"/>
          <w:color w:val="auto"/>
        </w:rPr>
      </w:pPr>
    </w:p>
    <w:p>
      <w:pPr>
        <w:jc w:val="both"/>
        <w:ind w:left="1360" w:firstLine="815"/>
        <w:spacing w:after="0" w:line="258" w:lineRule="auto"/>
        <w:tabs>
          <w:tab w:leader="none" w:pos="247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Debt of the Borrower’s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Debt permitted in reliance on this clause (iv), together with (but without duplication of) the aggregate principal outstanding amount of obligations secured by Liens permitted under Section 5.02(a)(v), does not exceed the greater of (x) 15% of Consolidated Tangible Assets as of the end of the fiscal quarter ended immediately prior to the date such Debt was incurred for which financial statements of the Borrower are available and (y) $750,000,000 at any time outstanding,</w:t>
      </w:r>
    </w:p>
    <w:p>
      <w:pPr>
        <w:spacing w:after="0" w:line="183" w:lineRule="exact"/>
        <w:rPr>
          <w:rFonts w:ascii="Times New Roman" w:cs="Times New Roman" w:eastAsia="Times New Roman" w:hAnsi="Times New Roman"/>
          <w:sz w:val="18"/>
          <w:szCs w:val="18"/>
          <w:color w:val="auto"/>
        </w:rPr>
      </w:pPr>
    </w:p>
    <w:p>
      <w:pPr>
        <w:ind w:left="2420" w:hanging="245"/>
        <w:spacing w:after="0"/>
        <w:tabs>
          <w:tab w:leader="none" w:pos="24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negotiable instruments for deposit or collection or similar transactions in the ordinary course of business,</w:t>
      </w:r>
    </w:p>
    <w:p>
      <w:pPr>
        <w:spacing w:after="0" w:line="225" w:lineRule="exact"/>
        <w:rPr>
          <w:rFonts w:ascii="Times New Roman" w:cs="Times New Roman" w:eastAsia="Times New Roman" w:hAnsi="Times New Roman"/>
          <w:sz w:val="18"/>
          <w:szCs w:val="18"/>
          <w:color w:val="auto"/>
        </w:rPr>
      </w:pPr>
    </w:p>
    <w:p>
      <w:pPr>
        <w:ind w:left="2480" w:hanging="305"/>
        <w:spacing w:after="0"/>
        <w:tabs>
          <w:tab w:leader="none" w:pos="24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of any Debt otherwise permitted under this Section 5.02(e),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41" w:name="page142"/>
    <w:bookmarkEnd w:id="141"/>
    <w:p>
      <w:pPr>
        <w:ind w:left="2540" w:hanging="345"/>
        <w:spacing w:after="0"/>
        <w:tabs>
          <w:tab w:leader="none" w:pos="2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arising under Hedge Agreements entered into in the normal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1380" w:firstLine="815"/>
        <w:spacing w:after="0" w:line="282" w:lineRule="auto"/>
        <w:tabs>
          <w:tab w:leader="none" w:pos="259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of a Person that becomes a Subsidiary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exists at the time such Person becomes a Subsidiary and is not created in contemplation of or in connection with such Person becoming a Subsidiary,</w:t>
      </w:r>
    </w:p>
    <w:p>
      <w:pPr>
        <w:spacing w:after="0" w:line="161"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52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arising in connection with customary cash management services and from the honoring by a bank or financial institution of a check, draft or similar instrument drawn against insufficient funds, in each case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extinguished within five Business Days after its incurrence,</w:t>
      </w:r>
    </w:p>
    <w:p>
      <w:pPr>
        <w:spacing w:after="0" w:line="175" w:lineRule="exact"/>
        <w:rPr>
          <w:rFonts w:ascii="Times New Roman" w:cs="Times New Roman" w:eastAsia="Times New Roman" w:hAnsi="Times New Roman"/>
          <w:sz w:val="18"/>
          <w:szCs w:val="18"/>
          <w:color w:val="auto"/>
        </w:rPr>
      </w:pPr>
    </w:p>
    <w:p>
      <w:pPr>
        <w:ind w:left="1380" w:firstLine="815"/>
        <w:spacing w:after="0" w:line="282" w:lineRule="auto"/>
        <w:tabs>
          <w:tab w:leader="none" w:pos="245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with respect to surety, appeal, indemnity, performance or other similar bonds in the ordinary course of business or with respect to agreements providing for indemnification or adjustment of purchase price,</w:t>
      </w:r>
    </w:p>
    <w:p>
      <w:pPr>
        <w:spacing w:after="0" w:line="161" w:lineRule="exact"/>
        <w:rPr>
          <w:rFonts w:ascii="Times New Roman" w:cs="Times New Roman" w:eastAsia="Times New Roman" w:hAnsi="Times New Roman"/>
          <w:sz w:val="18"/>
          <w:szCs w:val="18"/>
          <w:color w:val="auto"/>
        </w:rPr>
      </w:pPr>
    </w:p>
    <w:p>
      <w:pPr>
        <w:jc w:val="both"/>
        <w:ind w:left="1380" w:firstLine="815"/>
        <w:spacing w:after="0" w:line="261" w:lineRule="auto"/>
        <w:tabs>
          <w:tab w:leader="none" w:pos="250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as an account party in respect of trade or standby letters of credit, bank guarantees or bankers’ acceptances in an aggregate amount not to exceed the greater of (x) 5.0% of Consolidated Tangible Assets as of the end of the fiscal quarter ended immediately prior to the date such Debt was incurred for which financial statements of the Borrower are available and (y) $100,000,000 at any time outstanding,</w:t>
      </w:r>
    </w:p>
    <w:p>
      <w:pPr>
        <w:spacing w:after="0" w:line="179" w:lineRule="exact"/>
        <w:rPr>
          <w:rFonts w:ascii="Times New Roman" w:cs="Times New Roman" w:eastAsia="Times New Roman" w:hAnsi="Times New Roman"/>
          <w:sz w:val="18"/>
          <w:szCs w:val="18"/>
          <w:color w:val="auto"/>
        </w:rPr>
      </w:pPr>
    </w:p>
    <w:p>
      <w:pPr>
        <w:jc w:val="both"/>
        <w:ind w:left="1380" w:firstLine="815"/>
        <w:spacing w:after="0" w:line="261" w:lineRule="auto"/>
        <w:tabs>
          <w:tab w:leader="none" w:pos="256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obligations with respect to reimbursement type obligations regarding workers compensation claims), but not in respect of Debt, and</w:t>
      </w:r>
    </w:p>
    <w:p>
      <w:pPr>
        <w:spacing w:after="0" w:line="179"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5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business credit card programs, purchase cards or “p-cards”, automatic clearinghouse arrangements or other fund transfer or payment processing services, overdraft protections, other treasury, depository and cash management services and similar arrangements incurred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628"/>
        <w:spacing w:after="0" w:line="255" w:lineRule="auto"/>
        <w:tabs>
          <w:tab w:leader="none" w:pos="18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Request any Borrowing, or use, or permit its Subsidiaries or its or their respective directors, officers, employees and any agent of the Borrower or any Subsidiary that acts in any capacity in connection with, or benefits from, the credit facility established hereby to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the United Kingdom or in a European Union member state, or (iii) in any manner that would result in the violation of any Sanctions applicable to any party hereto.</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So long as any Advance shall remain unpaid or any Lender shall have any Commitment hereunder, the Borrower will not permit, as of the last day of any fiscal quarter of the Borrower, commencing with the fiscal quarter ending July 31, 2025, the ratio of</w:t>
      </w:r>
    </w:p>
    <w:p>
      <w:pPr>
        <w:jc w:val="both"/>
        <w:ind w:firstLine="8"/>
        <w:spacing w:after="0" w:line="252" w:lineRule="auto"/>
        <w:tabs>
          <w:tab w:leader="none" w:pos="2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Covenant Debt as of such day to (ii) Consolidated EBITDA for the four consecutive fiscal quarters of the Borrower ending on such day (such ratio, the “</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to exceed 3.50:1.00;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election of the Borrower to the Agent in connection with a Material Acquisition, the maximum Leverage Ratio permitted pursuant to this Section 5.03 shall be increased to 4.00:1.00 for the last day of each of the four consecutive fiscal quarters following the consummation of such Material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following such four consecutive fiscal quarters for which the maximum Leverage Ratio is increased, the maximum Leverage Ratio permitted pursuant to this Section 5.03 shall revert to 3.50:1.00 for not fewer than two consecutive fiscal quarters before a subsequent election is made.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firstLine="1628"/>
        <w:spacing w:after="0" w:line="266" w:lineRule="auto"/>
        <w:tabs>
          <w:tab w:leader="none" w:pos="18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Advance when the same becomes due and payable; or the Borrower shall fail to pay any interest on any Advance or make any other payment of fees or other amounts payable under this Agreement or any Note (if any) within five Business Days after the same becomes due and payable; or</w:t>
      </w:r>
    </w:p>
    <w:p>
      <w:pPr>
        <w:spacing w:after="0" w:line="175" w:lineRule="exact"/>
        <w:rPr>
          <w:rFonts w:ascii="Times New Roman" w:cs="Times New Roman" w:eastAsia="Times New Roman" w:hAnsi="Times New Roman"/>
          <w:sz w:val="18"/>
          <w:szCs w:val="18"/>
          <w:color w:val="auto"/>
        </w:rPr>
      </w:pPr>
    </w:p>
    <w:p>
      <w:pPr>
        <w:ind w:right="20" w:firstLine="1628"/>
        <w:spacing w:after="0" w:line="282" w:lineRule="auto"/>
        <w:tabs>
          <w:tab w:leader="none" w:pos="18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 herein or in connection with this Agreement shall prove to have been incorrect in any material respect when made; or</w:t>
      </w:r>
    </w:p>
    <w:p>
      <w:pPr>
        <w:spacing w:after="0" w:line="16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shall fail to perform or observe any term, covenant or agreement contained in Section 5.01(d) (as to the existence of the Borrower), 5.01(i)(iii),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the Required Lenders; or</w:t>
      </w:r>
    </w:p>
    <w:p>
      <w:pPr>
        <w:spacing w:after="0" w:line="179" w:lineRule="exact"/>
        <w:rPr>
          <w:rFonts w:ascii="Times New Roman" w:cs="Times New Roman" w:eastAsia="Times New Roman" w:hAnsi="Times New Roman"/>
          <w:sz w:val="18"/>
          <w:szCs w:val="18"/>
          <w:color w:val="auto"/>
        </w:rPr>
      </w:pPr>
    </w:p>
    <w:p>
      <w:pPr>
        <w:jc w:val="both"/>
        <w:ind w:firstLine="1628"/>
        <w:spacing w:after="0" w:line="252" w:lineRule="auto"/>
        <w:tabs>
          <w:tab w:leader="none" w:pos="18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or any of its Subsidiaries shall fail to pay any principal of or premium or interest on any Debt that is outstanding in a principal amount or, in the case of Hedge Agreements, net obligations (determined as of any date as the amount such Person would be required to pay to its counterparty in accordance with the terms thereof as if terminated on such date of determination after giving effect to any netting arrangement relating to such Hedge Agreement) of at least $200,000,000 in the aggregate (but excluding Debt outstanding hereunder) of the Borrower or such Subsidiary (as the case may be) (“</w:t>
      </w:r>
      <w:r>
        <w:rPr>
          <w:rFonts w:ascii="Times New Roman" w:cs="Times New Roman" w:eastAsia="Times New Roman" w:hAnsi="Times New Roman"/>
          <w:sz w:val="18"/>
          <w:szCs w:val="18"/>
          <w:u w:val="single" w:color="auto"/>
          <w:color w:val="auto"/>
        </w:rPr>
        <w:t>Material Debt</w:t>
      </w:r>
      <w:r>
        <w:rPr>
          <w:rFonts w:ascii="Times New Roman" w:cs="Times New Roman" w:eastAsia="Times New Roman" w:hAnsi="Times New Roman"/>
          <w:sz w:val="18"/>
          <w:szCs w:val="18"/>
          <w:color w:val="auto"/>
        </w:rPr>
        <w:t xml:space="preserve">”), when the same becomes due and payable (whether by scheduled maturity, required prepayment, acceleration, demand or otherwise), and such failure shall continue after the applicable grace period, if any, specified in the agreement or instrument relating to such Material Debt; or (ii) the Borrower or any of its Subsidiaries breaches or defaults in the observance or performance of any other agreement or condition relating to any such Material Debt or any “change of control” (or equivalent term) with respect to the Borrower shall occur with respect to such Material Debt, the effect of which is to (x) cause, or to permit the holder or holders of such Material Debt (or a trustee or agent on behalf of such holder or holders) to cause (after the expiration of any grace period), with the giving of notice (if required), such Material Debt to become due prior to its scheduled maturity or (y) cause (after the expiration of any grace period), with the giving of notice if required, the Borrower or any of its Subsidiaries to purchase or redeem or make an offer to purchase or redeem such Material Debt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(d)(ii) shall not apply to (A) secured Debt that becomes due as a result of the voluntary sale or transfer of the property or assets securing such Debt, (B) any prepayment, repurchase, redemption or defeasance of any Acquisition Indebtedness if the related Material Acquisition is not consummated, (C) any Indebtedness that becomes due as a result of a voluntary prepayment, repurchase, redemption or defeasance thereof, or any refinancing thereof, permitted under this Agreement or (D) in the case of any Hedge Agreement, termination events or equivalent events pursuant to the terms of such Hedge Agreement not arising as a result of a default by the Borrower or any Subsidiary thereunder; or</w:t>
      </w:r>
    </w:p>
    <w:p>
      <w:pPr>
        <w:spacing w:after="0" w:line="193"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(other than an Immaterial Subsidiary)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(other than an Immaterial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(other than an Immaterial Subsidiary) shall take any corporate action to authorize any of the actions set forth above in this subsection (e); or</w:t>
      </w:r>
    </w:p>
    <w:p>
      <w:pPr>
        <w:spacing w:after="0" w:line="194"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6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Final judgments or orders for the payment of money in excess of $200,000,000 in the aggregate shall be rendered against the Borrower or any of its Subsidiaries and either (i) enforcement proceedings shall have been commenced by any creditor upon such judgment or order (and such execution shall not be paid, bonded or effectively stayed) or (ii) there shall be any period of 60 consecutive days during which such judgment is not paid or bonded and a stay of enforcement of such judgment or order, by reason of a pending appeal or otherwise, is not in effect;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judgment or order shall not be an Event of Default under this Section 6.01(f)(i) to the extent that the amount of such judgment or order (or portion thereof) is paid or is covered by a valid and binding policy of insurance as to which the insurer does not dispute coverage;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ind w:firstLine="1628"/>
        <w:spacing w:after="0" w:line="256" w:lineRule="auto"/>
        <w:tabs>
          <w:tab w:leader="none" w:pos="188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or two or more Persons acting in concert shall have acquired beneficial ownership (within the meaning of Rule 13d-3 of the Securities and Exchange Commission under the Exchange Act), directly or indirectly, of Voting Stock of the Borrower representing 40% or more of the combined voting power of all Voting Stock of the Borrower; or (ii) occupation of a majority of the seats (other than vacant seats) on the board of directors of the Borrower by Persons who were neither (i) (x) directors of the Borrower on the date of this Agreement, (y) nominated or appointed by the board of directors of the Borrower or (z) approved by the board of directors of the Borrower for consideration by the stockholders for election nor (ii) appointed by directors so nominated, appointed or approved; or</w:t>
      </w:r>
    </w:p>
    <w:p>
      <w:pPr>
        <w:spacing w:after="0" w:line="187"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7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of its ERISA Affiliates shall incur, or shall be reasonably likely to incur liability in excess of $200,000,000 in the aggregate as a result of one or more ERISA Events; 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Borrower under the United States Federal Bankruptcy Code,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hereby irrevocably appoints Citibank to act on its behalf as the Agent hereunder and authorizes the Agent to take such actions on its behalf and to exercise such powers as are delegated to the Agent by the terms hereof, together with such actions and powers as are reasonably incidental thereto. The provisions of this Article (other than Section 7.07) are solely for the benefit of the Agent and the Lenders, and the Borrower shall not have rights as a third-party beneficiary of any of such provisions. It is understood and agreed that the use of the term “agent” herein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Lenders.</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(a) The Agent shall not have any duties or obligations except those expressly set forth herein, and its duties hereunder shall be administrative in nature. Without limiting the generality of the foregoing, the Agent:</w:t>
      </w:r>
    </w:p>
    <w:p>
      <w:pPr>
        <w:spacing w:after="0" w:line="162" w:lineRule="exact"/>
        <w:rPr>
          <w:sz w:val="20"/>
          <w:szCs w:val="20"/>
          <w:color w:val="auto"/>
        </w:rPr>
      </w:pPr>
    </w:p>
    <w:p>
      <w:pPr>
        <w:ind w:left="2440" w:hanging="245"/>
        <w:spacing w:after="0"/>
        <w:tabs>
          <w:tab w:leader="none" w:pos="2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w:t>
      </w:r>
    </w:p>
    <w:p>
      <w:pPr>
        <w:spacing w:after="0" w:line="2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jc w:val="both"/>
        <w:ind w:left="1380" w:firstLine="815"/>
        <w:spacing w:after="0" w:line="256" w:lineRule="auto"/>
        <w:tabs>
          <w:tab w:leader="none" w:pos="24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7"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50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ind w:firstLine="1628"/>
        <w:spacing w:after="0" w:line="258" w:lineRule="auto"/>
        <w:tabs>
          <w:tab w:leader="none" w:pos="18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183"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7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 (v) the satisfaction of any condition set forth in Article III or elsewhere herein, other than to confirm receipt of items expressly required to be delivered to the Agent.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the Agent (for the purposes of this Section 7.05,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the extent not reimbursed by the Borrower following demand therefor), ratably according to the respective principal amounts of the Advances then owed to each of them (or if no Advances are at the time outstanding, ratably according to the respective amounts of their Commitments at the time demand is made), from and against any and all claims, damages, losses, liabilities and expenses (including, without limitation, reasonable fees and expenses of counsel but subject to any limitations otherwise set forth in this Agreement) incurred by or asserted or awarded against the Indemnified Agent in any way relating to or arising out of this Agreement or any action taken or omitted by the Indemnified Agent under this Agreement except to the extent such claim, damage, loss, liability or expense is found in a final, non-appealable judgment by a court of competent jurisdiction to have resulted from (x) the Indemnified Agent’s gross negligence, bad faith or willful misconduct or (y) the material breach in bad faith by the Indemnified Agent of its express obligations under this Agreement (collectively, the “</w:t>
      </w:r>
      <w:r>
        <w:rPr>
          <w:rFonts w:ascii="Times New Roman" w:cs="Times New Roman" w:eastAsia="Times New Roman" w:hAnsi="Times New Roman"/>
          <w:sz w:val="18"/>
          <w:szCs w:val="18"/>
          <w:u w:val="single" w:color="auto"/>
          <w:color w:val="auto"/>
        </w:rPr>
        <w:t>Indemnified Costs</w:t>
      </w:r>
      <w:r>
        <w:rPr>
          <w:rFonts w:ascii="Times New Roman" w:cs="Times New Roman" w:eastAsia="Times New Roman" w:hAnsi="Times New Roman"/>
          <w:sz w:val="18"/>
          <w:szCs w:val="18"/>
          <w:color w:val="auto"/>
        </w:rPr>
        <w:t>”). Without limitation of the foregoing, each Lender agrees to reimburse the Indemnified Agent promptly upon demand for its ratable share of any out of pocket expenses (including reasonable counsel fees) incurred by the Indemnified Agent in connection with the preparation, execution, delivery, administration, modification, amendment or enforcement (whether through negotiations, legal proceedings or otherwise) of, or legal advice in respect of rights or responsibilities under, this Agreement, to the extent that the Indemnified Agent is not reimbursed for such expenses by the Borrower. In the case of any investigation, litigation or proceeding giving rise to any Indemnified Costs, this Section 7.05 applies whether any such investigation, litigation or proceeding is brought by the Indemnified Agent, any Lender or a third party. This Section 7.05 shall not apply with respect to taxes other than any taxes that represent losses or damages arising from any non-tax claim.</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Commitments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(a) The Agent may at any time give notice of its resignation to the Lenders and the Borrower, which resignation shall be effective on the Resignation Effective Date. Upon receipt of any such notice of resignation, the Required Lenders shall have the right to appoint a successor which is, so long as no Event of Default under Section 6.01(a) or Section 6.01(e) is continuing, reasonably acceptable to the Borrower,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firstLine="1628"/>
        <w:spacing w:after="0" w:line="256" w:lineRule="auto"/>
        <w:tabs>
          <w:tab w:leader="none" w:pos="187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serving as Agent is a Defaulting Lender pursuant to clause (v) of the definition thereof, the Required Lenders may, to the extent permitted by applicable law, by notice in writing to the Borrower and such Person remove such Person as Agent and appoint a successor which is, so long as no Event of Default under Section 6.01(a) or Section 6.01(e) is continuing, reasonably acceptable to the Borrower.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7"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Agent shall be discharged from its duties and obligations hereunder and (2)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 respectively.</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Arrangers or documentation agents, if any, listed on the cover page hereof shall have any powers, duties or responsibilities under this Agreement, except in its capacity, as applicable, as the Agent or a Lender 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Certain Lender ERISA Matters</w:t>
      </w:r>
      <w:r>
        <w:rPr>
          <w:rFonts w:ascii="Times New Roman" w:cs="Times New Roman" w:eastAsia="Times New Roman" w:hAnsi="Times New Roman"/>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at least one of the following is and will be true:</w:t>
      </w:r>
    </w:p>
    <w:p>
      <w:pPr>
        <w:spacing w:after="0" w:line="176" w:lineRule="exact"/>
        <w:rPr>
          <w:sz w:val="20"/>
          <w:szCs w:val="20"/>
          <w:color w:val="auto"/>
        </w:rPr>
      </w:pPr>
    </w:p>
    <w:p>
      <w:pPr>
        <w:jc w:val="both"/>
        <w:ind w:left="1380" w:firstLine="815"/>
        <w:spacing w:after="0" w:line="266" w:lineRule="auto"/>
        <w:tabs>
          <w:tab w:leader="none" w:pos="2429"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175" w:lineRule="exact"/>
        <w:rPr>
          <w:rFonts w:ascii="Times New Roman" w:cs="Times New Roman" w:eastAsia="Times New Roman" w:hAnsi="Times New Roman"/>
          <w:sz w:val="18"/>
          <w:szCs w:val="18"/>
          <w:color w:val="auto"/>
        </w:rPr>
      </w:pPr>
    </w:p>
    <w:p>
      <w:pPr>
        <w:jc w:val="both"/>
        <w:ind w:left="1380" w:firstLine="815"/>
        <w:spacing w:after="0" w:line="256" w:lineRule="auto"/>
        <w:tabs>
          <w:tab w:leader="none" w:pos="2466"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187" w:lineRule="exact"/>
        <w:rPr>
          <w:rFonts w:ascii="Times New Roman" w:cs="Times New Roman" w:eastAsia="Times New Roman" w:hAnsi="Times New Roman"/>
          <w:sz w:val="18"/>
          <w:szCs w:val="18"/>
          <w:color w:val="auto"/>
        </w:rPr>
      </w:pPr>
    </w:p>
    <w:p>
      <w:pPr>
        <w:jc w:val="both"/>
        <w:ind w:left="1380" w:firstLine="815"/>
        <w:spacing w:after="0" w:line="255" w:lineRule="auto"/>
        <w:tabs>
          <w:tab w:leader="none" w:pos="252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8" w:lineRule="exact"/>
        <w:rPr>
          <w:rFonts w:ascii="Times New Roman" w:cs="Times New Roman" w:eastAsia="Times New Roman" w:hAnsi="Times New Roman"/>
          <w:sz w:val="18"/>
          <w:szCs w:val="18"/>
          <w:color w:val="auto"/>
        </w:rPr>
      </w:pPr>
    </w:p>
    <w:p>
      <w:pPr>
        <w:ind w:left="1380" w:firstLine="815"/>
        <w:spacing w:after="0" w:line="282" w:lineRule="auto"/>
        <w:tabs>
          <w:tab w:leader="none" w:pos="2505"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7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3" w:lineRule="auto"/>
        <w:tabs>
          <w:tab w:leader="none" w:pos="2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the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Agent under this Agreement, any other Loan Document or any documents related hereto or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Section, the following terms shall have the following meanings: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(a) If the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Agent has determined in its sole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the Agent pending its return or repayment as contemplated below in this Section 7.11 and held in trust for the benefit of the Agent, and such Lender shall (or, with respect to any Payment Recipient who received such funds on its behalf, shall cause such Payment Recipient to) promptly, but in no event later than two Business Days thereafter (or such later date as the Agent may, in its sole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96" w:lineRule="exact"/>
        <w:rPr>
          <w:sz w:val="20"/>
          <w:szCs w:val="20"/>
          <w:color w:val="auto"/>
        </w:rPr>
      </w:pPr>
    </w:p>
    <w:p>
      <w:pPr>
        <w:jc w:val="both"/>
        <w:ind w:firstLine="1628"/>
        <w:spacing w:after="0" w:line="255" w:lineRule="auto"/>
        <w:tabs>
          <w:tab w:leader="none" w:pos="187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auto"/>
        </w:rPr>
      </w:pPr>
    </w:p>
    <w:p>
      <w:pPr>
        <w:jc w:val="both"/>
        <w:ind w:left="1300" w:firstLine="814"/>
        <w:spacing w:after="0" w:line="266" w:lineRule="auto"/>
        <w:tabs>
          <w:tab w:leader="none" w:pos="233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immediately preceding clauses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the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left="1300" w:firstLine="814"/>
        <w:spacing w:after="0" w:line="261" w:lineRule="auto"/>
        <w:tabs>
          <w:tab w:leader="none" w:pos="239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notify the Agent of its receipt of such payment, prepayment or repayment, the details thereof (in reasonable detail) and that it is so notifying the Agent pursuant to this Section 7.11(b).</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the Agent pursuant to this Section 7.11(b) shall not have any effect on a Payment Recipient’s obligations pursuant to Section 7.11(a) or on whether or not an Erroneous Payment has been made.</w:t>
      </w:r>
    </w:p>
    <w:p>
      <w:pPr>
        <w:spacing w:after="0" w:line="162" w:lineRule="exact"/>
        <w:rPr>
          <w:sz w:val="20"/>
          <w:szCs w:val="20"/>
          <w:color w:val="auto"/>
        </w:rPr>
      </w:pPr>
    </w:p>
    <w:p>
      <w:pPr>
        <w:jc w:val="both"/>
        <w:ind w:firstLine="1628"/>
        <w:spacing w:after="0" w:line="266" w:lineRule="auto"/>
        <w:tabs>
          <w:tab w:leader="none" w:pos="18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authorizes the Agent to set off, net and apply any and all amounts at any time owing to such Lender under any Loan Document, or otherwise payable or distributable by the Agent to such Lender under any Loan Document with respect to any payment of principal, interest, fees or other amounts, against any amount that the Agent has demanded to be returned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ind w:left="500"/>
        <w:spacing w:after="0"/>
        <w:rPr>
          <w:sz w:val="20"/>
          <w:szCs w:val="20"/>
          <w:color w:val="auto"/>
        </w:rPr>
      </w:pPr>
      <w:r>
        <w:rPr>
          <w:rFonts w:ascii="Times New Roman" w:cs="Times New Roman" w:eastAsia="Times New Roman" w:hAnsi="Times New Roman"/>
          <w:sz w:val="18"/>
          <w:szCs w:val="18"/>
          <w:color w:val="auto"/>
        </w:rPr>
        <w:t>(d)</w:t>
      </w:r>
    </w:p>
    <w:p>
      <w:pPr>
        <w:spacing w:after="0" w:line="27" w:lineRule="exact"/>
        <w:rPr>
          <w:sz w:val="20"/>
          <w:szCs w:val="20"/>
          <w:color w:val="auto"/>
        </w:rPr>
      </w:pPr>
    </w:p>
    <w:p>
      <w:pPr>
        <w:jc w:val="both"/>
        <w:ind w:left="260" w:firstLine="815"/>
        <w:spacing w:after="0" w:line="250" w:lineRule="auto"/>
        <w:tabs>
          <w:tab w:leader="none" w:pos="129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Agent’s notice to such Lender at any time, then effective immediately (with the consideration therefor being acknowledged by the parties hereto), (A) such Lender shall be deemed to have assigned its Advances (but not its Commitments) in an amount equal to the Erroneous Payment Return Deficiency (or such lesser amount as the Agent may specify) (such assignment of the Advances (but not Commitments),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Agent in such instance)), and is hereby (together with the Borrower) deemed to execute and deliver an Assignment and Assumption (or, to the extent applicable, an agreement incorporating an Assignment and Assumption by reference pursuant to an electronic platform as to which the Agent and such parties are participants) with respect to such Erroneous Payment Deficiency Assignment, and such Lender shall deliver any Notes evidencing such Advances to the Borrower or the Agent (but the failure of such Person to deliver any such Notes shall not affect the effectiveness of the foregoing assignment), (B) the Agent as the assignee Lender shall be deemed to have acquired the Erroneous Payment Deficiency Assignment, (C) upon such deemed acquisition, the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Agent and the Borrower shall each be deemed to have waived any consents required under this Agreement to any such Erroneous Payment Deficiency Assignment, and (E) the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06" w:lineRule="exact"/>
        <w:rPr>
          <w:rFonts w:ascii="Times New Roman" w:cs="Times New Roman" w:eastAsia="Times New Roman" w:hAnsi="Times New Roman"/>
          <w:sz w:val="18"/>
          <w:szCs w:val="18"/>
          <w:color w:val="auto"/>
        </w:rPr>
      </w:pPr>
    </w:p>
    <w:p>
      <w:pPr>
        <w:jc w:val="both"/>
        <w:ind w:left="260" w:firstLine="815"/>
        <w:spacing w:after="0" w:line="253" w:lineRule="auto"/>
        <w:tabs>
          <w:tab w:leader="none" w:pos="13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8.07 (but excluding, in all events, any assignment consent or approval requirements (whether from the Borrower or otherwise)), the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Agent on or with respect to any such Advances acquired from such Lender pursuant to an Erroneous Payment Deficiency Assignment (to the extent that any such Advances are then owned by the Agent) and (y) may, in the sole discretion of the Agent, be reduced by any amount specified by the Agent in writing to the applicable Lender from time to time.</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9" w:name="page150"/>
    <w:bookmarkEnd w:id="149"/>
    <w:p>
      <w:pPr>
        <w:jc w:val="both"/>
        <w:ind w:firstLine="1628"/>
        <w:spacing w:after="0" w:line="253" w:lineRule="auto"/>
        <w:tabs>
          <w:tab w:leader="none" w:pos="18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Agent may be equitably subrogated, in the event that an Erroneous Payment (or portion thereof) is not recovered from any Payment Recipient that has received such Erroneous Payment (or portion thereof) for any reason, the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Subrogation Rights</w:t>
      </w:r>
      <w:r>
        <w:rPr>
          <w:rFonts w:ascii="Times New Roman" w:cs="Times New Roman" w:eastAsia="Times New Roman" w:hAnsi="Times New Roman"/>
          <w:sz w:val="18"/>
          <w:szCs w:val="18"/>
          <w:color w:val="auto"/>
        </w:rPr>
        <w:t xml:space="preserve">”) (provided that the Borrower’s obligations under the Loan Documents in respect of the Erroneous Payment Subrogation Rights shall not be duplicative of such obligations in respect of Advances that have been assigned to the Agent under an Erroneous Payment Deficiency Assignment) and (y) an Erroneous Payment shall not pay, prepay, repay, discharge or otherwise satisfy any obligations owed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7.11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Agent; provided, further, that for the avoidance of doubt, immediately preceding clauses (x) and (y) shall not apply to the extent any such Erroneous Payment is, and solely with respect to the amount of such Erroneous Payment that is, comprised of funds received by the Agent from the Borrower for the purpose of making such Erroneous Payment.</w:t>
      </w:r>
    </w:p>
    <w:p>
      <w:pPr>
        <w:spacing w:after="0" w:line="189"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628"/>
        <w:spacing w:after="0" w:line="266" w:lineRule="auto"/>
        <w:tabs>
          <w:tab w:leader="none" w:pos="1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7.11 shall survive the resignation or replacement of the Agent, any transfer of rights or obligations by, or the replacement of, a Lender, the termination of the Commitments and/or the repayment, satisfaction or discharge of all obligations (or any portion thereof) of the Borrower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provided in Section 2.22, no amendment or waiver of any provision of this Agreement, nor consent to any departure by the Borrower therefrom, shall in any event be effective unless the same shall be in writing and signed by the Required Lenders (or the Agent with the consent of the Required Lenders),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waiver or consent shall, unless in writing and signed by (a) all the Lenders, do any of the following: (i) waive any of the conditions specified in Section 3.01, (ii) change the definition of “Required Lenders” or the percentage of the Commitments or of the aggregate unpaid principal amount of the Advances, or the number of Lenders, that shall be required for the Lenders or any of them to take any action hereunder or (iii) amend this Section 8.01 or (b) each Lender affected thereby, do any of the following: (i) increase, or extend the date for termination of, the Commitment of such Lender, (ii) reduce the principal of, or rate of interest on, the Advances or any fees or other amounts payable hereunder to such Lender, (iii) postpone any date fixed for any payment of principal of, or interest on, the Advances or any fees or other amounts payable hereunder to such Lender or (iv) change Section 2.14 in a manner that would alter the pro rata sharing of payments required thereby;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amendment, waiver or consent shall, unless in writing and signed by the Agent in addition to the Lenders required above to take such action, affect the rights or duties of the Agent under this Agreement or any Note. 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Advances may not be extended, the rate of interest on any of its Advances may not be reduced and the principal amount of any of its Advances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Notices; Effectiveness; Electronic Communication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paragraph (b) below) or as otherwise provided in Section 5.01(i), all notices and other communications provided for herein shall be in writing and shall be delivered by hand or overnight courier service, mailed by certified or registered mail or sent by facsimile (other than to the Borrower) or email as follows:</w:t>
      </w:r>
    </w:p>
    <w:p>
      <w:pPr>
        <w:spacing w:after="0" w:line="180" w:lineRule="exact"/>
        <w:rPr>
          <w:sz w:val="20"/>
          <w:szCs w:val="20"/>
          <w:color w:val="auto"/>
        </w:rPr>
      </w:pPr>
    </w:p>
    <w:p>
      <w:pPr>
        <w:ind w:left="1380" w:firstLine="815"/>
        <w:spacing w:after="0" w:line="282" w:lineRule="auto"/>
        <w:tabs>
          <w:tab w:leader="none" w:pos="240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 One Market Street, Suite 400, San Francisco, California 94105, Attention of Treasurer (E-mail: treasops@autodesk.com), with a copy to Attention of General Counsel (E-mail: general.counsel@autodesk.com);</w:t>
      </w:r>
    </w:p>
    <w:p>
      <w:pPr>
        <w:spacing w:after="0" w:line="161" w:lineRule="exact"/>
        <w:rPr>
          <w:rFonts w:ascii="Times New Roman" w:cs="Times New Roman" w:eastAsia="Times New Roman" w:hAnsi="Times New Roman"/>
          <w:sz w:val="18"/>
          <w:szCs w:val="18"/>
          <w:color w:val="auto"/>
        </w:rPr>
      </w:pPr>
    </w:p>
    <w:p>
      <w:pPr>
        <w:ind w:left="1380" w:firstLine="815"/>
        <w:spacing w:after="0" w:line="282" w:lineRule="auto"/>
        <w:tabs>
          <w:tab w:leader="none" w:pos="24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 to it at One Penns Way, OPS 2/2, New Castle, Delaware 19720, Attention of Lending Agency; E-mail: usagencyservicing@citi.com; and</w:t>
      </w:r>
    </w:p>
    <w:p>
      <w:pPr>
        <w:spacing w:after="0" w:line="161" w:lineRule="exact"/>
        <w:rPr>
          <w:rFonts w:ascii="Times New Roman" w:cs="Times New Roman" w:eastAsia="Times New Roman" w:hAnsi="Times New Roman"/>
          <w:sz w:val="18"/>
          <w:szCs w:val="18"/>
          <w:color w:val="auto"/>
        </w:rPr>
      </w:pPr>
    </w:p>
    <w:p>
      <w:pPr>
        <w:ind w:left="2500" w:hanging="305"/>
        <w:spacing w:after="0"/>
        <w:tabs>
          <w:tab w:leader="none" w:pos="2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or e-mail) set forth in its Administrative Questionnaire.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80" w:lineRule="exact"/>
        <w:rPr>
          <w:sz w:val="20"/>
          <w:szCs w:val="20"/>
          <w:color w:val="auto"/>
        </w:rPr>
      </w:pPr>
    </w:p>
    <w:p>
      <w:pPr>
        <w:jc w:val="both"/>
        <w:ind w:firstLine="1628"/>
        <w:spacing w:after="0" w:line="256" w:lineRule="auto"/>
        <w:tabs>
          <w:tab w:leader="none" w:pos="19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firstLine="1628"/>
        <w:spacing w:after="0" w:line="266" w:lineRule="auto"/>
        <w:tabs>
          <w:tab w:leader="none" w:pos="186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The Borrower may change its address or email address for notices and other communications hereunder by notice to the Agent. Any other party hereto may change its address, e-mail address or facsimile number for notices and other communications hereunder by notice to the other parties 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ind w:left="1880" w:hanging="252"/>
        <w:spacing w:after="0"/>
        <w:tabs>
          <w:tab w:leader="none" w:pos="1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42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Agent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80" w:firstLine="815"/>
        <w:spacing w:after="0" w:line="253" w:lineRule="auto"/>
        <w:tabs>
          <w:tab w:leader="none" w:pos="245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(each an “</w:t>
      </w:r>
      <w:r>
        <w:rPr>
          <w:rFonts w:ascii="Times New Roman" w:cs="Times New Roman" w:eastAsia="Times New Roman" w:hAnsi="Times New Roman"/>
          <w:sz w:val="18"/>
          <w:szCs w:val="18"/>
          <w:u w:val="single" w:color="auto"/>
          <w:color w:val="auto"/>
        </w:rPr>
        <w:t>Agent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except to the extent caused by Agent’s or any Agent Party’s gross negligence or willful misconduct.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the Borrower provides to the Agent pursuant to this Agreement or the transactions contemplated therein which is distributed to the Agent or any Lender by means of electronic communications pursuant to this Section, including through the Platform.</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Costs and Expenses; Indemnification</w:t>
      </w:r>
      <w:r>
        <w:rPr>
          <w:rFonts w:ascii="Times New Roman" w:cs="Times New Roman" w:eastAsia="Times New Roman" w:hAnsi="Times New Roman"/>
          <w:sz w:val="18"/>
          <w:szCs w:val="18"/>
          <w:color w:val="auto"/>
        </w:rPr>
        <w:t>. (a) The Borrower agrees to pay promptly following the presentation of a statement of account therefor, all reasonable and documented out-of-pocket costs and expenses of the Agent in connection with the preparation, execution, delivery, administration, modification and amendment of this Agreement, the Notes and the other documents to be delivered hereunder, including, without limitation, the reasonable and documented out-of-pocket fees and expenses of one counsel for the Agent (which, as of the date hereof, is Davis Polk &amp; Wardwell LLP) with respect thereto and with respect to advising the Agent as to its rights and responsibilities under this Agreement. The Borrower further agrees, following the occurrence and during the continuance of any Default, to pay on demand all costs and expenses of the Agent and the Lenders, if any (including, without limitation, reasonable counsel fees and expenses of one counsel for the Agent and the Lenders, taken as a whole, and if reasonably necessary, a single local counsel for the Agent and the Lenders, taken as a whole, in each jurisdiction for which local counsel is reasonably deemed necessary), in connection with the enforcement (whether through negotiations, legal proceedings or otherwise) of this Agreement, the Notes and the other documents to be delivered hereunder, including, without limitation, in connection with the enforcement of rights under this Section 8.04(a).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both"/>
        <w:ind w:firstLine="1628"/>
        <w:spacing w:after="0" w:line="252" w:lineRule="auto"/>
        <w:tabs>
          <w:tab w:leader="none" w:pos="187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indemnify and hold harmless the Agent, each Arranger and each Lender and each of their Related Parties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fees and expenses of one counsel for all such Indemnified Parties, taken as a whole, and if reasonably necessary, a single local counsel for all Indemnified Parties, taken as a whole, in each jurisdiction for which local counsel is reasonably deemed necessary and, solely in the case of a conflict of interest, one special counsel to each group of similarly situated Indemnified Parties affected by such conflict where such group notifies the Borrower of such conflict and thereafter retains such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Advances or (ii) the actual or alleged presence of Hazardous Materials on or at any currently or formerly owned, leased or operated property of the Borrower or any of its Subsidiaries or any Environmental Action or liability under any Environmental Law relating in any way to the Borrower or any of its Subsidiaries, except to the extent such claim, damage, loss, liability or expense is found in a final, non-appealable judgment by a court of competent jurisdiction to have resulted from (x) such Indemnified Party’s gross negligence, bad faith or willful misconduct, (y) the material breach by such Indemnified Party of its express obligations under this Agreement pursuant to a claim initiated by the Borrower or (z) any dispute solely among Indemnified Parties (not arising as a result of an act or omission by the Borrower or any of its Subsidiaries) other than claims against the Agent or any of its Affiliates in its capacity, or in fulfilling its role, as the Agent under this Agreement. In the case of an investigation, litigation or other proceeding to which the indemnity in this Section 8.04(b)(i)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shall not be liable for the settlement of any such investigation, litigation or proceedings effected without the Borrower’s consent (which consent shall not be unreasonably withheld or delayed).</w:t>
      </w:r>
    </w:p>
    <w:p>
      <w:pPr>
        <w:spacing w:after="0" w:line="19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parties hereto agree not to assert any claim for special, indirect, consequential or punitive damages against any other party hereto,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 No Lender-Related Party shall be liable for any damages arising from the use by unintended recipients of any information or other materials distributed by it through telecommunications, electronic or other information transmission systems in connection with this Agreement or the transactions contemplated hereby or thereby except to the extent such damages are found in a final, non-appealable judgment by a court of competent jurisdiction to have been caused by the gross negligence or willful misconduct of such Lender-Related Party. This Section 8.04(b)(i) shall not apply with respect to taxes other than any taxes that represent losses or damages arising from any non-tax claim.</w:t>
      </w:r>
    </w:p>
    <w:p>
      <w:pPr>
        <w:spacing w:after="0" w:line="192" w:lineRule="exact"/>
        <w:rPr>
          <w:sz w:val="20"/>
          <w:szCs w:val="20"/>
          <w:color w:val="auto"/>
        </w:rPr>
      </w:pPr>
    </w:p>
    <w:p>
      <w:pPr>
        <w:jc w:val="both"/>
        <w:ind w:firstLine="1628"/>
        <w:spacing w:after="0" w:line="254" w:lineRule="auto"/>
        <w:tabs>
          <w:tab w:leader="none" w:pos="18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of, or Conversion of, any SOFR Advance is made by the Borrower to or for the account of a Lender other than on the last day of the Interest Period for such Advance, as a result of a payment or Conversion pursuant to Section 2.07(d) or 2.07(i), 2.09 or 2.11,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8.07 as a result of a demand by the Borrower pursuant to Section 2.19, the Borrower shall, upon demand by such Lender (with a copy of such demand to the Agent and setting forth in reasonable detail the calculation of the amounts demanded),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jc w:val="both"/>
        <w:ind w:firstLine="1628"/>
        <w:spacing w:after="0" w:line="266" w:lineRule="auto"/>
        <w:tabs>
          <w:tab w:leader="none" w:pos="19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Borrower hereunder, the agreements and obligations of the Borrower contained in Sections 2.10, 2.13 and 8.04 shall survive the payment in full of principal, interest and all other amounts payable hereunder and under the Notes and the termination of this Agreement.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Upon either (a) the occurrence and during the continuance of any Event of Default under Section 6.01(a) or 6.01(e) involving the Borrower or (b) (i) the occurrence and during the continuance of any other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but excluding deposits in (i) trust or other fiduciary accounts (to the extent of amounts held therein in trust in the ordinary course of business on behalf of third parties), (ii) payroll accounts, (iii) health-savings accounts and worker’s compensation accounts, (iv) withholding tax accounts and (v) zero balance accounts used in the ordinary course of business)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 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 off and application;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event that any Defaulting Lender exercises any such right of setoff, (x) all amounts so set off will be paid over immediately to the Agent for further application in accordance with the provisions of Section 2.18(a) and, pending such payment, will be segregated by such Defaulting Lender from its other funds and deemed held in trust for the benefit of the Agent and the Lenders and (y) such Defaulting Lender will provide promptly to the Agent a statement describing in reasonable detail the obligations owing to such Defaulting Lender as to which it exercised such right of setoff. The rights of each Lender and its Affiliates under this Section are in addition to other rights and remedies (including, without limitation, other rights of set off) that such Lender and its Affiliates may have.</w:t>
      </w:r>
    </w:p>
    <w:p>
      <w:pPr>
        <w:spacing w:after="0" w:line="19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(other than Section 2.01, which shall only become effective upon satisfaction of the conditions precedent set forth in Section 3.01) when it shall have been executed by the Borrower, the Agent and each Initial Lender and thereafter shall be binding upon and inure to the benefit of the Borrower, the Agent and each Lender and their respective permitted successors and assigns, except that the Borrower shall not have the right to assign its rights hereunder or any interest herein without the prior written consent of each Lender (and any other attempted assignment or transfer by any party hereto shall be null and void).</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(i) of this Section and, to the extent expressly contemplated hereby, the Related Parties of each of the Agent and the Lenders) any legal or equitable right, remedy or claim under or by reason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both"/>
        <w:ind w:left="-20" w:firstLine="1628"/>
        <w:spacing w:after="0" w:line="266" w:lineRule="auto"/>
        <w:tabs>
          <w:tab w:leader="none" w:pos="188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2380" w:hanging="205"/>
        <w:spacing w:after="0"/>
        <w:tabs>
          <w:tab w:leader="none" w:pos="2380"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60" w:firstLine="1544"/>
        <w:spacing w:after="0" w:line="266" w:lineRule="auto"/>
        <w:tabs>
          <w:tab w:leader="none" w:pos="3199"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or in the case of an assignment to a Lender or an Affiliate of a Lender, no minimum amount need be assigned; and</w:t>
      </w:r>
    </w:p>
    <w:p>
      <w:pPr>
        <w:spacing w:after="0" w:line="175" w:lineRule="exact"/>
        <w:rPr>
          <w:rFonts w:ascii="Times New Roman" w:cs="Times New Roman" w:eastAsia="Times New Roman" w:hAnsi="Times New Roman"/>
          <w:sz w:val="18"/>
          <w:szCs w:val="18"/>
          <w:color w:val="auto"/>
        </w:rPr>
      </w:pPr>
    </w:p>
    <w:p>
      <w:pPr>
        <w:jc w:val="both"/>
        <w:ind w:left="1360" w:firstLine="1544"/>
        <w:spacing w:after="0" w:line="254" w:lineRule="auto"/>
        <w:tabs>
          <w:tab w:leader="none" w:pos="3208"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or an integral multiple of $1,000,000 in excess thereof, unless</w:t>
      </w:r>
    </w:p>
    <w:p>
      <w:pPr>
        <w:spacing w:after="0" w:line="3" w:lineRule="exact"/>
        <w:rPr>
          <w:rFonts w:ascii="Times New Roman" w:cs="Times New Roman" w:eastAsia="Times New Roman" w:hAnsi="Times New Roman"/>
          <w:sz w:val="18"/>
          <w:szCs w:val="18"/>
          <w:color w:val="auto"/>
        </w:rPr>
      </w:pPr>
    </w:p>
    <w:p>
      <w:pPr>
        <w:ind w:left="13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so long as no Event of Default under Section‎ 6.01(a) or 6‎.01(e) has occurred and is continuing at the time of such assignment, the Borrower otherwise consents (each such consent not to be unreasonably withheld or delayed).</w:t>
      </w:r>
    </w:p>
    <w:p>
      <w:pPr>
        <w:spacing w:after="0" w:line="181" w:lineRule="exact"/>
        <w:rPr>
          <w:rFonts w:ascii="Times New Roman" w:cs="Times New Roman" w:eastAsia="Times New Roman" w:hAnsi="Times New Roman"/>
          <w:sz w:val="18"/>
          <w:szCs w:val="18"/>
          <w:color w:val="auto"/>
        </w:rPr>
      </w:pPr>
    </w:p>
    <w:p>
      <w:pPr>
        <w:ind w:left="1360" w:right="20" w:firstLine="815"/>
        <w:spacing w:after="0" w:line="282" w:lineRule="auto"/>
        <w:tabs>
          <w:tab w:leader="none" w:pos="246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w:t>
      </w:r>
    </w:p>
    <w:p>
      <w:pPr>
        <w:spacing w:after="0" w:line="161" w:lineRule="exact"/>
        <w:rPr>
          <w:rFonts w:ascii="Times New Roman" w:cs="Times New Roman" w:eastAsia="Times New Roman" w:hAnsi="Times New Roman"/>
          <w:sz w:val="18"/>
          <w:szCs w:val="18"/>
          <w:color w:val="auto"/>
        </w:rPr>
      </w:pPr>
    </w:p>
    <w:p>
      <w:pPr>
        <w:ind w:left="1360" w:firstLine="815"/>
        <w:spacing w:after="0" w:line="282" w:lineRule="auto"/>
        <w:tabs>
          <w:tab w:leader="none" w:pos="2485"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 Section and, in addition:</w:t>
      </w:r>
    </w:p>
    <w:p>
      <w:pPr>
        <w:spacing w:after="0" w:line="161" w:lineRule="exact"/>
        <w:rPr>
          <w:rFonts w:ascii="Times New Roman" w:cs="Times New Roman" w:eastAsia="Times New Roman" w:hAnsi="Times New Roman"/>
          <w:sz w:val="18"/>
          <w:szCs w:val="18"/>
          <w:color w:val="auto"/>
        </w:rPr>
      </w:pPr>
    </w:p>
    <w:p>
      <w:pPr>
        <w:ind w:left="3200" w:hanging="296"/>
        <w:spacing w:after="0"/>
        <w:tabs>
          <w:tab w:leader="none" w:pos="3200"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w:t>
      </w:r>
    </w:p>
    <w:p>
      <w:pPr>
        <w:spacing w:after="0" w:line="27" w:lineRule="exact"/>
        <w:rPr>
          <w:rFonts w:ascii="Times New Roman" w:cs="Times New Roman" w:eastAsia="Times New Roman" w:hAnsi="Times New Roman"/>
          <w:sz w:val="18"/>
          <w:szCs w:val="18"/>
          <w:color w:val="auto"/>
        </w:rPr>
      </w:pPr>
    </w:p>
    <w:p>
      <w:pPr>
        <w:jc w:val="both"/>
        <w:ind w:left="1360" w:firstLine="5"/>
        <w:spacing w:after="0" w:line="253" w:lineRule="auto"/>
        <w:tabs>
          <w:tab w:leader="none" w:pos="16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of Default under Section 6.01(a) or 6.01(e) has occurred and is continuing at the time of such assignment, or (y) such assignment is to a Lender or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Agent within ten Business Days after having received written notice thereof;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55" w:name="page156"/>
    <w:bookmarkEnd w:id="155"/>
    <w:p>
      <w:pPr>
        <w:ind w:left="1380" w:firstLine="1544"/>
        <w:spacing w:after="0" w:line="282" w:lineRule="auto"/>
        <w:tabs>
          <w:tab w:leader="none" w:pos="323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Agent (such consent not to be unreasonably withheld or delayed) shall be required for assignments to a Person that is not a Lender or an Affiliate of such Lender.</w:t>
      </w:r>
    </w:p>
    <w:p>
      <w:pPr>
        <w:spacing w:after="0" w:line="161" w:lineRule="exact"/>
        <w:rPr>
          <w:rFonts w:ascii="Times New Roman" w:cs="Times New Roman" w:eastAsia="Times New Roman" w:hAnsi="Times New Roman"/>
          <w:sz w:val="18"/>
          <w:szCs w:val="18"/>
          <w:color w:val="auto"/>
        </w:rPr>
      </w:pPr>
    </w:p>
    <w:p>
      <w:pPr>
        <w:jc w:val="both"/>
        <w:ind w:left="1380" w:firstLine="815"/>
        <w:spacing w:after="0" w:line="261" w:lineRule="auto"/>
        <w:tabs>
          <w:tab w:leader="none" w:pos="25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(other than Borrower) shall execute and deliver to the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may, in its sole discretion, elect to waive such processing and recordation fee in the case of any assignment. The assignee, if it is not a Lender, shall deliver to the Agent an Administrative Questionnaire.</w:t>
      </w:r>
    </w:p>
    <w:p>
      <w:pPr>
        <w:spacing w:after="0" w:line="179" w:lineRule="exact"/>
        <w:rPr>
          <w:rFonts w:ascii="Times New Roman" w:cs="Times New Roman" w:eastAsia="Times New Roman" w:hAnsi="Times New Roman"/>
          <w:sz w:val="18"/>
          <w:szCs w:val="18"/>
          <w:color w:val="auto"/>
        </w:rPr>
      </w:pPr>
    </w:p>
    <w:p>
      <w:pPr>
        <w:jc w:val="both"/>
        <w:ind w:left="1380" w:firstLine="815"/>
        <w:spacing w:after="0" w:line="266" w:lineRule="auto"/>
        <w:tabs>
          <w:tab w:leader="none" w:pos="24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Borrower or any of the Borrower’s Affiliates or Subsidiaries or (B) to any Defaulting Lender, its Parent Company or any of its Subsidiaries, or any Person who, upon becoming a Lender hereunder, would constitute any of the foregoing Persons described in this clause (B).</w:t>
      </w:r>
    </w:p>
    <w:p>
      <w:pPr>
        <w:spacing w:after="0" w:line="175" w:lineRule="exact"/>
        <w:rPr>
          <w:rFonts w:ascii="Times New Roman" w:cs="Times New Roman" w:eastAsia="Times New Roman" w:hAnsi="Times New Roman"/>
          <w:sz w:val="18"/>
          <w:szCs w:val="18"/>
          <w:color w:val="auto"/>
        </w:rPr>
      </w:pPr>
    </w:p>
    <w:p>
      <w:pPr>
        <w:ind w:left="1380" w:firstLine="815"/>
        <w:spacing w:after="0" w:line="282" w:lineRule="auto"/>
        <w:tabs>
          <w:tab w:leader="none" w:pos="252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1" w:lineRule="exact"/>
        <w:rPr>
          <w:rFonts w:ascii="Times New Roman" w:cs="Times New Roman" w:eastAsia="Times New Roman" w:hAnsi="Times New Roman"/>
          <w:sz w:val="18"/>
          <w:szCs w:val="18"/>
          <w:color w:val="auto"/>
        </w:rPr>
      </w:pPr>
    </w:p>
    <w:p>
      <w:pPr>
        <w:jc w:val="both"/>
        <w:ind w:left="1380" w:firstLine="815"/>
        <w:spacing w:after="0" w:line="253" w:lineRule="auto"/>
        <w:tabs>
          <w:tab w:leader="none" w:pos="25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and each other Lender hereunder (and interest accrued thereon), and (y) acquire (and fund as appropriate) its full pro rata share of all Advances in accordance with its ratable share of the Commitments.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2.10, 2.13 and 8.04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(i) of this Section.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both"/>
        <w:ind w:firstLine="1628"/>
        <w:spacing w:after="0" w:line="256" w:lineRule="auto"/>
        <w:tabs>
          <w:tab w:leader="none" w:pos="18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Agent, acting solely for this purpose as an agent of the Borrower, shall maintain at one of its offices in the United States a copy of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as to its Commitment,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 and other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w:t>
      </w:r>
    </w:p>
    <w:p>
      <w:pPr>
        <w:spacing w:after="0" w:line="192"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first proviso of Section 8.01 that affects such Participant. The Borrower agrees that each Participant shall be entitled to the benefits of Sections 2.10 and 2.13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the provisions of Section 2.19 as if it were an assignee under paragraph (b) of this Section. To the extent permitted by law, each Participant also shall be entitled to the benefits of Section 8.05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2.14 as though it were a Lender.</w:t>
      </w:r>
    </w:p>
    <w:p>
      <w:pPr>
        <w:spacing w:after="0" w:line="192"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acting solely for this purpose as a nonfiduciary agent of the Borrower, shall maintain a register on which it enters the name and address of each Participant and the principal amounts (and stated interest) of each Participant’s interest in the Advances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hereunder)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2" w:lineRule="exact"/>
        <w:rPr>
          <w:sz w:val="20"/>
          <w:szCs w:val="20"/>
          <w:color w:val="auto"/>
        </w:rPr>
      </w:pPr>
    </w:p>
    <w:p>
      <w:pPr>
        <w:jc w:val="both"/>
        <w:ind w:firstLine="1628"/>
        <w:spacing w:after="0" w:line="258" w:lineRule="auto"/>
        <w:tabs>
          <w:tab w:leader="none" w:pos="18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Sections 2.10 and 2.13 than the applicable Lender would have been entitled to receive with respect to the participation sold to such Participant, unless the sale of the participation to such Participant is made with the Borrower’s prior written consent. A Participant organized under the laws of a jurisdiction outside the United States shall not be entitled to the benefits of Section 2.13 unless the Borrower is notified of the participation sold to such Participant and such Participant agrees, for the benefit of the Borrower, to comply with Section 2.13(e)(i) as though it were a Lender.</w:t>
      </w:r>
    </w:p>
    <w:p>
      <w:pPr>
        <w:spacing w:after="0" w:line="183"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 and the Lenders agrees to maintain the confidentiality of the Borrower Information (as defined below), and agrees that it shall only use such Borrower Information in connection with the transactions contemplated by this Agreement and not disclose such information other than (a) to its Affiliates and to its and its Affiliates’ Related Parties on a need to know basis that are expected to be involved in the evaluation of such information in connection with the transactions contemplated by this Agreement (it being understood that the Persons to whom such disclosure is made will be informed of the confidential nature of such Borrower Information and instructed to keep such Borrower Information confidential in accordance with the terms hereof),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Agent and the Lenders agree to the extent not prohibited by applicable law, rule, regulation or order, to inform the Borrower promptly of the disclosure thereof and to the extent practicable,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and the Lenders shall bear no liability for failure to provide such notice), (d) to any other party hereto, (e) in connection with the exercise of any remedies hereunder or any action or proceeding relating to this Agreement or the enforcement of rights hereunder, (f) subject to an agreement for the benefit of the Borrower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the Borrower and its obligations, this Agreement or payments hereunder or to any credit insurance provider relating to the Borrower and its obligations, (iii) any rating agency, or (iv) the CUSIP Service Bureau or any similar organization, (g) with the written consent of the Borrower or (h) to the extent such Borrower Information (x) becomes publicly available other than as a result of a breach of this Section or (y) becomes available to the Agent, any Lender or any of their respective Affiliates on a nonconfidential basis from a source other than the Borrower (unless such disclosure is known to the Agent or such Lender to have violated a confidentiality obligation). In addition, the Agent and the Lenders may disclose the existence of this Agreement and information about this Agreement to market data collectors, similar service providers to the lending industry and service providers to the Agent or any Lender in connection with the administration of this Agreement, the other Loan Documents, and the Commitments.</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means all information received from the Borrower or any of its Subsidiaries relating to the Borrower or any of its Subsidiaries or any of their respective businesses, other than any such information that is available to the Agent or any Lender on a nonconfidential basis prior to disclosure by the Borrower or any of its Subsidiaries (unless such disclosure is known to the Agent or such Lender to have violated a confidentiality obligation).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the Notes shall be governed by, and construed in accordance with,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determination of whether the Matterhorn Acquisition has been consummated in accordance with the terms of the Matterhorn Acquisition Agreement shall, in each case, be governed by and construed in accordance with the domestic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other electronic transmission (including a .pdf e-mail transmission) shall be effective as delivery of a manually executed counterpart of this Agreement.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(a)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The Borrower hereby irrevocably consents to the service of process in any action or proceeding (whether in tort, contract, law or equity)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both"/>
        <w:ind w:firstLine="1628"/>
        <w:spacing w:after="0" w:line="261" w:lineRule="auto"/>
        <w:tabs>
          <w:tab w:leader="none" w:pos="18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(whether in tort, contract, law or equity)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Patriot Act Notice; Beneficial Ownership Regulation</w:t>
      </w:r>
      <w:r>
        <w:rPr>
          <w:rFonts w:ascii="Times New Roman" w:cs="Times New Roman" w:eastAsia="Times New Roman" w:hAnsi="Times New Roman"/>
          <w:sz w:val="18"/>
          <w:szCs w:val="18"/>
          <w:color w:val="auto"/>
        </w:rPr>
        <w:t>. Each Lender and the Agent (for itself and not on behalf of any Lender) hereby notifies the Borrower that pursuant to the requirements of the Patriot Act and the Beneficial Ownership Regulation (if applicable), it is required to obtain, verify and record information that identifies the Borrower, which information includes the name and address of the Borrower and other information that will allow such Lender or the Agent, as applicable, to identify the Borrower in accordance with the Patriot Act and the Beneficial Ownership Regulation (if applicable). The Borrower shall provide, to the extent commercially reasonable, such information and take such actions as are reasonably requested by the Agent or any Lenders in order to assist the Agent and the Lenders in maintaining compliance with the Patriot Act and the Beneficial Ownership Regulation (if applicable).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Advance or other obligation owing under this Agreement, together with all fees, charges and other amounts that are treated as interest on such Advance or other obligation under applicable law (collectively,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Advance or other obligation in accordance with applicable law, the rate of interest payable in respect of such Advance or other obligation hereunder, together with all charges payable in respect thereof, shall be limited to the Maximum Rate. To the extent lawful, the interest and charges that would have been paid in respect of such Advance or other obligation but were not paid as a result of the operation of this Section 8.13 shall be cumulated and the interest and charges payable to such Lender or other Person in respect of other Advances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Advance or other obligation or refunded to the Borrower so that at no time shall the interest and charges paid or payable in respect of such Advance or other obligation exceed the maximum amount collectible at the Maximum Rate.</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No Fiduciary Duty; Other Relationships</w:t>
      </w:r>
      <w:r>
        <w:rPr>
          <w:rFonts w:ascii="Times New Roman" w:cs="Times New Roman" w:eastAsia="Times New Roman" w:hAnsi="Times New Roman"/>
          <w:sz w:val="18"/>
          <w:szCs w:val="18"/>
          <w:color w:val="auto"/>
        </w:rPr>
        <w:t>. The Borrower acknowledges that the Lenders have no fiduciary relationship with, or fiduciary duty to, the Borrower arising out of or in connection with this Agreement, and the relationship between each Lender and the Borrower is solely that of creditor and debtor. This Agreement does not create a joint venture among the parties hereto. No relationship created hereunder shall in any way affect the ability of the Agent and each Lender to enter into or maintain business relationships with the Borrower or any Affiliate thereof beyond the relationships specifically contemplated by this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“execute,” “execution,” “signed,” “signature,” and words of like import in or related to any document to be signed in connection with this Agreement and the transactions contemplated hereby (including without limitation Assignment and Assumptions, amendments or other modifications, any Notice of Borrowing,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Acknowledgement and Consent to Bail-In of Certain Affected Financial Institutions</w:t>
      </w:r>
      <w:r>
        <w:rPr>
          <w:rFonts w:ascii="Times New Roman" w:cs="Times New Roman" w:eastAsia="Times New Roman" w:hAnsi="Times New Roman"/>
          <w:sz w:val="18"/>
          <w:szCs w:val="18"/>
          <w:color w:val="auto"/>
        </w:rPr>
        <w:t>.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628"/>
        <w:spacing w:after="0" w:line="282" w:lineRule="auto"/>
        <w:tabs>
          <w:tab w:leader="none" w:pos="187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400" w:hanging="205"/>
        <w:spacing w:after="0"/>
        <w:tabs>
          <w:tab w:leader="none" w:pos="24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380" w:firstLine="815"/>
        <w:spacing w:after="0" w:line="261" w:lineRule="auto"/>
        <w:tabs>
          <w:tab w:leader="none" w:pos="245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80" w:firstLine="815"/>
        <w:spacing w:after="0" w:line="282" w:lineRule="auto"/>
        <w:tabs>
          <w:tab w:leader="none" w:pos="251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OF THE BORROWER, THE AGENT AND THE LENDERS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by their respective officers thereunto duly authorized, as of the date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AUTODESK,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Janesh Moorjani</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1" w:name="page162"/>
    <w:bookmarkEnd w:id="161"/>
    <w:p>
      <w:pPr>
        <w:ind w:left="5640"/>
        <w:spacing w:after="0"/>
        <w:rPr>
          <w:sz w:val="20"/>
          <w:szCs w:val="20"/>
          <w:color w:val="auto"/>
        </w:rPr>
      </w:pPr>
      <w:r>
        <w:rPr>
          <w:rFonts w:ascii="Times New Roman" w:cs="Times New Roman" w:eastAsia="Times New Roman" w:hAnsi="Times New Roman"/>
          <w:sz w:val="17"/>
          <w:szCs w:val="17"/>
          <w:color w:val="auto"/>
        </w:rPr>
        <w:t>CITIBANK, N.A., as Administrative Agent</w:t>
      </w:r>
    </w:p>
    <w:p>
      <w:pPr>
        <w:spacing w:after="0" w:line="23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Daniel Boselli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as Lender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Daniel Boselli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ind w:left="5640"/>
        <w:spacing w:after="0"/>
        <w:rPr>
          <w:sz w:val="20"/>
          <w:szCs w:val="20"/>
          <w:color w:val="auto"/>
        </w:rPr>
      </w:pPr>
      <w:r>
        <w:rPr>
          <w:rFonts w:ascii="Times New Roman" w:cs="Times New Roman" w:eastAsia="Times New Roman" w:hAnsi="Times New Roman"/>
          <w:sz w:val="17"/>
          <w:szCs w:val="17"/>
          <w:color w:val="auto"/>
        </w:rPr>
        <w:t>MORGAN STANLEY BANK, N.A., as Lender</w:t>
      </w:r>
    </w:p>
    <w:p>
      <w:pPr>
        <w:spacing w:after="0" w:line="23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Katie Bodack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Katie Bodack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80"/>
          </w:cols>
          <w:pgMar w:left="1440" w:top="904" w:right="1379" w:bottom="1440" w:gutter="0" w:footer="0" w:header="0"/>
        </w:sectPr>
      </w:pPr>
    </w:p>
    <w:bookmarkStart w:id="163" w:name="page164"/>
    <w:bookmarkEnd w:id="163"/>
    <w:p>
      <w:pPr>
        <w:ind w:left="5640"/>
        <w:spacing w:after="0"/>
        <w:rPr>
          <w:sz w:val="20"/>
          <w:szCs w:val="20"/>
          <w:color w:val="auto"/>
        </w:rPr>
      </w:pPr>
      <w:r>
        <w:rPr>
          <w:rFonts w:ascii="Times New Roman" w:cs="Times New Roman" w:eastAsia="Times New Roman" w:hAnsi="Times New Roman"/>
          <w:sz w:val="18"/>
          <w:szCs w:val="18"/>
          <w:color w:val="auto"/>
        </w:rPr>
        <w:t>BNP Paribas, as Lender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Valentin Detry</w:t>
      </w:r>
    </w:p>
    <w:p>
      <w:pPr>
        <w:spacing w:after="0" w:line="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4" w:name="page165"/>
    <w:bookmarkEnd w:id="164"/>
    <w:p>
      <w:pPr>
        <w:ind w:left="5640"/>
        <w:spacing w:after="0"/>
        <w:rPr>
          <w:sz w:val="20"/>
          <w:szCs w:val="20"/>
          <w:color w:val="auto"/>
        </w:rPr>
      </w:pPr>
      <w:r>
        <w:rPr>
          <w:rFonts w:ascii="Times New Roman" w:cs="Times New Roman" w:eastAsia="Times New Roman" w:hAnsi="Times New Roman"/>
          <w:sz w:val="18"/>
          <w:szCs w:val="18"/>
          <w:color w:val="auto"/>
        </w:rPr>
        <w:t>Bank of America, N.A., as Lender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James Haack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5" w:name="page166"/>
    <w:bookmarkEnd w:id="165"/>
    <w:p>
      <w:pPr>
        <w:ind w:left="5640"/>
        <w:spacing w:after="0"/>
        <w:rPr>
          <w:sz w:val="20"/>
          <w:szCs w:val="20"/>
          <w:color w:val="auto"/>
        </w:rPr>
      </w:pPr>
      <w:r>
        <w:rPr>
          <w:rFonts w:ascii="Times New Roman" w:cs="Times New Roman" w:eastAsia="Times New Roman" w:hAnsi="Times New Roman"/>
          <w:sz w:val="17"/>
          <w:szCs w:val="17"/>
          <w:color w:val="auto"/>
        </w:rPr>
        <w:t>U.S. BANK NATIONAL ASSOCIATION., as Lender</w:t>
      </w:r>
    </w:p>
    <w:p>
      <w:pPr>
        <w:spacing w:after="0" w:line="23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Wilson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1440" w:top="931" w:right="939" w:bottom="1440" w:gutter="0" w:footer="0" w:header="0"/>
        </w:sectPr>
      </w:pPr>
    </w:p>
    <w:bookmarkStart w:id="166" w:name="page167"/>
    <w:bookmarkEnd w:id="166"/>
    <w:p>
      <w:pPr>
        <w:ind w:left="5640"/>
        <w:spacing w:after="0"/>
        <w:rPr>
          <w:sz w:val="20"/>
          <w:szCs w:val="20"/>
          <w:color w:val="auto"/>
        </w:rPr>
      </w:pPr>
      <w:r>
        <w:rPr>
          <w:rFonts w:ascii="Times New Roman" w:cs="Times New Roman" w:eastAsia="Times New Roman" w:hAnsi="Times New Roman"/>
          <w:sz w:val="18"/>
          <w:szCs w:val="18"/>
          <w:color w:val="auto"/>
        </w:rPr>
        <w:t>JPMORGAN CHASE BANK, N.A., as Lender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40"/>
          </w:cols>
          <w:pgMar w:left="1440" w:top="931" w:right="1419" w:bottom="1440" w:gutter="0" w:footer="0" w:header="0"/>
        </w:sectPr>
      </w:pPr>
    </w:p>
    <w:bookmarkStart w:id="167" w:name="page168"/>
    <w:bookmarkEnd w:id="167"/>
    <w:p>
      <w:pPr>
        <w:ind w:left="5640"/>
        <w:spacing w:after="0"/>
        <w:rPr>
          <w:sz w:val="20"/>
          <w:szCs w:val="20"/>
          <w:color w:val="auto"/>
        </w:rPr>
      </w:pPr>
      <w:r>
        <w:rPr>
          <w:rFonts w:ascii="Times New Roman" w:cs="Times New Roman" w:eastAsia="Times New Roman" w:hAnsi="Times New Roman"/>
          <w:sz w:val="17"/>
          <w:szCs w:val="17"/>
          <w:color w:val="auto"/>
        </w:rPr>
        <w:t>MUFG Bank, Ltd., as Lender</w:t>
      </w:r>
    </w:p>
    <w:p>
      <w:pPr>
        <w:spacing w:after="0" w:line="23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Kayla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Kayla Fong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8" w:name="page169"/>
    <w:bookmarkEnd w:id="168"/>
    <w:p>
      <w:pPr>
        <w:ind w:left="5640"/>
        <w:spacing w:after="0"/>
        <w:rPr>
          <w:sz w:val="20"/>
          <w:szCs w:val="20"/>
          <w:color w:val="auto"/>
        </w:rPr>
      </w:pPr>
      <w:r>
        <w:rPr>
          <w:rFonts w:ascii="Times New Roman" w:cs="Times New Roman" w:eastAsia="Times New Roman" w:hAnsi="Times New Roman"/>
          <w:sz w:val="18"/>
          <w:szCs w:val="18"/>
          <w:color w:val="auto"/>
        </w:rPr>
        <w:t>Royal Bank of Canada, as Lender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Nicholas Heslip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Nicholas Heslip</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9" w:name="page170"/>
    <w:bookmarkEnd w:id="169"/>
    <w:p>
      <w:pPr>
        <w:ind w:left="5640"/>
        <w:spacing w:after="0"/>
        <w:rPr>
          <w:sz w:val="20"/>
          <w:szCs w:val="20"/>
          <w:color w:val="auto"/>
        </w:rPr>
      </w:pPr>
      <w:r>
        <w:rPr>
          <w:rFonts w:ascii="Times New Roman" w:cs="Times New Roman" w:eastAsia="Times New Roman" w:hAnsi="Times New Roman"/>
          <w:sz w:val="17"/>
          <w:szCs w:val="17"/>
          <w:color w:val="auto"/>
        </w:rPr>
        <w:t>Wells Fargo Bank, National Association, as Lender</w:t>
      </w:r>
    </w:p>
    <w:p>
      <w:pPr>
        <w:spacing w:after="0" w:line="23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Clay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Clay Park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[Autodesk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9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SCHEDULE I</w:t>
            </w:r>
          </w:p>
        </w:tc>
      </w:tr>
      <w:tr>
        <w:trPr>
          <w:trHeight w:val="196"/>
        </w:trPr>
        <w:tc>
          <w:tcPr>
            <w:tcW w:w="9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COMMITMENTS</w:t>
            </w:r>
          </w:p>
        </w:tc>
      </w:tr>
      <w:tr>
        <w:trPr>
          <w:trHeight w:val="473"/>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6"/>
        </w:trPr>
        <w:tc>
          <w:tcPr>
            <w:tcW w:w="9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200,000,000.00</w:t>
            </w:r>
          </w:p>
        </w:tc>
        <w:tc>
          <w:tcPr>
            <w:tcW w:w="80" w:type="dxa"/>
            <w:vAlign w:val="bottom"/>
          </w:tcPr>
          <w:p>
            <w:pPr>
              <w:spacing w:after="0"/>
              <w:rPr>
                <w:sz w:val="18"/>
                <w:szCs w:val="18"/>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175,000,000.00</w:t>
            </w:r>
          </w:p>
        </w:tc>
        <w:tc>
          <w:tcPr>
            <w:tcW w:w="80" w:type="dxa"/>
            <w:vAlign w:val="bottom"/>
            <w:shd w:val="clear" w:color="auto" w:fill="CCEEFF"/>
          </w:tcPr>
          <w:p>
            <w:pPr>
              <w:spacing w:after="0"/>
              <w:rPr>
                <w:sz w:val="18"/>
                <w:szCs w:val="18"/>
                <w:color w:val="auto"/>
              </w:rPr>
            </w:pP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85,000,000.00</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85,000,000.00</w:t>
            </w: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50,000,000.00</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50,000,000.00</w:t>
            </w: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50,000,000.00</w:t>
            </w:r>
          </w:p>
        </w:tc>
      </w:tr>
      <w:tr>
        <w:trPr>
          <w:trHeight w:val="249"/>
        </w:trPr>
        <w:tc>
          <w:tcPr>
            <w:tcW w:w="9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50,000,000.00</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1,000,000,000.00</w:t>
            </w:r>
          </w:p>
        </w:tc>
        <w:tc>
          <w:tcPr>
            <w:tcW w:w="80" w:type="dxa"/>
            <w:vAlign w:val="bottom"/>
          </w:tcPr>
          <w:p>
            <w:pPr>
              <w:spacing w:after="0"/>
              <w:rPr>
                <w:sz w:val="20"/>
                <w:szCs w:val="20"/>
                <w:color w:val="auto"/>
              </w:rPr>
            </w:pPr>
          </w:p>
        </w:tc>
      </w:tr>
      <w:tr>
        <w:trPr>
          <w:trHeight w:val="20"/>
        </w:trPr>
        <w:tc>
          <w:tcPr>
            <w:tcW w:w="9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2"/>
        </w:trPr>
        <w:tc>
          <w:tcPr>
            <w:tcW w:w="9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1)"/>
      <w:numFmt w:val="lowerRoman"/>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decimal"/>
      <w:start w:val="1"/>
    </w:lvl>
  </w:abstractNum>
  <w:abstractNum w:abstractNumId="4">
    <w:nsid w:val="CC1016F"/>
    <w:multiLevelType w:val="hybridMultilevel"/>
    <w:lvl w:ilvl="0">
      <w:lvlJc w:val="left"/>
      <w:lvlText w:val="%1."/>
      <w:numFmt w:val="decimal"/>
      <w:start w:val="3"/>
    </w:lvl>
  </w:abstractNum>
  <w:abstractNum w:abstractNumId="5">
    <w:nsid w:val="43F18422"/>
    <w:multiLevelType w:val="hybridMultilevel"/>
    <w:lvl w:ilvl="0">
      <w:lvlJc w:val="left"/>
      <w:lvlText w:val="(%1)"/>
      <w:numFmt w:val="lowerLetter"/>
      <w:start w:val="2"/>
    </w:lvl>
  </w:abstractNum>
  <w:abstractNum w:abstractNumId="6">
    <w:nsid w:val="60EF0119"/>
    <w:multiLevelType w:val="hybridMultilevel"/>
    <w:lvl w:ilvl="0">
      <w:lvlJc w:val="left"/>
      <w:lvlText w:val="(%1)"/>
      <w:numFmt w:val="lowerLetter"/>
      <w:start w:val="3"/>
    </w:lvl>
  </w:abstractNum>
  <w:abstractNum w:abstractNumId="7">
    <w:nsid w:val="26F324BA"/>
    <w:multiLevelType w:val="hybridMultilevel"/>
    <w:lvl w:ilvl="0">
      <w:lvlJc w:val="left"/>
      <w:lvlText w:val="%1."/>
      <w:numFmt w:val="decimal"/>
      <w:start w:val="4"/>
    </w:lvl>
  </w:abstractNum>
  <w:abstractNum w:abstractNumId="8">
    <w:nsid w:val="7F01579B"/>
    <w:multiLevelType w:val="hybridMultilevel"/>
    <w:lvl w:ilvl="0">
      <w:lvlJc w:val="left"/>
      <w:lvlText w:val="(%1)"/>
      <w:numFmt w:val="lowerLetter"/>
      <w:start w:val="1"/>
    </w:lvl>
  </w:abstractNum>
  <w:abstractNum w:abstractNumId="9">
    <w:nsid w:val="49DA307D"/>
    <w:multiLevelType w:val="hybridMultilevel"/>
    <w:lvl w:ilvl="0">
      <w:lvlJc w:val="left"/>
      <w:lvlText w:val="%1"/>
      <w:numFmt w:val="lowerRoman"/>
      <w:start w:val="1"/>
    </w:lvl>
    <w:lvl w:ilvl="1">
      <w:lvlJc w:val="left"/>
      <w:lvlText w:val="(%2)"/>
      <w:numFmt w:val="decimal"/>
      <w:start w:val="1"/>
    </w:lvl>
  </w:abstractNum>
  <w:abstractNum w:abstractNumId="10">
    <w:nsid w:val="7055A5F5"/>
    <w:multiLevelType w:val="hybridMultilevel"/>
    <w:lvl w:ilvl="0">
      <w:lvlJc w:val="left"/>
      <w:lvlText w:val="(%1)"/>
      <w:numFmt w:val="lowerRoman"/>
      <w:start w:val="1"/>
    </w:lvl>
    <w:lvl w:ilvl="1">
      <w:lvlJc w:val="left"/>
      <w:lvlText w:val="%2"/>
      <w:numFmt w:val="decimal"/>
      <w:start w:val="1"/>
    </w:lvl>
  </w:abstractNum>
  <w:abstractNum w:abstractNumId="11">
    <w:nsid w:val="5FB8370B"/>
    <w:multiLevelType w:val="hybridMultilevel"/>
    <w:lvl w:ilvl="0">
      <w:lvlJc w:val="left"/>
      <w:lvlText w:val="(%1)"/>
      <w:numFmt w:val="lowerLetter"/>
      <w:start w:val="1"/>
    </w:lvl>
  </w:abstractNum>
  <w:abstractNum w:abstractNumId="12">
    <w:nsid w:val="50801EE1"/>
    <w:multiLevelType w:val="hybridMultilevel"/>
    <w:lvl w:ilvl="0">
      <w:lvlJc w:val="left"/>
      <w:lvlText w:val="(%1)"/>
      <w:numFmt w:val="lowerLetter"/>
      <w:start w:val="1"/>
    </w:lvl>
  </w:abstractNum>
  <w:abstractNum w:abstractNumId="13">
    <w:nsid w:val="488AC1A"/>
    <w:multiLevelType w:val="hybridMultilevel"/>
    <w:lvl w:ilvl="0">
      <w:lvlJc w:val="left"/>
      <w:lvlText w:val="(%1)"/>
      <w:numFmt w:val="lowerLetter"/>
      <w:start w:val="1"/>
    </w:lvl>
  </w:abstractNum>
  <w:abstractNum w:abstractNumId="14">
    <w:nsid w:val="5FB8011C"/>
    <w:multiLevelType w:val="hybridMultilevel"/>
    <w:lvl w:ilvl="0">
      <w:lvlJc w:val="left"/>
      <w:lvlText w:val="(%1)"/>
      <w:numFmt w:val="lowerRoman"/>
      <w:start w:val="3"/>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lowerLetter"/>
      <w:start w:val="2"/>
    </w:lvl>
  </w:abstractNum>
  <w:abstractNum w:abstractNumId="17">
    <w:nsid w:val="6FC75AF8"/>
    <w:multiLevelType w:val="hybridMultilevel"/>
    <w:lvl w:ilvl="0">
      <w:lvlJc w:val="left"/>
      <w:lvlText w:val="(%1)"/>
      <w:numFmt w:val="lowerRoman"/>
      <w:start w:val="2"/>
    </w:lvl>
  </w:abstractNum>
  <w:abstractNum w:abstractNumId="18">
    <w:nsid w:val="6A5F7029"/>
    <w:multiLevelType w:val="hybridMultilevel"/>
    <w:lvl w:ilvl="0">
      <w:lvlJc w:val="left"/>
      <w:lvlText w:val="(%1)"/>
      <w:numFmt w:val="lowerRoman"/>
      <w:start w:val="4"/>
    </w:lvl>
  </w:abstractNum>
  <w:abstractNum w:abstractNumId="19">
    <w:nsid w:val="7D5E18F8"/>
    <w:multiLevelType w:val="hybridMultilevel"/>
    <w:lvl w:ilvl="0">
      <w:lvlJc w:val="left"/>
      <w:lvlText w:val="(%1)"/>
      <w:numFmt w:val="lowerRoman"/>
      <w:start w:val="1"/>
    </w:lvl>
  </w:abstractNum>
  <w:abstractNum w:abstractNumId="20">
    <w:nsid w:val="5F3534A4"/>
    <w:multiLevelType w:val="hybridMultilevel"/>
    <w:lvl w:ilvl="0">
      <w:lvlJc w:val="left"/>
      <w:lvlText w:val="(%1)"/>
      <w:numFmt w:val="lowerLetter"/>
      <w:start w:val="1"/>
    </w:lvl>
  </w:abstractNum>
  <w:abstractNum w:abstractNumId="21">
    <w:nsid w:val="73A1821B"/>
    <w:multiLevelType w:val="hybridMultilevel"/>
    <w:lvl w:ilvl="0">
      <w:lvlJc w:val="left"/>
      <w:lvlText w:val="(%1)"/>
      <w:numFmt w:val="lowerLetter"/>
      <w:start w:val="2"/>
    </w:lvl>
  </w:abstractNum>
  <w:abstractNum w:abstractNumId="22">
    <w:nsid w:val="7DE67713"/>
    <w:multiLevelType w:val="hybridMultilevel"/>
    <w:lvl w:ilvl="0">
      <w:lvlJc w:val="left"/>
      <w:lvlText w:val="(%1)"/>
      <w:numFmt w:val="lowerLetter"/>
      <w:start w:val="1"/>
    </w:lvl>
  </w:abstractNum>
  <w:abstractNum w:abstractNumId="23">
    <w:nsid w:val="555C55B5"/>
    <w:multiLevelType w:val="hybridMultilevel"/>
    <w:lvl w:ilvl="0">
      <w:lvlJc w:val="left"/>
      <w:lvlText w:val="(%1)"/>
      <w:numFmt w:val="lowerLetter"/>
      <w:start w:val="2"/>
    </w:lvl>
  </w:abstractNum>
  <w:abstractNum w:abstractNumId="24">
    <w:nsid w:val="3FA62ACA"/>
    <w:multiLevelType w:val="hybridMultilevel"/>
    <w:lvl w:ilvl="0">
      <w:lvlJc w:val="left"/>
      <w:lvlText w:val="(%1)"/>
      <w:numFmt w:val="lowerLetter"/>
      <w:start w:val="25"/>
    </w:lvl>
    <w:lvl w:ilvl="1">
      <w:lvlJc w:val="left"/>
      <w:lvlText w:val="(%2)"/>
      <w:numFmt w:val="lowerLetter"/>
      <w:start w:val="2"/>
    </w:lvl>
  </w:abstractNum>
  <w:abstractNum w:abstractNumId="25">
    <w:nsid w:val="14FCE74E"/>
    <w:multiLevelType w:val="hybridMultilevel"/>
    <w:lvl w:ilvl="0">
      <w:lvlJc w:val="left"/>
      <w:lvlText w:val="%1"/>
      <w:numFmt w:val="lowerLetter"/>
      <w:start w:val="1"/>
    </w:lvl>
    <w:lvl w:ilvl="1">
      <w:lvlJc w:val="left"/>
      <w:lvlText w:val="(%2)"/>
      <w:numFmt w:val="lowerLetter"/>
      <w:start w:val="4"/>
    </w:lvl>
  </w:abstractNum>
  <w:abstractNum w:abstractNumId="26">
    <w:nsid w:val="6A3DD3E8"/>
    <w:multiLevelType w:val="hybridMultilevel"/>
    <w:lvl w:ilvl="0">
      <w:lvlJc w:val="left"/>
      <w:lvlText w:val="(%1)"/>
      <w:numFmt w:val="lowerLetter"/>
      <w:start w:val="5"/>
    </w:lvl>
    <w:lvl w:ilvl="1">
      <w:lvlJc w:val="left"/>
      <w:lvlText w:val="%2"/>
      <w:numFmt w:val="lowerLetter"/>
      <w:start w:val="1"/>
    </w:lvl>
  </w:abstractNum>
  <w:abstractNum w:abstractNumId="27">
    <w:nsid w:val="71C91298"/>
    <w:multiLevelType w:val="hybridMultilevel"/>
    <w:lvl w:ilvl="0">
      <w:lvlJc w:val="left"/>
      <w:lvlText w:val="(%1)"/>
      <w:numFmt w:val="lowerLetter"/>
      <w:start w:val="2"/>
    </w:lvl>
  </w:abstractNum>
  <w:abstractNum w:abstractNumId="28">
    <w:nsid w:val="9DAF632"/>
    <w:multiLevelType w:val="hybridMultilevel"/>
    <w:lvl w:ilvl="0">
      <w:lvlJc w:val="left"/>
      <w:lvlText w:val="(%1)"/>
      <w:numFmt w:val="lowerRoman"/>
      <w:start w:val="1"/>
    </w:lvl>
  </w:abstractNum>
  <w:abstractNum w:abstractNumId="29">
    <w:nsid w:val="53299938"/>
    <w:multiLevelType w:val="hybridMultilevel"/>
    <w:lvl w:ilvl="0">
      <w:lvlJc w:val="left"/>
      <w:lvlText w:val="%1"/>
      <w:numFmt w:val="lowerLetter"/>
      <w:start w:val="1"/>
    </w:lvl>
    <w:lvl w:ilvl="1">
      <w:lvlJc w:val="left"/>
      <w:lvlText w:val="(%2)"/>
      <w:numFmt w:val="lowerLetter"/>
      <w:start w:val="35"/>
    </w:lvl>
  </w:abstractNum>
  <w:abstractNum w:abstractNumId="30">
    <w:nsid w:val="1FBFE8E0"/>
    <w:multiLevelType w:val="hybridMultilevel"/>
    <w:lvl w:ilvl="0">
      <w:lvlJc w:val="left"/>
      <w:lvlText w:val="(%1)"/>
      <w:numFmt w:val="lowerLetter"/>
      <w:start w:val="2"/>
    </w:lvl>
    <w:lvl w:ilvl="1">
      <w:lvlJc w:val="left"/>
      <w:lvlText w:val="%2"/>
      <w:numFmt w:val="lowerLetter"/>
      <w:start w:val="1"/>
    </w:lvl>
  </w:abstractNum>
  <w:abstractNum w:abstractNumId="31">
    <w:nsid w:val="5092CA79"/>
    <w:multiLevelType w:val="hybridMultilevel"/>
    <w:lvl w:ilvl="0">
      <w:lvlJc w:val="left"/>
      <w:lvlText w:val="(%1)"/>
      <w:numFmt w:val="lowerLetter"/>
      <w:start w:val="2"/>
    </w:lvl>
  </w:abstractNum>
  <w:abstractNum w:abstractNumId="32">
    <w:nsid w:val="1D545C4D"/>
    <w:multiLevelType w:val="hybridMultilevel"/>
    <w:lvl w:ilvl="0">
      <w:lvlJc w:val="left"/>
      <w:lvlText w:val="(%1)"/>
      <w:numFmt w:val="lowerLetter"/>
      <w:start w:val="5"/>
    </w:lvl>
    <w:lvl w:ilvl="1">
      <w:lvlJc w:val="left"/>
      <w:lvlText w:val="(%2)"/>
      <w:numFmt w:val="lowerRoman"/>
      <w:start w:val="1"/>
    </w:lvl>
  </w:abstractNum>
  <w:abstractNum w:abstractNumId="33">
    <w:nsid w:val="59ADEA3D"/>
    <w:multiLevelType w:val="hybridMultilevel"/>
    <w:lvl w:ilvl="0">
      <w:lvlJc w:val="left"/>
      <w:lvlText w:val="(%1)"/>
      <w:numFmt w:val="lowerRoman"/>
      <w:start w:val="3"/>
    </w:lvl>
  </w:abstractNum>
  <w:abstractNum w:abstractNumId="34">
    <w:nsid w:val="288F1A34"/>
    <w:multiLevelType w:val="hybridMultilevel"/>
    <w:lvl w:ilvl="0">
      <w:lvlJc w:val="left"/>
      <w:lvlText w:val="(%1)"/>
      <w:numFmt w:val="lowerLetter"/>
      <w:start w:val="2"/>
    </w:lvl>
  </w:abstractNum>
  <w:abstractNum w:abstractNumId="35">
    <w:nsid w:val="2A155DBC"/>
    <w:multiLevelType w:val="hybridMultilevel"/>
    <w:lvl w:ilvl="0">
      <w:lvlJc w:val="left"/>
      <w:lvlText w:val="(%1)"/>
      <w:numFmt w:val="lowerLetter"/>
      <w:start w:val="3"/>
    </w:lvl>
  </w:abstractNum>
  <w:abstractNum w:abstractNumId="36">
    <w:nsid w:val="1D9F6E5F"/>
    <w:multiLevelType w:val="hybridMultilevel"/>
    <w:lvl w:ilvl="0">
      <w:lvlJc w:val="left"/>
      <w:lvlText w:val="(%1)"/>
      <w:numFmt w:val="lowerLetter"/>
      <w:start w:val="2"/>
    </w:lvl>
  </w:abstractNum>
  <w:abstractNum w:abstractNumId="37">
    <w:nsid w:val="97E1B4E"/>
    <w:multiLevelType w:val="hybridMultilevel"/>
    <w:lvl w:ilvl="0">
      <w:lvlJc w:val="left"/>
      <w:lvlText w:val="(%1)"/>
      <w:numFmt w:val="decimal"/>
      <w:start w:val="3"/>
    </w:lvl>
  </w:abstractNum>
  <w:abstractNum w:abstractNumId="38">
    <w:nsid w:val="51088277"/>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39">
    <w:nsid w:val="1CA0C5FA"/>
    <w:multiLevelType w:val="hybridMultilevel"/>
    <w:lvl w:ilvl="0">
      <w:lvlJc w:val="left"/>
      <w:lvlText w:val="(%1)"/>
      <w:numFmt w:val="upperLetter"/>
      <w:start w:val="2"/>
    </w:lvl>
    <w:lvl w:ilvl="1">
      <w:lvlJc w:val="left"/>
      <w:lvlText w:val="(%2)"/>
      <w:numFmt w:val="decimal"/>
      <w:start w:val="1"/>
    </w:lvl>
  </w:abstractNum>
  <w:abstractNum w:abstractNumId="40">
    <w:nsid w:val="53584BCB"/>
    <w:multiLevelType w:val="hybridMultilevel"/>
    <w:lvl w:ilvl="0">
      <w:lvlJc w:val="left"/>
      <w:lvlText w:val="(%1)"/>
      <w:numFmt w:val="upperLetter"/>
      <w:start w:val="4"/>
    </w:lvl>
  </w:abstractNum>
  <w:abstractNum w:abstractNumId="41">
    <w:nsid w:val="415E286C"/>
    <w:multiLevelType w:val="hybridMultilevel"/>
    <w:lvl w:ilvl="0">
      <w:lvlJc w:val="left"/>
      <w:lvlText w:val="(%1)"/>
      <w:numFmt w:val="decimal"/>
      <w:start w:val="30"/>
    </w:lvl>
    <w:lvl w:ilvl="1">
      <w:lvlJc w:val="left"/>
      <w:lvlText w:val="(%2)"/>
      <w:numFmt w:val="lowerLetter"/>
      <w:start w:val="6"/>
    </w:lvl>
  </w:abstractNum>
  <w:abstractNum w:abstractNumId="42">
    <w:nsid w:val="7C58FD05"/>
    <w:multiLevelType w:val="hybridMultilevel"/>
    <w:lvl w:ilvl="0">
      <w:lvlJc w:val="left"/>
      <w:lvlText w:val="(%1)"/>
      <w:numFmt w:val="lowerLetter"/>
      <w:start w:val="2"/>
    </w:lvl>
  </w:abstractNum>
  <w:abstractNum w:abstractNumId="43">
    <w:nsid w:val="23D86AAC"/>
    <w:multiLevelType w:val="hybridMultilevel"/>
    <w:lvl w:ilvl="0">
      <w:lvlJc w:val="left"/>
      <w:lvlText w:val="(%1)"/>
      <w:numFmt w:val="lowerLetter"/>
      <w:start w:val="2"/>
    </w:lvl>
  </w:abstractNum>
  <w:abstractNum w:abstractNumId="44">
    <w:nsid w:val="45E6D486"/>
    <w:multiLevelType w:val="hybridMultilevel"/>
    <w:lvl w:ilvl="0">
      <w:lvlJc w:val="left"/>
      <w:lvlText w:val="(%1)"/>
      <w:numFmt w:val="lowerLetter"/>
      <w:start w:val="3"/>
    </w:lvl>
    <w:lvl w:ilvl="1">
      <w:lvlJc w:val="left"/>
      <w:lvlText w:val="(%2)"/>
      <w:numFmt w:val="lowerRoman"/>
      <w:start w:val="1"/>
    </w:lvl>
  </w:abstractNum>
  <w:abstractNum w:abstractNumId="45">
    <w:nsid w:val="5C10FE21"/>
    <w:multiLevelType w:val="hybridMultilevel"/>
    <w:lvl w:ilvl="0">
      <w:lvlJc w:val="left"/>
      <w:lvlText w:val="(%1)"/>
      <w:numFmt w:val="lowerLetter"/>
      <w:start w:val="2"/>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1)"/>
      <w:numFmt w:val="decimal"/>
      <w:start w:val="5"/>
    </w:lvl>
  </w:abstractNum>
  <w:abstractNum w:abstractNumId="48">
    <w:nsid w:val="4BD8591A"/>
    <w:multiLevelType w:val="hybridMultilevel"/>
    <w:lvl w:ilvl="0">
      <w:lvlJc w:val="left"/>
      <w:lvlText w:val="(%1)"/>
      <w:numFmt w:val="lowerLetter"/>
      <w:start w:val="2"/>
    </w:lvl>
    <w:lvl w:ilvl="1">
      <w:lvlJc w:val="left"/>
      <w:lvlText w:val="(%2)"/>
      <w:numFmt w:val="lowerLetter"/>
      <w:start w:val="9"/>
    </w:lvl>
  </w:abstractNum>
  <w:abstractNum w:abstractNumId="49">
    <w:nsid w:val="78DF6A55"/>
    <w:multiLevelType w:val="hybridMultilevel"/>
    <w:lvl w:ilvl="0">
      <w:lvlJc w:val="left"/>
      <w:lvlText w:val="%1"/>
      <w:numFmt w:val="lowerLetter"/>
      <w:start w:val="1"/>
    </w:lvl>
    <w:lvl w:ilvl="1">
      <w:lvlJc w:val="left"/>
      <w:lvlText w:val="(%2)"/>
      <w:numFmt w:val="lowerLetter"/>
      <w:start w:val="35"/>
    </w:lvl>
  </w:abstractNum>
  <w:abstractNum w:abstractNumId="50">
    <w:nsid w:val="39B7AAA2"/>
    <w:multiLevelType w:val="hybridMultilevel"/>
    <w:lvl w:ilvl="0">
      <w:lvlJc w:val="left"/>
      <w:lvlText w:val="(%1)"/>
      <w:numFmt w:val="lowerLetter"/>
      <w:start w:val="7"/>
    </w:lvl>
    <w:lvl w:ilvl="1">
      <w:lvlJc w:val="left"/>
      <w:lvlText w:val="%2"/>
      <w:numFmt w:val="lowerLetter"/>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4"/>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4"/>
    </w:lvl>
    <w:lvl w:ilvl="1">
      <w:lvlJc w:val="left"/>
      <w:lvlText w:val="(%2)"/>
      <w:numFmt w:val="lowerLetter"/>
      <w:start w:val="6"/>
    </w:lvl>
    <w:lvl w:ilvl="2">
      <w:lvlJc w:val="left"/>
      <w:lvlText w:val="(%3)"/>
      <w:numFmt w:val="lowerRoman"/>
      <w:start w:val="1"/>
    </w:lvl>
  </w:abstractNum>
  <w:abstractNum w:abstractNumId="55">
    <w:nsid w:val="2C27173B"/>
    <w:multiLevelType w:val="hybridMultilevel"/>
    <w:lvl w:ilvl="0">
      <w:lvlJc w:val="left"/>
      <w:lvlText w:val="(%1)"/>
      <w:numFmt w:val="lowerLetter"/>
      <w:start w:val="1"/>
    </w:lvl>
    <w:lvl w:ilvl="1">
      <w:lvlJc w:val="left"/>
      <w:lvlText w:val="(%2)"/>
      <w:numFmt w:val="lowerRoman"/>
      <w:start w:val="1"/>
    </w:lvl>
  </w:abstractNum>
  <w:abstractNum w:abstractNumId="56">
    <w:nsid w:val="4C9B0904"/>
    <w:multiLevelType w:val="hybridMultilevel"/>
    <w:lvl w:ilvl="0">
      <w:lvlJc w:val="left"/>
      <w:lvlText w:val="%1"/>
      <w:numFmt w:val="lowerLetter"/>
      <w:start w:val="1"/>
    </w:lvl>
    <w:lvl w:ilvl="1">
      <w:lvlJc w:val="left"/>
      <w:lvlText w:val="(%2)"/>
      <w:numFmt w:val="lowerLetter"/>
      <w:start w:val="1"/>
    </w:lvl>
  </w:abstractNum>
  <w:abstractNum w:abstractNumId="57">
    <w:nsid w:val="6AA7B75C"/>
    <w:multiLevelType w:val="hybridMultilevel"/>
    <w:lvl w:ilvl="0">
      <w:lvlJc w:val="left"/>
      <w:lvlText w:val="(%1)"/>
      <w:numFmt w:val="lowerLetter"/>
      <w:start w:val="25"/>
    </w:lvl>
    <w:lvl w:ilvl="1">
      <w:lvlJc w:val="left"/>
      <w:lvlText w:val="(%2)"/>
      <w:numFmt w:val="lowerLetter"/>
      <w:start w:val="2"/>
    </w:lvl>
  </w:abstractNum>
  <w:abstractNum w:abstractNumId="58">
    <w:nsid w:val="1DF029D3"/>
    <w:multiLevelType w:val="hybridMultilevel"/>
    <w:lvl w:ilvl="0">
      <w:lvlJc w:val="left"/>
      <w:lvlText w:val="(%1)"/>
      <w:numFmt w:val="lowerLetter"/>
      <w:start w:val="1"/>
    </w:lvl>
    <w:lvl w:ilvl="1">
      <w:lvlJc w:val="left"/>
      <w:lvlText w:val="(%2)"/>
      <w:numFmt w:val="lowerLetter"/>
      <w:start w:val="35"/>
    </w:lvl>
  </w:abstractNum>
  <w:abstractNum w:abstractNumId="59">
    <w:nsid w:val="5675FF36"/>
    <w:multiLevelType w:val="hybridMultilevel"/>
    <w:lvl w:ilvl="0">
      <w:lvlJc w:val="left"/>
      <w:lvlText w:val="(%1)"/>
      <w:numFmt w:val="lowerLetter"/>
      <w:start w:val="9"/>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3"/>
    </w:lvl>
  </w:abstractNum>
  <w:abstractNum w:abstractNumId="62">
    <w:nsid w:val="2708C9AF"/>
    <w:multiLevelType w:val="hybridMultilevel"/>
    <w:lvl w:ilvl="0">
      <w:lvlJc w:val="left"/>
      <w:lvlText w:val="(%1)"/>
      <w:numFmt w:val="lowerLetter"/>
      <w:start w:val="8"/>
    </w:lvl>
    <w:lvl w:ilvl="1">
      <w:lvlJc w:val="left"/>
      <w:lvlText w:val="(%2)"/>
      <w:numFmt w:val="lowerRoman"/>
      <w:start w:val="1"/>
    </w:lvl>
  </w:abstractNum>
  <w:abstractNum w:abstractNumId="63">
    <w:nsid w:val="5B25ACE2"/>
    <w:multiLevelType w:val="hybridMultilevel"/>
    <w:lvl w:ilvl="0">
      <w:lvlJc w:val="left"/>
      <w:lvlText w:val="(%1)"/>
      <w:numFmt w:val="lowerRoman"/>
      <w:start w:val="3"/>
    </w:lvl>
  </w:abstractNum>
  <w:abstractNum w:abstractNumId="64">
    <w:nsid w:val="175DFCF0"/>
    <w:multiLevelType w:val="hybridMultilevel"/>
    <w:lvl w:ilvl="0">
      <w:lvlJc w:val="left"/>
      <w:lvlText w:val="(%1)"/>
      <w:numFmt w:val="lowerLetter"/>
      <w:start w:val="1"/>
    </w:lvl>
    <w:lvl w:ilvl="1">
      <w:lvlJc w:val="left"/>
      <w:lvlText w:val="(%2)"/>
      <w:numFmt w:val="lowerRoman"/>
      <w:start w:val="1"/>
    </w:lvl>
  </w:abstractNum>
  <w:abstractNum w:abstractNumId="65">
    <w:nsid w:val="4F97E3E4"/>
    <w:multiLevelType w:val="hybridMultilevel"/>
    <w:lvl w:ilvl="0">
      <w:lvlJc w:val="left"/>
      <w:lvlText w:val="(%1)"/>
      <w:numFmt w:val="lowerRoman"/>
      <w:start w:val="3"/>
    </w:lvl>
  </w:abstractNum>
  <w:abstractNum w:abstractNumId="66">
    <w:nsid w:val="53B0A9E"/>
    <w:multiLevelType w:val="hybridMultilevel"/>
    <w:lvl w:ilvl="0">
      <w:lvlJc w:val="left"/>
      <w:lvlText w:val="(%1)"/>
      <w:numFmt w:val="lowerRoman"/>
      <w:start w:val="10"/>
    </w:lvl>
  </w:abstractNum>
  <w:abstractNum w:abstractNumId="67">
    <w:nsid w:val="34FD6B4F"/>
    <w:multiLevelType w:val="hybridMultilevel"/>
    <w:lvl w:ilvl="0">
      <w:lvlJc w:val="left"/>
      <w:lvlText w:val="(%1)"/>
      <w:numFmt w:val="lowerRoman"/>
      <w:start w:val="6"/>
    </w:lvl>
  </w:abstractNum>
  <w:abstractNum w:abstractNumId="68">
    <w:nsid w:val="5915FF32"/>
    <w:multiLevelType w:val="hybridMultilevel"/>
    <w:lvl w:ilvl="0">
      <w:lvlJc w:val="left"/>
      <w:lvlText w:val="(%1)"/>
      <w:numFmt w:val="lowerRoman"/>
      <w:start w:val="12"/>
    </w:lvl>
  </w:abstractNum>
  <w:abstractNum w:abstractNumId="69">
    <w:nsid w:val="56438D15"/>
    <w:multiLevelType w:val="hybridMultilevel"/>
    <w:lvl w:ilvl="0">
      <w:lvlJc w:val="left"/>
      <w:lvlText w:val="(%1)"/>
      <w:numFmt w:val="lowerLetter"/>
      <w:start w:val="2"/>
    </w:lvl>
    <w:lvl w:ilvl="1">
      <w:lvlJc w:val="left"/>
      <w:lvlText w:val="(%2)"/>
      <w:numFmt w:val="lowerRoman"/>
      <w:start w:val="1"/>
    </w:lvl>
  </w:abstractNum>
  <w:abstractNum w:abstractNumId="70">
    <w:nsid w:val="519E3149"/>
    <w:multiLevelType w:val="hybridMultilevel"/>
    <w:lvl w:ilvl="0">
      <w:lvlJc w:val="left"/>
      <w:lvlText w:val="%1"/>
      <w:numFmt w:val="lowerLetter"/>
      <w:start w:val="1"/>
    </w:lvl>
    <w:lvl w:ilvl="1">
      <w:lvlJc w:val="left"/>
      <w:lvlText w:val="(%2)"/>
      <w:numFmt w:val="lowerRoman"/>
      <w:start w:val="9"/>
    </w:lvl>
  </w:abstractNum>
  <w:abstractNum w:abstractNumId="71">
    <w:nsid w:val="2C6E4AFD"/>
    <w:multiLevelType w:val="hybridMultilevel"/>
    <w:lvl w:ilvl="0">
      <w:lvlJc w:val="left"/>
      <w:lvlText w:val="(%1)"/>
      <w:numFmt w:val="lowerLetter"/>
      <w:start w:val="6"/>
    </w:lvl>
    <w:lvl w:ilvl="1">
      <w:lvlJc w:val="left"/>
      <w:lvlText w:val="%2"/>
      <w:numFmt w:val="lowerRoman"/>
      <w:start w:val="1"/>
    </w:lvl>
  </w:abstractNum>
  <w:abstractNum w:abstractNumId="72">
    <w:nsid w:val="17A1B582"/>
    <w:multiLevelType w:val="hybridMultilevel"/>
    <w:lvl w:ilvl="0">
      <w:lvlJc w:val="left"/>
      <w:lvlText w:val="(%1)"/>
      <w:numFmt w:val="lowerRoman"/>
      <w:start w:val="1"/>
    </w:lvl>
  </w:abstractNum>
  <w:abstractNum w:abstractNumId="73">
    <w:nsid w:val="4DF72E4E"/>
    <w:multiLevelType w:val="hybridMultilevel"/>
    <w:lvl w:ilvl="0">
      <w:lvlJc w:val="left"/>
      <w:lvlText w:val="(%1)"/>
      <w:numFmt w:val="lowerLetter"/>
      <w:start w:val="1"/>
    </w:lvl>
  </w:abstractNum>
  <w:abstractNum w:abstractNumId="74">
    <w:nsid w:val="5046B5A9"/>
    <w:multiLevelType w:val="hybridMultilevel"/>
    <w:lvl w:ilvl="0">
      <w:lvlJc w:val="left"/>
      <w:lvlText w:val="(%1)"/>
      <w:numFmt w:val="lowerLetter"/>
      <w:start w:val="5"/>
    </w:lvl>
  </w:abstractNum>
  <w:abstractNum w:abstractNumId="75">
    <w:nsid w:val="5D888A08"/>
    <w:multiLevelType w:val="hybridMultilevel"/>
    <w:lvl w:ilvl="0">
      <w:lvlJc w:val="left"/>
      <w:lvlText w:val="(%1)"/>
      <w:numFmt w:val="lowerRoman"/>
      <w:start w:val="1"/>
    </w:lvl>
  </w:abstractNum>
  <w:abstractNum w:abstractNumId="76">
    <w:nsid w:val="2A082C70"/>
    <w:multiLevelType w:val="hybridMultilevel"/>
    <w:lvl w:ilvl="0">
      <w:lvlJc w:val="left"/>
      <w:lvlText w:val="(%1)"/>
      <w:numFmt w:val="lowerLetter"/>
      <w:start w:val="2"/>
    </w:lvl>
  </w:abstractNum>
  <w:abstractNum w:abstractNumId="77">
    <w:nsid w:val="5EC6AFD4"/>
    <w:multiLevelType w:val="hybridMultilevel"/>
    <w:lvl w:ilvl="0">
      <w:lvlJc w:val="left"/>
      <w:lvlText w:val="(%1)"/>
      <w:numFmt w:val="lowerLetter"/>
      <w:start w:val="2"/>
    </w:lvl>
  </w:abstractNum>
  <w:abstractNum w:abstractNumId="78">
    <w:nsid w:val="19E21BB2"/>
    <w:multiLevelType w:val="hybridMultilevel"/>
    <w:lvl w:ilvl="0">
      <w:lvlJc w:val="left"/>
      <w:lvlText w:val="(%1)"/>
      <w:numFmt w:val="lowerRoman"/>
      <w:start w:val="1"/>
    </w:lvl>
  </w:abstractNum>
  <w:abstractNum w:abstractNumId="79">
    <w:nsid w:val="75E0858A"/>
    <w:multiLevelType w:val="hybridMultilevel"/>
    <w:lvl w:ilvl="0">
      <w:lvlJc w:val="left"/>
      <w:lvlText w:val="(%1)"/>
      <w:numFmt w:val="lowerRoman"/>
      <w:start w:val="10"/>
    </w:lvl>
  </w:abstractNum>
  <w:abstractNum w:abstractNumId="80">
    <w:nsid w:val="57A61A29"/>
    <w:multiLevelType w:val="hybridMultilevel"/>
    <w:lvl w:ilvl="0">
      <w:lvlJc w:val="left"/>
      <w:lvlText w:val="(%1)"/>
      <w:numFmt w:val="lowerLetter"/>
      <w:start w:val="2"/>
    </w:lvl>
    <w:lvl w:ilvl="1">
      <w:lvlJc w:val="left"/>
      <w:lvlText w:val="(%2)"/>
      <w:numFmt w:val="lowerLetter"/>
      <w:start w:val="9"/>
    </w:lvl>
  </w:abstractNum>
  <w:abstractNum w:abstractNumId="81">
    <w:nsid w:val="5399C654"/>
    <w:multiLevelType w:val="hybridMultilevel"/>
    <w:lvl w:ilvl="0">
      <w:lvlJc w:val="left"/>
      <w:lvlText w:val="(%1)"/>
      <w:numFmt w:val="lowerRoman"/>
      <w:start w:val="2"/>
    </w:lvl>
  </w:abstractNum>
  <w:abstractNum w:abstractNumId="82">
    <w:nsid w:val="20EE1348"/>
    <w:multiLevelType w:val="hybridMultilevel"/>
    <w:lvl w:ilvl="0">
      <w:lvlJc w:val="left"/>
      <w:lvlText w:val="(%1)"/>
      <w:numFmt w:val="lowerLetter"/>
      <w:start w:val="3"/>
    </w:lvl>
  </w:abstractNum>
  <w:abstractNum w:abstractNumId="83">
    <w:nsid w:val="4427069A"/>
    <w:multiLevelType w:val="hybridMultilevel"/>
    <w:lvl w:ilvl="0">
      <w:lvlJc w:val="left"/>
      <w:lvlText w:val="(%1)"/>
      <w:numFmt w:val="lowerRoman"/>
      <w:start w:val="1"/>
    </w:lvl>
  </w:abstractNum>
  <w:abstractNum w:abstractNumId="84">
    <w:nsid w:val="B37E80A"/>
    <w:multiLevelType w:val="hybridMultilevel"/>
    <w:lvl w:ilvl="0">
      <w:lvlJc w:val="left"/>
      <w:lvlText w:val="%1"/>
      <w:numFmt w:val="lowerLetter"/>
      <w:start w:val="1"/>
    </w:lvl>
    <w:lvl w:ilvl="1">
      <w:lvlJc w:val="left"/>
      <w:lvlText w:val="(%2)"/>
      <w:numFmt w:val="lowerLetter"/>
      <w:start w:val="35"/>
    </w:lvl>
  </w:abstractNum>
  <w:abstractNum w:abstractNumId="85">
    <w:nsid w:val="2157F6BC"/>
    <w:multiLevelType w:val="hybridMultilevel"/>
    <w:lvl w:ilvl="0">
      <w:lvlJc w:val="left"/>
      <w:lvlText w:val="(%1)"/>
      <w:numFmt w:val="lowerLetter"/>
      <w:start w:val="5"/>
    </w:lvl>
    <w:lvl w:ilvl="1">
      <w:lvlJc w:val="left"/>
      <w:lvlText w:val="%2"/>
      <w:numFmt w:val="lowerLetter"/>
      <w:start w:val="1"/>
    </w:lvl>
  </w:abstractNum>
  <w:abstractNum w:abstractNumId="86">
    <w:nsid w:val="704E1DD5"/>
    <w:multiLevelType w:val="hybridMultilevel"/>
    <w:lvl w:ilvl="0">
      <w:lvlJc w:val="left"/>
      <w:lvlText w:val="(%1)"/>
      <w:numFmt w:val="lowerLetter"/>
      <w:start w:val="6"/>
    </w:lvl>
  </w:abstractNum>
  <w:abstractNum w:abstractNumId="87">
    <w:nsid w:val="57D2F10E"/>
    <w:multiLevelType w:val="hybridMultilevel"/>
    <w:lvl w:ilvl="0">
      <w:lvlJc w:val="left"/>
      <w:lvlText w:val="(%1)"/>
      <w:numFmt w:val="lowerRoman"/>
      <w:start w:val="1"/>
    </w:lvl>
  </w:abstractNum>
  <w:abstractNum w:abstractNumId="88">
    <w:nsid w:val="BFFAE18"/>
    <w:multiLevelType w:val="hybridMultilevel"/>
    <w:lvl w:ilvl="0">
      <w:lvlJc w:val="left"/>
      <w:lvlText w:val="(%1)"/>
      <w:numFmt w:val="lowerRoman"/>
      <w:start w:val="2"/>
    </w:lvl>
  </w:abstractNum>
  <w:abstractNum w:abstractNumId="89">
    <w:nsid w:val="E3E47A8"/>
    <w:multiLevelType w:val="hybridMultilevel"/>
    <w:lvl w:ilvl="0">
      <w:lvlJc w:val="left"/>
      <w:lvlText w:val="(%1)"/>
      <w:numFmt w:val="lowerLetter"/>
      <w:start w:val="2"/>
    </w:lvl>
  </w:abstractNum>
  <w:abstractNum w:abstractNumId="90">
    <w:nsid w:val="2E48F044"/>
    <w:multiLevelType w:val="hybridMultilevel"/>
    <w:lvl w:ilvl="0">
      <w:lvlJc w:val="left"/>
      <w:lvlText w:val="(%1)"/>
      <w:numFmt w:val="lowerLetter"/>
      <w:start w:val="3"/>
    </w:lvl>
    <w:lvl w:ilvl="1">
      <w:lvlJc w:val="left"/>
      <w:lvlText w:val="(%2)"/>
      <w:numFmt w:val="lowerLetter"/>
      <w:start w:val="9"/>
    </w:lvl>
  </w:abstractNum>
  <w:abstractNum w:abstractNumId="91">
    <w:nsid w:val="49D0FEAC"/>
    <w:multiLevelType w:val="hybridMultilevel"/>
    <w:lvl w:ilvl="0">
      <w:lvlJc w:val="left"/>
      <w:lvlText w:val="(%1)"/>
      <w:numFmt w:val="lowerRoman"/>
      <w:start w:val="2"/>
    </w:lvl>
  </w:abstractNum>
  <w:abstractNum w:abstractNumId="92">
    <w:nsid w:val="4BEE5A5B"/>
    <w:multiLevelType w:val="hybridMultilevel"/>
    <w:lvl w:ilvl="0">
      <w:lvlJc w:val="left"/>
      <w:lvlText w:val="(%1)"/>
      <w:numFmt w:val="lowerLetter"/>
      <w:start w:val="2"/>
    </w:lvl>
  </w:abstractNum>
  <w:abstractNum w:abstractNumId="93">
    <w:nsid w:val="5551B9F3"/>
    <w:multiLevelType w:val="hybridMultilevel"/>
    <w:lvl w:ilvl="0">
      <w:lvlJc w:val="left"/>
      <w:lvlText w:val="(%1)"/>
      <w:numFmt w:val="lowerLetter"/>
      <w:start w:val="3"/>
    </w:lvl>
  </w:abstractNum>
  <w:abstractNum w:abstractNumId="94">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5">
    <w:nsid w:val="634C574C"/>
    <w:multiLevelType w:val="hybridMultilevel"/>
    <w:lvl w:ilvl="0">
      <w:lvlJc w:val="left"/>
      <w:lvlText w:val="(%1)"/>
      <w:numFmt w:val="lowerRoman"/>
      <w:start w:val="2"/>
    </w:lvl>
    <w:lvl w:ilvl="1">
      <w:lvlJc w:val="left"/>
      <w:lvlText w:val="(%2)"/>
      <w:numFmt w:val="upperLetter"/>
      <w:start w:val="1"/>
    </w:lvl>
  </w:abstractNum>
  <w:abstractNum w:abstractNumId="96">
    <w:nsid w:val="24E99DD7"/>
    <w:multiLevelType w:val="hybridMultilevel"/>
    <w:lvl w:ilvl="0">
      <w:lvlJc w:val="left"/>
      <w:lvlText w:val="(%1)"/>
      <w:numFmt w:val="lowerLetter"/>
      <w:start w:val="3"/>
    </w:lvl>
  </w:abstractNum>
  <w:abstractNum w:abstractNumId="97">
    <w:nsid w:val="2A31B62D"/>
    <w:multiLevelType w:val="hybridMultilevel"/>
    <w:lvl w:ilvl="0">
      <w:lvlJc w:val="left"/>
      <w:lvlText w:val="(%1)"/>
      <w:numFmt w:val="lowerLetter"/>
      <w:start w:val="5"/>
    </w:lvl>
  </w:abstractNum>
  <w:abstractNum w:abstractNumId="98">
    <w:nsid w:val="1849C29B"/>
    <w:multiLevelType w:val="hybridMultilevel"/>
    <w:lvl w:ilvl="0">
      <w:lvlJc w:val="left"/>
      <w:lvlText w:val="(%1)"/>
      <w:numFmt w:val="lowerLetter"/>
      <w:start w:val="2"/>
    </w:lvl>
  </w:abstractNum>
  <w:abstractNum w:abstractNumId="99">
    <w:nsid w:val="7DFF9D09"/>
    <w:multiLevelType w:val="hybridMultilevel"/>
    <w:lvl w:ilvl="0">
      <w:lvlJc w:val="left"/>
      <w:lvlText w:val="(%1)"/>
      <w:numFmt w:val="lowerLetter"/>
      <w:start w:val="1"/>
    </w:lvl>
    <w:lvl w:ilvl="1">
      <w:lvlJc w:val="left"/>
      <w:lvlText w:val="(%2)"/>
      <w:numFmt w:val="lowerRoman"/>
      <w:start w:val="1"/>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Roman"/>
      <w:start w:val="3"/>
    </w:lvl>
  </w:abstractNum>
  <w:abstractNum w:abstractNumId="105">
    <w:nsid w:val="7AB49DAF"/>
    <w:multiLevelType w:val="hybridMultilevel"/>
    <w:lvl w:ilvl="0">
      <w:lvlJc w:val="left"/>
      <w:lvlText w:val="(%1)"/>
      <w:numFmt w:val="lowerRoman"/>
      <w:start w:val="2"/>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Roman"/>
      <w:start w:val="2"/>
    </w:lvl>
  </w:abstractNum>
  <w:abstractNum w:abstractNumId="108">
    <w:nsid w:val="597B4D84"/>
    <w:multiLevelType w:val="hybridMultilevel"/>
    <w:lvl w:ilvl="0">
      <w:lvlJc w:val="left"/>
      <w:lvlText w:val="(%1)"/>
      <w:numFmt w:val="lowerRoman"/>
      <w:start w:val="1"/>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Letter"/>
      <w:start w:val="1"/>
    </w:lvl>
    <w:lvl w:ilvl="1">
      <w:lvlJc w:val="left"/>
      <w:lvlText w:val="(%2)"/>
      <w:numFmt w:val="lowerLetter"/>
      <w:start w:val="1"/>
    </w:lvl>
  </w:abstractNum>
  <w:abstractNum w:abstractNumId="112">
    <w:nsid w:val="631B64D4"/>
    <w:multiLevelType w:val="hybridMultilevel"/>
    <w:lvl w:ilvl="0">
      <w:lvlJc w:val="left"/>
      <w:lvlText w:val="(%1)"/>
      <w:numFmt w:val="lowerLetter"/>
      <w:start w:val="9"/>
    </w:lvl>
    <w:lvl w:ilvl="1">
      <w:lvlJc w:val="left"/>
      <w:lvlText w:val="(%2)"/>
      <w:numFmt w:val="lowerLetter"/>
      <w:start w:val="2"/>
    </w:lvl>
  </w:abstractNum>
  <w:abstractNum w:abstractNumId="113">
    <w:nsid w:val="78B5E776"/>
    <w:multiLevelType w:val="hybridMultilevel"/>
    <w:lvl w:ilvl="0">
      <w:lvlJc w:val="left"/>
      <w:lvlText w:val="(%1)"/>
      <w:numFmt w:val="lowerLetter"/>
      <w:start w:val="2"/>
    </w:lvl>
  </w:abstractNum>
  <w:abstractNum w:abstractNumId="114">
    <w:nsid w:val="75486E47"/>
    <w:multiLevelType w:val="hybridMultilevel"/>
    <w:lvl w:ilvl="0">
      <w:lvlJc w:val="left"/>
      <w:lvlText w:val="(%1)"/>
      <w:numFmt w:val="lowerLetter"/>
      <w:start w:val="2"/>
    </w:lvl>
  </w:abstractNum>
  <w:abstractNum w:abstractNumId="115">
    <w:nsid w:val="6E534CDE"/>
    <w:multiLevelType w:val="hybridMultilevel"/>
    <w:lvl w:ilvl="0">
      <w:lvlJc w:val="left"/>
      <w:lvlText w:val="(%1)"/>
      <w:numFmt w:val="lowerLetter"/>
      <w:start w:val="2"/>
    </w:lvl>
  </w:abstractNum>
  <w:abstractNum w:abstractNumId="116">
    <w:nsid w:val="1A0DDE32"/>
    <w:multiLevelType w:val="hybridMultilevel"/>
    <w:lvl w:ilvl="0">
      <w:lvlJc w:val="left"/>
      <w:lvlText w:val="(%1)"/>
      <w:numFmt w:val="lowerLetter"/>
      <w:start w:val="1"/>
    </w:lvl>
  </w:abstractNum>
  <w:abstractNum w:abstractNumId="117">
    <w:nsid w:val="65968C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8">
    <w:nsid w:val="46263DE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9">
    <w:nsid w:val="260D8C4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20">
    <w:nsid w:val="73D4D3C4"/>
    <w:multiLevelType w:val="hybridMultilevel"/>
    <w:lvl w:ilvl="0">
      <w:lvlJc w:val="left"/>
      <w:lvlText w:val="(%1)"/>
      <w:numFmt w:val="lowerLetter"/>
      <w:start w:val="2"/>
    </w:lvl>
    <w:lvl w:ilvl="1">
      <w:lvlJc w:val="left"/>
      <w:lvlText w:val="(%2)"/>
      <w:numFmt w:val="lowerRoman"/>
      <w:start w:val="1"/>
    </w:lvl>
  </w:abstractNum>
  <w:abstractNum w:abstractNumId="121">
    <w:nsid w:val="746F2E30"/>
    <w:multiLevelType w:val="hybridMultilevel"/>
    <w:lvl w:ilvl="0">
      <w:lvlJc w:val="left"/>
      <w:lvlText w:val="(%1)"/>
      <w:numFmt w:val="lowerLetter"/>
      <w:start w:val="1"/>
    </w:lvl>
  </w:abstractNum>
  <w:abstractNum w:abstractNumId="122">
    <w:nsid w:val="6FDE8AF6"/>
    <w:multiLevelType w:val="hybridMultilevel"/>
    <w:lvl w:ilvl="0">
      <w:lvlJc w:val="left"/>
      <w:lvlText w:val="(%1)"/>
      <w:numFmt w:val="lowerLetter"/>
      <w:start w:val="3"/>
    </w:lvl>
  </w:abstractNum>
  <w:abstractNum w:abstractNumId="123">
    <w:nsid w:val="3FC32E20"/>
    <w:multiLevelType w:val="hybridMultilevel"/>
    <w:lvl w:ilvl="0">
      <w:lvlJc w:val="left"/>
      <w:lvlText w:val="(%1)"/>
      <w:numFmt w:val="lowerLetter"/>
      <w:start w:val="2"/>
    </w:lvl>
  </w:abstractNum>
  <w:abstractNum w:abstractNumId="124">
    <w:nsid w:val="49C0E823"/>
    <w:multiLevelType w:val="hybridMultilevel"/>
    <w:lvl w:ilvl="0">
      <w:lvlJc w:val="left"/>
      <w:lvlText w:val="(%1)"/>
      <w:numFmt w:val="lowerLetter"/>
      <w:start w:val="3"/>
    </w:lvl>
  </w:abstractNum>
  <w:abstractNum w:abstractNumId="125">
    <w:nsid w:val="14D53685"/>
    <w:multiLevelType w:val="hybridMultilevel"/>
    <w:lvl w:ilvl="0">
      <w:lvlJc w:val="left"/>
      <w:lvlText w:val="(%1)"/>
      <w:numFmt w:val="lowerLetter"/>
      <w:start w:val="2"/>
    </w:lvl>
  </w:abstractNum>
  <w:abstractNum w:abstractNumId="126">
    <w:nsid w:val="230F856C"/>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127">
    <w:nsid w:val="6EAA85FB"/>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128">
    <w:nsid w:val="3F06ECB2"/>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129">
    <w:nsid w:val="3B594807"/>
    <w:multiLevelType w:val="hybridMultilevel"/>
    <w:lvl w:ilvl="0">
      <w:lvlJc w:val="left"/>
      <w:lvlText w:val="(%1)"/>
      <w:numFmt w:val="upperLetter"/>
      <w:start w:val="4"/>
    </w:lvl>
  </w:abstractNum>
  <w:abstractNum w:abstractNumId="130">
    <w:nsid w:val="6CAA2304"/>
    <w:multiLevelType w:val="hybridMultilevel"/>
    <w:lvl w:ilvl="0">
      <w:lvlJc w:val="left"/>
      <w:lvlText w:val="(%1)"/>
      <w:numFmt w:val="decimal"/>
      <w:start w:val="30"/>
    </w:lvl>
    <w:lvl w:ilvl="1">
      <w:lvlJc w:val="left"/>
      <w:lvlText w:val="(%2)"/>
      <w:numFmt w:val="lowerLetter"/>
      <w:start w:val="6"/>
    </w:lvl>
  </w:abstractNum>
  <w:abstractNum w:abstractNumId="131">
    <w:nsid w:val="3F7C2FF4"/>
    <w:multiLevelType w:val="hybridMultilevel"/>
    <w:lvl w:ilvl="0">
      <w:lvlJc w:val="left"/>
      <w:lvlText w:val="%1"/>
      <w:numFmt w:val="lowerRoman"/>
      <w:start w:val="1"/>
    </w:lvl>
    <w:lvl w:ilvl="1">
      <w:lvlJc w:val="left"/>
      <w:lvlText w:val="(%2)"/>
      <w:numFmt w:val="lowerLetter"/>
      <w:start w:val="2"/>
    </w:lvl>
  </w:abstractNum>
  <w:abstractNum w:abstractNumId="132">
    <w:nsid w:val="25413BEC"/>
    <w:multiLevelType w:val="hybridMultilevel"/>
    <w:lvl w:ilvl="0">
      <w:lvlJc w:val="left"/>
      <w:lvlText w:val="(%1)"/>
      <w:numFmt w:val="lowerRoman"/>
      <w:start w:val="4"/>
    </w:lvl>
    <w:lvl w:ilvl="1">
      <w:lvlJc w:val="left"/>
      <w:lvlText w:val="(%2)"/>
      <w:numFmt w:val="lowerLetter"/>
      <w:start w:val="3"/>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decimal"/>
      <w:start w:val="1"/>
    </w:lvl>
  </w:abstractNum>
  <w:abstractNum w:abstractNumId="135">
    <w:nsid w:val="5D205E20"/>
    <w:multiLevelType w:val="hybridMultilevel"/>
    <w:lvl w:ilvl="0">
      <w:lvlJc w:val="left"/>
      <w:lvlText w:val="(%1)"/>
      <w:numFmt w:val="decimal"/>
      <w:start w:val="3"/>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4"/>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4"/>
    </w:lvl>
    <w:lvl w:ilvl="1">
      <w:lvlJc w:val="left"/>
      <w:lvlText w:val="(%2)"/>
      <w:numFmt w:val="lowerRoman"/>
      <w:start w:val="1"/>
    </w:lvl>
  </w:abstractNum>
  <w:abstractNum w:abstractNumId="140">
    <w:nsid w:val="5CB44A05"/>
    <w:multiLevelType w:val="hybridMultilevel"/>
    <w:lvl w:ilvl="0">
      <w:lvlJc w:val="left"/>
      <w:lvlText w:val="(%1)"/>
      <w:numFmt w:val="lowerLetter"/>
      <w:start w:val="1"/>
    </w:lvl>
  </w:abstractNum>
  <w:abstractNum w:abstractNumId="141">
    <w:nsid w:val="16CF80F1"/>
    <w:multiLevelType w:val="hybridMultilevel"/>
    <w:lvl w:ilvl="0">
      <w:lvlJc w:val="left"/>
      <w:lvlText w:val="(%1)"/>
      <w:numFmt w:val="lowerLetter"/>
      <w:start w:val="2"/>
    </w:lvl>
    <w:lvl w:ilvl="1">
      <w:lvlJc w:val="left"/>
      <w:lvlText w:val="(%2)"/>
      <w:numFmt w:val="lowerLetter"/>
      <w:start w:val="35"/>
    </w:lvl>
  </w:abstractNum>
  <w:abstractNum w:abstractNumId="142">
    <w:nsid w:val="1C695DEC"/>
    <w:multiLevelType w:val="hybridMultilevel"/>
    <w:lvl w:ilvl="0">
      <w:lvlJc w:val="left"/>
      <w:lvlText w:val="(%1)"/>
      <w:numFmt w:val="lowerLetter"/>
      <w:start w:val="9"/>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1)"/>
      <w:numFmt w:val="lowerLetter"/>
      <w:start w:val="3"/>
    </w:lvl>
  </w:abstractNum>
  <w:abstractNum w:abstractNumId="145">
    <w:nsid w:val="11B1CC33"/>
    <w:multiLevelType w:val="hybridMultilevel"/>
    <w:lvl w:ilvl="0">
      <w:lvlJc w:val="left"/>
      <w:lvlText w:val="(%1)"/>
      <w:numFmt w:val="lowerLetter"/>
      <w:start w:val="8"/>
    </w:lvl>
    <w:lvl w:ilvl="1">
      <w:lvlJc w:val="left"/>
      <w:lvlText w:val="(%2)"/>
      <w:numFmt w:val="lowerRoman"/>
      <w:start w:val="1"/>
    </w:lvl>
  </w:abstractNum>
  <w:abstractNum w:abstractNumId="146">
    <w:nsid w:val="2E22FBB7"/>
    <w:multiLevelType w:val="hybridMultilevel"/>
    <w:lvl w:ilvl="0">
      <w:lvlJc w:val="left"/>
      <w:lvlText w:val="(%1)"/>
      <w:numFmt w:val="lowerRoman"/>
      <w:start w:val="6"/>
    </w:lvl>
  </w:abstractNum>
  <w:abstractNum w:abstractNumId="147">
    <w:nsid w:val="29934699"/>
    <w:multiLevelType w:val="hybridMultilevel"/>
    <w:lvl w:ilvl="0">
      <w:lvlJc w:val="left"/>
      <w:lvlText w:val="(%1)"/>
      <w:numFmt w:val="lowerLetter"/>
      <w:start w:val="1"/>
    </w:lvl>
    <w:lvl w:ilvl="1">
      <w:lvlJc w:val="left"/>
      <w:lvlText w:val="(%2)"/>
      <w:numFmt w:val="lowerRoman"/>
      <w:start w:val="1"/>
    </w:lvl>
  </w:abstractNum>
  <w:abstractNum w:abstractNumId="148">
    <w:nsid w:val="77485850"/>
    <w:multiLevelType w:val="hybridMultilevel"/>
    <w:lvl w:ilvl="0">
      <w:lvlJc w:val="left"/>
      <w:lvlText w:val="(%1)"/>
      <w:numFmt w:val="lowerRoman"/>
      <w:start w:val="3"/>
    </w:lvl>
  </w:abstractNum>
  <w:abstractNum w:abstractNumId="149">
    <w:nsid w:val="744939A3"/>
    <w:multiLevelType w:val="hybridMultilevel"/>
    <w:lvl w:ilvl="0">
      <w:lvlJc w:val="left"/>
      <w:lvlText w:val="%1"/>
      <w:numFmt w:val="lowerLetter"/>
      <w:start w:val="1"/>
    </w:lvl>
    <w:lvl w:ilvl="1">
      <w:lvlJc w:val="left"/>
      <w:lvlText w:val="(%2)"/>
      <w:numFmt w:val="lowerRoman"/>
      <w:start w:val="17"/>
    </w:lvl>
  </w:abstractNum>
  <w:abstractNum w:abstractNumId="150">
    <w:nsid w:val="4FA0D2E3"/>
    <w:multiLevelType w:val="hybridMultilevel"/>
    <w:lvl w:ilvl="0">
      <w:lvlJc w:val="left"/>
      <w:lvlText w:val="(%1)"/>
      <w:numFmt w:val="lowerLetter"/>
      <w:start w:val="2"/>
    </w:lvl>
    <w:lvl w:ilvl="1">
      <w:lvlJc w:val="left"/>
      <w:lvlText w:val="(%2)"/>
      <w:numFmt w:val="lowerRoman"/>
      <w:start w:val="1"/>
    </w:lvl>
  </w:abstractNum>
  <w:abstractNum w:abstractNumId="151">
    <w:nsid w:val="6B1D2C14"/>
    <w:multiLevelType w:val="hybridMultilevel"/>
    <w:lvl w:ilvl="0">
      <w:lvlJc w:val="left"/>
      <w:lvlText w:val="%1"/>
      <w:numFmt w:val="lowerLetter"/>
      <w:start w:val="1"/>
    </w:lvl>
    <w:lvl w:ilvl="1">
      <w:lvlJc w:val="left"/>
      <w:lvlText w:val="(%2)"/>
      <w:numFmt w:val="lowerRoman"/>
      <w:start w:val="7"/>
    </w:lvl>
  </w:abstractNum>
  <w:abstractNum w:abstractNumId="152">
    <w:nsid w:val="68B867D3"/>
    <w:multiLevelType w:val="hybridMultilevel"/>
    <w:lvl w:ilvl="0">
      <w:lvlJc w:val="left"/>
      <w:lvlText w:val="(%1)"/>
      <w:numFmt w:val="lowerLetter"/>
      <w:start w:val="6"/>
    </w:lvl>
    <w:lvl w:ilvl="1">
      <w:lvlJc w:val="left"/>
      <w:lvlText w:val="%2"/>
      <w:numFmt w:val="lowerRoman"/>
      <w:start w:val="1"/>
    </w:lvl>
  </w:abstractNum>
  <w:abstractNum w:abstractNumId="153">
    <w:nsid w:val="3F7F5DD9"/>
    <w:multiLevelType w:val="hybridMultilevel"/>
    <w:lvl w:ilvl="0">
      <w:lvlJc w:val="left"/>
      <w:lvlText w:val="(%1)"/>
      <w:numFmt w:val="lowerRoman"/>
      <w:start w:val="1"/>
    </w:lvl>
  </w:abstractNum>
  <w:abstractNum w:abstractNumId="154">
    <w:nsid w:val="2AE05A34"/>
    <w:multiLevelType w:val="hybridMultilevel"/>
    <w:lvl w:ilvl="0">
      <w:lvlJc w:val="left"/>
      <w:lvlText w:val="(%1)"/>
      <w:numFmt w:val="lowerLetter"/>
      <w:start w:val="1"/>
    </w:lvl>
  </w:abstractNum>
  <w:abstractNum w:abstractNumId="155">
    <w:nsid w:val="32794FF7"/>
    <w:multiLevelType w:val="hybridMultilevel"/>
    <w:lvl w:ilvl="0">
      <w:lvlJc w:val="left"/>
      <w:lvlText w:val="(%1)"/>
      <w:numFmt w:val="lowerLetter"/>
      <w:start w:val="7"/>
    </w:lvl>
  </w:abstractNum>
  <w:abstractNum w:abstractNumId="156">
    <w:nsid w:val="5454945E"/>
    <w:multiLevelType w:val="hybridMultilevel"/>
    <w:lvl w:ilvl="0">
      <w:lvlJc w:val="left"/>
      <w:lvlText w:val="(%1)"/>
      <w:numFmt w:val="lowerRoman"/>
      <w:start w:val="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Letter"/>
      <w:start w:val="2"/>
    </w:lvl>
  </w:abstractNum>
  <w:abstractNum w:abstractNumId="159">
    <w:nsid w:val="135B811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0">
    <w:nsid w:val="94927A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1">
    <w:nsid w:val="DCDF8F6"/>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62">
    <w:nsid w:val="52D7B105"/>
    <w:multiLevelType w:val="hybridMultilevel"/>
    <w:lvl w:ilvl="0">
      <w:lvlJc w:val="left"/>
      <w:lvlText w:val="(%1)"/>
      <w:numFmt w:val="lowerLetter"/>
      <w:start w:val="2"/>
    </w:lvl>
    <w:lvl w:ilvl="1">
      <w:lvlJc w:val="left"/>
      <w:lvlText w:val="(%2)"/>
      <w:numFmt w:val="lowerRoman"/>
      <w:start w:val="1"/>
    </w:lvl>
  </w:abstractNum>
  <w:abstractNum w:abstractNumId="163">
    <w:nsid w:val="2E8A6394"/>
    <w:multiLevelType w:val="hybridMultilevel"/>
    <w:lvl w:ilvl="0">
      <w:lvlJc w:val="left"/>
      <w:lvlText w:val="(%1)"/>
      <w:numFmt w:val="lowerLetter"/>
      <w:start w:val="3"/>
    </w:lvl>
  </w:abstractNum>
  <w:abstractNum w:abstractNumId="164">
    <w:nsid w:val="24E60401"/>
    <w:multiLevelType w:val="hybridMultilevel"/>
    <w:lvl w:ilvl="0">
      <w:lvlJc w:val="left"/>
      <w:lvlText w:val="(%1)"/>
      <w:numFmt w:val="lowerRoman"/>
      <w:start w:val="1"/>
    </w:lvl>
  </w:abstractNum>
  <w:abstractNum w:abstractNumId="165">
    <w:nsid w:val="2A6AD9BE"/>
    <w:multiLevelType w:val="hybridMultilevel"/>
    <w:lvl w:ilvl="0">
      <w:lvlJc w:val="left"/>
      <w:lvlText w:val="(%1)"/>
      <w:numFmt w:val="lowerLetter"/>
      <w:start w:val="5"/>
    </w:lvl>
  </w:abstractNum>
  <w:abstractNum w:abstractNumId="166">
    <w:nsid w:val="BAAC1B4"/>
    <w:multiLevelType w:val="hybridMultilevel"/>
    <w:lvl w:ilvl="0">
      <w:lvlJc w:val="left"/>
      <w:lvlText w:val="(%1)"/>
      <w:numFmt w:val="lowerRoman"/>
      <w:start w:val="1"/>
    </w:lvl>
  </w:abstractNum>
  <w:abstractNum w:abstractNumId="167">
    <w:nsid w:val="36B2ACBC"/>
    <w:multiLevelType w:val="hybridMultilevel"/>
    <w:lvl w:ilvl="0">
      <w:lvlJc w:val="left"/>
      <w:lvlText w:val="(%1)"/>
      <w:numFmt w:val="lowerLetter"/>
      <w:start w:val="2"/>
    </w:lvl>
  </w:abstractNum>
  <w:abstractNum w:abstractNumId="168">
    <w:nsid w:val="779D8544"/>
    <w:multiLevelType w:val="hybridMultilevel"/>
    <w:lvl w:ilvl="0">
      <w:lvlJc w:val="left"/>
      <w:lvlText w:val="(%1)"/>
      <w:numFmt w:val="lowerLetter"/>
      <w:start w:val="3"/>
    </w:lvl>
  </w:abstractNum>
  <w:abstractNum w:abstractNumId="169">
    <w:nsid w:val="4AB26E78"/>
    <w:multiLevelType w:val="hybridMultilevel"/>
    <w:lvl w:ilvl="0">
      <w:lvlJc w:val="left"/>
      <w:lvlText w:val="(%1)"/>
      <w:numFmt w:val="lowerLetter"/>
      <w:start w:val="4"/>
    </w:lvl>
    <w:lvl w:ilvl="1">
      <w:lvlJc w:val="left"/>
      <w:lvlText w:val="(%2)"/>
      <w:numFmt w:val="lowerRoman"/>
      <w:start w:val="1"/>
    </w:lvl>
  </w:abstractNum>
  <w:abstractNum w:abstractNumId="170">
    <w:nsid w:val="21FAA2FA"/>
    <w:multiLevelType w:val="hybridMultilevel"/>
    <w:lvl w:ilvl="0">
      <w:lvlJc w:val="left"/>
      <w:lvlText w:val="(%1)"/>
      <w:numFmt w:val="lowerLetter"/>
      <w:start w:val="2"/>
    </w:lvl>
  </w:abstractNum>
  <w:abstractNum w:abstractNumId="171">
    <w:nsid w:val="5451CF49"/>
    <w:multiLevelType w:val="hybridMultilevel"/>
    <w:lvl w:ilvl="0">
      <w:lvlJc w:val="left"/>
      <w:lvlText w:val="(%1)"/>
      <w:numFmt w:val="lowerLetter"/>
      <w:start w:val="3"/>
    </w:lvl>
  </w:abstractNum>
  <w:abstractNum w:abstractNumId="172">
    <w:nsid w:val="6181EF69"/>
    <w:multiLevelType w:val="hybridMultilevel"/>
    <w:lvl w:ilvl="0">
      <w:lvlJc w:val="left"/>
      <w:lvlText w:val="(%1)"/>
      <w:numFmt w:val="lowerLetter"/>
      <w:start w:val="4"/>
    </w:lvl>
  </w:abstractNum>
  <w:abstractNum w:abstractNumId="173">
    <w:nsid w:val="3E6400E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74">
    <w:nsid w:val="14217E23"/>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5">
    <w:nsid w:val="710757D0"/>
    <w:multiLevelType w:val="hybridMultilevel"/>
    <w:lvl w:ilvl="0">
      <w:lvlJc w:val="left"/>
      <w:lvlText w:val="%1"/>
      <w:numFmt w:val="lowerRoman"/>
      <w:start w:val="1"/>
    </w:lvl>
    <w:lvl w:ilvl="1">
      <w:lvlJc w:val="left"/>
      <w:lvlText w:val="(%2)"/>
      <w:numFmt w:val="upperLetter"/>
      <w:start w:val="2"/>
    </w:lvl>
  </w:abstractNum>
  <w:abstractNum w:abstractNumId="176">
    <w:nsid w:val="5015CD1A"/>
    <w:multiLevelType w:val="hybridMultilevel"/>
    <w:lvl w:ilvl="0">
      <w:lvlJc w:val="left"/>
      <w:lvlText w:val="(%1)"/>
      <w:numFmt w:val="lowerRoman"/>
      <w:start w:val="4"/>
    </w:lvl>
    <w:lvl w:ilvl="1">
      <w:lvlJc w:val="left"/>
      <w:lvlText w:val="%2"/>
      <w:numFmt w:val="upperLetter"/>
      <w:start w:val="1"/>
    </w:lvl>
  </w:abstractNum>
  <w:abstractNum w:abstractNumId="177">
    <w:nsid w:val="424479DA"/>
    <w:multiLevelType w:val="hybridMultilevel"/>
    <w:lvl w:ilvl="0">
      <w:lvlJc w:val="left"/>
      <w:lvlText w:val="(%1)"/>
      <w:numFmt w:val="lowerLetter"/>
      <w:start w:val="3"/>
    </w:lvl>
  </w:abstractNum>
  <w:abstractNum w:abstractNumId="178">
    <w:nsid w:val="1A9A9E69"/>
    <w:multiLevelType w:val="hybridMultilevel"/>
    <w:lvl w:ilvl="0">
      <w:lvlJc w:val="left"/>
      <w:lvlText w:val="(%1)"/>
      <w:numFmt w:val="lowerLetter"/>
      <w:start w:val="5"/>
    </w:lvl>
  </w:abstractNum>
  <w:abstractNum w:abstractNumId="179">
    <w:nsid w:val="475E256A"/>
    <w:multiLevelType w:val="hybridMultilevel"/>
    <w:lvl w:ilvl="0">
      <w:lvlJc w:val="left"/>
      <w:lvlText w:val="(%1)"/>
      <w:numFmt w:val="lowerLetter"/>
      <w:start w:val="2"/>
    </w:lvl>
  </w:abstractNum>
  <w:abstractNum w:abstractNumId="180">
    <w:nsid w:val="368DB37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2026-06-15T08:16:56Z</dcterms:created>
  <dcterms:modified xsi:type="dcterms:W3CDTF">2026-06-15T08:16:56Z</dcterms:modified>
</cp:coreProperties>
</file>