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April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8"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94" w:lineRule="exact"/>
        <w:rPr>
          <w:sz w:val="24"/>
          <w:szCs w:val="24"/>
          <w:color w:val="auto"/>
        </w:rPr>
      </w:pPr>
    </w:p>
    <w:p>
      <w:pPr>
        <w:sectPr>
          <w:pgSz w:w="11900" w:h="16838" w:orient="portrait"/>
          <w:cols w:equalWidth="0" w:num="2">
            <w:col w:w="6160" w:space="520"/>
            <w:col w:w="47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54" w:lineRule="exact"/>
        <w:rPr>
          <w:sz w:val="24"/>
          <w:szCs w:val="24"/>
          <w:color w:val="auto"/>
        </w:rPr>
      </w:pPr>
    </w:p>
    <w:tbl>
      <w:tblPr>
        <w:tblLayout w:type="fixed"/>
        <w:tblInd w:w="1740" w:type="dxa"/>
        <w:tblCellMar>
          <w:top w:w="0" w:type="dxa"/>
          <w:left w:w="0" w:type="dxa"/>
          <w:bottom w:w="0" w:type="dxa"/>
          <w:right w:w="0" w:type="dxa"/>
        </w:tblCellMar>
      </w:tblPr>
      <w:tr>
        <w:trPr>
          <w:trHeight w:val="530"/>
        </w:trPr>
        <w:tc>
          <w:tcPr>
            <w:tcW w:w="6080" w:type="dxa"/>
            <w:vAlign w:val="bottom"/>
          </w:tcPr>
          <w:p>
            <w:pPr>
              <w:jc w:val="center"/>
              <w:ind w:left="1767"/>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67"/>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47"/>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9"/>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47"/>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6080" w:type="dxa"/>
            <w:vAlign w:val="bottom"/>
          </w:tcPr>
          <w:p>
            <w:pPr>
              <w:jc w:val="center"/>
              <w:ind w:left="1767"/>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w w:val="94"/>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910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by Rule 12b-2 of the Exchange Act). Yes </w:t>
            </w:r>
            <w:r>
              <w:rPr>
                <w:rFonts w:ascii="MS PGothic" w:cs="MS PGothic" w:eastAsia="MS PGothic" w:hAnsi="MS PGothic"/>
                <w:sz w:val="18"/>
                <w:szCs w:val="18"/>
                <w:color w:val="auto"/>
                <w:w w:val="89"/>
              </w:rPr>
              <w:t>☐</w:t>
            </w:r>
          </w:p>
        </w:tc>
        <w:tc>
          <w:tcPr>
            <w:tcW w:w="2100" w:type="dxa"/>
            <w:vAlign w:val="bottom"/>
          </w:tcPr>
          <w:p>
            <w:pPr>
              <w:jc w:val="right"/>
              <w:ind w:right="1452"/>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9100" w:type="dxa"/>
            <w:vAlign w:val="bottom"/>
            <w:gridSpan w:val="2"/>
          </w:tcPr>
          <w:p>
            <w:pPr>
              <w:ind w:left="460"/>
              <w:spacing w:after="0"/>
              <w:rPr>
                <w:sz w:val="20"/>
                <w:szCs w:val="20"/>
                <w:color w:val="auto"/>
              </w:rPr>
            </w:pPr>
            <w:r>
              <w:rPr>
                <w:rFonts w:ascii="Arial" w:cs="Arial" w:eastAsia="Arial" w:hAnsi="Arial"/>
                <w:sz w:val="18"/>
                <w:szCs w:val="18"/>
                <w:color w:val="auto"/>
              </w:rPr>
              <w:t>As of May 27, 2011, registrant had outstanding approximately 230,954,185 million shares of common stock.</w:t>
            </w: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7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AUTODESK, INC.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9"/>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580" w:type="dxa"/>
            <w:vAlign w:val="bottom"/>
            <w:gridSpan w:val="2"/>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Borders>
              <w:bottom w:val="single" w:sz="8" w:color="0000EE"/>
            </w:tcBorders>
            <w:gridSpan w:val="9"/>
            <w:vMerge w:val="continue"/>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8080" w:type="dxa"/>
            <w:vAlign w:val="bottom"/>
            <w:gridSpan w:val="1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14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Three Months Ended April 30, 2011 and 2010</w:t>
              </w:r>
            </w:hyperlink>
          </w:p>
        </w:tc>
        <w:tc>
          <w:tcPr>
            <w:tcW w:w="626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April 30, 2011 and January 31, 2011</w:t>
              </w:r>
            </w:hyperlink>
          </w:p>
        </w:tc>
        <w:tc>
          <w:tcPr>
            <w:tcW w:w="80" w:type="dxa"/>
            <w:vAlign w:val="bottom"/>
            <w:tcBorders>
              <w:top w:val="single" w:sz="8" w:color="0000EE"/>
            </w:tcBorders>
          </w:tcPr>
          <w:p>
            <w:pPr>
              <w:spacing w:after="0"/>
              <w:rPr>
                <w:sz w:val="17"/>
                <w:szCs w:val="17"/>
                <w:color w:val="auto"/>
              </w:rPr>
            </w:pPr>
          </w:p>
        </w:tc>
        <w:tc>
          <w:tcPr>
            <w:tcW w:w="686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Months Ended April 30, 2011 and 2010</w:t>
              </w:r>
            </w:hyperlink>
          </w:p>
        </w:tc>
        <w:tc>
          <w:tcPr>
            <w:tcW w:w="160" w:type="dxa"/>
            <w:vAlign w:val="bottom"/>
            <w:tcBorders>
              <w:top w:val="single" w:sz="8" w:color="0000EE"/>
            </w:tcBorders>
            <w:gridSpan w:val="2"/>
          </w:tcPr>
          <w:p>
            <w:pPr>
              <w:spacing w:after="0"/>
              <w:rPr>
                <w:sz w:val="17"/>
                <w:szCs w:val="17"/>
                <w:color w:val="auto"/>
              </w:rPr>
            </w:pPr>
          </w:p>
        </w:tc>
        <w:tc>
          <w:tcPr>
            <w:tcW w:w="61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90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20" w:type="dxa"/>
            <w:vAlign w:val="bottom"/>
            <w:gridSpan w:val="24"/>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0"/>
          </w:tcPr>
          <w:p>
            <w:pPr>
              <w:spacing w:after="0"/>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720" w:type="dxa"/>
            <w:vAlign w:val="bottom"/>
            <w:gridSpan w:val="2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7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24"/>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1">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36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19"/>
          </w:tcPr>
          <w:p>
            <w:pPr>
              <w:spacing w:after="0"/>
              <w:rPr>
                <w:rFonts w:ascii="Arial" w:cs="Arial" w:eastAsia="Arial" w:hAnsi="Arial"/>
                <w:sz w:val="18"/>
                <w:szCs w:val="18"/>
                <w:b w:val="1"/>
                <w:bCs w:val="1"/>
                <w:color w:val="0000EE"/>
                <w:w w:val="85"/>
              </w:rPr>
            </w:pPr>
            <w:hyperlink w:anchor="page50">
              <w:r>
                <w:rPr>
                  <w:rFonts w:ascii="Arial" w:cs="Arial" w:eastAsia="Arial" w:hAnsi="Arial"/>
                  <w:sz w:val="18"/>
                  <w:szCs w:val="18"/>
                  <w:b w:val="1"/>
                  <w:bCs w:val="1"/>
                  <w:color w:val="0000EE"/>
                  <w:w w:val="85"/>
                </w:rPr>
                <w:t>Unregistered Sales of Equity Securities and Use of Proceeds</w:t>
              </w:r>
            </w:hyperlink>
          </w:p>
        </w:tc>
        <w:tc>
          <w:tcPr>
            <w:tcW w:w="52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720" w:type="dxa"/>
            <w:vAlign w:val="bottom"/>
            <w:gridSpan w:val="24"/>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Removed and Reserved</w:t>
              </w:r>
            </w:hyperlink>
          </w:p>
        </w:tc>
        <w:tc>
          <w:tcPr>
            <w:tcW w:w="734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0">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796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20" w:type="dxa"/>
            <w:vAlign w:val="bottom"/>
            <w:gridSpan w:val="24"/>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20" w:type="dxa"/>
            <w:vAlign w:val="bottom"/>
            <w:gridSpan w:val="2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2">
              <w:r>
                <w:rPr>
                  <w:rFonts w:ascii="Arial" w:cs="Arial" w:eastAsia="Arial" w:hAnsi="Arial"/>
                  <w:sz w:val="18"/>
                  <w:szCs w:val="18"/>
                  <w:b w:val="1"/>
                  <w:bCs w:val="1"/>
                  <w:color w:val="0000EE"/>
                  <w:w w:val="83"/>
                </w:rPr>
                <w:t>Signatures</w:t>
              </w:r>
            </w:hyperlink>
          </w:p>
        </w:tc>
        <w:tc>
          <w:tcPr>
            <w:tcW w:w="8920" w:type="dxa"/>
            <w:vAlign w:val="bottom"/>
            <w:gridSpan w:val="2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532"/>
        </w:trPr>
        <w:tc>
          <w:tcPr>
            <w:tcW w:w="1100" w:type="dxa"/>
            <w:vAlign w:val="bottom"/>
          </w:tcPr>
          <w:p>
            <w:pPr>
              <w:spacing w:after="0"/>
              <w:rPr>
                <w:sz w:val="24"/>
                <w:szCs w:val="24"/>
                <w:color w:val="auto"/>
              </w:rPr>
            </w:pPr>
          </w:p>
        </w:tc>
        <w:tc>
          <w:tcPr>
            <w:tcW w:w="6000" w:type="dxa"/>
            <w:vAlign w:val="bottom"/>
            <w:gridSpan w:val="21"/>
          </w:tcPr>
          <w:p>
            <w:pPr>
              <w:ind w:left="4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jc w:val="center"/>
              <w:ind w:left="592"/>
              <w:spacing w:after="0"/>
              <w:rPr>
                <w:sz w:val="20"/>
                <w:szCs w:val="20"/>
                <w:color w:val="auto"/>
              </w:rPr>
            </w:pPr>
            <w:r>
              <w:rPr>
                <w:rFonts w:ascii="Arial" w:cs="Arial" w:eastAsia="Arial" w:hAnsi="Arial"/>
                <w:sz w:val="18"/>
                <w:szCs w:val="18"/>
                <w:b w:val="1"/>
                <w:bCs w:val="1"/>
                <w:color w:val="auto"/>
                <w:w w:val="97"/>
              </w:rPr>
              <w:t>AUTODESK, INC.</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b w:val="1"/>
                <w:bCs w:val="1"/>
                <w:color w:val="auto"/>
                <w:w w:val="96"/>
              </w:rPr>
              <w:t>CONDENSED CONSOLIDATED STATEMENTS OF OPERATIONS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40" w:type="dxa"/>
            <w:vAlign w:val="bottom"/>
          </w:tcPr>
          <w:p>
            <w:pPr>
              <w:jc w:val="center"/>
              <w:ind w:left="592"/>
              <w:spacing w:after="0"/>
              <w:rPr>
                <w:sz w:val="20"/>
                <w:szCs w:val="20"/>
                <w:color w:val="auto"/>
              </w:rPr>
            </w:pPr>
            <w:r>
              <w:rPr>
                <w:rFonts w:ascii="Arial" w:cs="Arial" w:eastAsia="Arial" w:hAnsi="Arial"/>
                <w:sz w:val="18"/>
                <w:szCs w:val="18"/>
                <w:color w:val="auto"/>
                <w:w w:val="88"/>
              </w:rPr>
              <w:t>(In millions, except per share data)</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323.0</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528.3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9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99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w w:val="92"/>
              </w:rPr>
              <w:t>Net income</w:t>
            </w:r>
          </w:p>
        </w:tc>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gridSpan w:val="2"/>
            <w:vMerge w:val="continue"/>
          </w:tcPr>
          <w:p>
            <w:pPr>
              <w:spacing w:after="0"/>
              <w:rPr>
                <w:sz w:val="19"/>
                <w:szCs w:val="19"/>
                <w:color w:val="auto"/>
              </w:rPr>
            </w:pPr>
          </w:p>
        </w:tc>
        <w:tc>
          <w:tcPr>
            <w:tcW w:w="9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1,732.4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1,363.5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1,751.2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2,902.2</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Restructuring charges, net</w:t>
            </w: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1,091.4</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April 30, 2011, and for the three months ended April 30, 2011,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2011 are not necessarily indicative of the results for the entire fiscal year ending January 31, 2012,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2011 (the “2011 Form 10-K”) filed on March 18, 2011.</w:t>
      </w:r>
    </w:p>
    <w:p>
      <w:pPr>
        <w:spacing w:after="0" w:line="24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three months ended April 30, 2011, as compared to the accounting pronouncements described in Autodesk’s Annual Report on Form 10-K for the fiscal year ended January 31, 2011,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 in the Three Months Ended April 30, 2011</w:t>
      </w:r>
    </w:p>
    <w:p>
      <w:pPr>
        <w:spacing w:after="0" w:line="90"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In December 2010, the Financial Accounting Standards Board (“FASB”) issued Accounting Standard Update (“ASU”) 2010-29 regarding Accounting Standards Codification (“ASC”) Topic 805 “Business Combinations.” This ASU updates accounting guidance to clarify that pro forma disclosures should be presented as if a business combination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Autodesk adopted the new disclosures under ASU 2010-29 effective February 1, 2011. The adoption of this ASU did not have a material impact on its consolidated statements of financial position, results of operations or cash flows. The impact of ASU 2010-29 on Autodesk’s future quarterly disclosures will be dependent on the size of the business combinations that it consummates subsequent to the adoption of the standard.</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2010, the FASB issued ASU 2010-28 regarding ASC Topic 350 “Intangibles – Goodwill and Other.” This ASU updates accounting guidance related to the calculation of the carrying amount of a reporting unit when performing the first step of a goodwill impairment test. More specifically, this update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new accounting guidance is effective for public entities, for impairment tests performed during entities’ fiscal years (and interim periods within those years) that begin after December 15, 2010. Autodesk adopted the changes under ASU 2010-28 effective February 1, 2011. The adoption of this ASU did not have a material impact on its consolidated statements of financial position, results of operations or cash flows.</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separately present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Autodesk adopted February 1, 2011. The adoption of this ASU did not have a material impact on its consolidated statements of financial position, results of operations or cash flows.</w:t>
      </w:r>
    </w:p>
    <w:p>
      <w:pPr>
        <w:spacing w:after="0" w:line="10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October 2009, the FASB issued ASU 2009-13 regarding ASC Subtopic 605-25 “Revenue Recognition—Multiple-element Arrangements.” This ASU addresses criteria for separating the consideration in multiple-element arrangements. ASU 2009-13 requires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are effective prospectively for revenue arrangements entered into or materially modified in fiscal years beginning on or after June 15, 2010. Autodesk adopted the changes under ASU 2009-13 and 2009-14 effective February 1, 2011. The adoption of this ASU did not have a material impact on its consolidated statements of financial position, results of operations or cash flows.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May 2011, FASB issued ASU 2011-04 regarding ASC Topic 820 “Fair Value Measurement.” This ASU updates accounting guidance to clarify how to measure fair value to align the guidance surrounding Fair Value Measurement within GAAP and International Financial Reporting Standards. In addition, the ASU updates certain requirements for measuring fair value and for disclosure around fair value measurement. It does not require additional fair value measurements and the ASU was not intended to establish valuation standards or affect valuation practices outside of financial reporting. This ASU will be effective for Autodesk’s fiscal year beginning February 1, 2012. Early adoption is not permitted. Autodesk believes that the adoption of this ASU will not have a material impact on its consolidated statements of financial position, results of operations or cash flows.</w:t>
      </w:r>
    </w:p>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the lead lender and agent in the syndicate of Autodesk’s $250.0 million U.S. line of credit facility. It is Autodesk’s policy to limit the amounts invested with any one institution by type of security and issuer.</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17% of Autodesk’s consolidated net revenue for both the three months ended April 30, 2011 and 2010. The majority of the net revenue from sales to Tech Data relates to Autodesk’s Platform Solutions and Emerging Business segment and is for sales made outside of the United States. In addition, Tech Data accounted for 17% and 16% of trade accounts receivable at April 30, 2011 and January 31, 2011, respectively. Autodesk believes its business is not substantially dependent on Tech Data. Autodesk’s actual customers through Tech Data are the resellers and end users who purchase Autodesk’s software licenses and services. Should any of the agreements between Autodesk and Tech Data be terminated for any reason, Autodesk believes the resellers and end users who currently purchase Autodesk’s products through Tech Data would be able to continue to do so under substantially the same terms from one of the many other distributors of Autodesk without substantial disruption to Autodesk revenue.</w:t>
      </w:r>
    </w:p>
    <w:p>
      <w:pPr>
        <w:spacing w:after="0" w:line="267" w:lineRule="exact"/>
        <w:rPr>
          <w:sz w:val="20"/>
          <w:szCs w:val="20"/>
          <w:color w:val="auto"/>
        </w:rPr>
      </w:pPr>
    </w:p>
    <w:p>
      <w:pPr>
        <w:ind w:left="240" w:right="7640" w:hanging="232"/>
        <w:spacing w:after="0" w:line="344"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April 30, 2011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ind w:left="280"/>
              <w:spacing w:after="0"/>
              <w:rPr>
                <w:sz w:val="20"/>
                <w:szCs w:val="20"/>
                <w:color w:val="auto"/>
              </w:rPr>
            </w:pPr>
            <w:r>
              <w:rPr>
                <w:rFonts w:ascii="Arial" w:cs="Arial" w:eastAsia="Arial" w:hAnsi="Arial"/>
                <w:sz w:val="14"/>
                <w:szCs w:val="14"/>
                <w:b w:val="1"/>
                <w:bCs w:val="1"/>
                <w:color w:val="auto"/>
              </w:rPr>
              <w:t>January 31, 2011</w:t>
            </w:r>
          </w:p>
        </w:tc>
      </w:tr>
      <w:tr>
        <w:trPr>
          <w:trHeight w:val="142"/>
        </w:trPr>
        <w:tc>
          <w:tcPr>
            <w:tcW w:w="5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4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1,075.1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258.4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197.5</w:t>
            </w:r>
          </w:p>
        </w:tc>
        <w:tc>
          <w:tcPr>
            <w:tcW w:w="6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Convertible debt securities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and option contracts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Autodesk classifies its marketable securities and financial instruments as either short-term or long-term based on each instrument’s underlying contractual maturity date. Marketable securities and financial instruments with remaining maturities of less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than 12 months are classified as short-term and marketable securities and financial instruments with remaining maturities greater than 12 months are classified as long-term. Autodesk may sell certain of its marketable securities and financial instruments prior to their stated maturities for strategic purposes or in anticipation of credit deterioration. Convertible debt securities are included in “Other assets” in the Condensed Consolidated Balance Sheets. Foreign currency forward and options contracts are included in “Prepaid expenses and other current assets” in the Condensed Consolidated Balance Sheets.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has marketable securities and financial instruments that are classified as either “available-for-sale” or “trading securities.” At April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January 31, 2011, Autodesk’s short-term investment portfolio included $34.5 million and $31.3 million, respectively, of “trading securities” invested in a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of mutual funds directed by the participants in the Company’s Deferred Compensation Plan. At April 30, 2011, these securities had net unrealized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and a cost basis of $31.1 million. At January 31, 2011, these securities had net unrealized gains of $1.6 million and a cost basis of $29.7 million (see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9, “Deferred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Marketable securities and financial instruments classified as “available-for-sale securities” include the following securities at April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April 30, 2011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Convertible debt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2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188.7</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80"/>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7</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January 31, 2011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0.1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60" w:type="dxa"/>
            <w:vAlign w:val="bottom"/>
            <w:vMerge w:val="restart"/>
          </w:tcPr>
          <w:p>
            <w:pPr>
              <w:jc w:val="right"/>
              <w:ind w:right="1572"/>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sales or redemptions of “available-for-sale securities” resulted in no gross gains or losses during the three month periods ended April 30, 2011 and 2010. The cost of securities sold is based on the specific identification method.</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April 30, 2011 and January 31, 2011, Autodesk owned an auction rate security with an estimated fair value of $4.2 million. Autodesk’s auction rate security is a variable rate debt instrument that has underlying securities with contractual maturities greater than ten years and interest rates that were structured to reset at auction every twenty-eight days. The security, which met Autodesk’s investment guidelines at the time the investment was made, has failed to settle in auction since August 2007 and has earned a premium interest rate since that time. While Autodesk expects to recover substantially all of its current holdings, net of reserves, in the auction rate security, it cannot predict when this will occur or the amount the Company will receive. Due to the lack of liquidity of this investment in an active market, it is included in non-current “Marketable securities” on the accompanying Condensed Consolidated Balance Sheets. The Company will continue on a quarterly basis to evaluate its accounting for this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6"/>
              </w:rPr>
              <w:t>April 30, 2011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$223.5</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500" w:type="dxa"/>
            <w:vAlign w:val="bottom"/>
          </w:tcPr>
          <w:p>
            <w:pPr>
              <w:jc w:val="right"/>
              <w:spacing w:after="0"/>
              <w:rPr>
                <w:sz w:val="20"/>
                <w:szCs w:val="20"/>
                <w:color w:val="auto"/>
              </w:rPr>
            </w:pPr>
            <w:r>
              <w:rPr>
                <w:rFonts w:ascii="Arial" w:cs="Arial" w:eastAsia="Arial" w:hAnsi="Arial"/>
                <w:sz w:val="18"/>
                <w:szCs w:val="18"/>
                <w:color w:val="auto"/>
              </w:rPr>
              <w:t>184.5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412.2</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30, 2011 and January 31, 2011, Autodesk did not have any securities in a continuous unrealized loss position for greater than twelve months.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twelve months in the future. Autodesk does not enter into any transactions for derivative instruments for trading or speculative purposes.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notional amount of these contracts was $356.3 million at April 30, 2011 and $345.5 million at January 31, 2011. Outstanding contracts are recognized as either assets or liabilities on the balance sheet at fair value. The entire net loss of $8.6 million remaining in “Accumulated Other Comprehensive Income (Loss)” as of April 30, 2011 is expected to be recognized into earnings within the next twelve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the cash flow hedges described above, Autodesk uses contracts which are not designated as hedging instruments to reduce the exchange rate risk associated primarily with foreign currency denominated receivables and payables.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$96.1 million at April 30, 2011 and $56.1 million at January 31, 2011.</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derivative instruments in Autodesk’s Condensed Consolidated Balance Sheets was as follows as of April 30, 2011 and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6"/>
              </w:rPr>
              <w:t>Fair Value at</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April 30,</w:t>
            </w:r>
          </w:p>
        </w:tc>
        <w:tc>
          <w:tcPr>
            <w:tcW w:w="5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r>
      <w:tr>
        <w:trPr>
          <w:trHeight w:val="161"/>
        </w:trPr>
        <w:tc>
          <w:tcPr>
            <w:tcW w:w="7120" w:type="dxa"/>
            <w:vAlign w:val="bottom"/>
          </w:tcPr>
          <w:p>
            <w:pPr>
              <w:spacing w:after="0"/>
              <w:rPr>
                <w:sz w:val="14"/>
                <w:szCs w:val="14"/>
                <w:color w:val="auto"/>
              </w:rPr>
            </w:pPr>
          </w:p>
        </w:tc>
        <w:tc>
          <w:tcPr>
            <w:tcW w:w="1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Balance Sheet Location</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120" w:type="dxa"/>
            <w:vAlign w:val="bottom"/>
          </w:tcPr>
          <w:p>
            <w:pPr>
              <w:ind w:left="440"/>
              <w:spacing w:after="0"/>
              <w:rPr>
                <w:sz w:val="20"/>
                <w:szCs w:val="20"/>
                <w:color w:val="auto"/>
              </w:rPr>
            </w:pPr>
            <w:r>
              <w:rPr>
                <w:rFonts w:ascii="Arial" w:cs="Arial" w:eastAsia="Arial" w:hAnsi="Arial"/>
                <w:sz w:val="18"/>
                <w:szCs w:val="18"/>
                <w:color w:val="auto"/>
              </w:rPr>
              <w:t>Foreign currency contracts designated as cash flow hedges</w:t>
            </w:r>
          </w:p>
        </w:tc>
        <w:tc>
          <w:tcPr>
            <w:tcW w:w="1980" w:type="dxa"/>
            <w:vAlign w:val="bottom"/>
          </w:tcPr>
          <w:p>
            <w:pPr>
              <w:ind w:left="60"/>
              <w:spacing w:after="0"/>
              <w:rPr>
                <w:sz w:val="20"/>
                <w:szCs w:val="20"/>
                <w:color w:val="auto"/>
              </w:rPr>
            </w:pPr>
            <w:r>
              <w:rPr>
                <w:rFonts w:ascii="Arial" w:cs="Arial" w:eastAsia="Arial" w:hAnsi="Arial"/>
                <w:sz w:val="18"/>
                <w:szCs w:val="18"/>
                <w:color w:val="auto"/>
                <w:w w:val="84"/>
              </w:rPr>
              <w:t>Prepaid expenses and other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120" w:type="dxa"/>
            <w:vAlign w:val="bottom"/>
          </w:tcPr>
          <w:p>
            <w:pPr>
              <w:spacing w:after="0"/>
              <w:rPr>
                <w:sz w:val="19"/>
                <w:szCs w:val="19"/>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17"/>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not designated as hedging instruments</w:t>
            </w:r>
          </w:p>
        </w:tc>
        <w:tc>
          <w:tcPr>
            <w:tcW w:w="1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880"/>
              <w:spacing w:after="0"/>
              <w:rPr>
                <w:sz w:val="20"/>
                <w:szCs w:val="20"/>
                <w:color w:val="auto"/>
              </w:rPr>
            </w:pPr>
            <w:r>
              <w:rPr>
                <w:rFonts w:ascii="Arial" w:cs="Arial" w:eastAsia="Arial" w:hAnsi="Arial"/>
                <w:sz w:val="18"/>
                <w:szCs w:val="18"/>
                <w:color w:val="auto"/>
              </w:rPr>
              <w:t>Total derivative assets</w:t>
            </w:r>
          </w:p>
        </w:tc>
        <w:tc>
          <w:tcPr>
            <w:tcW w:w="1980" w:type="dxa"/>
            <w:vAlign w:val="bottom"/>
          </w:tcPr>
          <w:p>
            <w:pPr>
              <w:spacing w:after="0"/>
              <w:rPr>
                <w:sz w:val="19"/>
                <w:szCs w:val="19"/>
                <w:color w:val="auto"/>
              </w:rPr>
            </w:pP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Foreign currency contracts designated as cash flow hedges</w:t>
            </w:r>
          </w:p>
        </w:tc>
        <w:tc>
          <w:tcPr>
            <w:tcW w:w="1980" w:type="dxa"/>
            <w:vAlign w:val="bottom"/>
          </w:tcPr>
          <w:p>
            <w:pPr>
              <w:ind w:left="60"/>
              <w:spacing w:after="0"/>
              <w:rPr>
                <w:sz w:val="20"/>
                <w:szCs w:val="20"/>
                <w:color w:val="auto"/>
              </w:rPr>
            </w:pPr>
            <w:r>
              <w:rPr>
                <w:rFonts w:ascii="Arial" w:cs="Arial" w:eastAsia="Arial" w:hAnsi="Arial"/>
                <w:sz w:val="18"/>
                <w:szCs w:val="18"/>
                <w:color w:val="auto"/>
              </w:rPr>
              <w:t>Other accrued liabilities</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not designated as hedging instruments</w:t>
            </w:r>
          </w:p>
        </w:tc>
        <w:tc>
          <w:tcPr>
            <w:tcW w:w="1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880"/>
              <w:spacing w:after="0"/>
              <w:rPr>
                <w:sz w:val="20"/>
                <w:szCs w:val="20"/>
                <w:color w:val="auto"/>
              </w:rPr>
            </w:pPr>
            <w:r>
              <w:rPr>
                <w:rFonts w:ascii="Arial" w:cs="Arial" w:eastAsia="Arial" w:hAnsi="Arial"/>
                <w:sz w:val="18"/>
                <w:szCs w:val="18"/>
                <w:color w:val="auto"/>
              </w:rPr>
              <w:t>Total derivative liabilities</w:t>
            </w:r>
          </w:p>
        </w:tc>
        <w:tc>
          <w:tcPr>
            <w:tcW w:w="1980" w:type="dxa"/>
            <w:vAlign w:val="bottom"/>
          </w:tcPr>
          <w:p>
            <w:pPr>
              <w:spacing w:after="0"/>
              <w:rPr>
                <w:sz w:val="19"/>
                <w:szCs w:val="19"/>
                <w:color w:val="auto"/>
              </w:rPr>
            </w:pP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 ended April 30, 2011 and 2010, respectively (amounts presented include any income tax effects):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Foreign Currency Contracts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396"/>
              <w:spacing w:after="0" w:line="142" w:lineRule="exact"/>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of Gain (Loss) Recognized in Accumulated OCI on Derivatives (Effective Portion)</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w w:val="98"/>
              </w:rPr>
              <w:t>Amount and Location of Gain (Loss) Reclassified from Accumulated OCI into Income (Effective</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b w:val="1"/>
                <w:bCs w:val="1"/>
                <w:color w:val="auto"/>
              </w:rPr>
              <w:t>Portion)</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w w:val="95"/>
              </w:rPr>
              <w:t>Amount and Location of Gain (Loss) Recognized in Income on Derivatives (Ineffective Portion and</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b w:val="1"/>
                <w:bCs w:val="1"/>
                <w:color w:val="auto"/>
              </w:rPr>
              <w:t>Amount Excluded from Effectiveness Testing)</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 (expense), net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 ended April 30, 2011 and 2010, respectively (amounts presented include any income tax effects):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4"/>
              </w:rPr>
              <w:t>Foreign Currency Contracts</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w w:val="92"/>
              </w:rPr>
              <w:t>Three Months Ended April 30,</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800" w:type="dxa"/>
            <w:vAlign w:val="bottom"/>
          </w:tcPr>
          <w:p>
            <w:pPr>
              <w:spacing w:after="0" w:line="142" w:lineRule="exact"/>
              <w:rPr>
                <w:sz w:val="20"/>
                <w:szCs w:val="20"/>
                <w:color w:val="auto"/>
              </w:rPr>
            </w:pPr>
            <w:r>
              <w:rPr>
                <w:rFonts w:ascii="Arial" w:cs="Arial" w:eastAsia="Arial" w:hAnsi="Arial"/>
                <w:sz w:val="14"/>
                <w:szCs w:val="14"/>
                <w:b w:val="1"/>
                <w:bCs w:val="1"/>
                <w:color w:val="auto"/>
              </w:rPr>
              <w:t>Amount and Location of Gain (Loss) Recognized in Income on Derivative</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w w:val="96"/>
              </w:rPr>
              <w:t>2011</w:t>
            </w:r>
          </w:p>
        </w:tc>
        <w:tc>
          <w:tcPr>
            <w:tcW w:w="11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FairValue Measurements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 recurring basis, Autodesk measures the fair value of certain financial assets and liabilities, which consist of cash equivalents, marketable securities and foreign currency contracts. Autodesk uses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 financial asset or liability’s classification within the hierarchy is determined based on the lowest level input that is significant to the fair value measurement. There have been no transfers between fair value measurement levels during the three months ended April 30,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April 30,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Fair Value Measurements at April 30,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9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6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Active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4"/>
              </w:rPr>
              <w:t>Identical Assets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(Level 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487.1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Convertible debt securities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401.2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841.4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“Other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w w:val="92"/>
              </w:rPr>
              <w:t>Fair Value Measurements at January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6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2"/>
              </w:rPr>
              <w:t>Identical Assets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(Level 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5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The Company’s investments held in auction rate and convertible debt securities at April 30, 2011 and January 31, 2011 are designated as Level 3 because they are valued using probability weighted discounted cash flow models and some of the inputs to the models are unobservable in the market.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2011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342"/>
              <w:spacing w:after="0"/>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520"/>
              <w:spacing w:after="0" w:line="142" w:lineRule="exact"/>
              <w:rPr>
                <w:sz w:val="20"/>
                <w:szCs w:val="20"/>
                <w:color w:val="auto"/>
              </w:rPr>
            </w:pPr>
            <w:r>
              <w:rPr>
                <w:rFonts w:ascii="Arial" w:cs="Arial" w:eastAsia="Arial" w:hAnsi="Arial"/>
                <w:sz w:val="14"/>
                <w:szCs w:val="14"/>
                <w:b w:val="1"/>
                <w:bCs w:val="1"/>
                <w:color w:val="auto"/>
                <w:w w:val="87"/>
              </w:rPr>
              <w:t>(Level 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Taxable</w:t>
            </w:r>
          </w:p>
        </w:tc>
        <w:tc>
          <w:tcPr>
            <w:tcW w:w="3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Auction-Rate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2011</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Purchases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months ended April 30, 2011, there were no transfers in or out, issuances, settlements, sales or realized/unrealized gains (losses) within level 3 assets.</w:t>
      </w:r>
    </w:p>
    <w:p>
      <w:pPr>
        <w:spacing w:after="0" w:line="2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April 30, 2011, Autodesk maintained two active stock plans for the purpose of granting equity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The exercise price of all stock options granted under these plans was equal to the fair market value of the stock on the grant date. Additionally, there are seven expired or terminated plans with options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2008 Plan was approved by Autodesk’s stockholders in November 2007 and was amended in June 2010. As amended, the 2008 Plan reserves</w:t>
      </w:r>
    </w:p>
    <w:p>
      <w:pPr>
        <w:spacing w:after="0" w:line="3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16.0 million shares of Autodesk common stock for issuance and will expire in June 2013. The 2008 Plan permits the grant of stock options, restricted stock units and restricted stock awards;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options expire within four to ten years from the date of grant. At April 30, 2011, 9.9 million shares were available for future issuance under the 2008 Plan.</w:t>
      </w:r>
    </w:p>
    <w:p>
      <w:pPr>
        <w:spacing w:after="0" w:line="1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2010 Plan which was approved by the stockholders in June 2009, became effective March 2010 and will expire in March 2020. The 2010 Plan permits the grant of stock options and restricted stock awards to non-employee members of Autodesk’s Board of Directors. Options and awards granted under the 2010 Plan vest over periods ranging from one year to four years, and options expire within seven years from the date of grant. The 2010 Plan reserves 3.0 million shares of Autodesk common stock. At April 30, 2011, 2.8 million shares were available for future issuance.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three months ended April 30, 2011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April 30,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Options exercisable at April 30, 2011</w:t>
            </w: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7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April 30, 2011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April 30, 2011, total compensation cost of $141.5 million related to non-vested options is expected to be recognized over a weighted average period of 2.3 years. The following table summarizes information about the pre-tax intrinsic value of options exercised, and the weighted average grant date fair value per share of options granted, during the three months ended April 30, 2011, and 2010. The intrinsic value of options exercised is calculated as the difference between the exercise price of the option and the market value of the stock on the date of exercise. The weighted average grant date fair value of stock options granted is calculated, as of the stock option grant date, using the Black-Scholes-Merton option pricing model.</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6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April 30,</w:t>
            </w:r>
          </w:p>
        </w:tc>
        <w:tc>
          <w:tcPr>
            <w:tcW w:w="6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30,</w:t>
            </w:r>
          </w:p>
        </w:tc>
      </w:tr>
      <w:tr>
        <w:trPr>
          <w:trHeight w:val="161"/>
        </w:trPr>
        <w:tc>
          <w:tcPr>
            <w:tcW w:w="6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Pre-tax intrinsic value of options exercised</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Weighted average grant date fair value per share of stock options granted</w:t>
            </w:r>
          </w:p>
        </w:tc>
        <w:tc>
          <w:tcPr>
            <w:tcW w:w="1920" w:type="dxa"/>
            <w:vAlign w:val="bottom"/>
            <w:gridSpan w:val="2"/>
          </w:tcPr>
          <w:p>
            <w:pPr>
              <w:ind w:left="18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6"/>
              </w:rPr>
              <w:t>Options Exercisable</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4"/>
              </w:rPr>
              <w:t>Options Outstanding</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34"/>
        </w:trPr>
        <w:tc>
          <w:tcPr>
            <w:tcW w:w="4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contractual</w:t>
            </w:r>
          </w:p>
        </w:tc>
        <w:tc>
          <w:tcPr>
            <w:tcW w:w="2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9"/>
              <w:spacing w:after="0" w:line="135" w:lineRule="exact"/>
              <w:rPr>
                <w:sz w:val="20"/>
                <w:szCs w:val="20"/>
                <w:color w:val="auto"/>
              </w:rPr>
            </w:pPr>
            <w:r>
              <w:rPr>
                <w:rFonts w:ascii="Arial" w:cs="Arial" w:eastAsia="Arial" w:hAnsi="Arial"/>
                <w:sz w:val="14"/>
                <w:szCs w:val="14"/>
                <w:b w:val="1"/>
                <w:bCs w:val="1"/>
                <w:color w:val="auto"/>
                <w:w w:val="88"/>
              </w:rPr>
              <w:t>intrinsic</w:t>
            </w:r>
          </w:p>
        </w:tc>
        <w:tc>
          <w:tcPr>
            <w:tcW w:w="2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contractual</w:t>
            </w:r>
          </w:p>
        </w:tc>
        <w:tc>
          <w:tcPr>
            <w:tcW w:w="2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intrinsic</w:t>
            </w:r>
          </w:p>
        </w:tc>
      </w:tr>
      <w:tr>
        <w:trPr>
          <w:trHeight w:val="163"/>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89"/>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2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r>
      <w:tr>
        <w:trPr>
          <w:trHeight w:val="161"/>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2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$0.61 — $17.37</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$ 12.73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$ 13.43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$17.39 — $29.49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$29.50 — $38.00</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$38.08 — $45.29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380" w:type="dxa"/>
            <w:vAlign w:val="bottom"/>
          </w:tcPr>
          <w:p>
            <w:pPr>
              <w:ind w:left="440"/>
              <w:spacing w:after="0"/>
              <w:rPr>
                <w:sz w:val="20"/>
                <w:szCs w:val="20"/>
                <w:color w:val="auto"/>
              </w:rPr>
            </w:pPr>
            <w:r>
              <w:rPr>
                <w:rFonts w:ascii="Arial" w:cs="Arial" w:eastAsia="Arial" w:hAnsi="Arial"/>
                <w:sz w:val="18"/>
                <w:szCs w:val="18"/>
                <w:color w:val="auto"/>
              </w:rPr>
              <w:t>$47.24 — $49.80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0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$44.98 per share as of April 30, 2011,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at specific dates ranging through March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three months ended April 30, 2011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4"/>
              </w:rPr>
              <w:t>Unreleased</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date fair value</w:t>
            </w: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2011</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Awarded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April 30, 2011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three months ended April 30, 2011, Autodesk granted approximately 675,000 restricted stock units under the 2008 Plan.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$5.3 million and $1.7 million during three months ended April 30, 2011 and 2010, respectively. As of April 30, 2011, total compensation cost not yet recognized of $41.0 million related to non-vested restricted stock units, is expected to be recognized over a weighted average period of 1.6 years. At April 30, 2011, the number of restricted stock units granted but unreleased was 2.0 million.</w:t>
      </w:r>
    </w:p>
    <w:p>
      <w:pPr>
        <w:spacing w:after="0" w:line="118"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During the three months ended April 30, 2011, Autodesk did not grant restricted stock awards under the 2010 Plan. Restricted stock awards granted under the 2010 Plan vest on the date of the next annual meeting. Restricted stock awards are considered outstanding at the time of grant, as the stock award holders are entitled to many of the rights of a stockholder, including voting rights. The fair value of the restricted stock awards is expensed ratably over the vesting period.</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Autodesk recorded stock-based compensation expense related to restricted stock awards of $0.1 million during each of the three months ended April 30, 2011 and 2010, respectively. As of April 30, 2011, total compensation cost not yet recognized of $0.1 million related to non-vested restricted stock awards, is expected to be recognized over a weighted average period of 0.1 years. At April 30, 2011, the number of restricted stock awards granted but unreleased was 23,000.</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April 30, 2011, a total of 30.7 million shares were available for future issuance. This amount automatically increases on the first trading day of each fiscal year by an amount equal to the lesser of 10.0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4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Autodesk issued 1.8 million shares and 1.7 million shares under the ESP Plan during the three months ended April 30, 2011 and 2010, respectively, at average prices of $15.28 and $14.65 per share, respectively. The weighted average grant date fair value of awards granted under the ESP Plan during the three months ended April 30, 2011, and 2010, calculated as of the award grant date using the Black-Scholes-Merton option pricing model, was $8.12 and $6.90 per share,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expense for the three months ended April 30, 2011 and 2010, respectively,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9"/>
              </w:rPr>
              <w:t>Three Months</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April 30,</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Ended April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18"/>
                <w:szCs w:val="18"/>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 compensation expense related to stock awards and ESP Plan purchases, net of tax</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14"/>
                <w:szCs w:val="14"/>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7160" w:type="dxa"/>
            <w:vAlign w:val="bottom"/>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Ended April 30, 2011</w:t>
            </w:r>
          </w:p>
        </w:tc>
        <w:tc>
          <w:tcPr>
            <w:tcW w:w="38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Ended April 30, 2010</w:t>
            </w:r>
          </w:p>
        </w:tc>
      </w:tr>
      <w:tr>
        <w:trPr>
          <w:trHeight w:val="129"/>
        </w:trPr>
        <w:tc>
          <w:tcPr>
            <w:tcW w:w="7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Stock Option</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7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ESP Plan</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38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40 - 43%</w:t>
            </w:r>
          </w:p>
        </w:tc>
        <w:tc>
          <w:tcPr>
            <w:tcW w:w="11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34 - 37%</w:t>
            </w:r>
          </w:p>
        </w:tc>
        <w:tc>
          <w:tcPr>
            <w:tcW w:w="11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40 - 43%</w:t>
            </w:r>
          </w:p>
        </w:tc>
        <w:tc>
          <w:tcPr>
            <w:tcW w:w="1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33% - 45%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2.6 - 4.4</w:t>
            </w:r>
          </w:p>
        </w:tc>
        <w:tc>
          <w:tcPr>
            <w:tcW w:w="114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0.5 -2.0</w:t>
            </w:r>
          </w:p>
        </w:tc>
        <w:tc>
          <w:tcPr>
            <w:tcW w:w="116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2.7 - 3.7</w:t>
            </w:r>
          </w:p>
        </w:tc>
        <w:tc>
          <w:tcPr>
            <w:tcW w:w="118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0.50 -2.0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2"/>
              </w:rPr>
              <w:t>0%</w:t>
            </w:r>
          </w:p>
        </w:tc>
        <w:tc>
          <w:tcPr>
            <w:tcW w:w="11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2"/>
              </w:rPr>
              <w:t>0%</w:t>
            </w:r>
          </w:p>
        </w:tc>
        <w:tc>
          <w:tcPr>
            <w:tcW w:w="1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2"/>
              </w:rPr>
              <w:t>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0.9 - 1.9%</w:t>
            </w:r>
          </w:p>
        </w:tc>
        <w:tc>
          <w:tcPr>
            <w:tcW w:w="114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0.2 - 0.8%</w:t>
            </w:r>
          </w:p>
        </w:tc>
        <w:tc>
          <w:tcPr>
            <w:tcW w:w="116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1.3 - 1.9%</w:t>
            </w:r>
          </w:p>
        </w:tc>
        <w:tc>
          <w:tcPr>
            <w:tcW w:w="118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0.2 - 1.1%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w:t>
            </w:r>
          </w:p>
        </w:tc>
        <w:tc>
          <w:tcPr>
            <w:tcW w:w="114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10.5%</w:t>
            </w:r>
          </w:p>
        </w:tc>
        <w:tc>
          <w:tcPr>
            <w:tcW w:w="11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13.5%</w:t>
            </w:r>
          </w:p>
        </w:tc>
        <w:tc>
          <w:tcPr>
            <w:tcW w:w="11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13.5%</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Autodesk’s effective tax rate was 18% and 22% during the three months ended April 30, 2011 and 2010, respectively. Autodesk’s effective tax rate decreased 4 percentage points during the three months ended April 30, 2011 as compared to the same period in the prior fiscal year primarily due to a decrease in non-deductible stock-based compensation expense and an increase in tax benefits in fiscal 2012 from foreign earnings taxed at lower rates compared to fiscal 2011. Excluding the impact of discrete tax benefits of $4.1 million associated with stock based compensation, the effective tax rate for the three months ended April 30, 2011 was 23% and was lower than the Federal statutory tax rate of 35% primarily due to foreign income taxed at lower rates and U.S. research and development credits partially offset by the impact of non-deductible stock-based compensation expense.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As of April 30, 2011, the Company had $192.0 million of gross unrecognized tax benefits, excluding interest, of which approximately $178.6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April 30, 2011, Autodesk had net deferred tax assets of $141.8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During the quarter ended April 30, 2011, Autodesk completed the business combinations described below. The results of operations for the following acquisitions are included in the accompanying Condensed Consolidated Statement of Operations since their respective acquisition date. Pro forma results of operations have not been presented because the effects of the following acquisitions, individually and in the aggregate, were not material to Autodesk’s Condensed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Scaleform</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March 1, 2011, Autodesk acquired Scaleform Corporation (“Scaleform”) for total consideration of $36.2 million. Scaleform was a privately held middleware and user interface tools company, whose technology has been licensed in the development of games across all major hardware platforms. Scaleform has been integrated into Autodesk’s M&amp;E segment.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the acquisition method of accounting, Autodesk allocated the fair value of the total consideration transferred to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over the aggregate fair values as goodwill.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allocation of purchase consideration to assets and liabilities is not yet finalized. The allocation of the purchase price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 The fair values of the assets acquired and liabilities assumed by major class in the acquisition were recognized as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(5 year useful life)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Customer relationships (5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Trade name (5 year useful life)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Patent (10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w:t>
            </w: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9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36.2</w:t>
            </w: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$22.6 million of goodwill, which represents the excess of the consideration over the fair value of the acquired net tangible and intangible assets, is not deductible for income tax purposes.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Blue Ridge Numerics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10, 2011, Autodesk acquired Blue Ridge Numerics, Inc (“Blue Ridge”) for total consideration of $41.2 million. Blue Ridge was a privately held company that designed and sold software that enables mechanical engineers to study fluid flow and thermal performance in virtual prototyping. Blue Ridge has been integrated into Autodesk’s MFG segment.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the acquisition method of accounting Autodesk allocated the fair value of the total consideration transferred to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over the aggregate fair values as goodwill.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allocation of purchase consideration to assets and liabilities is not yet finalized. The allocation of the purchase price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 The fair values of the assets acquired and liabilities assumed by major class in the acquisition were recognized as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(3 year useful life)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Customer relationships (4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Trade name (3 year useful life)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22.3</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w:t>
            </w: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9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41.2</w:t>
            </w: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$22.3 million of goodwill, which represents the excess of the consideration over the fair value of the acquired net tangible and intangible assets, is not deductible for income tax purposes.</w:t>
      </w:r>
    </w:p>
    <w:p>
      <w:pPr>
        <w:spacing w:after="0" w:line="25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April 30, 2011, Autodesk had marketable securities totaling $434.3 million, of which $34.5 million related to investments in debt and equity securities that are held in a rabbi trust under non-qualified deferred compensation plans. The total related deferred compensation liability was $34.5 million at April 30, 2011, of which $3.7 million was classified as current and $30.8 million was classified as non-current liabilities. The value of debt and equity securities held in the rabbi trust at January 31, 2011 was $31.3 million. The total related deferred compensation liability at January 31, 2011 was $31.3 million, of which $3.4 million was classified as current and $27.9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135.6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133.9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443.7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(343.9)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1932"/>
              <w:spacing w:after="0"/>
              <w:rPr>
                <w:sz w:val="20"/>
                <w:szCs w:val="20"/>
                <w:color w:val="auto"/>
              </w:rPr>
            </w:pPr>
            <w:r>
              <w:rPr>
                <w:rFonts w:ascii="Arial" w:cs="Arial" w:eastAsia="Arial" w:hAnsi="Arial"/>
                <w:sz w:val="18"/>
                <w:szCs w:val="18"/>
                <w:color w:val="auto"/>
              </w:rPr>
              <w:t>19</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Other intangible assets that include purchased technologies, customer relationships, trade names and the related accumulated amortization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Purchased technologies, at cost </w:t>
            </w:r>
            <w:r>
              <w:rPr>
                <w:rFonts w:ascii="Arial" w:cs="Arial" w:eastAsia="Arial" w:hAnsi="Arial"/>
                <w:sz w:val="11"/>
                <w:szCs w:val="11"/>
                <w:color w:val="auto"/>
              </w:rPr>
              <w:t>(1)</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$ 326.8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 xml:space="preserve">Customer relationships and trade names, at cost </w:t>
            </w:r>
            <w:r>
              <w:rPr>
                <w:rFonts w:ascii="Arial" w:cs="Arial" w:eastAsia="Arial" w:hAnsi="Arial"/>
                <w:sz w:val="11"/>
                <w:szCs w:val="11"/>
                <w:color w:val="auto"/>
              </w:rPr>
              <w:t>(2)</w:t>
            </w:r>
          </w:p>
        </w:tc>
        <w:tc>
          <w:tcPr>
            <w:tcW w:w="30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527.4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(388.9)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$ 138.5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2" w:lineRule="auto"/>
        <w:tabs>
          <w:tab w:leader="none" w:pos="4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Purchased technologies include $1.2 million and zero of in-process research and development technology as of April 30, 2011 and January 31, 2011, respectively. In-process research and development is an indefinite lived asset that is held and tested at least annually for impairment until such time that it becomes fully developed technology. Once completed, the technology is amortized to expense over an applicable useful life.</w:t>
      </w:r>
    </w:p>
    <w:p>
      <w:pPr>
        <w:spacing w:after="0" w:line="1" w:lineRule="exact"/>
        <w:rPr>
          <w:rFonts w:ascii="Arial" w:cs="Arial" w:eastAsia="Arial" w:hAnsi="Arial"/>
          <w:sz w:val="20"/>
          <w:szCs w:val="20"/>
          <w:color w:val="auto"/>
          <w:vertAlign w:val="superscript"/>
        </w:rPr>
      </w:pPr>
    </w:p>
    <w:p>
      <w:pPr>
        <w:ind w:left="460" w:hanging="452"/>
        <w:spacing w:after="0" w:line="205"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Customer relationships and trade names are included in “Other assets” in the Condensed Consolidated Balance Sheet.</w:t>
      </w:r>
    </w:p>
    <w:p>
      <w:pPr>
        <w:spacing w:after="0" w:line="2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during the three months ended April 30,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Platform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Architecture,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Emerging</w:t>
            </w:r>
          </w:p>
        </w:tc>
        <w:tc>
          <w:tcPr>
            <w:tcW w:w="5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Media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80"/>
              </w:rPr>
              <w:t>Business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Construction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2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2011</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3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$ 703.3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554.1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Scaleform acquisition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Addition arising from Blue Ridge Numerics acquisition</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other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 accounting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adjustments and 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2011</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226.1</w:t>
            </w:r>
          </w:p>
        </w:tc>
        <w:tc>
          <w:tcPr>
            <w:tcW w:w="2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177.3</w:t>
            </w:r>
          </w:p>
        </w:tc>
        <w:tc>
          <w:tcPr>
            <w:tcW w:w="3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754.9</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226.1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$ 605.7</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 impact on the carrying value, nor result in an impairment, of goodwill shown on Autodesk’s balance sheet as of April 30, 2011 for the respective reporting units.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Autodesk’s U.S. line of credit facility permits unsecured short-term borrowings of up to $250.0 million and is available for working capital or other business needs. The credit agreement contains customary covenants, which could restrict liens on Autodesk’s assets, and restrict the Company’s ability to incur additional indebtedness or make dispositions of assets if Autodesk fails to maintain its financial covenants. At April 30, 2011 and January 31, 2011, Autodesk had no outstanding borrowings on this line of credit. This facility expires in August 2012.</w:t>
      </w:r>
    </w:p>
    <w:p>
      <w:pPr>
        <w:spacing w:after="0" w:line="26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During fiscal 2011 (“Fiscal 2011 Plan”), fiscal 2010 (“Fiscal 2010 Plan”) and fiscal 2009 (“Fiscal 2009 Plan”), Autodesk initiated restructuring plans in order to further reduce operating costs. These restructuring plans resulted in targeted global staff reductions of approximately 200, 430, and 700 positions for fiscal 2011, 2010 and 2009, respectively. No leased facilities were consolidated as part of the Fiscal 2011 Plan. The Fiscal 2010 Plan and Fiscal 2009 Plan resulted in the consolidation of 32 and 27 leased facilities,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three months ended April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Balance at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31, 2011</w:t>
            </w: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520" w:type="dxa"/>
            <w:vAlign w:val="bottom"/>
            <w:gridSpan w:val="3"/>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7"/>
              </w:rPr>
              <w:t>April 30, 2011</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Fiscal 2011 Plan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Fiscal 2009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480" w:hanging="452"/>
        <w:spacing w:after="0" w:line="221"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portions of the reserve are recorded in the Condensed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8" w:lineRule="exact"/>
        <w:rPr>
          <w:sz w:val="20"/>
          <w:szCs w:val="20"/>
          <w:color w:val="auto"/>
        </w:rPr>
      </w:pPr>
    </w:p>
    <w:p>
      <w:pPr>
        <w:ind w:left="240" w:right="8560" w:hanging="232"/>
        <w:spacing w:after="0" w:line="413" w:lineRule="auto"/>
        <w:tabs>
          <w:tab w:leader="none" w:pos="458"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18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Autodesk has a stock repurchase program that is used largely to help offset the dilution to net income per share caused by the issuance of stock under the Company’s employee stock plans and for such other purposes as may be in the interests of Autodesk and its stockholders, and has the effect of returning excess cash generated from the Company’s business to stockholders. During the three months ended April 30, 2011, Autodesk repurchased and retired 1.7 million shares at an average repurchase price of $40.17 per share. Common stock and additional paid-in capital and retained earnings were reduced by $39.5 million and $29.1 million, respectively, during the three months ended April 30, 2011, as a result of the stock repurchases.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April 30, 2011, 22.7 million shares remained available for repurchase under repurchase plans approved by the Board of Directors. During the three month ended April 30, 2011,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23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April</w:t>
            </w:r>
          </w:p>
        </w:tc>
        <w:tc>
          <w:tcPr>
            <w:tcW w:w="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Change in net unrealized gain (loss) on available-for-sale securities, net of tax</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22</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2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of taxes, was comprised of the following at April 30, 2011 and January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9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loss on derivative instruments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1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7"/>
        </w:trPr>
        <w:tc>
          <w:tcPr>
            <w:tcW w:w="9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0"/>
        </w:trPr>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44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4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237.1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April 30, 2011 and 2010, 6.7 million and 19.4 million potentially anti-dilutive shares, respectively, were excluded from the computation of net income per share.</w:t>
      </w:r>
    </w:p>
    <w:p>
      <w:pPr>
        <w:spacing w:after="0" w:line="2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43"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45"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2011 Annual Report on Form 10-K. Autodesk evaluates each segment’s performance on the basis of gross profit. Autodesk currently does not separately accumulate and report asset information by segment, except for goodwill, which is disclosed in Note 12, “Goodwill.”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61"/>
        </w:trPr>
        <w:tc>
          <w:tcPr>
            <w:tcW w:w="99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April</w:t>
            </w:r>
          </w:p>
        </w:tc>
        <w:tc>
          <w:tcPr>
            <w:tcW w:w="6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14"/>
                <w:szCs w:val="14"/>
                <w:color w:val="auto"/>
              </w:rPr>
            </w:pPr>
          </w:p>
        </w:tc>
      </w:tr>
      <w:tr>
        <w:trPr>
          <w:trHeight w:val="142"/>
        </w:trPr>
        <w:tc>
          <w:tcPr>
            <w:tcW w:w="990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6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$ 210.5</w:t>
            </w:r>
          </w:p>
        </w:tc>
        <w:tc>
          <w:tcPr>
            <w:tcW w:w="2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$ 183.8</w:t>
            </w: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$ 528.3</w:t>
            </w:r>
          </w:p>
        </w:tc>
        <w:tc>
          <w:tcPr>
            <w:tcW w:w="2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$ 474.6</w:t>
            </w:r>
          </w:p>
        </w:tc>
      </w:tr>
      <w:tr>
        <w:trPr>
          <w:trHeight w:val="20"/>
        </w:trPr>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$ 198.6</w:t>
            </w:r>
          </w:p>
        </w:tc>
        <w:tc>
          <w:tcPr>
            <w:tcW w:w="2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$ 173.5</w:t>
            </w: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113.2</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r>
      <w:tr>
        <w:trPr>
          <w:trHeight w:val="27"/>
        </w:trPr>
        <w:tc>
          <w:tcPr>
            <w:tcW w:w="9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$ 473.7</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$ 423.3</w:t>
            </w:r>
          </w:p>
        </w:tc>
      </w:tr>
      <w:tr>
        <w:trPr>
          <w:trHeight w:val="20"/>
        </w:trPr>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6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Americas</w:t>
            </w:r>
          </w:p>
        </w:tc>
        <w:tc>
          <w:tcPr>
            <w:tcW w:w="3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36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36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Japan</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36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36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3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May 26, 2011, Autodesk entered into a credit agreement that provides for a $400 million unsecured revolving credit facility, with an option to request an increase in the amount of the credit facility by up to an additional $100 million. In connection with the execution of the Credit Agreement, Autodesk and Citibank terminated the $250 million U.S. line of credit facility described in Note 13, “Borrowing Arrangements.” The new credit agreement contains customary covenants that could restrict the imposition of liens on Autodesk’s assets, and restrict the Company’s ability to incur additional indebtedness or make dispositions of assets if Autodesk fails to maintain the financial covenants. The new facility expires in May 2016.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the statements in “Strategy” below, anticipated future net revenue, future operating margin and other future financial results (by product and geography) and operating expenses, our backlog, expected trends in certain financial metrics, the impact of acquisitions and investment activities, the effect of fluctuations in exchange rates and our hedging activities on our financial results, the impact of natural disasters on our operations and financial results, our ability to successfully expand adoption of our products, and our ability to successfully increase sales of product suites as part of our overall sales strategy.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for the world’s designers, architects, engineers, and digital artists—the people who create products, buildings, infrastructure, films, and games. Autodesk serves customers in three primary markets: architecture, engineering and construction; manufacturing; and digital media and entertainment.</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 including student versions of software, curricula and faculty development. We have an extensive global community of students who are experienced with our software and poised to become the next generation of professional users—thus reducing the cost of training and providing new talent for our customers. Our global network of distributors, resellers, third party developers, customers, educational institutions and students has been developed over our twenty-eight year history. We believe it is an enduring competitive advantage that is difficult for others to replicate.</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growth strategy includes continually increasing the business value of our design tools to our customers in a number of ways. First, we seek to address an increasing portion of our customers’ workflow with products that extend the value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customers’ digital design information into visualization, analysis and simulation. Second, we extend our customers’ workflow with products for adjacent users and for the “customers of our customers,” thus increasing the value of the design information our customers produce. Third, we seek to improve our product interoperability and usability, thus improving our customers’ productivity and effectiveness. Fourth, we develop new ways to deliver capability and value to our customers, such as product suites, software-as-a-service, and delivery of our solutions on mobile devices and new hardware platforms. Notably, in April 2011, we released English language versions of our Autodesk Design Suite, Autodesk Factory Design Suite, Autodesk Product Design Suite, Autodesk Building Design Suite and Autodesk Entertainment Creation Suite, as well as a Japanese language version of our Autodesk Entertainment Creation Suite. Finally, we have developed a new line of consumer products for the Web, iPad, and mobile devices that provide our advanced visualization technologies to consumers—a whole new category of Autodesk customer.</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believe that expanding our design product customers’ portfolios to include our suites presents a meaningful growth opportunity and is an important part of our overall strategy. For the three months ended April 30, 2011, revenue from suites increased 17%, as compared to the same period in the prior fiscal year, and as a percentage of revenue increased to 23% in the three months ended April 30, 2011 as compared to 22% in the three months ended April 30, 2010. We believe that the adoption of design products and suites by our customers in all industries will increase their productivity and the value of their design data.</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Expanding our geographic coverage is another key element of our growth strategy. While emerging markets are important for many global businesses, we believe they hold special opportunity for Autodesk. Much of the growth in the world’s construction and manufacturing is happening in emerging markets. Further, emerging markets face many of the challenges that our design technology can help address, for example infrastructure build-out. We believe that emerging economies continue to present long-term growth opportunities for us and revenue from emerging countries increased 13% during the three months ended</w:t>
      </w:r>
    </w:p>
    <w:p>
      <w:pPr>
        <w:spacing w:after="0" w:line="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April 30, 2011 as compared to the same period of the prior fiscal year. Revenue from emerging countries represented 15% of net revenue during the three months ended April 30, 2011 and 14% during the three months ended April 30, 2010.</w:t>
      </w:r>
    </w:p>
    <w:p>
      <w:pPr>
        <w:spacing w:after="0" w:line="13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that promote our strategy become available. We anticipate that the pace at which we make such investments will increase in comparison to fiscal 2011 but remain informed by and dependent on our business needs, the availability of suitable sellers and technology and our own financial condition.</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2011 (the “2011 Form 10-K”). In addition, we highlighted those policies that involve a higher degree of judgment and complexity with further discussion of these judgmental areas in Item 7, “Management’s Discussion and Analysis of Financial Condition and Results of Operations” in the 2011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As of April 30, 2011, a hypothetical 10% decrease in the fair value of our reporting units would not have an impact on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nor result in impairment of goodwill. For further discussion see Note 12, “Goodwill,” in the Notes to the Condensed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currently have $141.8 million of net deferred tax assets, primarily a result of tax credits, net operating losses, and timing differences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Three Months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Three Months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8"/>
              </w:rPr>
              <w:t>Ended</w:t>
            </w:r>
          </w:p>
        </w:tc>
        <w:tc>
          <w:tcPr>
            <w:tcW w:w="66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160" w:type="dxa"/>
            <w:vAlign w:val="bottom"/>
          </w:tcPr>
          <w:p>
            <w:pPr>
              <w:spacing w:after="0"/>
              <w:rPr>
                <w:sz w:val="12"/>
                <w:szCs w:val="12"/>
                <w:color w:val="auto"/>
              </w:rPr>
            </w:pPr>
          </w:p>
        </w:tc>
        <w:tc>
          <w:tcPr>
            <w:tcW w:w="6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8"/>
              </w:rPr>
              <w:t>Ended</w:t>
            </w:r>
          </w:p>
        </w:tc>
        <w:tc>
          <w:tcPr>
            <w:tcW w:w="6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April 30, 2011</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7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April 30, 2010</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grew year over year as evidenced by our increases in revenue, gross profit and income from operations. Contributing to the year over year increases in revenue were increases in revenue from new seat licenses, maintenance revenue, revenue for most of our major products, all of our reportable segments, and all of our geographic areas during three months ended April 30, 2011 as compared to the same period in the prior fiscal year. The reasons for these increases are discussed below under the heading “Results of Operations.” In addition, we continued to control our operating costs, which led to year over year improvements in profitability. The 55% increase in income from operations in the three months ended April 30, 2011, as compared to the same period in the prior fiscal year, was due to the increase in our net revenue, while holding the growth of operating expenses. The majority of our costs are relatively fixed in the short term as they relate primarily to our workforce.</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total operating margin increased from $50.8 million, or 11% of revenue during the three months ended April 30, 2010 to $78.6 million, or 15% of revenue during the three months ended April 30, 2011. The increase in our operating margin was primarily because net revenue increased at a faster rate than the increase in our costs due to proportionally less spending per revenue dollar earned. Net revenue increased $53.7 million or 11% for the three months ended April 30, 2011, as compared to the same period in the prior fiscal year, while our operating expenses increased $22.6 million, or 6% for the three months ended April 30, 2011. The 6% increase in operating expenses in the three months ended April 30, 2011, as compared to the three months ended April 30, 2010 was due to an increase in salaries and benefits due to increased headcount and the return of employee costs which were temporarily suppressed in the prior year such as salary reductions, employee incentives and mandatory vacation, and other costs associated with higher revenue. These increases were partially offset by the decrease in restructuring charges of $7.1 million.</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generate a majority of our revenue in the U.S., Japan, Germany, the United Kingdom and France. Included in the overall increase in revenue were impacts associated with foreign currency. Our revenue benefited from foreign exchange rate changes during the three months ended April 30, 2011, as compared to the same period in the prior fiscal year. Had applicable exchange rates from the three months ended April 30, 2010 been in effect during the three months ended April 30, 2011 and had we excluded foreign exchange hedge gains and losses from the three months ended April 30, 2011, (“on a constant currency basis”), net revenue would have increased 11% compared to the same period in the prior fiscal year. During the three months ended April 30, 2011, total spend, defined as cost of revenue plus operating expenses, increased 6% compared to the same period in the prior fiscal year as reported and increased 4%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17% of our consolidated net revenue during both the three months ended April 30, 2011 and 2010, respectively. We believe our business is not substantially dependent on Tech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Data. Our actual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88"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Our primary goals for the remainder of fiscal 2012 are to grow revenue and improve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w:t>
      </w:r>
    </w:p>
    <w:p>
      <w:pPr>
        <w:spacing w:after="0" w:line="14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At the beginning of fiscal 2012, we introduced new classifications of our product categories: flagship, suites and new and adjacent products (see the glossary of terms at the end of this Item 2 for a description of these product classifications). These new categories replace our old product categories: 2D horizontal, 2D vertical and 3D model-based solutions. Revenue from flagship products was 61% of total revenue during the three months ended April 30, 2011, and increased 10%, as compared to the same period in the prior fiscal year. Revenue from suites was 23% of total revenue during the three months ended</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April 30, 2011, and increased 17% as compared to the same period in the prior fiscal year. During the three months ended April 2011, we released our new design and creation suites that include English language versions of our Autodesk Design Suite, Autodesk Factory Design Suite, Autodesk Product Design Suite, Autodesk Building Design Suite and Autodesk Entertainment Creation Suite, as well as a Japanese language version of our Autodesk Entertainment Creation Suite. Suites revenue and growth rate are comprised primarily of revenue from our pre-existing suite families, such as Inventor and Revit suites. Revenue from new and adjacent products was 15% of total revenue during the three months ended April 30, 2011 and increased 9% as compared to the same period in the prior fiscal year.</w:t>
      </w:r>
    </w:p>
    <w:p>
      <w:pPr>
        <w:spacing w:after="0" w:line="14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April 30, 2011, we had $1,525.7 million in cash and marketable securities. We completed the quarter ended April 30, 2011 with a higher deferred revenue balance and a lower accounts receivable balance as compared to the quarter ended January 31, 2011. Our deferred revenue balance at April 30, 2011 included $543.0 million related to customer maintenance contracts, which will be recognized as revenue ratably over the life of the contracts. Our maintenance contracts are for a term of predominantly one year, but may be two or three years, or occasionally as long as five year terms. We repurchased 1.7 million shares of our common stock for $68.6 million during the three months ended April 30, 2011. Comparatively, we repurchased 2.0 million shares of our common stock for $58.8 million during the three months ended April 30,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Increase compared to</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Ended</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0"/>
              </w:rPr>
              <w:t>prior fiscal year</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45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2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April 30, 2011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April 30, 2010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44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323.0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3"/>
              </w:rPr>
              <w:t>11%</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528.3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53.7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Americas</w:t>
            </w:r>
          </w:p>
        </w:tc>
        <w:tc>
          <w:tcPr>
            <w:tcW w:w="244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181.4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20.2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53.7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26.7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53.7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vMerge w:val="restart"/>
          </w:tcPr>
          <w:p>
            <w:pPr>
              <w:jc w:val="right"/>
              <w:ind w:right="952"/>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upgrades and crossgrades. Other revenue consists of revenue from Creative Finishing, consulting and training services and collaborative project management services.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Total license and other revenue increased 15% during the three months ended April 30, 2011, as compared to the three months ended April 30, 2010. License and other revenue from flagship products increased 15%, license and other revenue from suites products increased 23%, and license and other revenue from new and adjacent products increased 9%, each as compared to the three months in the prior fiscal year. These increases were primarily due to the 23% increase in commercial new seat revenue during the three months as compared to the same period in the prior fiscal year. During the three months ended April 30, 2011, 16 percentage points of the 23% increase was due to the increase in the number of seats sold, and 7 percentage points was due to higher average net revenue per seat. Commercial new seat revenue, as a percentage of license and other revenue, was 67% and 63% for three months ended April 30, 2011 and 2010, respectively.</w:t>
      </w:r>
    </w:p>
    <w:p>
      <w:pPr>
        <w:spacing w:after="0" w:line="147"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Also contributing to the increase in license and other revenue during the three months ended April 30, 2011, as compared to the same period in the prior fiscal year, was the 4% increase in upgrade revenue, which includes crossgrade revenue. Upgrade revenue was higher during the three months ended April 30, 2011 primarily due to an ACAD LT upgrade promotion during the three months ended April 30, 2011 as compared to the three months ended April 30, 2010.</w:t>
      </w:r>
    </w:p>
    <w:p>
      <w:pPr>
        <w:spacing w:after="0" w:line="8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Maintenance revenue increased 5% during the three months ended April 30 2011, as compared to the three months ended April 30, 2010, primarily due to a 5% increase in commercial maintenance revenue. Total subscription program enrollment at April 30, 2011 and January 31, 2011 consisted of about 3.0 million users and 2.9 million users, respectively.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5% increase in commercial maintenance revenue was due to an 8 percentage point increase from commercial enrollment during the corresponding maintenance contract term offset by a 3 percentage point decrease from net revenue per maintenance seat. Commercial maintenance revenue represented 98% of maintenance revenue for both the three months ended April 30, 2011 and 2010.</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years, or occasionally as long as five year terms. Net maintenance billings increased 7% during the three months ended April 30, 2011 as compared to the three months ended April 30, 2010. This increase was due to an increase in renewals, more new seats sold and the impact from the upgrade promotion mentioned above in “License and Other Revenue.”</w:t>
      </w:r>
    </w:p>
    <w:p>
      <w:pPr>
        <w:spacing w:after="0" w:line="9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Aggregate backlog at April 30, 2011 and January 31, 2011, was $647.4 million and $615.4 million, respectively, of which $622.4 million and $587.9 million, respectively, represented deferred revenue. Backlog related to current software license product orders that had not shipped at the end of the quarter decreased by $2.5 million during the three months ended April 30, 2011 from $27.5 million at January 31, 2011 to $25.0 million at April 30, 2011.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revenue in the Americas geography increased by 13% during the three months ended April 30, 2011, as compared to the same period in the prior fiscal year. This increase was primarily due to a 26% increase in revenue from new seats in the Americas during the three months ended April 30, 2011 as compared to the three months ended April 30, 2010. Maintenance revenue increased 8% during the three months ended April 30, 2011 as compared to the same period in the prior fiscal year.</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revenue in the EMEA geography increased by 8%, or 10% on a constant currency basis, during the three months ended April 30, 2011 as compared to the same period in the prior period. The increase was primarily due to a 24% increase in new seat revenue partially offset by a 26% decrease in revenue from crossgrades. The increase in our revenue in that geography was led by the United Kingdom, Denmark and Belgium.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 in the APAC geography increased by 15%, or 11% on a constant currency basis, during the three months ended April 30, 2011, as compared to the same period in the prior year, primarily due to a 14% increase in new seat revenue and a 19% increase in maintenance revenue. Net revenue expansion in the APAC geography during the three months ended April 30, 2011 was led by Japan and followed by South Korea and Australia.</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Net revenue in emerging economies increased 13% during the three months ended April 30, 2011 as compared to the same period in the prior fiscal year, primarily due to revenue from the Russian Federation, Brazil and India. This growth was a significant factor in our international sales growth during the three months ended April 30, 2011. Revenue from emerging economies represented 15% and 14% of net revenue for the three month ended April 30, 2011 and 2010, respectively.</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International net revenue represented 73% of our net revenue for both the three months ended April 30, 2011 and 2010. We believe that international revenue will continue to comprise a majority of our total net revenue. The economic conditions in the countries that contribute a significant portion of our net revenue may have an adverse effect on our business in those countries and our overall financial performance. Net revenue from Japan was $60.7 million, or approximately 11% of our net revenue, for the three months ended April 30, 2011. Although we believe the impact of the earthquakes and tsunami that struck Japan in March 2011 on our future financial results will be immaterial, the events have created an element of uncertainty on our future financial results. Changes in the value of the U.S. dollar relative to other currencies have significantly affected, and could continue to significantly affect, our financial results for a given period even though we hedge a portion of our current and projected revenue.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revenue for PSEB, which includes our Autodesk Design Suite, increased 15% during the three months ended April 30, 2011, as compared to the same period in the prior fiscal year, primarily due to a 25% increase in revenue from our AutoCAD LT products.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revenue for AEC increased 3% during the three months ended April 30, 2011, as compared to the same period in the prior fiscal year, primarily due to a 19% increase in revenue from our Revit family of products, which includes our Autodesk Building Design Suite, and a 19% increase in revenue from our Navisworks products, offset by a 16% decrease in revenue from our ACAD Architecture products.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revenue for MFG increased 14% during the three months ended April 30, 2011, as compared to the same period in the prior fiscal year, primarily due to an 8% increase in revenue from our Autodesk Inventor family products, which includes our Autodesk Product Design Suite, and a 15% increase in our AutoCAD Mechanical products.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Net revenue for M&amp;E increased 15% during the three months ended April 30, 2011, as compared to the same period in the prior fiscal year, primarily due to a 19% increase in revenue from our Animation product group, which includes our Autodesk Entertainment Creation Suite, and a 7% increase in revenue from Creative Finishing. The increase in Animation revenue was primarily due to a 34% increase in revenue from Autodesk Maya.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Increase compared to</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8"/>
              </w:rPr>
              <w:t>Ended</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Ended</w:t>
            </w: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020" w:type="dxa"/>
            <w:vAlign w:val="bottom"/>
          </w:tcPr>
          <w:p>
            <w:pPr>
              <w:spacing w:after="0"/>
              <w:rPr>
                <w:sz w:val="12"/>
                <w:szCs w:val="12"/>
                <w:color w:val="auto"/>
              </w:rPr>
            </w:pPr>
          </w:p>
        </w:tc>
        <w:tc>
          <w:tcPr>
            <w:tcW w:w="1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140" w:type="dxa"/>
            <w:vAlign w:val="bottom"/>
          </w:tcPr>
          <w:p>
            <w:pPr>
              <w:spacing w:after="0"/>
              <w:rPr>
                <w:sz w:val="12"/>
                <w:szCs w:val="12"/>
                <w:color w:val="auto"/>
              </w:rPr>
            </w:pPr>
          </w:p>
        </w:tc>
        <w:tc>
          <w:tcPr>
            <w:tcW w:w="3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April 30, 2010</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42.6</w:t>
            </w: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19%</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19"/>
                <w:szCs w:val="19"/>
                <w:color w:val="auto"/>
              </w:rPr>
            </w:pP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7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Cost of license and other revenue increased 3% during the three months ended April 30, 2011, as compared to the same period in the prior fiscal year, primarily due to increased royalty costs.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19% during the three months ended April 30, 2011, as compared to the same period in the prior fiscal year, due to an increased annual fulfillment costs related to supplying USB flash drives of our suites product along with a slight increase in maintenance support headcount.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cost of revenue to increase in absolute dollars, but to remain relatively consistent as a percentage of net revenue during the second quarter of fiscal 2012, as compared to the second quarter of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Three</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Months</w:t>
            </w:r>
          </w:p>
        </w:tc>
        <w:tc>
          <w:tcPr>
            <w:tcW w:w="2040" w:type="dxa"/>
            <w:vAlign w:val="bottom"/>
            <w:gridSpan w:val="4"/>
          </w:tcPr>
          <w:p>
            <w:pPr>
              <w:ind w:left="260"/>
              <w:spacing w:after="0"/>
              <w:rPr>
                <w:sz w:val="20"/>
                <w:szCs w:val="20"/>
                <w:color w:val="auto"/>
              </w:rPr>
            </w:pPr>
            <w:r>
              <w:rPr>
                <w:rFonts w:ascii="Arial" w:cs="Arial" w:eastAsia="Arial" w:hAnsi="Arial"/>
                <w:sz w:val="14"/>
                <w:szCs w:val="14"/>
                <w:b w:val="1"/>
                <w:bCs w:val="1"/>
                <w:color w:val="auto"/>
              </w:rPr>
              <w:t>Increase compared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20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to prior fiscal year</w:t>
            </w:r>
          </w:p>
        </w:tc>
        <w:tc>
          <w:tcPr>
            <w:tcW w:w="3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60" w:type="dxa"/>
            <w:vAlign w:val="bottom"/>
            <w:gridSpan w:val="2"/>
            <w:vMerge w:val="restart"/>
          </w:tcPr>
          <w:p>
            <w:pPr>
              <w:jc w:val="center"/>
              <w:ind w:right="760"/>
              <w:spacing w:after="0" w:line="136" w:lineRule="exact"/>
              <w:rPr>
                <w:sz w:val="20"/>
                <w:szCs w:val="20"/>
                <w:color w:val="auto"/>
              </w:rPr>
            </w:pPr>
            <w:r>
              <w:rPr>
                <w:rFonts w:ascii="Arial" w:cs="Arial" w:eastAsia="Arial" w:hAnsi="Arial"/>
                <w:sz w:val="14"/>
                <w:szCs w:val="14"/>
                <w:b w:val="1"/>
                <w:bCs w:val="1"/>
                <w:color w:val="auto"/>
                <w:w w:val="90"/>
              </w:rPr>
              <w:t>April 30,</w:t>
            </w: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right"/>
              <w:ind w:right="440"/>
              <w:spacing w:after="0" w:line="136"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89"/>
        </w:trPr>
        <w:tc>
          <w:tcPr>
            <w:tcW w:w="44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4"/>
                <w:szCs w:val="14"/>
                <w:color w:val="auto"/>
              </w:rPr>
            </w:pPr>
          </w:p>
        </w:tc>
        <w:tc>
          <w:tcPr>
            <w:tcW w:w="4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April 30, 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$ 201.9</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$ 15.4</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3540" w:type="dxa"/>
            <w:vAlign w:val="bottom"/>
            <w:gridSpan w:val="3"/>
          </w:tcPr>
          <w:p>
            <w:pPr>
              <w:jc w:val="right"/>
              <w:ind w:right="60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5"/>
          <w:szCs w:val="15"/>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8% during the three months ended April 30, 2011, as compared to the same period in the prior fiscal year, primarily due to higher employee-related costs related to salaries and fringe benefits primarily associated with increased head count and an increase in advertising expenses. We expect marketing and sales expense to increase in absolute dollars, but to remain relatively consistent as a percentage of net revenue during the second quarter of fiscal 2012, as compared to the second quarter of fiscal 2011.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Three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87"/>
              </w:rPr>
              <w:t>Increase compared to</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Months</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restart"/>
          </w:tcPr>
          <w:p>
            <w:pPr>
              <w:jc w:val="center"/>
              <w:ind w:left="67"/>
              <w:spacing w:after="0"/>
              <w:rPr>
                <w:sz w:val="20"/>
                <w:szCs w:val="20"/>
                <w:color w:val="auto"/>
              </w:rPr>
            </w:pPr>
            <w:r>
              <w:rPr>
                <w:rFonts w:ascii="Arial" w:cs="Arial" w:eastAsia="Arial" w:hAnsi="Arial"/>
                <w:sz w:val="14"/>
                <w:szCs w:val="14"/>
                <w:b w:val="1"/>
                <w:bCs w:val="1"/>
                <w:color w:val="auto"/>
                <w:w w:val="88"/>
              </w:rPr>
              <w:t>prior fiscal year</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32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April 30, 2011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6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April 30, 2010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Research and development expenses increased 7% during the three months ended April 30, 2011, as compared to the same period in the prior fiscal year, primarily due to an increase in salaries, benefits and bonuses. We expect research and development expense to increase in absolute dollars, but to remain relatively consistent as a percentage of net revenue during the second quarter of fiscal 2012, as compared to the second quarter of fiscal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Three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Months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left="7"/>
              <w:spacing w:after="0"/>
              <w:rPr>
                <w:sz w:val="20"/>
                <w:szCs w:val="20"/>
                <w:color w:val="auto"/>
              </w:rPr>
            </w:pPr>
            <w:r>
              <w:rPr>
                <w:rFonts w:ascii="Arial" w:cs="Arial" w:eastAsia="Arial" w:hAnsi="Arial"/>
                <w:sz w:val="14"/>
                <w:szCs w:val="14"/>
                <w:b w:val="1"/>
                <w:bCs w:val="1"/>
                <w:color w:val="auto"/>
                <w:w w:val="85"/>
              </w:rPr>
              <w:t>Increase compared to</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prior fiscal year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60" w:type="dxa"/>
            <w:vAlign w:val="bottom"/>
            <w:gridSpan w:val="2"/>
            <w:vMerge w:val="restart"/>
          </w:tcPr>
          <w:p>
            <w:pPr>
              <w:jc w:val="center"/>
              <w:ind w:right="440"/>
              <w:spacing w:after="0" w:line="136" w:lineRule="exact"/>
              <w:rPr>
                <w:sz w:val="20"/>
                <w:szCs w:val="20"/>
                <w:color w:val="auto"/>
              </w:rPr>
            </w:pPr>
            <w:r>
              <w:rPr>
                <w:rFonts w:ascii="Arial" w:cs="Arial" w:eastAsia="Arial" w:hAnsi="Arial"/>
                <w:sz w:val="14"/>
                <w:szCs w:val="14"/>
                <w:b w:val="1"/>
                <w:bCs w:val="1"/>
                <w:color w:val="auto"/>
                <w:w w:val="94"/>
              </w:rPr>
              <w:t>April 30,</w:t>
            </w: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89"/>
        </w:trPr>
        <w:tc>
          <w:tcPr>
            <w:tcW w:w="70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79"/>
              </w:rPr>
              <w:t>%</w:t>
            </w:r>
          </w:p>
        </w:tc>
        <w:tc>
          <w:tcPr>
            <w:tcW w:w="7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  56.6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51.7</w:t>
            </w: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the cost of supplies and equipment. General and administrative expenses increased 9% from the three months ended April 30, 2011, as compared to the same period in the prior fiscal year, primarily due to an increase in bonuses and benefits. We expect general and administrative expense to increase in absolute dollars, but to remain relatively consistent as a percentage of net revenue during the second quarter of fiscal 2012, as compared to the second quarter of fiscal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Three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746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Months</w:t>
            </w:r>
          </w:p>
        </w:tc>
        <w:tc>
          <w:tcPr>
            <w:tcW w:w="260" w:type="dxa"/>
            <w:vAlign w:val="bottom"/>
          </w:tcPr>
          <w:p>
            <w:pPr>
              <w:spacing w:after="0"/>
              <w:rPr>
                <w:sz w:val="12"/>
                <w:szCs w:val="12"/>
                <w:color w:val="auto"/>
              </w:rPr>
            </w:pPr>
          </w:p>
        </w:tc>
        <w:tc>
          <w:tcPr>
            <w:tcW w:w="2040" w:type="dxa"/>
            <w:vAlign w:val="bottom"/>
            <w:gridSpan w:val="5"/>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746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260" w:type="dxa"/>
            <w:vAlign w:val="bottom"/>
          </w:tcPr>
          <w:p>
            <w:pPr>
              <w:spacing w:after="0"/>
              <w:rPr>
                <w:sz w:val="12"/>
                <w:szCs w:val="12"/>
                <w:color w:val="auto"/>
              </w:rPr>
            </w:pPr>
          </w:p>
        </w:tc>
        <w:tc>
          <w:tcPr>
            <w:tcW w:w="102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9"/>
              </w:rPr>
              <w:t>prior fiscal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746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April 30,</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3"/>
              </w:rPr>
              <w:t>year</w:t>
            </w:r>
          </w:p>
        </w:tc>
        <w:tc>
          <w:tcPr>
            <w:tcW w:w="3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74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7.1</w:t>
            </w: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our restructuring plans, during the three months ended April 30, 2011, we did not record restructuring charges. During the three months April 30, 2010, we reduced the number of employees by approximately 120 positions globally and recorded restructuring charges of $7.1 million, which related to one-time employee termination benefits. See Note 14, “Restructuring Reserve,” in the Notes to the Condensed Consolidated Financial Statements for further discussion.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7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Gain (loss) on foreign currency</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and other income (expense), net, increased $9.3 million during the three months ended April 30, 2011, as compared to the same period in the prior fiscal year, primarily due to gains and losses on foreign currency. The gain on foreign currency in the three months ended April 30, 2011 is primarily due to the impact of re-measuring foreign currency transactions into the functional currency of the corresponding entity, in addition to the gain on foreign currency derivatives not designated as hedging instruments.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Our effective tax rate was 18% and 22% during the three months ended April 30, 2011 and 2010, respectively. Our effective tax rate decreased 4 percentage points from April 30, 2011 and 2010 primarily due to a decrease in non-deductible stock-based compensation expense and an increase in tax benefits in fiscal 2012 from foreign earnings taxed at lower rates in fiscal 2012 compared to fiscal 2011. Excluding the impact of discrete tax benefits of $4.1 million associated with stock-based compensation, the effective tax rate for the three months ended April 30, 2011 was 23% and was lower than the Federal statutory tax rate of</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35% primarily due to foreign income taxed at lower rates and U.S. research and development credits partially offset by the impact of non-deductible stock-based compensation expense.</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In addition, a significant amount of our earnings is generated outside of the U.S., and repatriation of certain foreign earnings on which U.S. taxes have not previously been provided could also have a material impact on our future effective tax rate.</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April 30, 2011, we had net deferred tax assets of $141.8 million. We believe that we will generate sufficient future taxable income in appropriate tax jurisdictions to realize these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months ended April 30, 2011, and 2010, our gross profit, gross margin, income from operations, operating margin, net income and diluted earnings per share on a GAAP and non-GAAP basis were as follows (in millions except for gross margin, operating margin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Three Months Ended</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April 30, 2010</w:t>
            </w:r>
          </w:p>
        </w:tc>
        <w:tc>
          <w:tcPr>
            <w:tcW w:w="200" w:type="dxa"/>
            <w:vAlign w:val="bottom"/>
          </w:tcPr>
          <w:p>
            <w:pPr>
              <w:spacing w:after="0"/>
              <w:rPr>
                <w:sz w:val="12"/>
                <w:szCs w:val="12"/>
                <w:color w:val="auto"/>
              </w:rPr>
            </w:pPr>
          </w:p>
        </w:tc>
      </w:tr>
      <w:tr>
        <w:trPr>
          <w:trHeight w:val="142"/>
        </w:trPr>
        <w:tc>
          <w:tcPr>
            <w:tcW w:w="86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473.7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gross profit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482.7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431.8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gross margin</w:t>
            </w:r>
          </w:p>
        </w:tc>
        <w:tc>
          <w:tcPr>
            <w:tcW w:w="240" w:type="dxa"/>
            <w:vAlign w:val="bottom"/>
          </w:tcPr>
          <w:p>
            <w:pPr>
              <w:spacing w:after="0"/>
              <w:rPr>
                <w:sz w:val="18"/>
                <w:szCs w:val="18"/>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119.1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40" w:type="dxa"/>
            <w:vAlign w:val="bottom"/>
          </w:tcPr>
          <w:p>
            <w:pPr>
              <w:spacing w:after="0"/>
              <w:rPr>
                <w:sz w:val="18"/>
                <w:szCs w:val="18"/>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Non-GAAP 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67.7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color w:val="auto"/>
              </w:rPr>
              <w:t>0.40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80"/>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9"/>
              </w:rPr>
              <w:t>(Unaudited)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473.7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482.7</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060" w:type="dxa"/>
            <w:vAlign w:val="bottom"/>
            <w:gridSpan w:val="3"/>
          </w:tcPr>
          <w:p>
            <w:pPr>
              <w:jc w:val="right"/>
              <w:ind w:right="41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Non-GAAP gross margin</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60" w:type="dxa"/>
            <w:vAlign w:val="bottom"/>
            <w:gridSpan w:val="3"/>
          </w:tcPr>
          <w:p>
            <w:pPr>
              <w:jc w:val="right"/>
              <w:ind w:right="4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Non-GAAP operating margin</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1060" w:type="dxa"/>
            <w:vAlign w:val="bottom"/>
            <w:gridSpan w:val="3"/>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tcPr>
          <w:p>
            <w:pPr>
              <w:spacing w:after="0"/>
              <w:rPr>
                <w:sz w:val="19"/>
                <w:szCs w:val="19"/>
                <w:color w:val="auto"/>
              </w:rPr>
            </w:pP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tcPr>
          <w:p>
            <w:pPr>
              <w:spacing w:after="0"/>
              <w:rPr>
                <w:sz w:val="18"/>
                <w:szCs w:val="18"/>
                <w:color w:val="auto"/>
              </w:rPr>
            </w:pP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Non-GAAP diluted net income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28"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Amortization of purchased intangibles includes amortization of purchased developed technology, customer relationships and trade names for acquisitions subsequent to December 2005.</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Our non-GAAP financial measures as set forth in the table above exclude the following: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4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 based upon the projected annual non-GAAP effective tax rate. Discrete tax items include income tax expenses or benefits that do not relate to ordinary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in the current fiscal year, unusual or infrequently occurring items, or the tax impact of certain stock-based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Examples of discrete tax items include, but are not limited to, certain changes in judgment and changes in estimates of tax matters related to prior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fiscal years, certain costs related to business combinations, certain changes in the realizability of deferred tax assets or changes in tax law. Management believes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approach assists investors in understanding the tax provision and the effective tax rate related to ongoing operations.</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Income tax effects on the difference between GAAP and non-GAAP costs and expenses</w:t>
      </w:r>
      <w:r>
        <w:rPr>
          <w:rFonts w:ascii="Arial" w:cs="Arial" w:eastAsia="Arial" w:hAnsi="Arial"/>
          <w:sz w:val="16"/>
          <w:szCs w:val="16"/>
          <w:color w:val="auto"/>
        </w:rPr>
        <w:t>. 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costs and expenses, primarily due to differences in the timing of when income tax benefits are recognized for stock compensation and purchased intangibles for GAAP and non-GAAP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April 30, 2011, our principal sources of liquidity were cash, cash equivalents and marketable securities totaling $1,525.7 million and net accounts receivable of $271.0 million. In addition, at April 30, 2011 we had a U.S. line of credit facility that permitted unsecured short-term borrowings of up to $250.0 million. During the three months ended April 30, 2011 and 2010, we had no borrowings or repayments on our line of credit facility. In May 2011, we entered into a new credit agreement that provides for a $400 million unsecured revolving credit facility, with an option to request an increase in the amount of the credit facility by up to an additional $100 million. In connection with the execution of the new credit agreement, Autodesk and Citibank terminated the $250 million U.S. line of credit facility described above. This new credit agreement contains customary covenants that could restrict the imposition of liens on our assets, and restrict our ability to incur additional indebtedness or make dispositions of assets if we fail to maintain the financial covenants. This new credit facility is available for working capital and general corporate purposes. This new line of credit expires in May 2016.</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the $400.0 million line of credit that we entered into in May 2011.</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our cash, cash equivalents and marketable securities from $1,466.9 million at January 31, 2011 to $1,525.7 million at April 30, 2011 is principally the result of cash generated from operations and the proceeds from the issuance of common stock following stock option exercises. These increases to cash, cash equivalents and marketable securities were partially offset by cash used for business combinations, repurchases of our common stock, capital expenditures and other investing activities. Cash generated from operations was positively impacted by higher net revenue.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source for net cash provided by operating activities of $128.4 million for the three months ended April 30, 2011 was net income of $69.3 million increased by the effect of non-cash expenses totaling $50.4 million associated with depreciation and amortization and stock-based compensation. In addition, net cash flow provided by changes in operating assets and liabilities was $8.7 million. The primary source of working capital was a decrease in accounts receivable, an increase in deferred revenue and increase in accounts payable. Our days sales outstanding in trades receivables was 47 at April 30, 2011 compared to 55 days at January 31, 2011. The days sales outstanding decrease relates primarily to seasonality in our maintenance contract renewals; maintenance billings are generally higher in the fourth quarter than in the subsequent year’s first quarter. The primary working capital uses of cash were for payment of the reduction of the accrued expenses primarily related to our fiscal 2011 employee bonus accrual and fourth quarter fiscal 2011 commissions, and the purchase of shares under the Employee Stock Purchase Plan (“ESP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April 30, 2011, our short-term investment portfolio had an estimated fair value of $258.4 million and a cost basis of $254.6 million. The portfolio fair value consisted of $108.5 million invested in commercial paper and corporate securities, $53.1 million invested in U.S. government agency securities, $34.5 million invested in mutual funds, $24.2 million invested in certificates of deposit and time deposits with remaining maturities at the date of purchase greater than 90 days and less than one year, $26.4 million invested in U.S treasury securities, $5.0 million invested in sovereign debt, $6.4 million invested in municipal securities and $0.3 million invested in other short-term securities.</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At April 30, 2011, $34.5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tax planning and financing strategies in an effort to ensure that our worldwide cash is available in the locations in which it is needed.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2012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June 3, 2011 is $400.0 million of which we have no amounts outstanding. This credit facility is available for working capital and general corporate purposes.</w:t>
      </w:r>
    </w:p>
    <w:p>
      <w:pPr>
        <w:spacing w:after="0" w:line="144"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2011,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$452.4 million and $401.6 million at April 30, 2011 and January 31,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approved a stock repurchase program authorizing the cumulative repurchase of up to 184.0 million shares. The purpose of the stock repurchase program is largely to help offset the dilution to net income per share caused by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There were 1.7 million repurchases of our common stock during the three months ended April 30, 2011. At April 30, 2011, 22.7 million shares remained available for repurchase under the existing repurchase authorization. This program does not have a fixed expiration date. See Note 16, “Stock Repurchase Program,” in the Notes to Condensed Consolidated Financial Statements for further discussion.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Yet Be</w:t>
            </w:r>
          </w:p>
        </w:tc>
      </w:tr>
      <w:tr>
        <w:trPr>
          <w:trHeight w:val="149"/>
        </w:trPr>
        <w:tc>
          <w:tcPr>
            <w:tcW w:w="56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34"/>
        </w:trPr>
        <w:tc>
          <w:tcPr>
            <w:tcW w:w="5620" w:type="dxa"/>
            <w:vAlign w:val="bottom"/>
          </w:tcPr>
          <w:p>
            <w:pPr>
              <w:spacing w:after="0"/>
              <w:rPr>
                <w:sz w:val="11"/>
                <w:szCs w:val="11"/>
                <w:color w:val="auto"/>
              </w:rPr>
            </w:pPr>
          </w:p>
        </w:tc>
        <w:tc>
          <w:tcPr>
            <w:tcW w:w="960" w:type="dxa"/>
            <w:vAlign w:val="bottom"/>
          </w:tcPr>
          <w:p>
            <w:pPr>
              <w:jc w:val="right"/>
              <w:ind w:right="201"/>
              <w:spacing w:after="0" w:line="135" w:lineRule="exact"/>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1"/>
                <w:szCs w:val="11"/>
                <w:color w:val="auto"/>
              </w:rPr>
            </w:pPr>
          </w:p>
        </w:tc>
        <w:tc>
          <w:tcPr>
            <w:tcW w:w="15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Average Price</w:t>
            </w:r>
          </w:p>
        </w:tc>
        <w:tc>
          <w:tcPr>
            <w:tcW w:w="160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6"/>
              </w:rPr>
              <w:t>Plans or</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the Plans or</w:t>
            </w:r>
          </w:p>
        </w:tc>
      </w:tr>
      <w:tr>
        <w:trPr>
          <w:trHeight w:val="176"/>
        </w:trPr>
        <w:tc>
          <w:tcPr>
            <w:tcW w:w="56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60" w:type="dxa"/>
            <w:vAlign w:val="bottom"/>
          </w:tcPr>
          <w:p>
            <w:pPr>
              <w:jc w:val="right"/>
              <w:ind w:right="101"/>
              <w:spacing w:after="0"/>
              <w:rPr>
                <w:sz w:val="20"/>
                <w:szCs w:val="20"/>
                <w:color w:val="auto"/>
              </w:rPr>
            </w:pPr>
            <w:r>
              <w:rPr>
                <w:rFonts w:ascii="Arial" w:cs="Arial" w:eastAsia="Arial" w:hAnsi="Arial"/>
                <w:sz w:val="14"/>
                <w:szCs w:val="14"/>
                <w:b w:val="1"/>
                <w:bCs w:val="1"/>
                <w:color w:val="auto"/>
              </w:rPr>
              <w:t>Purchased</w:t>
            </w:r>
          </w:p>
        </w:tc>
        <w:tc>
          <w:tcPr>
            <w:tcW w:w="6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60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(1)</w:t>
            </w:r>
          </w:p>
        </w:tc>
        <w:tc>
          <w:tcPr>
            <w:tcW w:w="11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(2)</w:t>
            </w:r>
          </w:p>
        </w:tc>
      </w:tr>
      <w:tr>
        <w:trPr>
          <w:trHeight w:val="20"/>
        </w:trPr>
        <w:tc>
          <w:tcPr>
            <w:tcW w:w="5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February 1 - February 28</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March 1 - March 31</w:t>
            </w:r>
          </w:p>
        </w:tc>
        <w:tc>
          <w:tcPr>
            <w:tcW w:w="960" w:type="dxa"/>
            <w:vAlign w:val="bottom"/>
          </w:tcPr>
          <w:p>
            <w:pPr>
              <w:jc w:val="right"/>
              <w:spacing w:after="0"/>
              <w:rPr>
                <w:sz w:val="20"/>
                <w:szCs w:val="20"/>
                <w:color w:val="auto"/>
              </w:rPr>
            </w:pPr>
            <w:r>
              <w:rPr>
                <w:rFonts w:ascii="Arial" w:cs="Arial" w:eastAsia="Arial" w:hAnsi="Arial"/>
                <w:sz w:val="18"/>
                <w:szCs w:val="18"/>
                <w:color w:val="auto"/>
              </w:rPr>
              <w:t>1,711.6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40.17</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1,711.6</w:t>
            </w:r>
          </w:p>
        </w:tc>
        <w:tc>
          <w:tcPr>
            <w:tcW w:w="1000" w:type="dxa"/>
            <w:vAlign w:val="bottom"/>
          </w:tcPr>
          <w:p>
            <w:pPr>
              <w:jc w:val="right"/>
              <w:spacing w:after="0"/>
              <w:rPr>
                <w:sz w:val="20"/>
                <w:szCs w:val="20"/>
                <w:color w:val="auto"/>
              </w:rPr>
            </w:pPr>
            <w:r>
              <w:rPr>
                <w:rFonts w:ascii="Arial" w:cs="Arial" w:eastAsia="Arial" w:hAnsi="Arial"/>
                <w:sz w:val="18"/>
                <w:szCs w:val="18"/>
                <w:color w:val="auto"/>
              </w:rPr>
              <w:t>22,742.5</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22,742.5</w:t>
            </w:r>
          </w:p>
        </w:tc>
        <w:tc>
          <w:tcPr>
            <w:tcW w:w="100" w:type="dxa"/>
            <w:vAlign w:val="bottom"/>
            <w:shd w:val="clear" w:color="auto" w:fill="CCEEFF"/>
          </w:tcPr>
          <w:p>
            <w:pPr>
              <w:spacing w:after="0"/>
              <w:rPr>
                <w:sz w:val="18"/>
                <w:szCs w:val="18"/>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1,711.6</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40.17</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1,711.6</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180" w:hanging="452"/>
        <w:spacing w:after="0" w:line="221"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the plans approved by the Board of Directors in December 2007 and December 2010 that each authorized the repurchase of 20.0 million shares. These plans do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April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April 30, 2011, we did not have any off-balance sheet arrangements as defined in Item 303(a)(4)(ii) of SEC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Upgrade and crossgrade—</w:t>
      </w:r>
      <w:r>
        <w:rPr>
          <w:rFonts w:ascii="Arial" w:cs="Arial" w:eastAsia="Arial" w:hAnsi="Arial"/>
          <w:sz w:val="18"/>
          <w:szCs w:val="18"/>
          <w:color w:val="auto"/>
        </w:rPr>
        <w:t>In an upgrade, a customer pays an incremental fee at currently available prices toward the purchase of a new version of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the license to the previous version of the product is terminated. In a crossgrade, a customer pays an incremental fee at currently available prices toward the purchase of a different product; the license to the previous product is terminated.</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Flagship—</w:t>
      </w:r>
      <w:r>
        <w:rPr>
          <w:rFonts w:ascii="Arial" w:cs="Arial" w:eastAsia="Arial" w:hAnsi="Arial"/>
          <w:sz w:val="16"/>
          <w:szCs w:val="16"/>
          <w:color w:val="auto"/>
        </w:rPr>
        <w:t>Autodesk flagship products are our core design products. Flagship includes the following products: Autodesk 3ds Max, AutoCAD, AutoCAD</w:t>
      </w:r>
      <w:r>
        <w:rPr>
          <w:rFonts w:ascii="Arial" w:cs="Arial" w:eastAsia="Arial" w:hAnsi="Arial"/>
          <w:sz w:val="16"/>
          <w:szCs w:val="16"/>
          <w:i w:val="1"/>
          <w:iCs w:val="1"/>
          <w:color w:val="auto"/>
        </w:rPr>
        <w:t xml:space="preserve"> </w:t>
      </w:r>
      <w:r>
        <w:rPr>
          <w:rFonts w:ascii="Arial" w:cs="Arial" w:eastAsia="Arial" w:hAnsi="Arial"/>
          <w:sz w:val="16"/>
          <w:szCs w:val="16"/>
          <w:color w:val="auto"/>
        </w:rPr>
        <w:t>LT, AutoCAD vertical products (such as AutoCAD Architecture and AutoCAD Mechanical), Civil 3D, Maya, Plant 3D and Revit products (standalone).</w:t>
      </w:r>
    </w:p>
    <w:p>
      <w:pPr>
        <w:spacing w:after="0" w:line="85"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color w:val="auto"/>
        </w:rPr>
        <w:t>Autodesk suites are a combination of products that target a specific user objective (product design, building design, etc.)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new design and creation suites include: Autodesk Design Suite, Autodesk Building Design Suite, Autodesk Entertainment Creation Suite, Autodesk Factory Design Suite, Autodesk Plant Design Suite and Autodesk Product Design Suite. Our previously established suites include: Autodesk Inventor family suites, Autodesk Revit family suites and educational/academic suites.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color w:val="auto"/>
        </w:rPr>
        <w:t>Autodesk new and adjacent products include Autodesk’s new product offerings as well as products that are not included in flagship or</w:t>
      </w:r>
      <w:r>
        <w:rPr>
          <w:rFonts w:ascii="Arial" w:cs="Arial" w:eastAsia="Arial" w:hAnsi="Arial"/>
          <w:sz w:val="18"/>
          <w:szCs w:val="18"/>
          <w:i w:val="1"/>
          <w:iCs w:val="1"/>
          <w:color w:val="auto"/>
        </w:rPr>
        <w:t xml:space="preserve"> </w:t>
      </w:r>
      <w:r>
        <w:rPr>
          <w:rFonts w:ascii="Arial" w:cs="Arial" w:eastAsia="Arial" w:hAnsi="Arial"/>
          <w:sz w:val="18"/>
          <w:szCs w:val="18"/>
          <w:color w:val="auto"/>
        </w:rPr>
        <w:t>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2011 and January 31, 2011,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$452.4 million and $401.6 million at April 30, 2011 and January 31, 2011, respectively.</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April 30, 2011 indicated that a hypothetical 10% appreciation of the U.S. dollar from its value at April 30, 2011 and January 31, 2011 would increase the fair value of our foreign currency contracts by $28.2 million and $31.6 million, respectively. A hypothetical 10% depreciation of the dollar from its value at April 30, 2011 and January 31, 2011 would decrease the fair value of our foreign currency contracts by $36.2 million and $26.6 million,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to a lesser extent, the market value of certain longer term securities. At April 30, 2011, we had $1,525.7 million of cash equivalents and marketable securities. With an average cash equivalent investment balance for the quarter of approximately $1.1 billion, if interest rates were to change by 10%, this would result in a $0.2 million change in annual interest income. Further, at April 30, 2011, we had approximately $210 million invested in a longer term portfolio (with remaining maturities that may be less than one year) which, with 50 and 100 basis point moves, would result in market value changes (gains or losses) of $0.8 million and $1.6 million respectively, over a twelve month period. At January 31, 2011, we had $1,466.9 million of cash equivalents and marketable securities. With an average investment balance for the quarter of approximately $810.0 million, if interest rates were to change by 10%, this would result in a $0.2 million change in annual interest income. We do not use derivative financial instruments in our investment portfolio to manage interest rate risk.</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2011 that have materially affected, or are reasonably likely to materially affect, our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However, it is possible that an unfavorable resolution of one or more such proceedings could in the future materially affect our future results of operations, cash flows or financial position in a particular period.</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Any deceleration or reversal of the current global economic recoveries may impact our business, financial results and financial condition.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and extreme volatility in many financial instrument markets. Although some of these conditions appear to be abating and a global recovery seems to be underway, it is not yet clear whether a full and sustainable recovery is occurring on a worldwide basis.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Any deceleration or reversal of the economic recovery taking place may cause our customers to defer, reduce or cancel purchases. 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6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inability of banks to honor our existing line of credit, increasing our borrowing expenses or eliminating our ability to obtain short-term financing;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287" w:lineRule="exact"/>
        <w:rPr>
          <w:sz w:val="20"/>
          <w:szCs w:val="20"/>
          <w:color w:val="auto"/>
        </w:rPr>
      </w:pPr>
    </w:p>
    <w:p>
      <w:pPr>
        <w:ind w:left="240" w:right="160"/>
        <w:spacing w:after="0" w:line="357" w:lineRule="auto"/>
        <w:rPr>
          <w:sz w:val="20"/>
          <w:szCs w:val="20"/>
          <w:color w:val="auto"/>
        </w:rPr>
      </w:pPr>
      <w:r>
        <w:rPr>
          <w:rFonts w:ascii="Arial" w:cs="Arial" w:eastAsia="Arial" w:hAnsi="Arial"/>
          <w:sz w:val="15"/>
          <w:szCs w:val="15"/>
          <w:i w:val="1"/>
          <w:iCs w:val="1"/>
          <w:color w:val="auto"/>
        </w:rPr>
        <w:t>The actions that we may be forced to take in the event of any deceleration or reversal of the current domestic and global economic recoveries could be costly and may not be as effective as we anticipate, and may force us to take additional actions to reduce our expenses and stimulate demand for our products.</w:t>
      </w:r>
    </w:p>
    <w:p>
      <w:pPr>
        <w:ind w:firstLine="456"/>
        <w:spacing w:after="0" w:line="255" w:lineRule="auto"/>
        <w:rPr>
          <w:sz w:val="20"/>
          <w:szCs w:val="20"/>
          <w:color w:val="auto"/>
        </w:rPr>
      </w:pPr>
      <w:r>
        <w:rPr>
          <w:rFonts w:ascii="Arial" w:cs="Arial" w:eastAsia="Arial" w:hAnsi="Arial"/>
          <w:sz w:val="18"/>
          <w:szCs w:val="18"/>
          <w:color w:val="auto"/>
        </w:rPr>
        <w:t>Any deceleration or reversal of the current domestic and global economic recoveries may reduce our revenue levels and force us to take actions to 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any deceleration or reversal of the current domestic and global economic recoveries may cause us to take, and over the past several years we have taken, actions to stimulate demand for our products through a number of programs. Although we are attempting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financial results fluctuate within each quarter and from quarter to quarter making our future revenue and financial results difficult to predict.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governments around the world to finance infrastructure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growth or contraction of our upgrade, crossgrade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jc w:val="both"/>
        <w:ind w:left="900" w:right="60" w:hanging="446"/>
        <w:spacing w:after="0" w:line="357"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dependence and the timing of large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a portion of the growth of our maintenance revenue has typically been associated with growth of the number of licenses that we sell.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reduction in the number of licenses that we sell, even if our customers’ attach rates do not change, will have a negative impact on our future maintenance revenue.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in turn would impact our business and harm our financial results.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derive a substantial portion of our net revenue from sales of licenses of a small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2011, combined revenue from our AutoCAD and AutoCAD LT products represented 37% of our consolidated net revenue.</w:t>
      </w:r>
    </w:p>
    <w:p>
      <w:pPr>
        <w:spacing w:after="0" w:line="197" w:lineRule="exact"/>
        <w:rPr>
          <w:sz w:val="20"/>
          <w:szCs w:val="20"/>
          <w:color w:val="auto"/>
        </w:rPr>
      </w:pPr>
    </w:p>
    <w:p>
      <w:pPr>
        <w:ind w:left="240" w:right="62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our expanding portfolio of suites and our offering of software as a service.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jc w:val="both"/>
        <w:ind w:left="240" w:right="240"/>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three months ended April 30, 2011, approximately 86%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17% of our consolidated net revenue for both the three months ended April 30, 2011 and 2010, respectively.</w:t>
      </w:r>
    </w:p>
    <w:p>
      <w:pPr>
        <w:spacing w:after="0" w:line="140"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99"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have determined that our internal control over financial reporting was effective as of January 31, 2011, as indicated in our Management Report on Internal Control over Financial Reporting, included in our Annual Report on Form 10-K for the fiscal year ended January 31, 2011,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condensed consolidated financial statements. Actual results could differ materially from our estimates, and such differences could significantly impact our financial results.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regarding the incorporation of IFRS into the financial reporting system for U.S. companies. A change in accounting principles from GAAP to IFRS may have a material impact on the way in which we report financial results.</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condensed consolidated financial position, results of operations and cash flows. In addition, as we evolve and change our business and sales models, we are currently unable to take into account how these potential changes may impact our new models, particularly in the area of revenue recognition.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April 30, 2011.</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Amended and Restated Bylaws of Autodesk, Inc. (as of March 24, 2011) (</w:t>
            </w:r>
            <w:r>
              <w:rPr>
                <w:rFonts w:ascii="Arial" w:cs="Arial" w:eastAsia="Arial" w:hAnsi="Arial"/>
                <w:sz w:val="18"/>
                <w:szCs w:val="18"/>
                <w:i w:val="1"/>
                <w:iCs w:val="1"/>
                <w:color w:val="auto"/>
                <w:w w:val="90"/>
              </w:rPr>
              <w:t>incorporated by reference to Exhibit 3.1 filed with the Registrant’s</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i w:val="1"/>
                <w:iCs w:val="1"/>
                <w:color w:val="auto"/>
              </w:rPr>
              <w:t>Current Report on Form 8-K filed on March 29, 2011</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 *</w:t>
            </w:r>
          </w:p>
        </w:tc>
        <w:tc>
          <w:tcPr>
            <w:tcW w:w="4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Participants, target awards and payout formulas for fiscal year 2012 under the Registrant’s Executive Incentive Plan (</w:t>
            </w:r>
            <w:r>
              <w:rPr>
                <w:rFonts w:ascii="Arial" w:cs="Arial" w:eastAsia="Arial" w:hAnsi="Arial"/>
                <w:sz w:val="18"/>
                <w:szCs w:val="18"/>
                <w:i w:val="1"/>
                <w:iCs w:val="1"/>
                <w:color w:val="auto"/>
                <w:w w:val="94"/>
              </w:rPr>
              <w:t>incorporated by</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March 29, 2011</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88"/>
              </w:rPr>
              <w:t>Credit Agreement, dated as of May 26, 2011, by and among Autodesk, the lenders from time to time party thereto and Citibank, N.A., as agent</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incorporated by reference to Exhibit 10.1 filed with the Registrant’s Current Report on Form 8-K filed on May 27, 2011</w:t>
            </w: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260" w:hanging="452"/>
        <w:spacing w:after="0" w:line="30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w:t>
      </w:r>
    </w:p>
    <w:p>
      <w:pPr>
        <w:spacing w:after="0" w:line="1" w:lineRule="exact"/>
        <w:rPr>
          <w:sz w:val="20"/>
          <w:szCs w:val="20"/>
          <w:color w:val="auto"/>
        </w:rPr>
      </w:pPr>
    </w:p>
    <w:p>
      <w:pPr>
        <w:ind w:left="460" w:right="100"/>
        <w:spacing w:after="0" w:line="250" w:lineRule="auto"/>
        <w:rPr>
          <w:sz w:val="20"/>
          <w:szCs w:val="20"/>
          <w:color w:val="auto"/>
        </w:rPr>
      </w:pPr>
      <w:r>
        <w:rPr>
          <w:rFonts w:ascii="Arial" w:cs="Arial" w:eastAsia="Arial" w:hAnsi="Arial"/>
          <w:sz w:val="18"/>
          <w:szCs w:val="18"/>
          <w:color w:val="auto"/>
        </w:rPr>
        <w:t>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ARK</w:t>
      </w:r>
      <w:r>
        <w:rPr>
          <w:rFonts w:ascii="Arial" w:cs="Arial" w:eastAsia="Arial" w:hAnsi="Arial"/>
          <w:sz w:val="16"/>
          <w:szCs w:val="16"/>
          <w:color w:val="auto"/>
        </w:rPr>
        <w:t xml:space="preserve"> J. H</w:t>
      </w:r>
      <w:r>
        <w:rPr>
          <w:rFonts w:ascii="Arial" w:cs="Arial" w:eastAsia="Arial" w:hAnsi="Arial"/>
          <w:sz w:val="13"/>
          <w:szCs w:val="13"/>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April 30, 2011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June 3,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5"/>
    </w:lvl>
  </w:abstractNum>
  <w:abstractNum w:abstractNumId="21">
    <w:nsid w:val="1E7FF521"/>
    <w:multiLevelType w:val="hybridMultilevel"/>
    <w:lvl w:ilvl="0">
      <w:lvlJc w:val="left"/>
      <w:lvlText w:val="%1."/>
      <w:numFmt w:val="decimal"/>
      <w:start w:val="16"/>
    </w:lvl>
  </w:abstractNum>
  <w:abstractNum w:abstractNumId="22">
    <w:nsid w:val="7C3DBD3D"/>
    <w:multiLevelType w:val="hybridMultilevel"/>
    <w:lvl w:ilvl="0">
      <w:lvlJc w:val="left"/>
      <w:lvlText w:val="%1."/>
      <w:numFmt w:val="decimal"/>
      <w:start w:val="17"/>
    </w:lvl>
  </w:abstractNum>
  <w:abstractNum w:abstractNumId="23">
    <w:nsid w:val="737B8DDC"/>
    <w:multiLevelType w:val="hybridMultilevel"/>
    <w:lvl w:ilvl="0">
      <w:lvlJc w:val="left"/>
      <w:lvlText w:val="%1."/>
      <w:numFmt w:val="decimal"/>
      <w:start w:val="18"/>
    </w:lvl>
  </w:abstractNum>
  <w:abstractNum w:abstractNumId="24">
    <w:nsid w:val="6CEAF087"/>
    <w:multiLevelType w:val="hybridMultilevel"/>
    <w:lvl w:ilvl="0">
      <w:lvlJc w:val="left"/>
      <w:lvlText w:val="%1."/>
      <w:numFmt w:val="decimal"/>
      <w:start w:val="19"/>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20"/>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2019-12-10T07:13:07Z</dcterms:created>
  <dcterms:modified xsi:type="dcterms:W3CDTF">2019-12-10T07:13:07Z</dcterms:modified>
</cp:coreProperties>
</file>