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665480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690245</wp:posOffset>
            </wp:positionV>
            <wp:extent cx="7118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8255"/>
                    </a:xfrm>
                    <a:prstGeom prst="rect">
                      <a:avLst/>
                    </a:prstGeom>
                    <a:noFill/>
                  </pic:spPr>
                </pic:pic>
              </a:graphicData>
            </a:graphic>
          </wp:anchor>
        </w:drawing>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111760</wp:posOffset>
            </wp:positionV>
            <wp:extent cx="27825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04" w:lineRule="exact"/>
        <w:rPr>
          <w:sz w:val="24"/>
          <w:szCs w:val="24"/>
          <w:color w:val="auto"/>
        </w:rPr>
      </w:pPr>
    </w:p>
    <w:p>
      <w:pPr>
        <w:ind w:left="680" w:right="140" w:hanging="657"/>
        <w:spacing w:after="0" w:line="247" w:lineRule="auto"/>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 the quarterly period ended April 30, 2026</w:t>
      </w:r>
    </w:p>
    <w:p>
      <w:pPr>
        <w:spacing w:after="0" w:line="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or</w:t>
      </w:r>
    </w:p>
    <w:p>
      <w:pPr>
        <w:spacing w:after="0" w:line="91" w:lineRule="exact"/>
        <w:rPr>
          <w:sz w:val="24"/>
          <w:szCs w:val="24"/>
          <w:color w:val="auto"/>
        </w:rPr>
      </w:pPr>
    </w:p>
    <w:p>
      <w:pPr>
        <w:ind w:left="680" w:right="120" w:hanging="657"/>
        <w:spacing w:after="0" w:line="247"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2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2184400</wp:posOffset>
            </wp:positionH>
            <wp:positionV relativeFrom="paragraph">
              <wp:posOffset>245110</wp:posOffset>
            </wp:positionV>
            <wp:extent cx="27825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525"/>
        </w:trPr>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gridSpan w:val="3"/>
          </w:tcPr>
          <w:p>
            <w:pPr>
              <w:jc w:val="center"/>
              <w:ind w:right="2820"/>
              <w:spacing w:after="0"/>
              <w:rPr>
                <w:sz w:val="20"/>
                <w:szCs w:val="20"/>
                <w:color w:val="auto"/>
              </w:rPr>
            </w:pPr>
            <w:r>
              <w:rPr>
                <w:rFonts w:ascii="Times New Roman" w:cs="Times New Roman" w:eastAsia="Times New Roman" w:hAnsi="Times New Roman"/>
                <w:sz w:val="42"/>
                <w:szCs w:val="42"/>
                <w:b w:val="1"/>
                <w:bCs w:val="1"/>
                <w:color w:val="auto"/>
                <w:w w:val="99"/>
              </w:rPr>
              <w:t>AUTODESK, INC.</w:t>
            </w:r>
          </w:p>
        </w:tc>
      </w:tr>
      <w:tr>
        <w:trPr>
          <w:trHeight w:val="185"/>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60" w:type="dxa"/>
            <w:vAlign w:val="bottom"/>
            <w:gridSpan w:val="3"/>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28"/>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80" w:type="dxa"/>
            <w:vAlign w:val="bottom"/>
            <w:gridSpan w:val="2"/>
          </w:tcPr>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94-2819853</w:t>
            </w:r>
          </w:p>
        </w:tc>
      </w:tr>
      <w:tr>
        <w:trPr>
          <w:trHeight w:val="145"/>
        </w:trPr>
        <w:tc>
          <w:tcPr>
            <w:tcW w:w="2800" w:type="dxa"/>
            <w:vAlign w:val="bottom"/>
          </w:tcPr>
          <w:p>
            <w:pPr>
              <w:jc w:val="center"/>
              <w:ind w:left="18"/>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80" w:type="dxa"/>
            <w:vAlign w:val="bottom"/>
            <w:gridSpan w:val="2"/>
          </w:tcPr>
          <w:p>
            <w:pPr>
              <w:jc w:val="center"/>
              <w:ind w:right="14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5"/>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0"/>
        </w:trPr>
        <w:tc>
          <w:tcPr>
            <w:tcW w:w="2800" w:type="dxa"/>
            <w:vAlign w:val="bottom"/>
          </w:tcPr>
          <w:p>
            <w:pPr>
              <w:jc w:val="center"/>
              <w:ind w:left="38"/>
              <w:spacing w:after="0"/>
              <w:rPr>
                <w:sz w:val="20"/>
                <w:szCs w:val="20"/>
                <w:color w:val="auto"/>
              </w:rPr>
            </w:pPr>
            <w:r>
              <w:rPr>
                <w:rFonts w:ascii="Times New Roman" w:cs="Times New Roman" w:eastAsia="Times New Roman" w:hAnsi="Times New Roman"/>
                <w:sz w:val="18"/>
                <w:szCs w:val="18"/>
                <w:b w:val="1"/>
                <w:bCs w:val="1"/>
                <w:color w:val="auto"/>
                <w:w w:val="97"/>
              </w:rPr>
              <w:t>One Market Street, Ste. 400</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0"/>
        </w:trPr>
        <w:tc>
          <w:tcPr>
            <w:tcW w:w="2800" w:type="dxa"/>
            <w:vAlign w:val="bottom"/>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7"/>
              </w:rPr>
              <w:t>San Francisco,</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780" w:type="dxa"/>
            <w:vAlign w:val="bottom"/>
          </w:tcPr>
          <w:p>
            <w:pPr>
              <w:spacing w:after="0"/>
              <w:rPr>
                <w:sz w:val="19"/>
                <w:szCs w:val="19"/>
                <w:color w:val="auto"/>
              </w:rPr>
            </w:pPr>
          </w:p>
        </w:tc>
        <w:tc>
          <w:tcPr>
            <w:tcW w:w="3680" w:type="dxa"/>
            <w:vAlign w:val="bottom"/>
            <w:gridSpan w:val="2"/>
          </w:tcPr>
          <w:p>
            <w:pPr>
              <w:jc w:val="right"/>
              <w:ind w:right="2340"/>
              <w:spacing w:after="0"/>
              <w:rPr>
                <w:sz w:val="20"/>
                <w:szCs w:val="20"/>
                <w:color w:val="auto"/>
              </w:rPr>
            </w:pPr>
            <w:r>
              <w:rPr>
                <w:rFonts w:ascii="Times New Roman" w:cs="Times New Roman" w:eastAsia="Times New Roman" w:hAnsi="Times New Roman"/>
                <w:sz w:val="18"/>
                <w:szCs w:val="18"/>
                <w:b w:val="1"/>
                <w:bCs w:val="1"/>
                <w:color w:val="auto"/>
              </w:rPr>
              <w:t>94105</w:t>
            </w:r>
          </w:p>
        </w:tc>
      </w:tr>
      <w:tr>
        <w:trPr>
          <w:trHeight w:val="185"/>
        </w:trPr>
        <w:tc>
          <w:tcPr>
            <w:tcW w:w="2800" w:type="dxa"/>
            <w:vAlign w:val="bottom"/>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680" w:type="dxa"/>
            <w:vAlign w:val="bottom"/>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2"/>
        </w:trPr>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(415) 507-5000</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85"/>
        </w:trPr>
        <w:tc>
          <w:tcPr>
            <w:tcW w:w="2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60" w:type="dxa"/>
            <w:vAlign w:val="bottom"/>
            <w:gridSpan w:val="3"/>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169"/>
        </w:trPr>
        <w:tc>
          <w:tcPr>
            <w:tcW w:w="3440" w:type="dxa"/>
            <w:vAlign w:val="bottom"/>
            <w:gridSpan w:val="2"/>
          </w:tcPr>
          <w:p>
            <w:pPr>
              <w:spacing w:after="0"/>
              <w:rPr>
                <w:sz w:val="14"/>
                <w:szCs w:val="14"/>
                <w:color w:val="auto"/>
              </w:rPr>
            </w:pPr>
          </w:p>
        </w:tc>
        <w:tc>
          <w:tcPr>
            <w:tcW w:w="3140" w:type="dxa"/>
            <w:vAlign w:val="bottom"/>
            <w:tcBorders>
              <w:bottom w:val="single" w:sz="8" w:color="auto"/>
            </w:tcBorders>
            <w:gridSpan w:val="2"/>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40" w:type="dxa"/>
            <w:vAlign w:val="bottom"/>
          </w:tcPr>
          <w:p>
            <w:pPr>
              <w:spacing w:after="0"/>
              <w:rPr>
                <w:sz w:val="14"/>
                <w:szCs w:val="14"/>
                <w:color w:val="auto"/>
              </w:rPr>
            </w:pPr>
          </w:p>
        </w:tc>
      </w:tr>
      <w:tr>
        <w:trPr>
          <w:trHeight w:val="532"/>
        </w:trPr>
        <w:tc>
          <w:tcPr>
            <w:tcW w:w="6580" w:type="dxa"/>
            <w:vAlign w:val="bottom"/>
            <w:gridSpan w:val="4"/>
          </w:tcPr>
          <w:p>
            <w:pPr>
              <w:jc w:val="center"/>
              <w:ind w:right="2438"/>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c>
          <w:tcPr>
            <w:tcW w:w="12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38"/>
        </w:trPr>
        <w:tc>
          <w:tcPr>
            <w:tcW w:w="2800" w:type="dxa"/>
            <w:vAlign w:val="bottom"/>
          </w:tcPr>
          <w:p>
            <w:pPr>
              <w:jc w:val="center"/>
              <w:ind w:left="1158"/>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3800" w:type="dxa"/>
            <w:vAlign w:val="bottom"/>
            <w:gridSpan w:val="3"/>
          </w:tcPr>
          <w:p>
            <w:pPr>
              <w:jc w:val="center"/>
              <w:ind w:left="158"/>
              <w:spacing w:after="0"/>
              <w:rPr>
                <w:sz w:val="20"/>
                <w:szCs w:val="20"/>
                <w:color w:val="auto"/>
              </w:rPr>
            </w:pPr>
            <w:r>
              <w:rPr>
                <w:rFonts w:ascii="Times New Roman" w:cs="Times New Roman" w:eastAsia="Times New Roman" w:hAnsi="Times New Roman"/>
                <w:sz w:val="18"/>
                <w:szCs w:val="18"/>
                <w:color w:val="auto"/>
                <w:w w:val="97"/>
              </w:rPr>
              <w:t>Common Stock, par value $0.01 per share</w:t>
            </w:r>
          </w:p>
        </w:tc>
        <w:tc>
          <w:tcPr>
            <w:tcW w:w="2780" w:type="dxa"/>
            <w:vAlign w:val="bottom"/>
          </w:tcPr>
          <w:p>
            <w:pPr>
              <w:jc w:val="center"/>
              <w:ind w:right="198"/>
              <w:spacing w:after="0"/>
              <w:rPr>
                <w:sz w:val="20"/>
                <w:szCs w:val="20"/>
                <w:color w:val="auto"/>
              </w:rPr>
            </w:pPr>
            <w:r>
              <w:rPr>
                <w:rFonts w:ascii="Times New Roman" w:cs="Times New Roman" w:eastAsia="Times New Roman" w:hAnsi="Times New Roman"/>
                <w:sz w:val="18"/>
                <w:szCs w:val="18"/>
                <w:color w:val="auto"/>
                <w:w w:val="97"/>
              </w:rPr>
              <w:t>ADSK</w:t>
            </w:r>
          </w:p>
        </w:tc>
        <w:tc>
          <w:tcPr>
            <w:tcW w:w="3680" w:type="dxa"/>
            <w:vAlign w:val="bottom"/>
            <w:gridSpan w:val="2"/>
          </w:tcPr>
          <w:p>
            <w:pPr>
              <w:jc w:val="center"/>
              <w:ind w:left="340"/>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298" w:lineRule="exact"/>
        <w:rPr>
          <w:sz w:val="24"/>
          <w:szCs w:val="24"/>
          <w:color w:val="auto"/>
        </w:rPr>
      </w:pPr>
    </w:p>
    <w:p>
      <w:pPr>
        <w:ind w:right="20" w:firstLine="395"/>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3" w:lineRule="exact"/>
        <w:rPr>
          <w:sz w:val="24"/>
          <w:szCs w:val="24"/>
          <w:color w:val="auto"/>
        </w:rPr>
      </w:pPr>
    </w:p>
    <w:p>
      <w:pPr>
        <w:ind w:right="40"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522605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1158" w:right="49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7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7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18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0" w:lineRule="exact"/>
        <w:rPr>
          <w:sz w:val="20"/>
          <w:szCs w:val="20"/>
          <w:color w:val="auto"/>
        </w:rPr>
      </w:pPr>
    </w:p>
    <w:p>
      <w:pPr>
        <w:ind w:firstLine="434"/>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4" w:lineRule="exact"/>
        <w:rPr>
          <w:sz w:val="20"/>
          <w:szCs w:val="20"/>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May 21, 2026, registrant had outstanding 211 million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728345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106045</wp:posOffset>
            </wp:positionV>
            <wp:extent cx="7118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130810</wp:posOffset>
            </wp:positionV>
            <wp:extent cx="7118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220"/>
          </w:cols>
          <w:pgMar w:left="320" w:top="96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AUTODESK, INC. FORM 10-Q</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0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300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 FINANCIAL INFORMATION</w:t>
            </w:r>
          </w:p>
        </w:tc>
        <w:tc>
          <w:tcPr>
            <w:tcW w:w="2900" w:type="dxa"/>
            <w:vAlign w:val="bottom"/>
            <w:gridSpan w:val="5"/>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0" w:type="dxa"/>
            <w:vAlign w:val="bottom"/>
            <w:tcBorders>
              <w:bottom w:val="single" w:sz="8" w:color="0000FF"/>
            </w:tcBorders>
            <w:gridSpan w:val="7"/>
            <w:vMerge w:val="continue"/>
          </w:tcPr>
          <w:p>
            <w:pPr>
              <w:spacing w:after="0"/>
              <w:rPr>
                <w:sz w:val="14"/>
                <w:szCs w:val="14"/>
                <w:color w:val="auto"/>
              </w:rPr>
            </w:pPr>
          </w:p>
        </w:tc>
        <w:tc>
          <w:tcPr>
            <w:tcW w:w="2900" w:type="dxa"/>
            <w:vAlign w:val="bottom"/>
            <w:gridSpan w:val="5"/>
            <w:vMerge w:val="continue"/>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7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 for the Three Months Ended April 30, 2026 and 2025</w:t>
            </w:r>
          </w:p>
        </w:tc>
        <w:tc>
          <w:tcPr>
            <w:tcW w:w="1420" w:type="dxa"/>
            <w:vAlign w:val="bottom"/>
            <w:gridSpan w:val="3"/>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82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Comprehensive Income for the Three Months Ended April 30, 2026 and 2025</w:t>
            </w:r>
          </w:p>
        </w:tc>
        <w:tc>
          <w:tcPr>
            <w:tcW w:w="52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58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Condensed Consolidated Balance Sheets as of April 30, 2026 and January 31, 2026</w:t>
            </w:r>
          </w:p>
        </w:tc>
        <w:tc>
          <w:tcPr>
            <w:tcW w:w="2920" w:type="dxa"/>
            <w:vAlign w:val="bottom"/>
            <w:gridSpan w:val="6"/>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April 30, 2026 and 2025</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74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380" w:type="dxa"/>
            <w:vAlign w:val="bottom"/>
            <w:gridSpan w:val="2"/>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w w:val="97"/>
              </w:rPr>
              <w:t>Management’s Discussion and Analysis of Financial Condition and Results of Operations</w:t>
            </w:r>
          </w:p>
        </w:tc>
        <w:tc>
          <w:tcPr>
            <w:tcW w:w="2120" w:type="dxa"/>
            <w:vAlign w:val="bottom"/>
            <w:gridSpan w:val="4"/>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6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120" w:type="dxa"/>
            <w:vAlign w:val="bottom"/>
            <w:gridSpan w:val="4"/>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5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240" w:type="dxa"/>
            <w:vAlign w:val="bottom"/>
            <w:gridSpan w:val="8"/>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900" w:type="dxa"/>
            <w:vAlign w:val="bottom"/>
            <w:gridSpan w:val="12"/>
          </w:tcPr>
          <w:p>
            <w:pPr>
              <w:jc w:val="center"/>
              <w:ind w:right="2900"/>
              <w:spacing w:after="0"/>
              <w:rPr>
                <w:sz w:val="20"/>
                <w:szCs w:val="20"/>
                <w:color w:val="auto"/>
              </w:rPr>
            </w:pPr>
            <w:r>
              <w:rPr>
                <w:rFonts w:ascii="Times New Roman" w:cs="Times New Roman" w:eastAsia="Times New Roman" w:hAnsi="Times New Roman"/>
                <w:sz w:val="18"/>
                <w:szCs w:val="18"/>
                <w:b w:val="1"/>
                <w:bCs w:val="1"/>
                <w:color w:val="0000FF"/>
                <w:w w:val="95"/>
              </w:rPr>
              <w:t>PART II. OTHER INFORMATION</w:t>
            </w:r>
          </w:p>
        </w:tc>
        <w:tc>
          <w:tcPr>
            <w:tcW w:w="12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0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680" w:type="dxa"/>
            <w:vAlign w:val="bottom"/>
            <w:tcBorders>
              <w:top w:val="single" w:sz="8" w:color="0000FF"/>
            </w:tcBorders>
            <w:gridSpan w:val="4"/>
          </w:tcPr>
          <w:p>
            <w:pPr>
              <w:spacing w:after="0"/>
              <w:rPr>
                <w:sz w:val="22"/>
                <w:szCs w:val="22"/>
                <w:color w:val="auto"/>
              </w:rPr>
            </w:pPr>
          </w:p>
        </w:tc>
        <w:tc>
          <w:tcPr>
            <w:tcW w:w="3060" w:type="dxa"/>
            <w:vAlign w:val="bottom"/>
            <w:gridSpan w:val="7"/>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7420" w:type="dxa"/>
            <w:vAlign w:val="bottom"/>
            <w:gridSpan w:val="18"/>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434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w w:val="96"/>
              </w:rPr>
              <w:t>Defaults Upon Senior Securities</w:t>
            </w:r>
          </w:p>
        </w:tc>
        <w:tc>
          <w:tcPr>
            <w:tcW w:w="2060" w:type="dxa"/>
            <w:vAlign w:val="bottom"/>
            <w:gridSpan w:val="4"/>
          </w:tcPr>
          <w:p>
            <w:pPr>
              <w:spacing w:after="0"/>
              <w:rPr>
                <w:sz w:val="22"/>
                <w:szCs w:val="22"/>
                <w:color w:val="auto"/>
              </w:rPr>
            </w:pPr>
          </w:p>
        </w:tc>
        <w:tc>
          <w:tcPr>
            <w:tcW w:w="4340" w:type="dxa"/>
            <w:vAlign w:val="bottom"/>
            <w:gridSpan w:val="9"/>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0" w:type="dxa"/>
            <w:vAlign w:val="bottom"/>
            <w:gridSpan w:val="1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6400" w:type="dxa"/>
            <w:vAlign w:val="bottom"/>
            <w:gridSpan w:val="13"/>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000" w:type="dxa"/>
            <w:vAlign w:val="bottom"/>
            <w:gridSpan w:val="15"/>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380" w:type="dxa"/>
            <w:vAlign w:val="bottom"/>
            <w:gridSpan w:val="1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380" w:type="dxa"/>
            <w:vAlign w:val="bottom"/>
            <w:gridSpan w:val="17"/>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80" w:type="dxa"/>
            <w:vAlign w:val="bottom"/>
            <w:gridSpan w:val="2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Pr>
          <w:p>
            <w:pPr>
              <w:spacing w:after="0"/>
              <w:rPr>
                <w:sz w:val="22"/>
                <w:szCs w:val="22"/>
                <w:color w:val="auto"/>
              </w:rPr>
            </w:pPr>
          </w:p>
        </w:tc>
        <w:tc>
          <w:tcPr>
            <w:tcW w:w="87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0"/>
        </w:trPr>
        <w:tc>
          <w:tcPr>
            <w:tcW w:w="10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7420" w:type="dxa"/>
            <w:vAlign w:val="bottom"/>
          </w:tcPr>
          <w:p>
            <w:pPr>
              <w:jc w:val="center"/>
              <w:ind w:left="1412"/>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160" w:type="dxa"/>
            <w:vAlign w:val="bottom"/>
          </w:tcPr>
          <w:p>
            <w:pPr>
              <w:spacing w:after="0"/>
              <w:rPr>
                <w:sz w:val="24"/>
                <w:szCs w:val="24"/>
                <w:color w:val="auto"/>
              </w:rPr>
            </w:pPr>
          </w:p>
        </w:tc>
        <w:tc>
          <w:tcPr>
            <w:tcW w:w="7420" w:type="dxa"/>
            <w:vAlign w:val="bottom"/>
          </w:tcPr>
          <w:p>
            <w:pPr>
              <w:jc w:val="center"/>
              <w:ind w:left="1412"/>
              <w:spacing w:after="0"/>
              <w:rPr>
                <w:sz w:val="20"/>
                <w:szCs w:val="20"/>
                <w:color w:val="auto"/>
              </w:rPr>
            </w:pPr>
            <w:r>
              <w:rPr>
                <w:rFonts w:ascii="Times New Roman" w:cs="Times New Roman" w:eastAsia="Times New Roman" w:hAnsi="Times New Roman"/>
                <w:sz w:val="18"/>
                <w:szCs w:val="18"/>
                <w:b w:val="1"/>
                <w:bCs w:val="1"/>
                <w:color w:val="auto"/>
                <w:w w:val="97"/>
              </w:rPr>
              <w:t>AUTODESK, INC.</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7420" w:type="dxa"/>
            <w:vAlign w:val="bottom"/>
          </w:tcPr>
          <w:p>
            <w:pPr>
              <w:jc w:val="center"/>
              <w:ind w:left="1412"/>
              <w:spacing w:after="0"/>
              <w:rPr>
                <w:sz w:val="20"/>
                <w:szCs w:val="20"/>
                <w:color w:val="auto"/>
              </w:rPr>
            </w:pPr>
            <w:r>
              <w:rPr>
                <w:rFonts w:ascii="Times New Roman" w:cs="Times New Roman" w:eastAsia="Times New Roman" w:hAnsi="Times New Roman"/>
                <w:sz w:val="18"/>
                <w:szCs w:val="18"/>
                <w:b w:val="1"/>
                <w:bCs w:val="1"/>
                <w:color w:val="auto"/>
                <w:w w:val="96"/>
              </w:rPr>
              <w:t>CONDENSED CONSOLIDATED STATEMENTS OF OPERATIONS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7420" w:type="dxa"/>
            <w:vAlign w:val="bottom"/>
          </w:tcPr>
          <w:p>
            <w:pPr>
              <w:jc w:val="center"/>
              <w:ind w:left="1412"/>
              <w:spacing w:after="0"/>
              <w:rPr>
                <w:sz w:val="20"/>
                <w:szCs w:val="20"/>
                <w:color w:val="auto"/>
              </w:rPr>
            </w:pPr>
            <w:r>
              <w:rPr>
                <w:rFonts w:ascii="Times New Roman" w:cs="Times New Roman" w:eastAsia="Times New Roman" w:hAnsi="Times New Roman"/>
                <w:sz w:val="18"/>
                <w:szCs w:val="18"/>
                <w:color w:val="auto"/>
                <w:w w:val="97"/>
              </w:rPr>
              <w:t>(In millions, except per share data)</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420" w:type="dxa"/>
            <w:vAlign w:val="bottom"/>
          </w:tcPr>
          <w:p>
            <w:pPr>
              <w:jc w:val="center"/>
              <w:ind w:left="1412"/>
              <w:spacing w:after="0"/>
              <w:rPr>
                <w:sz w:val="20"/>
                <w:szCs w:val="20"/>
                <w:color w:val="auto"/>
              </w:rPr>
            </w:pPr>
            <w:r>
              <w:rPr>
                <w:rFonts w:ascii="Times New Roman" w:cs="Times New Roman" w:eastAsia="Times New Roman" w:hAnsi="Times New Roman"/>
                <w:sz w:val="18"/>
                <w:szCs w:val="18"/>
                <w:color w:val="auto"/>
                <w:w w:val="96"/>
              </w:rPr>
              <w:t>(Unaudited)</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11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16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2660" w:type="dxa"/>
            <w:vAlign w:val="bottom"/>
            <w:tcBorders>
              <w:bottom w:val="single" w:sz="8" w:color="auto"/>
            </w:tcBorders>
            <w:gridSpan w:val="5"/>
            <w:shd w:val="clear" w:color="auto" w:fill="CCEEFF"/>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91"/>
        </w:trPr>
        <w:tc>
          <w:tcPr>
            <w:tcW w:w="1160" w:type="dxa"/>
            <w:vAlign w:val="bottom"/>
            <w:tcBorders>
              <w:bottom w:val="single" w:sz="8" w:color="CCEEFF"/>
            </w:tcBorders>
          </w:tcPr>
          <w:p>
            <w:pPr>
              <w:spacing w:after="0"/>
              <w:rPr>
                <w:sz w:val="16"/>
                <w:szCs w:val="16"/>
                <w:color w:val="auto"/>
              </w:rPr>
            </w:pPr>
          </w:p>
        </w:tc>
        <w:tc>
          <w:tcPr>
            <w:tcW w:w="74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7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Subscription (1)</w:t>
            </w:r>
          </w:p>
        </w:tc>
        <w:tc>
          <w:tcPr>
            <w:tcW w:w="86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212"/>
        </w:trPr>
        <w:tc>
          <w:tcPr>
            <w:tcW w:w="1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74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2"/>
        </w:trPr>
        <w:tc>
          <w:tcPr>
            <w:tcW w:w="85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0" w:type="dxa"/>
            <w:vAlign w:val="bottom"/>
          </w:tcPr>
          <w:p>
            <w:pPr>
              <w:spacing w:after="0"/>
              <w:rPr>
                <w:sz w:val="1"/>
                <w:szCs w:val="1"/>
                <w:color w:val="auto"/>
              </w:rPr>
            </w:pPr>
          </w:p>
        </w:tc>
      </w:tr>
      <w:tr>
        <w:trPr>
          <w:trHeight w:val="192"/>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7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subscription revenue (1)</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2"/>
        </w:trPr>
        <w:tc>
          <w:tcPr>
            <w:tcW w:w="8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other revenue</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9"/>
        </w:trPr>
        <w:tc>
          <w:tcPr>
            <w:tcW w:w="85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6"/>
        </w:trPr>
        <w:tc>
          <w:tcPr>
            <w:tcW w:w="85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8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0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7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0" w:type="dxa"/>
            <w:vAlign w:val="bottom"/>
          </w:tcPr>
          <w:p>
            <w:pPr>
              <w:spacing w:after="0"/>
              <w:rPr>
                <w:sz w:val="1"/>
                <w:szCs w:val="1"/>
                <w:color w:val="auto"/>
              </w:rPr>
            </w:pPr>
          </w:p>
        </w:tc>
      </w:tr>
      <w:tr>
        <w:trPr>
          <w:trHeight w:val="212"/>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Marketing and sales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12"/>
        </w:trPr>
        <w:tc>
          <w:tcPr>
            <w:tcW w:w="8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09"/>
        </w:trPr>
        <w:tc>
          <w:tcPr>
            <w:tcW w:w="8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2"/>
        </w:trPr>
        <w:tc>
          <w:tcPr>
            <w:tcW w:w="8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9"/>
        </w:trPr>
        <w:tc>
          <w:tcPr>
            <w:tcW w:w="85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Restructuring, other exit costs, and facility reductions</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6"/>
        </w:trPr>
        <w:tc>
          <w:tcPr>
            <w:tcW w:w="85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202"/>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2"/>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2"/>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2"/>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20" w:type="dxa"/>
            <w:vAlign w:val="bottom"/>
          </w:tcPr>
          <w:p>
            <w:pPr>
              <w:spacing w:after="0"/>
              <w:rPr>
                <w:sz w:val="17"/>
                <w:szCs w:val="17"/>
                <w:color w:val="auto"/>
              </w:rPr>
            </w:pP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80" w:type="dxa"/>
            <w:vAlign w:val="bottom"/>
            <w:gridSpan w:val="2"/>
            <w:vMerge w:val="continue"/>
          </w:tcPr>
          <w:p>
            <w:pPr>
              <w:spacing w:after="0"/>
              <w:rPr>
                <w:sz w:val="15"/>
                <w:szCs w:val="15"/>
                <w:color w:val="auto"/>
              </w:rPr>
            </w:pP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basic net income per share</w:t>
            </w:r>
          </w:p>
        </w:tc>
        <w:tc>
          <w:tcPr>
            <w:tcW w:w="8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in computing diluted 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80" w:type="dxa"/>
            <w:vAlign w:val="bottom"/>
            <w:gridSpan w:val="2"/>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right="600" w:firstLine="5"/>
        <w:spacing w:after="0" w:line="252" w:lineRule="auto"/>
        <w:tabs>
          <w:tab w:leader="none" w:pos="22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fiscal quarter ended April 30, 2026, the Company began classifying maintenance revenue within “Subscription revenue”. Prior period amounts have been reclassified to conform to the current period presentation. The reclassification did not impact total net revenue.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60" w:type="dxa"/>
            <w:vAlign w:val="bottom"/>
          </w:tcPr>
          <w:p>
            <w:pPr>
              <w:spacing w:after="0"/>
              <w:rPr>
                <w:sz w:val="16"/>
                <w:szCs w:val="16"/>
                <w:color w:val="auto"/>
              </w:rPr>
            </w:pPr>
          </w:p>
        </w:tc>
        <w:tc>
          <w:tcPr>
            <w:tcW w:w="240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80" w:type="dxa"/>
            <w:vAlign w:val="bottom"/>
          </w:tcPr>
          <w:p>
            <w:pPr>
              <w:spacing w:after="0"/>
              <w:rPr>
                <w:sz w:val="16"/>
                <w:szCs w:val="16"/>
                <w:color w:val="auto"/>
              </w:rPr>
            </w:pPr>
          </w:p>
        </w:tc>
      </w:tr>
      <w:tr>
        <w:trPr>
          <w:trHeight w:val="24"/>
        </w:trPr>
        <w:tc>
          <w:tcPr>
            <w:tcW w:w="84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4"/>
        </w:trPr>
        <w:tc>
          <w:tcPr>
            <w:tcW w:w="84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9"/>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reclassifications: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2"/>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gain (loss) on derivative instruments (net of tax effect of $(1) and $2, respectively)</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9"/>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net unrealized gain on available-for-sale debt securities (net of tax effect of $(6) and zero, respectively)</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defined benefit pension items (net of tax effect of zero for all periods presented)</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change in cumulative foreign currency translation (loss) gain (net of tax effect of $(1) and $(3), respectively)</w:t>
            </w: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4"/>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8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6"/>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88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
        </w:trPr>
        <w:tc>
          <w:tcPr>
            <w:tcW w:w="8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 w:name="page6"/>
    <w:bookmarkEnd w:id="5"/>
    <w:p>
      <w:pPr>
        <w:ind w:left="5220"/>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80" w:type="dxa"/>
            <w:vAlign w:val="bottom"/>
          </w:tcPr>
          <w:p>
            <w:pPr>
              <w:spacing w:after="0"/>
              <w:rPr>
                <w:sz w:val="16"/>
                <w:szCs w:val="16"/>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0" w:type="dxa"/>
            <w:vAlign w:val="bottom"/>
          </w:tcPr>
          <w:p>
            <w:pPr>
              <w:spacing w:after="0"/>
              <w:rPr>
                <w:sz w:val="1"/>
                <w:szCs w:val="1"/>
                <w:color w:val="auto"/>
              </w:rPr>
            </w:pPr>
          </w:p>
        </w:tc>
      </w:tr>
      <w:tr>
        <w:trPr>
          <w:trHeight w:val="24"/>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00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Marketable securities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871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4,374</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220" w:type="dxa"/>
            <w:vAlign w:val="bottom"/>
          </w:tcPr>
          <w:p>
            <w:pPr>
              <w:spacing w:after="0"/>
              <w:rPr>
                <w:sz w:val="17"/>
                <w:szCs w:val="17"/>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other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1,296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11,932</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403</w:t>
            </w:r>
          </w:p>
        </w:tc>
        <w:tc>
          <w:tcPr>
            <w:tcW w:w="14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5,240</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5,808</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income taxes payable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notes payable, net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other liabilities</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and additional paid-in capital</w:t>
            </w: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11,932</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12,467</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640" w:type="dxa"/>
            <w:vAlign w:val="bottom"/>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2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r>
      <w:tr>
        <w:trPr>
          <w:trHeight w:val="19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tcPr>
          <w:p>
            <w:pPr>
              <w:spacing w:after="0"/>
              <w:rPr>
                <w:sz w:val="18"/>
                <w:szCs w:val="18"/>
                <w:color w:val="auto"/>
              </w:rPr>
            </w:pPr>
          </w:p>
        </w:tc>
        <w:tc>
          <w:tcPr>
            <w:tcW w:w="1000" w:type="dxa"/>
            <w:vAlign w:val="bottom"/>
          </w:tcPr>
          <w:p>
            <w:pPr>
              <w:jc w:val="right"/>
              <w:ind w:right="84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costs to obtain a contract with a customer</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Restructuring-related asset impairments</w:t>
            </w:r>
          </w:p>
        </w:tc>
        <w:tc>
          <w:tcPr>
            <w:tcW w:w="10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business combinations: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2"/>
        </w:trPr>
        <w:tc>
          <w:tcPr>
            <w:tcW w:w="80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19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strategic investments (1)</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8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89"/>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9"/>
        </w:trPr>
        <w:tc>
          <w:tcPr>
            <w:tcW w:w="8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2"/>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20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80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02"/>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0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w:t>
            </w: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0" w:type="dxa"/>
            <w:vAlign w:val="bottom"/>
            <w:tcBorders>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4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right="140" w:firstLine="5"/>
        <w:spacing w:after="0" w:line="252" w:lineRule="auto"/>
        <w:tabs>
          <w:tab w:leader="none" w:pos="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of strategic investments” were previously presented in “Other investing activities”. Prior period amounts have been reclassified to conform to the current period presentation. This presentation change did not have any impact to “Net cash provided by investing activities”.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share and per share data, or as otherwise noted)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Basis of Presentation</w:t>
      </w:r>
    </w:p>
    <w:p>
      <w:pPr>
        <w:spacing w:after="0" w:line="244" w:lineRule="exact"/>
        <w:rPr>
          <w:sz w:val="20"/>
          <w:szCs w:val="20"/>
          <w:color w:val="auto"/>
        </w:rPr>
      </w:pPr>
    </w:p>
    <w:p>
      <w:pPr>
        <w:jc w:val="both"/>
        <w:ind w:right="80" w:firstLine="434"/>
        <w:spacing w:after="0" w:line="282"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of Autodesk, Inc. (“Autodesk,” “we,” “us,” “our,” or the “Company”) as of April 30, 2026, and for the three months ended April 30, 2026 and 2025, have been prepared in accordance with U.S. generally accepted accounting principles (“GAAP”) for interim financial information along with the instructions to Form 10-Q and Article 10 of Securities and Exchange Commission (“SEC”)</w:t>
      </w:r>
    </w:p>
    <w:p>
      <w:pPr>
        <w:spacing w:after="0" w:line="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2026, are not necessarily indicative of the results for the entire fiscal year ending January 31, 2027, or for any other period. Further, the balance sheet as of January 31, 2026,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2026.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2026, filed on March 3,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Recently Issued Accounting Standards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242" w:lineRule="exact"/>
        <w:rPr>
          <w:sz w:val="20"/>
          <w:szCs w:val="20"/>
          <w:color w:val="auto"/>
        </w:rPr>
      </w:pPr>
    </w:p>
    <w:p>
      <w:pPr>
        <w:ind w:right="140" w:firstLine="395"/>
        <w:spacing w:after="0" w:line="246"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(“FASB”) issued ASU No. 2025-06, “Intangibles-Goodwill and Other-Internal-Use Software (Subtopic 350-40)” (“ASU 2025-06”), which amends certain aspects of the accounting for and disclosure of software costs under Subtopic 350-40. ASU 2025-06 eliminates accounting consideration of software development “stages”. Cost capitalization will now begin solely when (1) management has authorized and committed to funding the software project, and (2) it is probable the project will be completed and the software used to perform its intended function (the probable-to-complete threshold). In evaluating the probable-to-complete recognition threshold, an entity is required to consider whether there is significant uncertainty associated with the development activities of the software. ASU 2025-06 specifies that the disclosures in Subtopic 360-10, Property, Plant, and Equipment—Overall, are required for all capitalized internal-use software costs, regardless of how those costs are presented in the financial statements. The amendments in ASU 2025-06 supersede the website development costs guidance and incorporate the recognition requirements for website-specific development costs from Subtopic 350-50 into Subtopic 350-40. ASU 2025-06 is effective for Autodesk’s fiscal year beginning February 1, 2028, and interim periods within that fiscal year. Early adoption is permitted. Autodesk is currently evaluating the effect of adopting ASU 2025-06 on its consolidated financial statements.</w:t>
      </w:r>
    </w:p>
    <w:p>
      <w:pPr>
        <w:spacing w:after="0" w:line="219" w:lineRule="exact"/>
        <w:rPr>
          <w:sz w:val="20"/>
          <w:szCs w:val="20"/>
          <w:color w:val="auto"/>
        </w:rPr>
      </w:pPr>
    </w:p>
    <w:p>
      <w:pPr>
        <w:ind w:right="120" w:firstLine="395"/>
        <w:spacing w:after="0" w:line="278" w:lineRule="auto"/>
        <w:rPr>
          <w:sz w:val="20"/>
          <w:szCs w:val="20"/>
          <w:color w:val="auto"/>
        </w:rPr>
      </w:pPr>
      <w:r>
        <w:rPr>
          <w:rFonts w:ascii="Times New Roman" w:cs="Times New Roman" w:eastAsia="Times New Roman" w:hAnsi="Times New Roman"/>
          <w:sz w:val="16"/>
          <w:szCs w:val="16"/>
          <w:color w:val="auto"/>
        </w:rPr>
        <w:t>In November 2024, the FASB issued ASU No. 2024-03, “Income Statement-Reporting Comprehensive Income-Expense Disaggregation Disclosures” (“ASU 2024-03”), which requires disaggregated disclosures, in the notes to the financial statements, of certain categories of expenses that are 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Autodesk’s definition of selling expenses. ASU 2024-03 is effective for Autodesk’s fiscal year beginning February 1, 2027, and interim periods for Autodesk’s fiscal year beginning February 1, 2028. Early adoption is permitted. Autodesk is currently evaluating the effect of adopting ASU 2024-03 on its disclosures.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3" w:lineRule="exact"/>
        <w:rPr>
          <w:sz w:val="20"/>
          <w:szCs w:val="20"/>
          <w:color w:val="auto"/>
        </w:rPr>
      </w:pPr>
    </w:p>
    <w:p>
      <w:pPr>
        <w:ind w:right="440" w:firstLine="434"/>
        <w:spacing w:after="0" w:line="268" w:lineRule="auto"/>
        <w:rPr>
          <w:sz w:val="20"/>
          <w:szCs w:val="20"/>
          <w:color w:val="auto"/>
        </w:rPr>
      </w:pPr>
      <w:r>
        <w:rPr>
          <w:rFonts w:ascii="Times New Roman" w:cs="Times New Roman" w:eastAsia="Times New Roman" w:hAnsi="Times New Roman"/>
          <w:sz w:val="18"/>
          <w:szCs w:val="18"/>
          <w:color w:val="auto"/>
        </w:rPr>
        <w:t>There have been no other recent accounting pronouncements during the three months ended April 30, 2026, that may have a material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Revenue Recognition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42"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Information regarding the components of Autodesk's net revenue from contracts with customers by product family, geographic location, and product type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shd w:val="clear" w:color="auto" w:fill="CCEEFF"/>
          </w:tcPr>
          <w:p>
            <w:pPr>
              <w:spacing w:after="0"/>
              <w:rPr>
                <w:sz w:val="17"/>
                <w:szCs w:val="17"/>
                <w:color w:val="auto"/>
              </w:rPr>
            </w:pPr>
          </w:p>
        </w:tc>
        <w:tc>
          <w:tcPr>
            <w:tcW w:w="23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40" w:type="dxa"/>
            <w:vAlign w:val="bottom"/>
            <w:tcBorders>
              <w:bottom w:val="single" w:sz="8" w:color="auto"/>
            </w:tcBorders>
            <w:shd w:val="clear" w:color="auto" w:fill="CCEEFF"/>
          </w:tcPr>
          <w:p>
            <w:pPr>
              <w:spacing w:after="0"/>
              <w:rPr>
                <w:sz w:val="17"/>
                <w:szCs w:val="17"/>
                <w:color w:val="auto"/>
              </w:rPr>
            </w:pPr>
          </w:p>
        </w:tc>
      </w:tr>
      <w:tr>
        <w:trPr>
          <w:trHeight w:val="184"/>
        </w:trPr>
        <w:tc>
          <w:tcPr>
            <w:tcW w:w="84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r>
      <w:tr>
        <w:trPr>
          <w:trHeight w:val="197"/>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9"/>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Architecture, Engineering, Construction and Operations</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r>
      <w:tr>
        <w:trPr>
          <w:trHeight w:val="212"/>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AutoCAD and AutoCAD LT</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09"/>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Manufacturing</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2"/>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Media and Entertainment</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9"/>
        </w:trPr>
        <w:tc>
          <w:tcPr>
            <w:tcW w:w="8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2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1,633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geographic area:</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09"/>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2"/>
        </w:trPr>
        <w:tc>
          <w:tcPr>
            <w:tcW w:w="8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09"/>
        </w:trPr>
        <w:tc>
          <w:tcPr>
            <w:tcW w:w="84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Americas</w:t>
            </w: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06"/>
        </w:trPr>
        <w:tc>
          <w:tcPr>
            <w:tcW w:w="8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Total Americas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09"/>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r>
      <w:tr>
        <w:trPr>
          <w:trHeight w:val="212"/>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02"/>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1,633</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8"/>
        </w:trPr>
        <w:tc>
          <w:tcPr>
            <w:tcW w:w="8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09"/>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2"/>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Design</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1,361</w:t>
            </w:r>
          </w:p>
        </w:tc>
      </w:tr>
      <w:tr>
        <w:trPr>
          <w:trHeight w:val="209"/>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Make</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2"/>
        </w:trPr>
        <w:tc>
          <w:tcPr>
            <w:tcW w:w="8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2"/>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1,633</w:t>
            </w:r>
          </w:p>
        </w:tc>
      </w:tr>
      <w:tr>
        <w:trPr>
          <w:trHeight w:val="21"/>
        </w:trPr>
        <w:tc>
          <w:tcPr>
            <w:tcW w:w="8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right="480" w:firstLine="395"/>
        <w:spacing w:after="0" w:line="332" w:lineRule="auto"/>
        <w:rPr>
          <w:sz w:val="20"/>
          <w:szCs w:val="20"/>
          <w:color w:val="auto"/>
        </w:rPr>
      </w:pPr>
      <w:r>
        <w:rPr>
          <w:rFonts w:ascii="Times New Roman" w:cs="Times New Roman" w:eastAsia="Times New Roman" w:hAnsi="Times New Roman"/>
          <w:sz w:val="16"/>
          <w:szCs w:val="16"/>
          <w:color w:val="auto"/>
        </w:rPr>
        <w:t>Payments for subscriptions are typically due in annual installments or upfront. Autodesk does not have any material variable consideration, such as obligations for returns, refunds, warranties, or amounts due to customers for which significant estimation or judgment is required as of the reporting date.</w:t>
      </w:r>
    </w:p>
    <w:p>
      <w:pPr>
        <w:spacing w:after="0" w:line="149"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Remaining performance obligations consist of total short-term, long-term, and unbilled deferred revenue. As of April 30, 2026, Autodesk had remaining performance obligations of $7.81 billion, which represents the total transaction price allocated to remaining performance obligations, which are generally recognized over the next three years. We expect to recognize $5.38 billion or 69% of our remaining performance obligations as revenue during the next 12 months. We expect to recognize the remaining $2.42 billion or 31% of our remaining performance obligations as revenue thereafter.</w:t>
      </w:r>
    </w:p>
    <w:p>
      <w:pPr>
        <w:spacing w:after="0" w:line="210"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The amount of remaining performance obligations may be impacted by the specific timing, duration, and size of customer subscription and support agreements, the specific timing of customer renewals, and foreign currency fluctuations.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42" w:lineRule="exact"/>
        <w:rPr>
          <w:sz w:val="20"/>
          <w:szCs w:val="20"/>
          <w:color w:val="auto"/>
        </w:rPr>
      </w:pPr>
    </w:p>
    <w:p>
      <w:pPr>
        <w:ind w:right="120" w:firstLine="395"/>
        <w:spacing w:after="0" w:line="303" w:lineRule="auto"/>
        <w:rPr>
          <w:sz w:val="20"/>
          <w:szCs w:val="20"/>
          <w:color w:val="auto"/>
        </w:rPr>
      </w:pPr>
      <w:r>
        <w:rPr>
          <w:rFonts w:ascii="Times New Roman" w:cs="Times New Roman" w:eastAsia="Times New Roman" w:hAnsi="Times New Roman"/>
          <w:sz w:val="16"/>
          <w:szCs w:val="16"/>
          <w:color w:val="auto"/>
        </w:rPr>
        <w:t>We receive payments from customers based on a billing schedule as established in our contracts. Contract assets relate to performance completed in advance of scheduled billings. Contract assets were not material as of April 30, 2026 and January 31, 2026. Deferred revenue relates to billings in advance of performance under the contract. The primary changes in our contract assets and deferred revenues are due to our performance under the contracts and billings.</w:t>
      </w:r>
    </w:p>
    <w:p>
      <w:pPr>
        <w:spacing w:after="0" w:line="172"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Revenue recognized during the three months ended April 30, 2026 and 2025, that was included in the deferred revenue balances at January 31, 2026 and 2025, was $1.61 billion and $1.35 billion, respectively. The satisfaction of performance obligations typically lags behind payments received under revenue contracts from customers.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Concentration of Credit Risk</w:t>
      </w:r>
    </w:p>
    <w:p>
      <w:pPr>
        <w:spacing w:after="0" w:line="218"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acts as administrative agent and a lender under Autodesk’s $1.5 billion revolving credit facility. See Note 11, “Borrowing Arrangements,” in the Notes to Condensed Consolidated Financial Statements for further discussion.</w:t>
      </w:r>
    </w:p>
    <w:p>
      <w:pPr>
        <w:spacing w:after="0" w:line="212"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Total revenue from the Company's largest distributor TD Synnex Corporation and its global affiliates (“TD Synnex”) accounted for 9% and 20% of Autodesk’s total net revenue during the three months ended April 30, 2026 and 2025, respectively. The majority of the net revenue from sales to TD Synnex is from sales outside of the United States. In addition, TD Synnex accounted for 10% and 5% of trade accounts receivable at April 30, 2026, and January 31, 2026, respectively. No other customer accounted for more than 10% of Autodesk's total net revenue or trade accounts receivable for each of the respective periods.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Financial Instruments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Company's financial instruments by significant investment category as of April 30, 2026, and January 31, 2026: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180" w:type="dxa"/>
            <w:vAlign w:val="bottom"/>
          </w:tcPr>
          <w:p>
            <w:pPr>
              <w:spacing w:after="0"/>
              <w:rPr>
                <w:sz w:val="16"/>
                <w:szCs w:val="16"/>
                <w:color w:val="auto"/>
              </w:rPr>
            </w:pPr>
          </w:p>
        </w:tc>
        <w:tc>
          <w:tcPr>
            <w:tcW w:w="10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7"/>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09"/>
        </w:trPr>
        <w:tc>
          <w:tcPr>
            <w:tcW w:w="5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tcPr>
          <w:p>
            <w:pPr>
              <w:spacing w:after="0"/>
              <w:rPr>
                <w:sz w:val="18"/>
                <w:szCs w:val="18"/>
                <w:color w:val="auto"/>
              </w:rPr>
            </w:pPr>
          </w:p>
        </w:tc>
        <w:tc>
          <w:tcPr>
            <w:tcW w:w="600" w:type="dxa"/>
            <w:vAlign w:val="bottom"/>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w:t>
            </w:r>
          </w:p>
        </w:tc>
      </w:tr>
      <w:tr>
        <w:trPr>
          <w:trHeight w:val="212"/>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9"/>
        </w:trPr>
        <w:tc>
          <w:tcPr>
            <w:tcW w:w="5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2"/>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09"/>
        </w:trPr>
        <w:tc>
          <w:tcPr>
            <w:tcW w:w="5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Agency discount notes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5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09"/>
        </w:trPr>
        <w:tc>
          <w:tcPr>
            <w:tcW w:w="53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9"/>
        </w:trPr>
        <w:tc>
          <w:tcPr>
            <w:tcW w:w="53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2"/>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53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(2)</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53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2"/>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9"/>
        </w:trPr>
        <w:tc>
          <w:tcPr>
            <w:tcW w:w="53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2"/>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9"/>
        </w:trPr>
        <w:tc>
          <w:tcPr>
            <w:tcW w:w="53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Agency bonds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5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Mutual funds (4)</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31"/>
        </w:trPr>
        <w:tc>
          <w:tcPr>
            <w:tcW w:w="53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1" w:lineRule="exact"/>
        <w:rPr>
          <w:sz w:val="20"/>
          <w:szCs w:val="20"/>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mortgage backed securities.</w:t>
      </w:r>
    </w:p>
    <w:p>
      <w:pPr>
        <w:ind w:left="400" w:hanging="395"/>
        <w:spacing w:after="0"/>
        <w:tabs>
          <w:tab w:leader="none" w:pos="4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sovereign government bonds.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10" w:name="page11"/>
    <w:bookmarkEnd w:id="10"/>
    <w:p>
      <w:pPr>
        <w:ind w:left="400" w:right="200" w:hanging="395"/>
        <w:spacing w:after="0" w:line="263" w:lineRule="auto"/>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debt and equity securities that are held in a rabbi trust under non-qualified deferred compensation plans, $14 million was classified as current in “Prepaid expenses and other current assets” and $131 million was classified as non-current in “Long-term other assets” in the accompanying Condensed Consolidated Balance Sheets. The liability balance was $146 million in the accompanying Condensed 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1"/>
                <w:szCs w:val="11"/>
                <w:color w:val="auto"/>
              </w:rPr>
            </w:pPr>
          </w:p>
        </w:tc>
        <w:tc>
          <w:tcPr>
            <w:tcW w:w="138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1"/>
                <w:szCs w:val="11"/>
                <w:color w:val="auto"/>
              </w:rPr>
            </w:pPr>
          </w:p>
        </w:tc>
        <w:tc>
          <w:tcPr>
            <w:tcW w:w="114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 (1):</w:t>
            </w: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9"/>
        </w:trPr>
        <w:tc>
          <w:tcPr>
            <w:tcW w:w="5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9"/>
        </w:trPr>
        <w:tc>
          <w:tcPr>
            <w:tcW w:w="5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(2)</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9"/>
        </w:trPr>
        <w:tc>
          <w:tcPr>
            <w:tcW w:w="5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9"/>
        </w:trPr>
        <w:tc>
          <w:tcPr>
            <w:tcW w:w="5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9"/>
        </w:trPr>
        <w:tc>
          <w:tcPr>
            <w:tcW w:w="5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9"/>
        </w:trPr>
        <w:tc>
          <w:tcPr>
            <w:tcW w:w="5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9"/>
        </w:trPr>
        <w:tc>
          <w:tcPr>
            <w:tcW w:w="54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Mutual funds (5)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04"/>
        </w:trPr>
        <w:tc>
          <w:tcPr>
            <w:tcW w:w="5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corporate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mortgage-backed securities and agency discount bonds.</w:t>
      </w:r>
    </w:p>
    <w:p>
      <w:pPr>
        <w:spacing w:after="0" w:line="8"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bonds and sovereign government bonds.</w:t>
      </w:r>
    </w:p>
    <w:p>
      <w:pPr>
        <w:ind w:left="400" w:right="200" w:hanging="395"/>
        <w:spacing w:after="0" w:line="251" w:lineRule="auto"/>
        <w:tabs>
          <w:tab w:leader="none" w:pos="4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debt and equity securities that are held in a rabbi trust under non-qualified deferred compensation plans, $14 million was classified as current in “Prepaid expenses and other current assets” and $123 million was classified as non-current in “Long-term other assets” in the accompanying Condensed Consolidated Balance Sheets. The liability balance was $137 million in the accompanying Condensed Consolidated Balance Sheets.</w:t>
      </w:r>
    </w:p>
    <w:p>
      <w:pPr>
        <w:spacing w:after="0" w:line="216"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summarizes the fair values of investments classified as marketable debt securities by contractual maturity date as of April 30, 2026:</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9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4"/>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within 1 year</w:t>
            </w: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09"/>
        </w:trPr>
        <w:tc>
          <w:tcPr>
            <w:tcW w:w="9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1 year through 5 years</w:t>
            </w:r>
          </w:p>
        </w:tc>
        <w:tc>
          <w:tcPr>
            <w:tcW w:w="4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12"/>
        </w:trPr>
        <w:tc>
          <w:tcPr>
            <w:tcW w:w="9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5 years through 10 years</w:t>
            </w: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9"/>
        </w:trPr>
        <w:tc>
          <w:tcPr>
            <w:tcW w:w="9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10 years</w:t>
            </w: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1"/>
        </w:trPr>
        <w:tc>
          <w:tcPr>
            <w:tcW w:w="9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As of both April 30, 2026, and January 31, 2026,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the three months ended April 30, 2026.</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1" w:name="page12"/>
    <w:bookmarkEnd w:id="11"/>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Autodesk monitors all marketable debt securities for potential credit losses by reviewing indicators such as, but not limited to, current credit rating, change in credit rating, credit outlook, and default risk. There were no allowances for credit losses as of both April 30, 2026, and January 31, 2026. There were no write offs of accrued interest receivables for both the three months ended April 30, 2026 and 2025.</w:t>
      </w:r>
    </w:p>
    <w:p>
      <w:pPr>
        <w:spacing w:after="0" w:line="206" w:lineRule="exact"/>
        <w:rPr>
          <w:sz w:val="20"/>
          <w:szCs w:val="20"/>
          <w:color w:val="auto"/>
        </w:rPr>
      </w:pPr>
    </w:p>
    <w:p>
      <w:pPr>
        <w:jc w:val="both"/>
        <w:ind w:right="240" w:firstLine="395"/>
        <w:spacing w:after="0" w:line="256" w:lineRule="auto"/>
        <w:rPr>
          <w:sz w:val="20"/>
          <w:szCs w:val="20"/>
          <w:color w:val="auto"/>
        </w:rPr>
      </w:pPr>
      <w:r>
        <w:rPr>
          <w:rFonts w:ascii="Times New Roman" w:cs="Times New Roman" w:eastAsia="Times New Roman" w:hAnsi="Times New Roman"/>
          <w:sz w:val="18"/>
          <w:szCs w:val="18"/>
          <w:color w:val="auto"/>
        </w:rPr>
        <w:t>There were no material realized gains or losses for the sales or redemptions of marketable debt securities during both the three months ended April 30, 2026 and 2025. Realized gains and losses from the sales or redemptions of marketable debt securities are recorded in “Interest and other income, net” on the Company's Condensed Consolidated Statements of Operations.</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Strategic investments in equity securities</w:t>
      </w:r>
    </w:p>
    <w:p>
      <w:pPr>
        <w:spacing w:after="0" w:line="242"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As of April 30, 2026, and January 31, 2026, Autodesk had $406 million and $346 million in direct investments in privately held companies, respectively.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w:t>
      </w:r>
    </w:p>
    <w:p>
      <w:pPr>
        <w:spacing w:after="0" w:line="212" w:lineRule="exact"/>
        <w:rPr>
          <w:sz w:val="20"/>
          <w:szCs w:val="20"/>
          <w:color w:val="auto"/>
        </w:rPr>
      </w:pPr>
    </w:p>
    <w:p>
      <w:pPr>
        <w:jc w:val="both"/>
        <w:ind w:right="220" w:firstLine="395"/>
        <w:spacing w:after="0" w:line="256" w:lineRule="auto"/>
        <w:rPr>
          <w:sz w:val="20"/>
          <w:szCs w:val="20"/>
          <w:color w:val="auto"/>
        </w:rPr>
      </w:pPr>
      <w:r>
        <w:rPr>
          <w:rFonts w:ascii="Times New Roman" w:cs="Times New Roman" w:eastAsia="Times New Roman" w:hAnsi="Times New Roman"/>
          <w:sz w:val="18"/>
          <w:szCs w:val="18"/>
          <w:color w:val="auto"/>
        </w:rPr>
        <w:t>Adjustments to the carrying value of our strategic investment equity securities with no readily determined fair values measured using the measurement alternative are included in “Interest and other income, net” on the Company's Condensed Consolidated Statements of Operations. These adjustments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Cumulative Amount as of</w:t>
            </w:r>
          </w:p>
        </w:tc>
      </w:tr>
      <w:tr>
        <w:trPr>
          <w:trHeight w:val="24"/>
        </w:trPr>
        <w:tc>
          <w:tcPr>
            <w:tcW w:w="6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4"/>
        </w:trPr>
        <w:tc>
          <w:tcPr>
            <w:tcW w:w="68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April 30, 2026</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Upward adjustments</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09"/>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Negative adjustments, including impairments</w:t>
            </w:r>
          </w:p>
        </w:tc>
        <w:tc>
          <w:tcPr>
            <w:tcW w:w="86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06"/>
        </w:trPr>
        <w:tc>
          <w:tcPr>
            <w:tcW w:w="68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unrealized adjustments</w:t>
            </w:r>
          </w:p>
        </w:tc>
        <w:tc>
          <w:tcPr>
            <w:tcW w:w="860" w:type="dxa"/>
            <w:vAlign w:val="bottom"/>
            <w:tcBorders>
              <w:top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bl>
    <w:p>
      <w:pPr>
        <w:spacing w:after="0" w:line="3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42" w:lineRule="exact"/>
        <w:rPr>
          <w:sz w:val="20"/>
          <w:szCs w:val="20"/>
          <w:color w:val="auto"/>
        </w:rPr>
      </w:pPr>
    </w:p>
    <w:p>
      <w:pPr>
        <w:jc w:val="both"/>
        <w:ind w:right="460" w:firstLine="395"/>
        <w:spacing w:after="0" w:line="256" w:lineRule="auto"/>
        <w:rPr>
          <w:sz w:val="20"/>
          <w:szCs w:val="20"/>
          <w:color w:val="auto"/>
        </w:rPr>
      </w:pPr>
      <w:r>
        <w:rPr>
          <w:rFonts w:ascii="Times New Roman" w:cs="Times New Roman" w:eastAsia="Times New Roman" w:hAnsi="Times New Roman"/>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6"/>
          <w:szCs w:val="16"/>
          <w:color w:val="auto"/>
        </w:rPr>
        <w:t>The following tables summarize the Company's financial instruments measured at fair value on a recurring basis by significant investment category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 and January 31, 2026:</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6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7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w:t>
            </w:r>
          </w:p>
        </w:tc>
      </w:tr>
      <w:tr>
        <w:trPr>
          <w:trHeight w:val="20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09"/>
        </w:trPr>
        <w:tc>
          <w:tcPr>
            <w:tcW w:w="7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2"/>
        </w:trPr>
        <w:tc>
          <w:tcPr>
            <w:tcW w:w="7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Agency discount notes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9"/>
        </w:trPr>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2"/>
        </w:trPr>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Agency bonds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70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Mutual funds (4)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Derivative contract assets (5)</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Derivative contract liabilities (6)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1"/>
        </w:trPr>
        <w:tc>
          <w:tcPr>
            <w:tcW w:w="7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agency mortgage backed securities.</w:t>
      </w:r>
    </w:p>
    <w:p>
      <w:pPr>
        <w:ind w:left="400" w:hanging="395"/>
        <w:spacing w:after="0"/>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sovereign government bonds.</w:t>
      </w:r>
    </w:p>
    <w:p>
      <w:pPr>
        <w:spacing w:after="0" w:line="4" w:lineRule="exact"/>
        <w:rPr>
          <w:rFonts w:ascii="Times New Roman" w:cs="Times New Roman" w:eastAsia="Times New Roman" w:hAnsi="Times New Roman"/>
          <w:sz w:val="16"/>
          <w:szCs w:val="16"/>
          <w:color w:val="auto"/>
        </w:rPr>
      </w:pPr>
    </w:p>
    <w:p>
      <w:pPr>
        <w:ind w:left="400" w:right="500" w:hanging="395"/>
        <w:spacing w:after="0" w:line="249" w:lineRule="auto"/>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debt and equity securities that are held in a rabbi trust under non-qualified deferred compensation plans with a corresponding deferred compensation liability. Included in “Prepaid expenses and other current assets”, “Long-term other assets”, “Accrued compensation”, and “Long-term other liabilities,” in the accompanying Condensed Consolidated Balance Sheets.</w:t>
      </w:r>
    </w:p>
    <w:p>
      <w:pPr>
        <w:spacing w:after="0" w:line="1"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ind w:left="400" w:hanging="395"/>
        <w:spacing w:after="0"/>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
        </w:trPr>
        <w:tc>
          <w:tcPr>
            <w:tcW w:w="7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4"/>
        </w:trPr>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7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Commercial paper</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Asset 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 government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9"/>
        </w:trPr>
        <w:tc>
          <w:tcPr>
            <w:tcW w:w="7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Agency mortgage-backed securities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9"/>
        </w:trPr>
        <w:tc>
          <w:tcPr>
            <w:tcW w:w="7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other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Mutual funds (5)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 contract assets (6)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2"/>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 contract liabilities (7)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w:t>
            </w: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400" w:hanging="395"/>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 These investments are classified as debt securities.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corporate debt securities.</w:t>
      </w:r>
    </w:p>
    <w:p>
      <w:pPr>
        <w:ind w:left="400" w:hanging="395"/>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mortgage-backed securities and agency discount notes.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primarily of agency bonds and sovereign government bonds.</w:t>
      </w:r>
    </w:p>
    <w:p>
      <w:pPr>
        <w:spacing w:after="0" w:line="8" w:lineRule="exact"/>
        <w:rPr>
          <w:rFonts w:ascii="Times New Roman" w:cs="Times New Roman" w:eastAsia="Times New Roman" w:hAnsi="Times New Roman"/>
          <w:sz w:val="16"/>
          <w:szCs w:val="16"/>
          <w:color w:val="auto"/>
        </w:rPr>
      </w:pPr>
    </w:p>
    <w:p>
      <w:pPr>
        <w:ind w:left="400" w:right="500" w:hanging="395"/>
        <w:spacing w:after="0" w:line="246" w:lineRule="auto"/>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debt and equity securities that are held in a rabbi trust under non-qualified deferred compensation plans with a corresponding deferred compensation liability. Included in “Prepaid expenses and other current assets”, “Long-term other assets”, “Accrued compensation”, and “Long-term other liabilities,” in the accompanying Condensed Consolidated Balance Sheets.</w:t>
      </w:r>
    </w:p>
    <w:p>
      <w:pPr>
        <w:ind w:left="400" w:hanging="395"/>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“Long-term other assets,” in the accompanying Condensed Consolidated Balance Sheets.</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200" w:right="9480" w:hanging="195"/>
        <w:spacing w:after="0" w:line="586" w:lineRule="auto"/>
        <w:tabs>
          <w:tab w:leader="none" w:pos="178" w:val="left"/>
        </w:tabs>
        <w:numPr>
          <w:ilvl w:val="0"/>
          <w:numId w:val="1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Equity Compensation </w:t>
      </w:r>
      <w:r>
        <w:rPr>
          <w:rFonts w:ascii="Times New Roman" w:cs="Times New Roman" w:eastAsia="Times New Roman" w:hAnsi="Times New Roman"/>
          <w:sz w:val="16"/>
          <w:szCs w:val="16"/>
          <w:i w:val="1"/>
          <w:iCs w:val="1"/>
          <w:color w:val="auto"/>
        </w:rPr>
        <w:t>Restricted Stock Units</w:t>
      </w:r>
    </w:p>
    <w:p>
      <w:pPr>
        <w:ind w:left="44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A summary of restricted stock activity for the three months ended April 30, 2026,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Unvested restricted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90"/>
        </w:trPr>
        <w:tc>
          <w:tcPr>
            <w:tcW w:w="718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190"/>
        </w:trPr>
        <w:tc>
          <w:tcPr>
            <w:tcW w:w="718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17"/>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January 31, 2026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255.39</w:t>
            </w:r>
          </w:p>
        </w:tc>
      </w:tr>
      <w:tr>
        <w:trPr>
          <w:trHeight w:val="209"/>
        </w:trPr>
        <w:tc>
          <w:tcPr>
            <w:tcW w:w="7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224.92</w:t>
            </w:r>
          </w:p>
        </w:tc>
      </w:tr>
      <w:tr>
        <w:trPr>
          <w:trHeight w:val="212"/>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Vested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247.95</w:t>
            </w:r>
          </w:p>
        </w:tc>
      </w:tr>
      <w:tr>
        <w:trPr>
          <w:trHeight w:val="209"/>
        </w:trPr>
        <w:tc>
          <w:tcPr>
            <w:tcW w:w="7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Canceled/Forfeited</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251.70</w:t>
            </w:r>
          </w:p>
        </w:tc>
      </w:tr>
      <w:tr>
        <w:trPr>
          <w:trHeight w:val="212"/>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Performance Adjustment (1)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289.05</w:t>
            </w:r>
          </w:p>
        </w:tc>
      </w:tr>
      <w:tr>
        <w:trPr>
          <w:trHeight w:val="204"/>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 at April 30, 2026</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242.21</w:t>
            </w:r>
          </w:p>
        </w:tc>
      </w:tr>
      <w:tr>
        <w:trPr>
          <w:trHeight w:val="20"/>
        </w:trPr>
        <w:tc>
          <w:tcPr>
            <w:tcW w:w="71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right="460" w:hanging="395"/>
        <w:spacing w:after="0" w:line="252" w:lineRule="auto"/>
        <w:tabs>
          <w:tab w:leader="none" w:pos="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Autodesk's financial results and relative total stockholder return for the fiscal 2026 performance period. The performance stock units were attained at rates ranging from 103% to 126% of the target award.</w:t>
      </w:r>
    </w:p>
    <w:p>
      <w:pPr>
        <w:spacing w:after="0" w:line="201"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fair value of the shares vested during the three months ended April 30, 2026 and 2025, was $363 million and $428 million, respectively.</w:t>
      </w:r>
    </w:p>
    <w:p>
      <w:pPr>
        <w:spacing w:after="0" w:line="240"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April 30, 2026, Autodesk granted 2 million restricted stock units. Restricted stock units are not considered outstanding stock at the time of grant, as the holders of these units are not entitled to any of the rights of a stockholder, including voting rights.</w:t>
      </w:r>
    </w:p>
    <w:p>
      <w:pPr>
        <w:spacing w:after="0" w:line="196"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restricted stock units of $127 million and $140 million during the three months ended April 30, 2026 and 2025, respectively.</w:t>
      </w:r>
    </w:p>
    <w:p>
      <w:pPr>
        <w:spacing w:after="0" w:line="196"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During the three months ended April 30, 2026, Autodesk granted 350 thousand performance stock units for which the ultimate number of shares earned is determined based on the achievement of performance criteria at the end of the stated performance period. The performance criteria for the performance stock units are based on the achievement of specified performance goals adopted by the Compensation and Human Resource Committee and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the performance stock units have the following vesting schedule:</w:t>
      </w:r>
    </w:p>
    <w:p>
      <w:pPr>
        <w:spacing w:after="0" w:line="212" w:lineRule="exact"/>
        <w:rPr>
          <w:sz w:val="20"/>
          <w:szCs w:val="20"/>
          <w:color w:val="auto"/>
        </w:rPr>
      </w:pPr>
    </w:p>
    <w:p>
      <w:pPr>
        <w:ind w:left="640" w:right="200" w:hanging="319"/>
        <w:spacing w:after="0" w:line="256"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one, depending upon the achievement of the performance criteria for fiscal 2027 as well as one-year Relative TSR (covering year one) or vest following year three depending upon the achievement of the performance criteria for fiscal 2027 as well as a 3-year Relative TSR (covering years one, two and three).</w:t>
      </w:r>
    </w:p>
    <w:p>
      <w:pPr>
        <w:spacing w:after="0" w:line="206" w:lineRule="exact"/>
        <w:rPr>
          <w:rFonts w:ascii="Times New Roman" w:cs="Times New Roman" w:eastAsia="Times New Roman" w:hAnsi="Times New Roman"/>
          <w:sz w:val="18"/>
          <w:szCs w:val="18"/>
          <w:color w:val="auto"/>
        </w:rPr>
      </w:pPr>
    </w:p>
    <w:p>
      <w:pPr>
        <w:ind w:left="640" w:right="240" w:hanging="319"/>
        <w:spacing w:after="0" w:line="256"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two, depending upon the achievement of the performance criteria for fiscal 2028 as well as 2-year Relative TSR (covering years one and two) or vest following year three depending upon the achievement of the performance criteria for fiscal 2028 as well as a 3-year Relative TSR (covering years one, two and three).</w:t>
      </w:r>
    </w:p>
    <w:p>
      <w:pPr>
        <w:spacing w:after="0" w:line="206" w:lineRule="exact"/>
        <w:rPr>
          <w:rFonts w:ascii="Times New Roman" w:cs="Times New Roman" w:eastAsia="Times New Roman" w:hAnsi="Times New Roman"/>
          <w:sz w:val="18"/>
          <w:szCs w:val="18"/>
          <w:color w:val="auto"/>
        </w:rPr>
      </w:pPr>
    </w:p>
    <w:p>
      <w:pPr>
        <w:ind w:left="640" w:right="240" w:hanging="319"/>
        <w:spacing w:after="0" w:line="256"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three, depending upon the achievement of the performance criteria for fiscal 2029 as well as 3-year Relative TSR (covering years one, two and three) or vest following year three depending upon the achievement of the performance criteria for fiscal 2029 as well as a 3-year Relative TSR (covering years one, two and three).</w:t>
      </w:r>
    </w:p>
    <w:p>
      <w:pPr>
        <w:spacing w:after="0" w:line="206"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Performance stock units are not considered outstanding stock at the time of grant, as the holders of these units are not entitled to any of the rights of a stockholder, including voting rights.</w:t>
      </w:r>
    </w:p>
    <w:p>
      <w:pPr>
        <w:spacing w:after="0" w:line="183"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performance stock units of $15 million and $21 million for the three months ended April 30, 2026 and 2025, respectively.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5" w:name="page16"/>
    <w:bookmarkEnd w:id="15"/>
    <w:p>
      <w:pPr>
        <w:ind w:left="200"/>
        <w:spacing w:after="0"/>
        <w:rPr>
          <w:sz w:val="20"/>
          <w:szCs w:val="20"/>
          <w:color w:val="auto"/>
        </w:rPr>
      </w:pPr>
      <w:r>
        <w:rPr>
          <w:rFonts w:ascii="Times New Roman" w:cs="Times New Roman" w:eastAsia="Times New Roman" w:hAnsi="Times New Roman"/>
          <w:sz w:val="18"/>
          <w:szCs w:val="18"/>
          <w:i w:val="1"/>
          <w:iCs w:val="1"/>
          <w:color w:val="auto"/>
        </w:rPr>
        <w:t>1998 Employee Qualified Stock Purchase Plan (“ESPP”)</w:t>
      </w:r>
    </w:p>
    <w:p>
      <w:pPr>
        <w:spacing w:after="0" w:line="242" w:lineRule="exact"/>
        <w:rPr>
          <w:sz w:val="20"/>
          <w:szCs w:val="20"/>
          <w:color w:val="auto"/>
        </w:rPr>
      </w:pPr>
    </w:p>
    <w:p>
      <w:pPr>
        <w:ind w:right="140" w:firstLine="434"/>
        <w:spacing w:after="0" w:line="303" w:lineRule="auto"/>
        <w:rPr>
          <w:sz w:val="20"/>
          <w:szCs w:val="20"/>
          <w:color w:val="auto"/>
        </w:rPr>
      </w:pPr>
      <w:r>
        <w:rPr>
          <w:rFonts w:ascii="Times New Roman" w:cs="Times New Roman" w:eastAsia="Times New Roman" w:hAnsi="Times New Roman"/>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ESPP activity for the three months ended April 30, 2026 and 2025,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2560" w:type="dxa"/>
            <w:vAlign w:val="bottom"/>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560" w:type="dxa"/>
            <w:vAlign w:val="bottom"/>
          </w:tcPr>
          <w:p>
            <w:pPr>
              <w:spacing w:after="0"/>
              <w:rPr>
                <w:sz w:val="16"/>
                <w:szCs w:val="16"/>
                <w:color w:val="auto"/>
              </w:rPr>
            </w:pPr>
          </w:p>
        </w:tc>
      </w:tr>
      <w:tr>
        <w:trPr>
          <w:trHeight w:val="24"/>
        </w:trPr>
        <w:tc>
          <w:tcPr>
            <w:tcW w:w="8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shares (in thousands)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09"/>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price of issued shares</w:t>
            </w:r>
          </w:p>
        </w:tc>
        <w:tc>
          <w:tcPr>
            <w:tcW w:w="94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203.49</w:t>
            </w:r>
          </w:p>
        </w:tc>
        <w:tc>
          <w:tcPr>
            <w:tcW w:w="100" w:type="dxa"/>
            <w:vAlign w:val="bottom"/>
          </w:tcPr>
          <w:p>
            <w:pPr>
              <w:spacing w:after="0"/>
              <w:rPr>
                <w:sz w:val="18"/>
                <w:szCs w:val="18"/>
                <w:color w:val="auto"/>
              </w:rPr>
            </w:pP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218.20</w:t>
            </w:r>
          </w:p>
        </w:tc>
      </w:tr>
      <w:tr>
        <w:trPr>
          <w:trHeight w:val="21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shares granted under the ESPP (1)</w:t>
            </w:r>
          </w:p>
        </w:tc>
        <w:tc>
          <w:tcPr>
            <w:tcW w:w="94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76.56</w:t>
            </w:r>
          </w:p>
        </w:tc>
      </w:tr>
    </w:tbl>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of the award grant date using the Black-Scholes Merton (“BSM”) option pricing model.</w:t>
      </w:r>
    </w:p>
    <w:p>
      <w:pPr>
        <w:spacing w:after="0" w:line="2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for the three months ended April 30, 2026 and 2025,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258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440" w:type="dxa"/>
            <w:vAlign w:val="bottom"/>
          </w:tcPr>
          <w:p>
            <w:pPr>
              <w:spacing w:after="0"/>
              <w:rPr>
                <w:sz w:val="16"/>
                <w:szCs w:val="16"/>
                <w:color w:val="auto"/>
              </w:rPr>
            </w:pPr>
          </w:p>
        </w:tc>
      </w:tr>
      <w:tr>
        <w:trPr>
          <w:trHeight w:val="24"/>
        </w:trPr>
        <w:tc>
          <w:tcPr>
            <w:tcW w:w="8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8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subscription revenue</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10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other revenue</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and sales</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2"/>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related to stock awards and ESPP purchases</w:t>
            </w:r>
          </w:p>
        </w:tc>
        <w:tc>
          <w:tcPr>
            <w:tcW w:w="1060" w:type="dxa"/>
            <w:vAlign w:val="bottom"/>
            <w:tcBorders>
              <w:bottom w:val="single" w:sz="8" w:color="auto"/>
            </w:tcBorders>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10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
        </w:trPr>
        <w:tc>
          <w:tcPr>
            <w:tcW w:w="8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During the three months ended April 30, 2025, Autodesk recorded $54 million in stock-based compensation expense reflecting a cumulative adjustment since fiscal 1999 related to the Company’s ESPP. The differences were not material to any prior interim or annual periods.</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Stock-based Compensation Expense Assumptions</w:t>
      </w:r>
    </w:p>
    <w:p>
      <w:pPr>
        <w:spacing w:after="0" w:line="242"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Autodesk determines the grant date fair value of its share-based payment awards BSM option pricing model or the quoted stock price on the date of grant, unless the awards are subject to market conditions, in which case Autodesk uses the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34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April 30, 2026</w:t>
            </w:r>
          </w:p>
        </w:tc>
        <w:tc>
          <w:tcPr>
            <w:tcW w:w="34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April 30, 2025</w:t>
            </w:r>
          </w:p>
        </w:tc>
      </w:tr>
      <w:tr>
        <w:trPr>
          <w:trHeight w:val="24"/>
        </w:trPr>
        <w:tc>
          <w:tcPr>
            <w:tcW w:w="43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94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184"/>
        </w:trPr>
        <w:tc>
          <w:tcPr>
            <w:tcW w:w="4300" w:type="dxa"/>
            <w:vAlign w:val="bottom"/>
          </w:tcPr>
          <w:p>
            <w:pPr>
              <w:spacing w:after="0"/>
              <w:rPr>
                <w:sz w:val="16"/>
                <w:szCs w:val="16"/>
                <w:color w:val="auto"/>
              </w:rPr>
            </w:pPr>
          </w:p>
        </w:tc>
        <w:tc>
          <w:tcPr>
            <w:tcW w:w="18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Performance Stock Units</w:t>
            </w:r>
          </w:p>
        </w:tc>
        <w:tc>
          <w:tcPr>
            <w:tcW w:w="15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00" w:type="dxa"/>
            <w:vAlign w:val="bottom"/>
          </w:tcPr>
          <w:p>
            <w:pPr>
              <w:spacing w:after="0"/>
              <w:rPr>
                <w:sz w:val="16"/>
                <w:szCs w:val="16"/>
                <w:color w:val="auto"/>
              </w:rPr>
            </w:pPr>
          </w:p>
        </w:tc>
        <w:tc>
          <w:tcPr>
            <w:tcW w:w="194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Performance Stock Units</w:t>
            </w:r>
          </w:p>
        </w:tc>
        <w:tc>
          <w:tcPr>
            <w:tcW w:w="15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ESPP</w:t>
            </w:r>
          </w:p>
        </w:tc>
      </w:tr>
      <w:tr>
        <w:trPr>
          <w:trHeight w:val="210"/>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expected volatility</w:t>
            </w: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35.1 - 36.7%</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33.9 - 34.8%</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29.7 - 33.4%</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29.1 - 29.5%</w:t>
            </w: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expected lives (in years)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0.5 - 2.0</w:t>
            </w: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0.5 - 2.0</w:t>
            </w:r>
          </w:p>
        </w:tc>
      </w:tr>
      <w:tr>
        <w:trPr>
          <w:trHeight w:val="212"/>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w:t>
            </w:r>
          </w:p>
        </w:tc>
      </w:tr>
      <w:tr>
        <w:trPr>
          <w:trHeight w:val="207"/>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Range of risk-free interest rates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3.7 - 3.9%</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3.7%</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3.8 - 4.1%</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4.0 - 4.3%</w:t>
            </w:r>
          </w:p>
        </w:tc>
      </w:tr>
    </w:tbl>
    <w:p>
      <w:pPr>
        <w:spacing w:after="0" w:line="157"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range of expected lives of ESPP awards are based upon the four six-month exercise periods within a 24-month offering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6" w:name="page17"/>
    <w:bookmarkEnd w:id="16"/>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96" w:lineRule="exact"/>
        <w:rPr>
          <w:sz w:val="20"/>
          <w:szCs w:val="20"/>
          <w:color w:val="auto"/>
        </w:rPr>
      </w:pPr>
    </w:p>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96" w:lineRule="exact"/>
        <w:rPr>
          <w:sz w:val="20"/>
          <w:szCs w:val="20"/>
          <w:color w:val="auto"/>
        </w:rPr>
      </w:pPr>
    </w:p>
    <w:p>
      <w:pPr>
        <w:ind w:right="120" w:firstLine="434"/>
        <w:spacing w:after="0" w:line="268" w:lineRule="auto"/>
        <w:rPr>
          <w:sz w:val="20"/>
          <w:szCs w:val="20"/>
          <w:color w:val="auto"/>
        </w:rPr>
      </w:pPr>
      <w:r>
        <w:rPr>
          <w:rFonts w:ascii="Times New Roman" w:cs="Times New Roman" w:eastAsia="Times New Roman" w:hAnsi="Times New Roman"/>
          <w:sz w:val="18"/>
          <w:szCs w:val="18"/>
          <w:color w:val="auto"/>
        </w:rPr>
        <w:t>Autodesk recognizes expense only for the stock-based awards that ultimately vest. Autodesk accounts for forfeitures of our stock-based awards as those forfeitures occur.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Income Tax</w:t>
      </w:r>
    </w:p>
    <w:p>
      <w:pPr>
        <w:spacing w:after="0" w:line="244" w:lineRule="exact"/>
        <w:rPr>
          <w:sz w:val="20"/>
          <w:szCs w:val="20"/>
          <w:color w:val="auto"/>
        </w:rPr>
      </w:pPr>
    </w:p>
    <w:p>
      <w:pPr>
        <w:ind w:right="40" w:firstLine="468"/>
        <w:spacing w:after="0" w:line="250" w:lineRule="auto"/>
        <w:rPr>
          <w:sz w:val="20"/>
          <w:szCs w:val="20"/>
          <w:color w:val="auto"/>
        </w:rPr>
      </w:pPr>
      <w:r>
        <w:rPr>
          <w:rFonts w:ascii="Times New Roman" w:cs="Times New Roman" w:eastAsia="Times New Roman" w:hAnsi="Times New Roman"/>
          <w:sz w:val="18"/>
          <w:szCs w:val="18"/>
          <w:color w:val="auto"/>
        </w:rPr>
        <w:t>Autodesk had income tax expense of $108 million, relative to pre-tax income of $599 million for the three months ended April 30, 2026, and income tax expense of $82 million, relative to pre-tax income of $234 million for the three months ended April 30, 2025. Our effective tax rate for the three months ended April 30, 2026, differs from the U.S. federal statutory rate of 21% primarily due to tax on net controlled foreign corporation tested income (“NCTI”) and withholding tax, reduced by varying tax rates on foreign earnings, tax-deductible stock-based compensation, benefits arising from the foreign-derived deduction-eligible income (“FDDEI”) regime, and tax credits.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Cloud Computing Arrangements</w:t>
      </w:r>
    </w:p>
    <w:p>
      <w:pPr>
        <w:spacing w:after="0" w:line="244"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$387 million and $380 million at April 30, 2026, and January 31, 2026, respectively. Accumulated amortization was $187 million and $175 million at April 30, 2026, and January 31, 2026, respectively. Amortization expense for the three months ended April 30, 2026 and 2025, was $12 million and $10 million,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Costs to Obtain a Contract with a Customer</w:t>
      </w:r>
    </w:p>
    <w:p>
      <w:pPr>
        <w:spacing w:after="0" w:line="244" w:lineRule="exact"/>
        <w:rPr>
          <w:sz w:val="20"/>
          <w:szCs w:val="20"/>
          <w:color w:val="auto"/>
        </w:rPr>
      </w:pPr>
    </w:p>
    <w:p>
      <w:pPr>
        <w:ind w:right="160" w:firstLine="395"/>
        <w:spacing w:after="0" w:line="247" w:lineRule="auto"/>
        <w:rPr>
          <w:sz w:val="20"/>
          <w:szCs w:val="20"/>
          <w:color w:val="auto"/>
        </w:rPr>
      </w:pPr>
      <w:r>
        <w:rPr>
          <w:rFonts w:ascii="Times New Roman" w:cs="Times New Roman" w:eastAsia="Times New Roman" w:hAnsi="Times New Roman"/>
          <w:sz w:val="18"/>
          <w:szCs w:val="18"/>
          <w:color w:val="auto"/>
        </w:rPr>
        <w:t>Sales commissions earned by our internal sales personnel and our solution providers are considered incremental and recoverable costs of obtaining a contract with a customer. The ending balance of assets recognized from costs to obtain a contract with a customer was $820 million as of April 30, 2026, and $913 million as of January 31, 2026. These assets are recorded in “Prepaid expenses and other current assets” and “Long-term other assets” in the Condensed Consolidated Balance Sheet. The liabilities associated with the commission costs were $382 million and $550 million as of April 30, 2026 and January 31, 2026, respectively. These liabilities are included in “Accounts payable”, “Accrued compensation”, and “Long-term other liabilities,” in the accompanying Condensed Consolidated Balance Sheets. Amortization expense related to assets recognized from costs to obtain a contract with a customer was $172 million during the three months ended April 30, 2026. Amortization expense related to assets recognized from costs to obtain a contract with a customer was $96 million during the three months ended April 30, 2025. Autodesk did not recognize any contract cost impairment losses during both the three months ended April 30, 2026 and 2025.</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10. Balance Sheet Components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Company's intangible assets, net, as of April 30, 2026, and January 31, 2026: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tcPr>
          <w:p>
            <w:pPr>
              <w:jc w:val="right"/>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6"/>
        </w:trPr>
        <w:tc>
          <w:tcPr>
            <w:tcW w:w="6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66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2,091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tcPr>
          <w:p>
            <w:pPr>
              <w:jc w:val="right"/>
              <w:ind w:right="4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06"/>
        </w:trPr>
        <w:tc>
          <w:tcPr>
            <w:tcW w:w="6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Borders>
              <w:top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 and patents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bottom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Computer Equipment, Software, Furniture, and Leasehold Improvements, Net</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 equipment, software, furniture and equipment, and leasehold improvements, and the related accumulated depreciation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60" w:type="dxa"/>
            <w:vAlign w:val="bottom"/>
          </w:tcPr>
          <w:p>
            <w:pPr>
              <w:spacing w:after="0"/>
              <w:rPr>
                <w:sz w:val="16"/>
                <w:szCs w:val="16"/>
                <w:color w:val="auto"/>
              </w:rPr>
            </w:pP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4"/>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at cost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at cost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equipment, at cost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Leasehold improvements, land and buildings, at cost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06"/>
        </w:trPr>
        <w:tc>
          <w:tcPr>
            <w:tcW w:w="8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8"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Goodwill consists of the excess of the consideration transferred over the fair value of net assets acquired in business combinations. The following table summarizes the changes in the carrying amount of goodwill for the three months ended April 30, 2026,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31, 2026 (1)</w:t>
            </w: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w:t>
            </w:r>
          </w:p>
        </w:tc>
      </w:tr>
      <w:tr>
        <w:trPr>
          <w:trHeight w:val="209"/>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arising from acquisitions during the period</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currency translation</w:t>
            </w: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2"/>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April 30, 2026 (1)</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4,337</w:t>
            </w:r>
          </w:p>
        </w:tc>
      </w:tr>
      <w:tr>
        <w:trPr>
          <w:trHeight w:val="21"/>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Accumulated impairment losses as of both January 31, 2026 and April 30, 2026, were $149 million.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11. Borrowing Arrangements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2" w:lineRule="exact"/>
        <w:rPr>
          <w:sz w:val="20"/>
          <w:szCs w:val="20"/>
          <w:color w:val="auto"/>
        </w:rPr>
      </w:pPr>
    </w:p>
    <w:p>
      <w:pPr>
        <w:ind w:right="40" w:firstLine="395"/>
        <w:spacing w:after="0" w:line="276" w:lineRule="auto"/>
        <w:rPr>
          <w:sz w:val="20"/>
          <w:szCs w:val="20"/>
          <w:color w:val="auto"/>
        </w:rPr>
      </w:pPr>
      <w:r>
        <w:rPr>
          <w:rFonts w:ascii="Times New Roman" w:cs="Times New Roman" w:eastAsia="Times New Roman" w:hAnsi="Times New Roman"/>
          <w:sz w:val="16"/>
          <w:szCs w:val="16"/>
          <w:color w:val="auto"/>
        </w:rPr>
        <w:t>In May 2025, the Company terminated its previous credit agreement and entered into a new Credit Agreement (“2025 Credit Agreement”) by and among the Company, the lenders party thereto and Citibank, N.A. (“Citibank”), as administrative agent, which provides for an unsecured revolving loan facility in the aggregate principal amount of $1.5 billion, with an option to increase the principal amount to $2 billion subject to receipt of additional commitments and other customary conditions. The revolving credit facility is available for working capital and general corporate purposes. The 2025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2025 Credit Agreement requires the Company to maintain a maximum leverage ratio of Consolidated Covenant Debt to Consolidated EBITDA (each as defined in the 2025 Credit Agreement) no greater than 3.50:1.00 during the term of the credit facility, subject to adjustment following the consummation of certain acquisitions up to 4.00:1.00 for up to four consecutive fiscal quarters. At April 30, 2026, Autodesk was in compliance with the 2025 Credit Agreement covenants. Revolving loans under the 2025 Credit Agreement will bear interest, at the Company’s option, at either (i) a per annum rate equal to the Base Rate (as defined in the 2025 Credit Agreement) or</w:t>
      </w:r>
    </w:p>
    <w:p>
      <w:pPr>
        <w:spacing w:after="0" w:line="7" w:lineRule="exact"/>
        <w:rPr>
          <w:sz w:val="20"/>
          <w:szCs w:val="20"/>
          <w:color w:val="auto"/>
        </w:rPr>
      </w:pPr>
    </w:p>
    <w:p>
      <w:pPr>
        <w:ind w:right="80" w:firstLine="5"/>
        <w:spacing w:after="0" w:line="244" w:lineRule="auto"/>
        <w:tabs>
          <w:tab w:leader="none" w:pos="2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 annum rate equal to the rate at which dollar deposits are offered in the Secured Overnight Financing Rate, plus a margin of between 0.575% and 1.000%, depending on the Company’s Public Debt Rating. The Company is also obligated to pay to each lender a facility fee on a quarterly basis based on amounts committed (whether used or unused) under the revolving facility of between 0.050% and 0.125% per annum, depending on the Company’s Public Debt Rating. The scheduled termination date under the 2025 Credit Agreement is May 8, 2030, which termination date may be extended with respect to some or all of the commitments under the 2025 Credit Agreement subject to certain terms and conditions, including the consent of each lender holding commitments to be extended. As of April 30, 2026, Autodesk had no outstanding borrowings under the 2025 Credit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outstanding borrowings as of April 30, 2026,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3020" w:type="dxa"/>
            <w:vAlign w:val="bottom"/>
          </w:tcPr>
          <w:p>
            <w:pPr>
              <w:jc w:val="right"/>
              <w:ind w:right="903"/>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120" w:type="dxa"/>
            <w:vAlign w:val="bottom"/>
          </w:tcPr>
          <w:p>
            <w:pPr>
              <w:spacing w:after="0"/>
              <w:rPr>
                <w:sz w:val="16"/>
                <w:szCs w:val="16"/>
                <w:color w:val="auto"/>
              </w:rPr>
            </w:pPr>
          </w:p>
        </w:tc>
        <w:tc>
          <w:tcPr>
            <w:tcW w:w="19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w w:val="98"/>
              </w:rPr>
              <w:t>Principal Outstanding</w:t>
            </w:r>
          </w:p>
        </w:tc>
        <w:tc>
          <w:tcPr>
            <w:tcW w:w="120" w:type="dxa"/>
            <w:vAlign w:val="bottom"/>
          </w:tcPr>
          <w:p>
            <w:pPr>
              <w:spacing w:after="0"/>
              <w:rPr>
                <w:sz w:val="16"/>
                <w:szCs w:val="16"/>
                <w:color w:val="auto"/>
              </w:rPr>
            </w:pPr>
          </w:p>
        </w:tc>
        <w:tc>
          <w:tcPr>
            <w:tcW w:w="1540" w:type="dxa"/>
            <w:vAlign w:val="bottom"/>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w w:val="98"/>
              </w:rPr>
              <w:t>Fair value</w:t>
            </w:r>
          </w:p>
        </w:tc>
      </w:tr>
      <w:tr>
        <w:trPr>
          <w:trHeight w:val="24"/>
        </w:trPr>
        <w:tc>
          <w:tcPr>
            <w:tcW w:w="4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1"/>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5.30% senior notes due June 15, 2035</w:t>
            </w:r>
          </w:p>
        </w:tc>
        <w:tc>
          <w:tcPr>
            <w:tcW w:w="3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June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504</w:t>
            </w:r>
          </w:p>
        </w:tc>
      </w:tr>
      <w:tr>
        <w:trPr>
          <w:trHeight w:val="209"/>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2.40% senior notes due December 15, 2031</w:t>
            </w:r>
          </w:p>
        </w:tc>
        <w:tc>
          <w:tcPr>
            <w:tcW w:w="30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October 2021</w:t>
            </w:r>
          </w:p>
        </w:tc>
        <w:tc>
          <w:tcPr>
            <w:tcW w:w="120" w:type="dxa"/>
            <w:vAlign w:val="bottom"/>
          </w:tcPr>
          <w:p>
            <w:pPr>
              <w:spacing w:after="0"/>
              <w:rPr>
                <w:sz w:val="18"/>
                <w:szCs w:val="18"/>
                <w:color w:val="auto"/>
              </w:rPr>
            </w:pPr>
          </w:p>
        </w:tc>
        <w:tc>
          <w:tcPr>
            <w:tcW w:w="19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5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885</w:t>
            </w:r>
          </w:p>
        </w:tc>
      </w:tr>
      <w:tr>
        <w:trPr>
          <w:trHeight w:val="21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2.85% senior notes due January 15, 2030</w:t>
            </w:r>
          </w:p>
        </w:tc>
        <w:tc>
          <w:tcPr>
            <w:tcW w:w="3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January 2020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471</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3.50% senior notes due June 15, 2027</w:t>
            </w:r>
          </w:p>
        </w:tc>
        <w:tc>
          <w:tcPr>
            <w:tcW w:w="302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6"/>
                <w:szCs w:val="16"/>
                <w:color w:val="auto"/>
              </w:rPr>
              <w:t>June 2017</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6"/>
                <w:szCs w:val="16"/>
                <w:color w:val="auto"/>
              </w:rPr>
              <w:t>496</w:t>
            </w:r>
          </w:p>
        </w:tc>
      </w:tr>
      <w:tr>
        <w:trPr>
          <w:trHeight w:val="20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outstanding</w:t>
            </w:r>
          </w:p>
        </w:tc>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issuance costs (1)</w:t>
            </w:r>
          </w:p>
        </w:tc>
        <w:tc>
          <w:tcPr>
            <w:tcW w:w="30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r>
      <w:tr>
        <w:trPr>
          <w:trHeight w:val="231"/>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notes payable, net</w:t>
            </w:r>
          </w:p>
        </w:tc>
        <w:tc>
          <w:tcPr>
            <w:tcW w:w="3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2,484</w:t>
            </w: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the debt discount and issuance costs are being amortized to interest expense over the term of the senior notes using the effective interest method.</w:t>
      </w:r>
    </w:p>
    <w:p>
      <w:pPr>
        <w:spacing w:after="0" w:line="219" w:lineRule="exact"/>
        <w:rPr>
          <w:sz w:val="20"/>
          <w:szCs w:val="20"/>
          <w:color w:val="auto"/>
        </w:rPr>
      </w:pPr>
    </w:p>
    <w:p>
      <w:pPr>
        <w:ind w:right="20" w:firstLine="434"/>
        <w:spacing w:after="0" w:line="250" w:lineRule="auto"/>
        <w:rPr>
          <w:sz w:val="20"/>
          <w:szCs w:val="20"/>
          <w:color w:val="auto"/>
        </w:rPr>
      </w:pPr>
      <w:r>
        <w:rPr>
          <w:rFonts w:ascii="Times New Roman" w:cs="Times New Roman" w:eastAsia="Times New Roman" w:hAnsi="Times New Roman"/>
          <w:sz w:val="18"/>
          <w:szCs w:val="18"/>
          <w:color w:val="auto"/>
        </w:rPr>
        <w:t>The June 2025 Notes, October 2021 Notes, January 2020 Notes, and the June 2017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April 30, 2026,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 (remainder)</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2"/>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2031</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31"/>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outstanding</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Derivative Instruments</w:t>
      </w:r>
    </w:p>
    <w:p>
      <w:pPr>
        <w:spacing w:after="0" w:line="244" w:lineRule="exact"/>
        <w:rPr>
          <w:sz w:val="20"/>
          <w:szCs w:val="20"/>
          <w:color w:val="auto"/>
        </w:rPr>
      </w:pPr>
    </w:p>
    <w:p>
      <w:pPr>
        <w:ind w:right="240" w:firstLine="434"/>
        <w:spacing w:after="0" w:line="263"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Autodesk’s Condensed Consolidated Statements of Operations were as follows for the three months ended April 30, 2026 and 2025 (amounts presented include any income tax effects):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34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7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2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Amount of gain (loss) recognized in accumulated other comprehensive income, net of tax,</w:t>
            </w: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(effective portion)</w:t>
            </w:r>
          </w:p>
        </w:tc>
        <w:tc>
          <w:tcPr>
            <w:tcW w:w="900" w:type="dxa"/>
            <w:vAlign w:val="bottom"/>
            <w:tcBorders>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87"/>
              </w:rPr>
              <w:t>10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 and location of gain (loss) reclassified from accumulated other comprehensive loss into income (effective portion)</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54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revenue</w:t>
            </w:r>
          </w:p>
        </w:tc>
        <w:tc>
          <w:tcPr>
            <w:tcW w:w="90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85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Operating expenses</w:t>
            </w:r>
          </w:p>
        </w:tc>
        <w:tc>
          <w:tcPr>
            <w:tcW w:w="90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w:t>
            </w:r>
          </w:p>
        </w:tc>
        <w:tc>
          <w:tcPr>
            <w:tcW w:w="9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1"/>
        </w:trPr>
        <w:tc>
          <w:tcPr>
            <w:tcW w:w="854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380" w:firstLine="434"/>
        <w:spacing w:after="0" w:line="256" w:lineRule="auto"/>
        <w:rPr>
          <w:sz w:val="20"/>
          <w:szCs w:val="20"/>
          <w:color w:val="auto"/>
        </w:rPr>
      </w:pPr>
      <w:r>
        <w:rPr>
          <w:rFonts w:ascii="Times New Roman" w:cs="Times New Roman" w:eastAsia="Times New Roman" w:hAnsi="Times New Roman"/>
          <w:sz w:val="18"/>
          <w:szCs w:val="18"/>
          <w:color w:val="auto"/>
        </w:rPr>
        <w:t>The amount and location of gains or losses recognized in net income of derivatives not designated as hedging instruments on Autodesk’s Condensed Consolidated Statements of Operations were as follows for the three months ended April 30, 2026 and 2025, (amounts presented include any income tax effects):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tcPr>
          <w:p>
            <w:pPr>
              <w:spacing w:after="0"/>
              <w:rPr>
                <w:sz w:val="16"/>
                <w:szCs w:val="16"/>
                <w:color w:val="auto"/>
              </w:rPr>
            </w:pPr>
          </w:p>
        </w:tc>
        <w:tc>
          <w:tcPr>
            <w:tcW w:w="234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60" w:type="dxa"/>
            <w:vAlign w:val="bottom"/>
          </w:tcPr>
          <w:p>
            <w:pPr>
              <w:spacing w:after="0"/>
              <w:rPr>
                <w:sz w:val="16"/>
                <w:szCs w:val="16"/>
                <w:color w:val="auto"/>
              </w:rPr>
            </w:pPr>
          </w:p>
        </w:tc>
      </w:tr>
      <w:tr>
        <w:trPr>
          <w:trHeight w:val="24"/>
        </w:trPr>
        <w:tc>
          <w:tcPr>
            <w:tcW w:w="8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4"/>
        </w:trPr>
        <w:tc>
          <w:tcPr>
            <w:tcW w:w="85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r>
      <w:tr>
        <w:trPr>
          <w:trHeight w:val="197"/>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and location of (loss) gain recognized in net income</w:t>
            </w: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09"/>
        </w:trPr>
        <w:tc>
          <w:tcPr>
            <w:tcW w:w="8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income (expense)</w:t>
            </w:r>
          </w:p>
        </w:tc>
        <w:tc>
          <w:tcPr>
            <w:tcW w:w="960" w:type="dxa"/>
            <w:vAlign w:val="bottom"/>
          </w:tcPr>
          <w:p>
            <w:pPr>
              <w:jc w:val="right"/>
              <w:ind w:right="807"/>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r>
      <w:tr>
        <w:trPr>
          <w:trHeight w:val="212"/>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and other income (loss), net</w:t>
            </w: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bl>
    <w:p>
      <w:pPr>
        <w:spacing w:after="0" w:line="297"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See Note 5, “Financial Instruments” for the fair values of derivative instruments in Autodesk’s Condensed Consolidated Balance Sheets as of April 30, 2026, and January 31, 2026.</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contracts designated as cash flow hedges</w:t>
      </w:r>
    </w:p>
    <w:p>
      <w:pPr>
        <w:spacing w:after="0" w:line="242" w:lineRule="exact"/>
        <w:rPr>
          <w:sz w:val="20"/>
          <w:szCs w:val="20"/>
          <w:color w:val="auto"/>
        </w:rPr>
      </w:pPr>
    </w:p>
    <w:p>
      <w:pPr>
        <w:jc w:val="both"/>
        <w:ind w:right="180" w:firstLine="395"/>
        <w:spacing w:after="0" w:line="250" w:lineRule="auto"/>
        <w:rPr>
          <w:sz w:val="20"/>
          <w:szCs w:val="20"/>
          <w:color w:val="auto"/>
        </w:rPr>
      </w:pPr>
      <w:r>
        <w:rPr>
          <w:rFonts w:ascii="Times New Roman" w:cs="Times New Roman" w:eastAsia="Times New Roman" w:hAnsi="Times New Roman"/>
          <w:sz w:val="18"/>
          <w:szCs w:val="18"/>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$2.27 billion at April 30, 2026, and $2.06 billion at January 31, 2026. Outstanding contracts are recognized as either assets or liabilities on the Company's Condensed Consolidated Balance Sheet at fair value. The majority of the net loss of $7 million remaining in “Accumulated other comprehensive loss” as of April 30, 2026, is expected to be recognized into earnings within the next 24 months.</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242"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$450 million at April 30, 2026, and $858 million at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13. Restructuring, Other Exit Costs, and Facility Reductions</w:t>
      </w:r>
    </w:p>
    <w:p>
      <w:pPr>
        <w:spacing w:after="0" w:line="244" w:lineRule="exact"/>
        <w:rPr>
          <w:sz w:val="20"/>
          <w:szCs w:val="20"/>
          <w:color w:val="auto"/>
        </w:rPr>
      </w:pPr>
    </w:p>
    <w:p>
      <w:pPr>
        <w:ind w:right="360" w:firstLine="434"/>
        <w:spacing w:after="0" w:line="256" w:lineRule="auto"/>
        <w:rPr>
          <w:sz w:val="20"/>
          <w:szCs w:val="20"/>
          <w:color w:val="auto"/>
        </w:rPr>
      </w:pPr>
      <w:r>
        <w:rPr>
          <w:rFonts w:ascii="Times New Roman" w:cs="Times New Roman" w:eastAsia="Times New Roman" w:hAnsi="Times New Roman"/>
          <w:sz w:val="18"/>
          <w:szCs w:val="18"/>
          <w:color w:val="auto"/>
        </w:rPr>
        <w:t>During the fiscal year ended January 31, 2026, Autodesk initiated a restructuring plan (“January 2026 Plan”) that represents the culmination of Autodesk’s sales and marketing optimization program. The January 2026 Plan also reallocates resources in certain other functions to accelerate Autodesk’s strategic priorities. Autodesk expects to complete the January 2026 Plan by the end of the fiscal year ending January 31, 2027.</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activity in the restructuring and other exit costs liability for the three months ended April 30, 2026:</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Balances, January 31, 2026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 (3)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80" w:type="dxa"/>
            <w:vAlign w:val="bottom"/>
          </w:tcPr>
          <w:p>
            <w:pPr>
              <w:spacing w:after="0"/>
              <w:rPr>
                <w:sz w:val="16"/>
                <w:szCs w:val="16"/>
                <w:color w:val="auto"/>
              </w:rPr>
            </w:pPr>
          </w:p>
        </w:tc>
        <w:tc>
          <w:tcPr>
            <w:tcW w:w="20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Balances, April 30, 2026</w:t>
            </w:r>
          </w:p>
        </w:tc>
      </w:tr>
      <w:tr>
        <w:trPr>
          <w:trHeight w:val="24"/>
        </w:trPr>
        <w:tc>
          <w:tcPr>
            <w:tcW w:w="4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terminations costs (1)</w:t>
            </w:r>
          </w:p>
        </w:tc>
        <w:tc>
          <w:tcPr>
            <w:tcW w:w="1900" w:type="dxa"/>
            <w:vAlign w:val="bottom"/>
            <w:shd w:val="clear" w:color="auto" w:fill="CCEEFF"/>
          </w:tcPr>
          <w:p>
            <w:pPr>
              <w:jc w:val="right"/>
              <w:ind w:right="1724"/>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97</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exit costs (2)</w:t>
            </w:r>
          </w:p>
        </w:tc>
        <w:tc>
          <w:tcPr>
            <w:tcW w:w="1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1"/>
        </w:trPr>
        <w:tc>
          <w:tcPr>
            <w:tcW w:w="4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tcBorders>
              <w:bottom w:val="single" w:sz="8" w:color="auto"/>
            </w:tcBorders>
            <w:shd w:val="clear" w:color="auto" w:fill="CCEEFF"/>
          </w:tcPr>
          <w:p>
            <w:pPr>
              <w:jc w:val="right"/>
              <w:ind w:right="1724"/>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w:t>
      </w:r>
    </w:p>
    <w:p>
      <w:pPr>
        <w:spacing w:after="0" w:line="18" w:lineRule="exact"/>
        <w:rPr>
          <w:sz w:val="20"/>
          <w:szCs w:val="20"/>
          <w:color w:val="auto"/>
        </w:rPr>
      </w:pPr>
    </w:p>
    <w:p>
      <w:pPr>
        <w:ind w:left="220" w:hanging="215"/>
        <w:spacing w:after="0"/>
        <w:tabs>
          <w:tab w:leader="none" w:pos="2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in the Condensed Consolidated Balance Sheets under “Accrued compensation."</w:t>
      </w:r>
    </w:p>
    <w:p>
      <w:pPr>
        <w:ind w:left="220" w:hanging="215"/>
        <w:spacing w:after="0"/>
        <w:tabs>
          <w:tab w:leader="none" w:pos="2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in the Condensed Consolidated Balance Sheets under “Accounts payable."</w:t>
      </w:r>
    </w:p>
    <w:p>
      <w:pPr>
        <w:spacing w:after="0" w:line="4"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in the Condensed Consolidated Statements of Operations under “Restructuring, other exit costs, and facility reductions”.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Commitments and Contingencies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42" w:lineRule="exact"/>
        <w:rPr>
          <w:sz w:val="20"/>
          <w:szCs w:val="20"/>
          <w:color w:val="auto"/>
        </w:rPr>
      </w:pPr>
    </w:p>
    <w:p>
      <w:pPr>
        <w:ind w:firstLine="434"/>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2"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0" w:lineRule="exact"/>
        <w:rPr>
          <w:sz w:val="20"/>
          <w:szCs w:val="20"/>
          <w:color w:val="auto"/>
        </w:rPr>
      </w:pPr>
    </w:p>
    <w:p>
      <w:pPr>
        <w:ind w:right="80" w:firstLine="434"/>
        <w:spacing w:after="0" w:line="250" w:lineRule="auto"/>
        <w:rPr>
          <w:sz w:val="20"/>
          <w:szCs w:val="20"/>
          <w:color w:val="auto"/>
        </w:rPr>
      </w:pPr>
      <w:r>
        <w:rPr>
          <w:rFonts w:ascii="Times New Roman" w:cs="Times New Roman" w:eastAsia="Times New Roman" w:hAnsi="Times New Roman"/>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42"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Autodesk is involved in a variety of claims, suits, inquiries, investigations,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1" w:name="page22"/>
    <w:bookmarkEnd w:id="21"/>
    <w:p>
      <w:pPr>
        <w:ind w:right="100" w:firstLine="395"/>
        <w:spacing w:after="0" w:line="281" w:lineRule="auto"/>
        <w:rPr>
          <w:sz w:val="20"/>
          <w:szCs w:val="20"/>
          <w:color w:val="auto"/>
        </w:rPr>
      </w:pPr>
      <w:r>
        <w:rPr>
          <w:rFonts w:ascii="Times New Roman" w:cs="Times New Roman" w:eastAsia="Times New Roman" w:hAnsi="Times New Roman"/>
          <w:sz w:val="16"/>
          <w:szCs w:val="16"/>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 On April 24, 2024, Michael Barkasi filed a purported federal securities class action complaint in the Northern District of California against the Company, our Chief Executive Officer, Andrew Anagnost, and our former Chief Financial Officer, Deborah L. Clifford. The complaint, which was filed shortly after the Company’s announcement of the Internal Investigation, generally alleged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purported to be brought on behalf of those who purchased or otherwise acquired the Company’s securities between February 23, 2023 and April 16, 2024, and sought unspecified damages and other relief. On November 25, 2024, defendants filed a motion to dismiss the complaint. On July 18, 2025, the Court granted defendants’ motion to dismiss with leave to amend.</w:t>
      </w:r>
    </w:p>
    <w:p>
      <w:pPr>
        <w:spacing w:after="0" w:line="193"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On August 8, 2025, plaintiffs filed an amended complaint, which purported to assert claims under Sections 10(b) and 20(a) of the Exchange Act, and Rule 10b-5 promulgated thereunder. Defendants’ motion to dismiss the amended complaint was filed on August 29, 2025. On January 26, 2026, the Court granted defendants’ motion to dismiss the amended complaint with prejudice. On February 12, 2026, the Court entered judgment. Plaintiffs filed a notice of appeal on March 12, 2026 and filed an opening brief on appeal on May 27, 2026. At this stage, the Company cannot reasonably estimate the amount of any possible financial loss that could result from this matter.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15. Stockholders' Equity</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stockholders' equity by component, net of tax, for the three months ended April 30, 2026,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1"/>
        </w:trPr>
        <w:tc>
          <w:tcPr>
            <w:tcW w:w="48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Total stockholders'</w:t>
            </w:r>
          </w:p>
        </w:tc>
      </w:tr>
      <w:tr>
        <w:trPr>
          <w:trHeight w:val="191"/>
        </w:trPr>
        <w:tc>
          <w:tcPr>
            <w:tcW w:w="480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280" w:type="dxa"/>
            <w:vAlign w:val="bottom"/>
          </w:tcPr>
          <w:p>
            <w:pPr>
              <w:spacing w:after="0"/>
              <w:rPr>
                <w:sz w:val="16"/>
                <w:szCs w:val="16"/>
                <w:color w:val="auto"/>
              </w:rPr>
            </w:pPr>
          </w:p>
        </w:tc>
        <w:tc>
          <w:tcPr>
            <w:tcW w:w="10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2026</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12"/>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29"/>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April 30, 2026</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line="303" w:lineRule="auto"/>
        <w:tabs>
          <w:tab w:leader="none" w:pos="4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three months ended April 30, 2026, Autodesk repurchased 2 million shares at an average repurchase price of $239.87 per share. At April 30, 2026, $2.04 billion and $5 billion remained available for repurchase under the November 2022 and November 2024 repurchase programs approved by the Board of Directors, respectively.</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stockholders' equity by component, net of tax, for the three months ended April 30, 2025,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3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1"/>
        </w:trPr>
        <w:tc>
          <w:tcPr>
            <w:tcW w:w="48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7"/>
              </w:rPr>
              <w:t>Total stockholders'</w:t>
            </w:r>
          </w:p>
        </w:tc>
      </w:tr>
      <w:tr>
        <w:trPr>
          <w:trHeight w:val="191"/>
        </w:trPr>
        <w:tc>
          <w:tcPr>
            <w:tcW w:w="4880" w:type="dxa"/>
            <w:vAlign w:val="bottom"/>
          </w:tcPr>
          <w:p>
            <w:pPr>
              <w:spacing w:after="0"/>
              <w:rPr>
                <w:sz w:val="16"/>
                <w:szCs w:val="16"/>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2025</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4,239</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7"/>
              </w:rPr>
              <w:t>(285)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29"/>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April 30, 2025</w:t>
            </w: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7"/>
              </w:rPr>
              <w:t>(248)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line="303" w:lineRule="auto"/>
        <w:tabs>
          <w:tab w:leader="none" w:pos="4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three months ended April 30, 2025, Autodesk repurchased 1 million shares at an average repurchase price of $268.67 per share. At April 30, 2025, $3.53 billion and $5 billion remained available for repurchase under the November 2022 and November 2024 repurchase programs approved by the Board of Directors, respectively.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16. Accumulated Other Comprehensive Loss</w:t>
      </w: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April 30, 2026:</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Defined Benefit</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22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Available-for-</w:t>
            </w: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2"/>
                <w:szCs w:val="12"/>
                <w:color w:val="auto"/>
              </w:rPr>
            </w:pPr>
          </w:p>
        </w:tc>
        <w:tc>
          <w:tcPr>
            <w:tcW w:w="8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center"/>
              <w:ind w:left="583"/>
              <w:spacing w:after="0"/>
              <w:rPr>
                <w:sz w:val="20"/>
                <w:szCs w:val="20"/>
                <w:color w:val="auto"/>
              </w:rPr>
            </w:pPr>
            <w:r>
              <w:rPr>
                <w:rFonts w:ascii="Times New Roman" w:cs="Times New Roman" w:eastAsia="Times New Roman" w:hAnsi="Times New Roman"/>
                <w:sz w:val="16"/>
                <w:szCs w:val="16"/>
                <w:color w:val="auto"/>
                <w:w w:val="97"/>
              </w:rPr>
              <w:t>(27)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left="48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loss reclassified from accumulated other comprehensive loss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48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left="48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center"/>
              <w:ind w:left="603"/>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center"/>
              <w:ind w:left="583"/>
              <w:spacing w:after="0"/>
              <w:rPr>
                <w:sz w:val="20"/>
                <w:szCs w:val="20"/>
                <w:color w:val="auto"/>
              </w:rPr>
            </w:pPr>
            <w:r>
              <w:rPr>
                <w:rFonts w:ascii="Times New Roman" w:cs="Times New Roman" w:eastAsia="Times New Roman" w:hAnsi="Times New Roman"/>
                <w:sz w:val="16"/>
                <w:szCs w:val="16"/>
                <w:color w:val="auto"/>
                <w:w w:val="97"/>
              </w:rPr>
              <w:t>(27)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April 30, 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Defined Benefit</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60" w:type="dxa"/>
            <w:vAlign w:val="bottom"/>
          </w:tcPr>
          <w:p>
            <w:pPr>
              <w:spacing w:after="0"/>
              <w:rPr>
                <w:sz w:val="12"/>
                <w:szCs w:val="12"/>
                <w:color w:val="auto"/>
              </w:rPr>
            </w:pPr>
          </w:p>
        </w:tc>
        <w:tc>
          <w:tcPr>
            <w:tcW w:w="122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Gains (Losses) on</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Available-for-</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4"/>
                <w:szCs w:val="14"/>
                <w:b w:val="1"/>
                <w:bCs w:val="1"/>
                <w:color w:val="auto"/>
              </w:rPr>
              <w:t>Sale Debt</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gains reclassified from accumulated other comprehensive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effects</w:t>
            </w:r>
          </w:p>
        </w:tc>
        <w:tc>
          <w:tcPr>
            <w:tcW w:w="1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Reclassifications related to gains and losses on available-for-sale debt securities are included in “Interest and other income, net.” Refer to Note 12, “Derivative Instruments,” for the amount and location of reclassifications related to derivative instruments. Reclassifications of the defined benefit pension components of net periodic benefit cost are included in “Interest and other income, net.”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17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 Income Per Share</w:t>
      </w:r>
    </w:p>
    <w:p>
      <w:pPr>
        <w:spacing w:after="0" w:line="244" w:lineRule="exact"/>
        <w:rPr>
          <w:sz w:val="20"/>
          <w:szCs w:val="20"/>
          <w:color w:val="auto"/>
        </w:rPr>
      </w:pPr>
    </w:p>
    <w:p>
      <w:pPr>
        <w:ind w:right="40" w:firstLine="434"/>
        <w:spacing w:after="0" w:line="252"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common shares outstanding for the period. Diluted net income per share is computed using the weighted average common shares outstanding for the period and potentially dilutive common shares, including unvested restricted stock units, performance share awards, and stock options using the treasury stock method. The following table sets forth the computation of the numerators and denominators used in the basic and diluted net income per share amounts: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5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5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Denominator:</w:t>
            </w: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basic net income per share—weighted average shares</w:t>
            </w:r>
          </w:p>
        </w:tc>
        <w:tc>
          <w:tcPr>
            <w:tcW w:w="8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2"/>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2"/>
        </w:trPr>
        <w:tc>
          <w:tcPr>
            <w:tcW w:w="8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Denominator for dilutive net income per share</w:t>
            </w: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6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40" w:type="dxa"/>
            <w:vAlign w:val="bottom"/>
            <w:vMerge w:val="continue"/>
          </w:tcPr>
          <w:p>
            <w:pPr>
              <w:spacing w:after="0"/>
              <w:rPr>
                <w:sz w:val="15"/>
                <w:szCs w:val="15"/>
                <w:color w:val="auto"/>
              </w:rPr>
            </w:pPr>
          </w:p>
        </w:tc>
        <w:tc>
          <w:tcPr>
            <w:tcW w:w="86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21"/>
        </w:trPr>
        <w:tc>
          <w:tcPr>
            <w:tcW w:w="8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0" w:firstLine="434"/>
        <w:spacing w:after="0" w:line="252" w:lineRule="auto"/>
        <w:rPr>
          <w:sz w:val="20"/>
          <w:szCs w:val="20"/>
          <w:color w:val="auto"/>
        </w:rPr>
      </w:pPr>
      <w:r>
        <w:rPr>
          <w:rFonts w:ascii="Times New Roman" w:cs="Times New Roman" w:eastAsia="Times New Roman" w:hAnsi="Times New Roman"/>
          <w:sz w:val="18"/>
          <w:szCs w:val="18"/>
          <w:color w:val="auto"/>
        </w:rPr>
        <w:t>The computation of diluted net income per share does not include shares that are anti-dilutive under the treasury stock method because their exercise prices are higher than the average market value of Autodesk’s stock during the periods. For the three months ended April 30, 2026, there were 600 thousand anti-dilutive shares excluded from the computation of diluted net income per share. For the three months ended April 30, 2025, there were 180 thousand anti-dilutive shares excluded from the computation of diluted net income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 Segments</w:t>
      </w:r>
    </w:p>
    <w:p>
      <w:pPr>
        <w:spacing w:after="0" w:line="244" w:lineRule="exact"/>
        <w:rPr>
          <w:sz w:val="20"/>
          <w:szCs w:val="20"/>
          <w:color w:val="auto"/>
        </w:rPr>
      </w:pPr>
    </w:p>
    <w:p>
      <w:pPr>
        <w:ind w:right="120" w:firstLine="434"/>
        <w:spacing w:after="0" w:line="245" w:lineRule="auto"/>
        <w:rPr>
          <w:sz w:val="20"/>
          <w:szCs w:val="20"/>
          <w:color w:val="auto"/>
        </w:rPr>
      </w:pPr>
      <w:r>
        <w:rPr>
          <w:rFonts w:ascii="Times New Roman" w:cs="Times New Roman" w:eastAsia="Times New Roman" w:hAnsi="Times New Roman"/>
          <w:sz w:val="18"/>
          <w:szCs w:val="18"/>
          <w:color w:val="auto"/>
        </w:rPr>
        <w:t>Autodesk operates in one operating and reportable segment, the Company as a whole. The chief operating decision maker (“CODM”) assesses performance and decides how to allocate resources based on consolidated net income as reported on the Condensed Consolidated Statements of Operations. Operating segments are defined as components of an enterprise for which separate financial information is evaluated regularly by the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description of Autodesk’s products and offerings and accounting policies are described in Note 1, “Business and Summary of Significant Accounting Policies” in Autodesk’s Annual Report on Form 10-K for the fiscal year ended January 31, 2026, filed on March 3, 2026. The measure of Autodesk’s segment assets is reported on the Condensed Consolidated Balance Sheets as total assets. Autodesk determined that the Company’s Chief Executive Officer, serves as the CODM.</w:t>
      </w:r>
    </w:p>
    <w:p>
      <w:pPr>
        <w:ind w:right="160" w:firstLine="434"/>
        <w:spacing w:after="0" w:line="228" w:lineRule="auto"/>
        <w:rPr>
          <w:sz w:val="20"/>
          <w:szCs w:val="20"/>
          <w:color w:val="auto"/>
        </w:rPr>
      </w:pPr>
      <w:r>
        <w:rPr>
          <w:rFonts w:ascii="Times New Roman" w:cs="Times New Roman" w:eastAsia="Times New Roman" w:hAnsi="Times New Roman"/>
          <w:sz w:val="18"/>
          <w:szCs w:val="18"/>
          <w:color w:val="auto"/>
        </w:rPr>
        <w:t>The CODM reviews financial information presented on a consolidated basis for purposes of allocating resources, evaluating financial performance, and making operating decisions of Autodesk. Consolidated net income is indicative of financial performance and is monitored by the CODM. The CODM considers budget to actual comparisons of total net revenue and consolidated net income on a regular basis when assessing the operating results and making resource decisions to improve profitability. The CODM also uses the budget to actual comparisons of total net revenue and consolidated net income to make decisions aligned with Autodesk’s strategic initiatives and go-to market strategies and capital allocation priorities. Autodesk’s significant segment expenses include the costs and expenses presented on the Condensed Consolidated Statements of Operations as well as stock-based compensation expense as presented in Note 6, “Equity Compensation”.</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information about Autodesk’s other segment disclosures: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60" w:type="dxa"/>
            <w:vAlign w:val="bottom"/>
          </w:tcPr>
          <w:p>
            <w:pPr>
              <w:spacing w:after="0"/>
              <w:rPr>
                <w:sz w:val="16"/>
                <w:szCs w:val="16"/>
                <w:color w:val="auto"/>
              </w:rPr>
            </w:pPr>
          </w:p>
        </w:tc>
        <w:tc>
          <w:tcPr>
            <w:tcW w:w="2520" w:type="dxa"/>
            <w:vAlign w:val="bottom"/>
            <w:gridSpan w:val="4"/>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60" w:type="dxa"/>
            <w:vAlign w:val="bottom"/>
          </w:tcPr>
          <w:p>
            <w:pPr>
              <w:spacing w:after="0"/>
              <w:rPr>
                <w:sz w:val="16"/>
                <w:szCs w:val="16"/>
                <w:color w:val="auto"/>
              </w:rPr>
            </w:pPr>
          </w:p>
        </w:tc>
      </w:tr>
      <w:tr>
        <w:trPr>
          <w:trHeight w:val="24"/>
        </w:trPr>
        <w:tc>
          <w:tcPr>
            <w:tcW w:w="8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4"/>
        </w:trPr>
        <w:tc>
          <w:tcPr>
            <w:tcW w:w="8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r>
      <w:tr>
        <w:trPr>
          <w:trHeight w:val="21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9"/>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 expense</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7"/>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costs to obtain a contract with a customer</w:t>
            </w: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bl>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significant non-cash items include stock-based compensation. See Note 6, “Equity Compensation”</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color w:val="auto"/>
        </w:rPr>
        <w:t>Information regarding Autodesk's long-lived assets by geographic area were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4"/>
        </w:trPr>
        <w:tc>
          <w:tcPr>
            <w:tcW w:w="79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Long-lived assets:</w:t>
            </w:r>
          </w:p>
        </w:tc>
        <w:tc>
          <w:tcPr>
            <w:tcW w:w="1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9"/>
        </w:trPr>
        <w:tc>
          <w:tcPr>
            <w:tcW w:w="7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Americas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7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U.S.</w:t>
            </w:r>
          </w:p>
        </w:tc>
        <w:tc>
          <w:tcPr>
            <w:tcW w:w="1240" w:type="dxa"/>
            <w:vAlign w:val="bottom"/>
            <w:shd w:val="clear" w:color="auto" w:fill="CCEEFF"/>
          </w:tcPr>
          <w:p>
            <w:pPr>
              <w:jc w:val="right"/>
              <w:ind w:right="106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9"/>
        </w:trPr>
        <w:tc>
          <w:tcPr>
            <w:tcW w:w="79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Americas</w:t>
            </w:r>
          </w:p>
        </w:tc>
        <w:tc>
          <w:tcPr>
            <w:tcW w:w="1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6"/>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09"/>
        </w:trPr>
        <w:tc>
          <w:tcPr>
            <w:tcW w:w="7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2"/>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Asia Pacific</w:t>
            </w:r>
          </w:p>
        </w:tc>
        <w:tc>
          <w:tcPr>
            <w:tcW w:w="1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2"/>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long-lived assets</w:t>
            </w:r>
          </w:p>
        </w:tc>
        <w:tc>
          <w:tcPr>
            <w:tcW w:w="1240" w:type="dxa"/>
            <w:vAlign w:val="bottom"/>
            <w:tcBorders>
              <w:bottom w:val="single" w:sz="8" w:color="auto"/>
            </w:tcBorders>
          </w:tcPr>
          <w:p>
            <w:pPr>
              <w:jc w:val="right"/>
              <w:ind w:right="106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
        </w:trPr>
        <w:tc>
          <w:tcPr>
            <w:tcW w:w="7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 Subsequent Events</w:t>
      </w:r>
    </w:p>
    <w:p>
      <w:pPr>
        <w:spacing w:after="0" w:line="244" w:lineRule="exact"/>
        <w:rPr>
          <w:sz w:val="20"/>
          <w:szCs w:val="20"/>
          <w:color w:val="auto"/>
        </w:rPr>
      </w:pPr>
    </w:p>
    <w:p>
      <w:pPr>
        <w:ind w:right="20" w:firstLine="434"/>
        <w:spacing w:after="0" w:line="284" w:lineRule="auto"/>
        <w:rPr>
          <w:sz w:val="20"/>
          <w:szCs w:val="20"/>
          <w:color w:val="auto"/>
        </w:rPr>
      </w:pPr>
      <w:r>
        <w:rPr>
          <w:rFonts w:ascii="Times New Roman" w:cs="Times New Roman" w:eastAsia="Times New Roman" w:hAnsi="Times New Roman"/>
          <w:sz w:val="16"/>
          <w:szCs w:val="16"/>
          <w:color w:val="auto"/>
        </w:rPr>
        <w:t>On May 28, 2026, Autodesk entered into a definitive agreement to acquire MaintainX, Inc. (“MaintainX”), a leading modern maintenance and asset operations solution used by organizations to manage and optimize day-to-day operations, pursuant to an Agreement and Plan of Merger (the “Merger Agreement”), for an aggregate consideration of approximately $3.6 billion in cash for all outstanding shares of capital stock and vested stock options, subject to certain exceptions and adjustments, as provided by the Merger Agreement. MaintainX's modern, mobile-first solution helps organizations manage and optimize day-to-day-operations. The proposed acquisition of MaintainX is expected to help customers better connect data and workflows across the lifecycle, linking digital intent with real-world performance in a continuous closed-loop system. The proposed transaction is subject to customary closing conditions, including regulatory approvals, and is expected to close later in fiscal 2027. Autodesk expects to use debt and available cash to fund the proposed acquisition.</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40" w:lineRule="exact"/>
        <w:rPr>
          <w:sz w:val="20"/>
          <w:szCs w:val="20"/>
          <w:color w:val="auto"/>
        </w:rPr>
      </w:pPr>
    </w:p>
    <w:p>
      <w:pPr>
        <w:ind w:right="20" w:firstLine="175"/>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The discussion in our MD&amp;A and elsewhere in this Quarterly Report on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Months Ended April 30, 2026,” and in </w:t>
      </w:r>
      <w:r>
        <w:rPr>
          <w:rFonts w:ascii="Times New Roman" w:cs="Times New Roman" w:eastAsia="Times New Roman" w:hAnsi="Times New Roman"/>
          <w:sz w:val="16"/>
          <w:szCs w:val="16"/>
          <w:i w:val="1"/>
          <w:iCs w:val="1"/>
          <w:color w:val="212529"/>
        </w:rPr>
        <w:t>“Results of Operations-Overview.”</w:t>
      </w:r>
      <w:r>
        <w:rPr>
          <w:rFonts w:ascii="Times New Roman" w:cs="Times New Roman" w:eastAsia="Times New Roman" w:hAnsi="Times New Roman"/>
          <w:sz w:val="16"/>
          <w:szCs w:val="16"/>
          <w:i w:val="1"/>
          <w:iCs w:val="1"/>
          <w:color w:val="auto"/>
        </w:rPr>
        <w:t xml:space="preserve"> Examples of such forward-looking statements may relate to items such as future net revenue, operating expenses, recurring revenue, net revenue retention rate, cash flow, remaining performance obligations, and other future financial results (by product type and geography); the transition to annual billings for multi-year contracts; the implementation of new transaction models; the effectiveness of our efforts to successfully manage transitions to new markets; our ability to increase our subscription base; expected market trends, including the growth of cloud and mobile computing; the availability of credit; the effects of global economic conditions, including from global trade wars or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restructuring activities; cybersecurity and privacy issues or incidents; the impact of past acquisitions, including our integration efforts and expected synergies;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anticipated benefits of our products;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glossary of terms used in this Quarterly Report on Form 10-Q appears at the end of this Item 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42"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Autodesk is changing how the world is designed and made. Our technology spans architecture, engineering, construction, product design, manufacturing, and media and entertainment, empowering innovators everywhere to solve challenges big and small. From greener buildings to smarter products to more mesmerizing blockbusters, Autodesk technology helps our customers to design and make a better world for all.</w:t>
      </w:r>
    </w:p>
    <w:p>
      <w:pPr>
        <w:spacing w:after="0" w:line="206"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Our strategy is to drive customer workflow convergence by delivering a trusted design and make platform that connects people through automation, data, and insights to help them achieve better outcomes for their businesses and the world. To drive the execution of our strategy, we are focused on the following strategic priorities: build the platform of choice for Design and Make, accelerate adoption of Fusion, Forma, and Flow, and transform how customers experience Autodesk.</w:t>
      </w:r>
    </w:p>
    <w:p>
      <w:pPr>
        <w:spacing w:after="0" w:line="210"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 Autodesk has invested in the development, scaling, and monetization of agentic AI in design, engineering, manufacturing, and construction industries. Our strategy is built on the foundational pillars of proprietary data, deep contextual integration, and specialized AI expertise.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Capabilities</w:t>
      </w:r>
    </w:p>
    <w:p>
      <w:pPr>
        <w:spacing w:after="0" w:line="23" w:lineRule="exact"/>
        <w:rPr>
          <w:sz w:val="20"/>
          <w:szCs w:val="20"/>
          <w:color w:val="auto"/>
        </w:rPr>
      </w:pPr>
    </w:p>
    <w:p>
      <w:pPr>
        <w:ind w:right="60" w:firstLine="395"/>
        <w:spacing w:after="0" w:line="245" w:lineRule="auto"/>
        <w:rPr>
          <w:sz w:val="20"/>
          <w:szCs w:val="20"/>
          <w:color w:val="auto"/>
        </w:rPr>
      </w:pPr>
      <w:r>
        <w:rPr>
          <w:rFonts w:ascii="Times New Roman" w:cs="Times New Roman" w:eastAsia="Times New Roman" w:hAnsi="Times New Roman"/>
          <w:sz w:val="18"/>
          <w:szCs w:val="18"/>
          <w:color w:val="auto"/>
        </w:rPr>
        <w:t>We develop and operate a trusted platform designed to support critical customer workflows and digital transformation across the industries we serve. The platform provides granular, interoperable, and accessible data through shared and centralized capabilities that support the functionality, performance, usability, security, and scalability of our offerings. These shared capabilities include Autodesk AI, reflecting more than a decade of investment in artificial intelligence technologies used to augment, automate, and analyze customer workflows.</w:t>
      </w:r>
    </w:p>
    <w:p>
      <w:pPr>
        <w:spacing w:after="0" w:line="216" w:lineRule="exact"/>
        <w:rPr>
          <w:sz w:val="20"/>
          <w:szCs w:val="20"/>
          <w:color w:val="auto"/>
        </w:rPr>
      </w:pPr>
    </w:p>
    <w:p>
      <w:pPr>
        <w:ind w:right="400" w:firstLine="395"/>
        <w:spacing w:after="0" w:line="293" w:lineRule="auto"/>
        <w:rPr>
          <w:sz w:val="20"/>
          <w:szCs w:val="20"/>
          <w:color w:val="auto"/>
        </w:rPr>
      </w:pPr>
      <w:r>
        <w:rPr>
          <w:rFonts w:ascii="Times New Roman" w:cs="Times New Roman" w:eastAsia="Times New Roman" w:hAnsi="Times New Roman"/>
          <w:sz w:val="16"/>
          <w:szCs w:val="16"/>
          <w:color w:val="auto"/>
        </w:rPr>
        <w:t>Our products are built on an application programming interfaces (“API”)-based architecture that enables third-party developers and partners to build complementary and industry-specific applications. Autodesk Platform Services (“APS”) provides technology, infrastructure, and services that support connected workflows across design, make, and operate use cases. As part of the ongoing development of APS, we are integrating Model Context Protocol (“MCP”) servers to provide a standardized foundation to support AI-enabled integrations and workflow automation for developers and partners.</w:t>
      </w:r>
    </w:p>
    <w:p>
      <w:pPr>
        <w:spacing w:after="0" w:line="181"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We offer subscriptions for individual products and Industry Collections, EBAs, and cloud service offerings (collectively referred to as “subscription plans”) and emerging offerings such as Flex and APS. Subscription plans are designed to give our customers more flexibility with how they use our offerings and to attract a broader range of customers, such as project-based users and small businesses.</w:t>
      </w:r>
    </w:p>
    <w:p>
      <w:pPr>
        <w:spacing w:after="0" w:line="206" w:lineRule="exact"/>
        <w:rPr>
          <w:sz w:val="20"/>
          <w:szCs w:val="20"/>
          <w:color w:val="auto"/>
        </w:rPr>
      </w:pPr>
    </w:p>
    <w:p>
      <w:pPr>
        <w:jc w:val="both"/>
        <w:ind w:right="160" w:firstLine="395"/>
        <w:spacing w:after="0" w:line="256" w:lineRule="auto"/>
        <w:rPr>
          <w:sz w:val="20"/>
          <w:szCs w:val="20"/>
          <w:color w:val="auto"/>
        </w:rPr>
      </w:pPr>
      <w:r>
        <w:rPr>
          <w:rFonts w:ascii="Times New Roman" w:cs="Times New Roman" w:eastAsia="Times New Roman" w:hAnsi="Times New Roman"/>
          <w:sz w:val="18"/>
          <w:szCs w:val="18"/>
          <w:color w:val="auto"/>
        </w:rPr>
        <w:t>Our global ecosystem of distributors, resellers, Solution Providers, third-party developers, customers, educators, and learning partners supports the sale, deployment, adoption, and extension of our solutions worldwide. This ecosystem contributes to the scale, reach, and extensibility of our platform and enables customers to address a broad range of industry-specific and specialized use cases.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Evolution</w:t>
      </w:r>
    </w:p>
    <w:p>
      <w:pPr>
        <w:spacing w:after="0" w:line="24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Our subscription plans represent a hybrid of desktop software and cloud functionality, which provides a device-independent, collaborative design workflow for designers and their stakeholders. Our cloud offerings, for example, Fusion, Flow Production Tracking, Autodesk Forma,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212"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Industry Collections provide our customers with access to a broader selection of Autodesk solutions and services, simplifying the customers’ ability to benefit from a complete set of tools for their industry.</w:t>
      </w:r>
    </w:p>
    <w:p>
      <w:pPr>
        <w:spacing w:after="0" w:line="196"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To support our strategic priority of digital transformation in Architecture, Engineering, Construction and Operations (“AECO”), we are strengthening our AECO solutions’ foundation. By bringing Autodesk Construction Cloud’s leading</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26" w:name="page27"/>
    <w:bookmarkEnd w:id="26"/>
    <w:p>
      <w:pPr>
        <w:ind w:right="100"/>
        <w:spacing w:after="0" w:line="268" w:lineRule="auto"/>
        <w:rPr>
          <w:sz w:val="20"/>
          <w:szCs w:val="20"/>
          <w:color w:val="auto"/>
        </w:rPr>
      </w:pPr>
      <w:r>
        <w:rPr>
          <w:rFonts w:ascii="Times New Roman" w:cs="Times New Roman" w:eastAsia="Times New Roman" w:hAnsi="Times New Roman"/>
          <w:sz w:val="18"/>
          <w:szCs w:val="18"/>
          <w:color w:val="auto"/>
        </w:rPr>
        <w:t>construction management tools into Autodesk Forma, we’re delivering a full lifecycle platform for our customers that creates a deeper connection from design to construction to operations.</w:t>
      </w:r>
    </w:p>
    <w:p>
      <w:pPr>
        <w:spacing w:after="0" w:line="196"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that converges the design process with manufacturing.</w:t>
      </w:r>
    </w:p>
    <w:p>
      <w:pPr>
        <w:spacing w:after="0" w:line="206"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Sales</w:t>
      </w:r>
    </w:p>
    <w:p>
      <w:pPr>
        <w:spacing w:after="0" w:line="242"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We sell our products and services globally through several direct channels that allow us to transact directly with end customers. These channels include, but are not limited to, internal sales resources focused on selling our highly specialized solutions in our largest accounts, Solution Providers focused on providing certain products and services to specific customers, and business transacted through our online Autodesk-branded store. Solution Providers provide quotes to customers; however, the final transaction occurs directly between Autodesk and the customer. This approach allows the company to maintain a direct relationship while still benefiting from the expertise and advisory role of Solution Providers. We also conduct direct sales through our online branded store, enabling customers to purchase products and subscriptions digitally.</w:t>
      </w:r>
    </w:p>
    <w:p>
      <w:pPr>
        <w:spacing w:after="0" w:line="212"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In addition to direct sales, we distribute our products and services through indirect channels, such as, distributors and resellers. These distributors and resellers facilitate sales, provide customer support, and help deliver our solutions to a wide range of customers across different regions and market segments. Although we are increasingly transacting directly with customers due to the growth of our online store and sales with Solution Providers, our distributors and resellers are expected to continue supporting and transacting with a portion of our customers.</w:t>
      </w:r>
    </w:p>
    <w:p>
      <w:pPr>
        <w:spacing w:after="0" w:line="210"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We expect our channel mix to evolve as our business scales. Growth in direct channels may gradually increase the proportion of direct customer transactions, while distributors and resellers will continue to provide distribution reach, market expertise, for example in emerging markets, and customer support. The company also implements various incentive programs and promotional initiatives to ensure that both direct and indirect channels remain aligned with overall business objectives and sales strategies.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Behind Our Strategy</w:t>
      </w:r>
    </w:p>
    <w:p>
      <w:pPr>
        <w:spacing w:after="0" w:line="242"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Our strategy depends upon many assumptions, including: making our technology available to mainstream markets; leveraging our large global network of distributors, resellers, Solution Providers, third-party developers, customers, educators, 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please see Part II, Item 1A,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Item 8, “Financial Statements and Supplementary Data,” Note 1, “Business and Summary of Significant Accounting Policies,” in the Notes to Consolidated Financial Statements in our Annual Report on Form 10-K for the fiscal year ended January 31, 2026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27" w:name="page28"/>
    <w:bookmarkEnd w:id="27"/>
    <w:p>
      <w:pPr>
        <w:ind w:firstLine="434"/>
        <w:spacing w:after="0" w:line="248"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Annual Report on Form 10-K. There have been no material changes to our critical accounting policies and estimates during the three months ended April 30, 2026, as compared to those disclosed in our Annual Report on Form 10-K. We believe these policies are the most critical to aid in fully understanding and evaluating our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Three Months Ended April 30, 2026</w:t>
      </w:r>
    </w:p>
    <w:p>
      <w:pPr>
        <w:spacing w:after="0" w:line="190" w:lineRule="exact"/>
        <w:rPr>
          <w:sz w:val="20"/>
          <w:szCs w:val="20"/>
          <w:color w:val="auto"/>
        </w:rPr>
      </w:pPr>
    </w:p>
    <w:p>
      <w:pPr>
        <w:ind w:left="640" w:hanging="319"/>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net revenue increased 18% to $1.93 billion during the three months ended April 30, 2026, compared to the same period in the prior fiscal year.</w:t>
      </w:r>
    </w:p>
    <w:p>
      <w:pPr>
        <w:spacing w:after="0" w:line="79"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as a percentage of net revenue was 97% for both the three months ended April 30, 2026 and 2025.</w:t>
      </w:r>
    </w:p>
    <w:p>
      <w:pPr>
        <w:spacing w:after="0" w:line="56"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retention rate (“NR3”) was slightly above the range of 100% to 110%, on a constant currency basis, as of both April 30, 2026, and April 30, 2025.</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$4.46 billion, a decrease of 5% compared to the fourth quarter in the prior fiscal year.</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performance obligations (short-term and long-term deferred revenue plus unbilled deferred revenue) (“RPO”) was $7.81 billion, a decrease of 6% compared to the fourth quarter in the prior fiscal year.</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remaining performance obligations was $5.38 billion, a decrease of 2% compared to the fourth quarter in the prior fiscal year.</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 Analysis</w:t>
      </w:r>
    </w:p>
    <w:p>
      <w:pPr>
        <w:spacing w:after="0" w:line="229" w:lineRule="exact"/>
        <w:rPr>
          <w:sz w:val="20"/>
          <w:szCs w:val="20"/>
          <w:color w:val="auto"/>
        </w:rPr>
      </w:pPr>
    </w:p>
    <w:p>
      <w:pPr>
        <w:ind w:right="340" w:firstLine="395"/>
        <w:spacing w:after="0" w:line="253" w:lineRule="auto"/>
        <w:rPr>
          <w:sz w:val="20"/>
          <w:szCs w:val="20"/>
          <w:color w:val="auto"/>
        </w:rPr>
      </w:pPr>
      <w:r>
        <w:rPr>
          <w:rFonts w:ascii="Times New Roman" w:cs="Times New Roman" w:eastAsia="Times New Roman" w:hAnsi="Times New Roman"/>
          <w:sz w:val="18"/>
          <w:szCs w:val="18"/>
          <w:color w:val="auto"/>
        </w:rPr>
        <w:t>Net revenue increased 18% during the three months ended April 30, 2026, as compared to the same period in the prior fiscal year, primarily due to an increase in subscription revenue. For further discussion of these results, see below under the heading “Results of Operations.”</w:t>
      </w:r>
    </w:p>
    <w:p>
      <w:pPr>
        <w:spacing w:after="0" w:line="195" w:lineRule="exact"/>
        <w:rPr>
          <w:sz w:val="20"/>
          <w:szCs w:val="20"/>
          <w:color w:val="auto"/>
        </w:rPr>
      </w:pPr>
    </w:p>
    <w:p>
      <w:pPr>
        <w:ind w:right="100" w:firstLine="395"/>
        <w:spacing w:after="0" w:line="236" w:lineRule="auto"/>
        <w:rPr>
          <w:sz w:val="20"/>
          <w:szCs w:val="20"/>
          <w:color w:val="auto"/>
        </w:rPr>
      </w:pPr>
      <w:r>
        <w:rPr>
          <w:rFonts w:ascii="Times New Roman" w:cs="Times New Roman" w:eastAsia="Times New Roman" w:hAnsi="Times New Roman"/>
          <w:sz w:val="18"/>
          <w:szCs w:val="18"/>
          <w:color w:val="auto"/>
        </w:rPr>
        <w:t>We rely upon major distributors and resellers in both the U.S. and international regions, including TD Synnex Corporation and its global affiliates (collectively, “TD Synnex”). Total revenue from TD Synnex accounted for 9% and 20% of our total net revenue during the three months ended April 30, 2026 and 2025, respectively. TD Synnex sells to resellers and end users who purchase our software subscriptions and services. We are increasingly transacting directly with customers due to the growth of our online store and sales with Solution Providers. Consequently, we believe our business is not substantially dependent on TD Synnex.</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Recurring Revenue and Net Revenue Retention Rate</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order to help better understand our financial performance, we use several key performance metrics including recurring revenue and NR3.</w:t>
      </w:r>
    </w:p>
    <w:p>
      <w:pPr>
        <w:spacing w:after="0" w:line="240"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Recurring revenue consists of the revenue for the period from our subscription plan offerings, and certain other revenue. It excludes subscription revenue related to third-party products. Recurring revenue acquired with the acquisition of a business is captured when total subscriptions are captured in our systems and may cause variability in the comparison of this calculation.</w:t>
      </w:r>
    </w:p>
    <w:p>
      <w:pPr>
        <w:spacing w:after="0" w:line="206" w:lineRule="exact"/>
        <w:rPr>
          <w:sz w:val="20"/>
          <w:szCs w:val="20"/>
          <w:color w:val="auto"/>
        </w:rPr>
      </w:pPr>
    </w:p>
    <w:p>
      <w:pPr>
        <w:ind w:right="280" w:firstLine="395"/>
        <w:spacing w:after="0" w:line="289" w:lineRule="auto"/>
        <w:rPr>
          <w:sz w:val="20"/>
          <w:szCs w:val="20"/>
          <w:color w:val="auto"/>
        </w:rPr>
      </w:pPr>
      <w:r>
        <w:rPr>
          <w:rFonts w:ascii="Times New Roman" w:cs="Times New Roman" w:eastAsia="Times New Roman" w:hAnsi="Times New Roman"/>
          <w:sz w:val="16"/>
          <w:szCs w:val="16"/>
          <w:color w:val="auto"/>
        </w:rPr>
        <w:t>Net revenue retention rate (NR3) measures the year-over-year change in recurring revenue for the population of customers that existed one year ago (“base 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w:t>
      </w:r>
    </w:p>
    <w:p>
      <w:pPr>
        <w:spacing w:after="0" w:line="182"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color w:val="auto"/>
        </w:rPr>
        <w:t>The following table outlines our recurring revenue metric for the three months ended April 30, 2026 and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9"/>
        </w:trPr>
        <w:tc>
          <w:tcPr>
            <w:tcW w:w="53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2"/>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 data)</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April 30, 2026</w:t>
            </w:r>
          </w:p>
        </w:tc>
        <w:tc>
          <w:tcPr>
            <w:tcW w:w="3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209"/>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 revenue (1)</w:t>
            </w: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1,881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1,592</w:t>
            </w:r>
          </w:p>
        </w:tc>
      </w:tr>
      <w:tr>
        <w:trPr>
          <w:trHeight w:val="20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bl>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right="140" w:hanging="395"/>
        <w:spacing w:after="0" w:line="252" w:lineRule="auto"/>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201" w:lineRule="exact"/>
        <w:rPr>
          <w:rFonts w:ascii="Times New Roman" w:cs="Times New Roman" w:eastAsia="Times New Roman" w:hAnsi="Times New Roman"/>
          <w:sz w:val="16"/>
          <w:szCs w:val="16"/>
          <w:color w:val="auto"/>
        </w:rPr>
      </w:pPr>
    </w:p>
    <w:p>
      <w:pPr>
        <w:ind w:left="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NR3 was slightly above the range of 100% to 110%, on a constant currency basis, as of both April 30, 2026, and April 30, 2025.</w:t>
      </w:r>
    </w:p>
    <w:p>
      <w:pPr>
        <w:spacing w:after="0" w:line="3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Analysis</w:t>
      </w: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generate a significant amount of our revenue in the United States, Germany, the United Kingdom, Japan, and Canada.</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the impact of foreign exchange rate changes on our net revenue and total cost of revenue and total operating expenses: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16"/>
                <w:szCs w:val="16"/>
                <w:color w:val="auto"/>
              </w:rPr>
            </w:pPr>
          </w:p>
        </w:tc>
        <w:tc>
          <w:tcPr>
            <w:tcW w:w="5020" w:type="dxa"/>
            <w:vAlign w:val="bottom"/>
            <w:gridSpan w:val="5"/>
          </w:tcPr>
          <w:p>
            <w:pPr>
              <w:ind w:left="1440"/>
              <w:spacing w:after="0"/>
              <w:rPr>
                <w:sz w:val="20"/>
                <w:szCs w:val="20"/>
                <w:color w:val="auto"/>
              </w:rPr>
            </w:pPr>
            <w:r>
              <w:rPr>
                <w:rFonts w:ascii="Times New Roman" w:cs="Times New Roman" w:eastAsia="Times New Roman" w:hAnsi="Times New Roman"/>
                <w:sz w:val="14"/>
                <w:szCs w:val="14"/>
                <w:b w:val="1"/>
                <w:bCs w:val="1"/>
                <w:color w:val="auto"/>
              </w:rPr>
              <w:t>Three Months Ended April 30, 2026</w:t>
            </w:r>
          </w:p>
        </w:tc>
        <w:tc>
          <w:tcPr>
            <w:tcW w:w="0" w:type="dxa"/>
            <w:vAlign w:val="bottom"/>
          </w:tcPr>
          <w:p>
            <w:pPr>
              <w:spacing w:after="0"/>
              <w:rPr>
                <w:sz w:val="1"/>
                <w:szCs w:val="1"/>
                <w:color w:val="auto"/>
              </w:rPr>
            </w:pPr>
          </w:p>
        </w:tc>
      </w:tr>
      <w:tr>
        <w:trPr>
          <w:trHeight w:val="24"/>
        </w:trPr>
        <w:tc>
          <w:tcPr>
            <w:tcW w:w="6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220" w:type="dxa"/>
            <w:vAlign w:val="bottom"/>
          </w:tcPr>
          <w:p>
            <w:pPr>
              <w:spacing w:after="0"/>
              <w:rPr>
                <w:sz w:val="11"/>
                <w:szCs w:val="11"/>
                <w:color w:val="auto"/>
              </w:rPr>
            </w:pPr>
          </w:p>
        </w:tc>
        <w:tc>
          <w:tcPr>
            <w:tcW w:w="1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174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Positive/Negative/Neutral</w:t>
            </w:r>
          </w:p>
        </w:tc>
        <w:tc>
          <w:tcPr>
            <w:tcW w:w="0" w:type="dxa"/>
            <w:vAlign w:val="bottom"/>
          </w:tcPr>
          <w:p>
            <w:pPr>
              <w:spacing w:after="0"/>
              <w:rPr>
                <w:sz w:val="1"/>
                <w:szCs w:val="1"/>
                <w:color w:val="auto"/>
              </w:rPr>
            </w:pPr>
          </w:p>
        </w:tc>
      </w:tr>
      <w:tr>
        <w:trPr>
          <w:trHeight w:val="145"/>
        </w:trPr>
        <w:tc>
          <w:tcPr>
            <w:tcW w:w="6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percent</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220" w:type="dxa"/>
            <w:vAlign w:val="bottom"/>
          </w:tcPr>
          <w:p>
            <w:pPr>
              <w:spacing w:after="0"/>
              <w:rPr>
                <w:sz w:val="12"/>
                <w:szCs w:val="12"/>
                <w:color w:val="auto"/>
              </w:rPr>
            </w:pPr>
          </w:p>
        </w:tc>
        <w:tc>
          <w:tcPr>
            <w:tcW w:w="17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compared to prior</w:t>
            </w:r>
          </w:p>
        </w:tc>
        <w:tc>
          <w:tcPr>
            <w:tcW w:w="17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5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impact from foreign</w:t>
            </w: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prior fiscal year (1)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exchange rate changes</w:t>
            </w: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Positive</w:t>
            </w:r>
          </w:p>
        </w:tc>
        <w:tc>
          <w:tcPr>
            <w:tcW w:w="0" w:type="dxa"/>
            <w:vAlign w:val="bottom"/>
          </w:tcPr>
          <w:p>
            <w:pPr>
              <w:spacing w:after="0"/>
              <w:rPr>
                <w:sz w:val="1"/>
                <w:szCs w:val="1"/>
                <w:color w:val="auto"/>
              </w:rPr>
            </w:pPr>
          </w:p>
        </w:tc>
      </w:tr>
      <w:tr>
        <w:trPr>
          <w:trHeight w:val="207"/>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 and total operating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Negative</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refer to the Glossary of Terms for the definitions of our constant currency growth rates.</w:t>
      </w:r>
    </w:p>
    <w:p>
      <w:pPr>
        <w:spacing w:after="0" w:line="219"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Changes in the value of the U.S. dollar may have a significant effect on net revenue, total cost of revenue and total operating expenses,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42"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RPO represents deferred revenue and unbilled deferred revenue, which consists of contractually stated or committed contracts under early renewal and multi-year billing plans for which the associated deferred revenue has not yet been recorded. Unbilled deferred revenue is not included as a receivable or deferred revenue on our Consolidated Balance Sheets. See Part I, Item 1, “Financial Statements,” Note 3, “Revenue Recognition,” for more details on Autodesk's performance obligations.</w:t>
      </w:r>
    </w:p>
    <w:p>
      <w:pPr>
        <w:spacing w:after="0" w:line="98"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798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40" w:type="dxa"/>
            <w:vAlign w:val="bottom"/>
          </w:tcPr>
          <w:p>
            <w:pPr>
              <w:spacing w:after="0"/>
              <w:rPr>
                <w:sz w:val="16"/>
                <w:szCs w:val="16"/>
                <w:color w:val="auto"/>
              </w:rPr>
            </w:pP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4"/>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w:t>
            </w:r>
          </w:p>
        </w:tc>
      </w:tr>
      <w:tr>
        <w:trPr>
          <w:trHeight w:val="209"/>
        </w:trPr>
        <w:tc>
          <w:tcPr>
            <w:tcW w:w="7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Unbilled deferred revenue</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3,351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w:t>
            </w:r>
          </w:p>
        </w:tc>
      </w:tr>
      <w:tr>
        <w:trPr>
          <w:trHeight w:val="231"/>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RPO</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7,808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RPO consisted of the following: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60" w:type="dxa"/>
            <w:vAlign w:val="bottom"/>
          </w:tcPr>
          <w:p>
            <w:pPr>
              <w:spacing w:after="0"/>
              <w:rPr>
                <w:sz w:val="16"/>
                <w:szCs w:val="16"/>
                <w:color w:val="auto"/>
              </w:rPr>
            </w:pP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4"/>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4"/>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RPO</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r>
      <w:tr>
        <w:trPr>
          <w:trHeight w:val="20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Non-current RPO</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2,821</w:t>
            </w:r>
          </w:p>
        </w:tc>
      </w:tr>
      <w:tr>
        <w:trPr>
          <w:trHeight w:val="231"/>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RPO</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We expect that the amount of RPO will change from quarter to quarter for several reasons, including the specific timing, duration, and size of customer subscription and support agreements, the specific timing of customer renewals, and foreign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9" w:name="page30"/>
    <w:bookmarkEnd w:id="29"/>
    <w:p>
      <w:pPr>
        <w:ind w:right="500"/>
        <w:spacing w:after="0" w:line="268" w:lineRule="auto"/>
        <w:rPr>
          <w:sz w:val="20"/>
          <w:szCs w:val="20"/>
          <w:color w:val="auto"/>
        </w:rPr>
      </w:pPr>
      <w:r>
        <w:rPr>
          <w:rFonts w:ascii="Times New Roman" w:cs="Times New Roman" w:eastAsia="Times New Roman" w:hAnsi="Times New Roman"/>
          <w:sz w:val="18"/>
          <w:szCs w:val="18"/>
          <w:color w:val="auto"/>
        </w:rPr>
        <w:t>currency fluctuations. Historically, we have had increased sales activity in our fourth fiscal quarter and this seasonality may affect the relative value of our billings, RPO, and collections in the fourth and first fiscal quarters.</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Balance Sheet and Cash Flow Items</w:t>
      </w:r>
    </w:p>
    <w:p>
      <w:pPr>
        <w:spacing w:after="0" w:line="242"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At April 30, 2026, we had $3.31 billion in cash, cash equivalents, and marketable securities. Our cash flow from operations increased to $893 million for the three months ended April 30, 2026, compared to $564 million for the three months ended April 30, 2025. We repurchased 2 million shares of our common stock for $448 million during the three months ended April 30, 2026. Comparatively, we repurchased 1 million shares of our common stock for $353 million during the three months ended April 30, 2025. See further discussion regarding the balance sheet and cash flow activities under the heading “Liquidity and Capital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229" w:lineRule="exact"/>
        <w:rPr>
          <w:sz w:val="20"/>
          <w:szCs w:val="20"/>
          <w:color w:val="auto"/>
        </w:rPr>
      </w:pPr>
    </w:p>
    <w:p>
      <w:pPr>
        <w:ind w:right="140" w:firstLine="395"/>
        <w:spacing w:after="0" w:line="234" w:lineRule="auto"/>
        <w:rPr>
          <w:sz w:val="20"/>
          <w:szCs w:val="20"/>
          <w:color w:val="auto"/>
        </w:rPr>
      </w:pPr>
      <w:r>
        <w:rPr>
          <w:rFonts w:ascii="Times New Roman" w:cs="Times New Roman" w:eastAsia="Times New Roman" w:hAnsi="Times New Roman"/>
          <w:sz w:val="18"/>
          <w:szCs w:val="18"/>
          <w:color w:val="auto"/>
        </w:rPr>
        <w:t>We believe our investment in cloud products and a subscription business model, backed by a strong balance sheet, give us a robust foundation to successfully navigate complex geopolitical and global macro-economic challenges. However, material scarcity, supply chain disruption and resulting inflationary pressures, higher interest rates, a global labor shortage, ongoing geopolitical conflicts, economic and regulatory uncertainty, the potential for global trade wars, and foreign exchange rate fluctuations, may impact our outlook. The extent of the impact of these risks on our business in fiscal 2027 and beyond will depend on several factors, some of which are out of our control. Further discussion of the potential impacts of these risks on our business can be found in Part II, Item 1A,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w:t>
      </w: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Net Revenue by Income Statement Presentation</w:t>
      </w:r>
    </w:p>
    <w:p>
      <w:pPr>
        <w:spacing w:after="0" w:line="242" w:lineRule="exact"/>
        <w:rPr>
          <w:sz w:val="20"/>
          <w:szCs w:val="20"/>
          <w:color w:val="auto"/>
        </w:rPr>
      </w:pPr>
    </w:p>
    <w:p>
      <w:pPr>
        <w:ind w:right="300" w:firstLine="395"/>
        <w:spacing w:after="0" w:line="256" w:lineRule="auto"/>
        <w:rPr>
          <w:sz w:val="20"/>
          <w:szCs w:val="20"/>
          <w:color w:val="auto"/>
        </w:rPr>
      </w:pPr>
      <w:r>
        <w:rPr>
          <w:rFonts w:ascii="Times New Roman" w:cs="Times New Roman" w:eastAsia="Times New Roman" w:hAnsi="Times New Roman"/>
          <w:sz w:val="18"/>
          <w:szCs w:val="18"/>
          <w:color w:val="auto"/>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revenue consists of revenue from other products and services and is recognized as the products are delivered or services are performed.</w:t>
      </w:r>
    </w:p>
    <w:p>
      <w:pPr>
        <w:spacing w:after="0" w:line="1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40" w:type="dxa"/>
            <w:vAlign w:val="bottom"/>
          </w:tcPr>
          <w:p>
            <w:pPr>
              <w:spacing w:after="0"/>
              <w:rPr>
                <w:sz w:val="13"/>
                <w:szCs w:val="13"/>
                <w:color w:val="auto"/>
              </w:rPr>
            </w:pPr>
          </w:p>
        </w:tc>
        <w:tc>
          <w:tcPr>
            <w:tcW w:w="190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 Compared to Prior</w:t>
            </w:r>
          </w:p>
        </w:tc>
        <w:tc>
          <w:tcPr>
            <w:tcW w:w="140" w:type="dxa"/>
            <w:vAlign w:val="bottom"/>
          </w:tcPr>
          <w:p>
            <w:pPr>
              <w:spacing w:after="0"/>
              <w:rPr>
                <w:sz w:val="13"/>
                <w:szCs w:val="13"/>
                <w:color w:val="auto"/>
              </w:rPr>
            </w:pPr>
          </w:p>
        </w:tc>
        <w:tc>
          <w:tcPr>
            <w:tcW w:w="70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1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47"/>
              <w:spacing w:after="0" w:line="145"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April 30,</w:t>
            </w:r>
          </w:p>
        </w:tc>
        <w:tc>
          <w:tcPr>
            <w:tcW w:w="140" w:type="dxa"/>
            <w:vAlign w:val="bottom"/>
          </w:tcPr>
          <w:p>
            <w:pPr>
              <w:spacing w:after="0"/>
              <w:rPr>
                <w:sz w:val="12"/>
                <w:szCs w:val="12"/>
                <w:color w:val="auto"/>
              </w:rPr>
            </w:pPr>
          </w:p>
        </w:tc>
        <w:tc>
          <w:tcPr>
            <w:tcW w:w="720" w:type="dxa"/>
            <w:vAlign w:val="bottom"/>
            <w:vMerge w:val="restart"/>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restart"/>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47"/>
              <w:spacing w:after="0" w:line="144"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20" w:type="dxa"/>
            <w:vAlign w:val="bottom"/>
          </w:tcPr>
          <w:p>
            <w:pPr>
              <w:spacing w:after="0"/>
              <w:rPr>
                <w:sz w:val="12"/>
                <w:szCs w:val="12"/>
                <w:color w:val="auto"/>
              </w:rPr>
            </w:pPr>
          </w:p>
        </w:tc>
        <w:tc>
          <w:tcPr>
            <w:tcW w:w="3500" w:type="dxa"/>
            <w:vAlign w:val="bottom"/>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1"/>
        </w:trPr>
        <w:tc>
          <w:tcPr>
            <w:tcW w:w="35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3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50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 (1)</w:t>
            </w: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1,836</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4320" w:type="dxa"/>
            <w:vAlign w:val="bottom"/>
            <w:gridSpan w:val="3"/>
          </w:tcPr>
          <w:p>
            <w:pPr>
              <w:ind w:left="280"/>
              <w:spacing w:after="0" w:line="158" w:lineRule="exact"/>
              <w:rPr>
                <w:sz w:val="20"/>
                <w:szCs w:val="20"/>
                <w:color w:val="auto"/>
              </w:rPr>
            </w:pPr>
            <w:r>
              <w:rPr>
                <w:rFonts w:ascii="Times New Roman" w:cs="Times New Roman" w:eastAsia="Times New Roman" w:hAnsi="Times New Roman"/>
                <w:sz w:val="16"/>
                <w:szCs w:val="16"/>
                <w:color w:val="auto"/>
              </w:rPr>
              <w:t>1,540   Increase primarily due to growth in subscriptions from</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our existing customer base.</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right="520" w:firstLine="5"/>
        <w:spacing w:after="0" w:line="252" w:lineRule="auto"/>
        <w:tabs>
          <w:tab w:leader="none" w:pos="22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fiscal quarter ended April 30, 2026, the Company changed its presentation of maintenance revenue and reclassified “Maintenance revenue” to “Subscription revenue”. Prior period amounts have been reclassified to conform to the current period presentation. The reclassification did not impact total net revenue.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71" w:right="239" w:bottom="1440" w:gutter="0" w:footer="0" w:header="0"/>
        </w:sectPr>
      </w:pPr>
    </w:p>
    <w:bookmarkStart w:id="30" w:name="page31"/>
    <w:bookmarkEnd w:id="30"/>
    <w:p>
      <w:pPr>
        <w:ind w:left="240"/>
        <w:spacing w:after="0"/>
        <w:rPr>
          <w:sz w:val="20"/>
          <w:szCs w:val="20"/>
          <w:color w:val="auto"/>
        </w:rPr>
      </w:pPr>
      <w:r>
        <w:rPr>
          <w:rFonts w:ascii="Times New Roman" w:cs="Times New Roman" w:eastAsia="Times New Roman" w:hAnsi="Times New Roman"/>
          <w:sz w:val="18"/>
          <w:szCs w:val="18"/>
          <w:i w:val="1"/>
          <w:iCs w:val="1"/>
          <w:color w:val="auto"/>
        </w:rPr>
        <w:t>Net Revenue by Product Family</w:t>
      </w:r>
    </w:p>
    <w:p>
      <w:pPr>
        <w:spacing w:after="0" w:line="242" w:lineRule="exact"/>
        <w:rPr>
          <w:sz w:val="20"/>
          <w:szCs w:val="20"/>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Our product offerings are focused in four primary product families: Architecture, Engineering, Construction and Operations (“AECO”), AutoCAD and AutoCAD LT, Manufacturing (“MFG”), and Media and Entertainment (“M&amp;E”).</w:t>
      </w:r>
    </w:p>
    <w:p>
      <w:pPr>
        <w:spacing w:after="0" w:line="1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80" w:type="dxa"/>
            <w:vAlign w:val="bottom"/>
          </w:tcPr>
          <w:p>
            <w:pPr>
              <w:spacing w:after="0"/>
              <w:rPr>
                <w:sz w:val="13"/>
                <w:szCs w:val="13"/>
                <w:color w:val="auto"/>
              </w:rPr>
            </w:pPr>
          </w:p>
        </w:tc>
        <w:tc>
          <w:tcPr>
            <w:tcW w:w="35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3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AECO</w:t>
            </w: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970</w:t>
            </w:r>
          </w:p>
        </w:tc>
        <w:tc>
          <w:tcPr>
            <w:tcW w:w="120" w:type="dxa"/>
            <w:vAlign w:val="bottom"/>
          </w:tcPr>
          <w:p>
            <w:pPr>
              <w:spacing w:after="0"/>
              <w:rPr>
                <w:sz w:val="13"/>
                <w:szCs w:val="13"/>
                <w:color w:val="auto"/>
              </w:rPr>
            </w:pPr>
          </w:p>
        </w:tc>
        <w:tc>
          <w:tcPr>
            <w:tcW w:w="20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3"/>
                <w:szCs w:val="13"/>
                <w:color w:val="auto"/>
              </w:rPr>
            </w:pPr>
          </w:p>
        </w:tc>
        <w:tc>
          <w:tcPr>
            <w:tcW w:w="1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809</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7"/>
              </w:rPr>
              <w:t>Increase due to growth in revenue from AEC Collection</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Autodesk Forma, and Revit.</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AutoCAD and AutoCAD LT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474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411</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due to growth in revenue from our existing</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base for both AutoCAD and AutoCAD LT.</w:t>
            </w:r>
          </w:p>
        </w:tc>
        <w:tc>
          <w:tcPr>
            <w:tcW w:w="0" w:type="dxa"/>
            <w:vAlign w:val="bottom"/>
          </w:tcPr>
          <w:p>
            <w:pPr>
              <w:spacing w:after="0"/>
              <w:rPr>
                <w:sz w:val="1"/>
                <w:szCs w:val="1"/>
                <w:color w:val="auto"/>
              </w:rPr>
            </w:pPr>
          </w:p>
        </w:tc>
      </w:tr>
      <w:tr>
        <w:trPr>
          <w:trHeight w:val="158"/>
        </w:trPr>
        <w:tc>
          <w:tcPr>
            <w:tcW w:w="332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MFG</w:t>
            </w:r>
          </w:p>
        </w:tc>
        <w:tc>
          <w:tcPr>
            <w:tcW w:w="12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367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13"/>
                <w:szCs w:val="13"/>
                <w:color w:val="auto"/>
              </w:rPr>
            </w:pPr>
          </w:p>
        </w:tc>
        <w:tc>
          <w:tcPr>
            <w:tcW w:w="35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Increase due to growth in revenue from MFG Collectio</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Fusion, and EBA offerings.</w:t>
            </w:r>
          </w:p>
        </w:tc>
        <w:tc>
          <w:tcPr>
            <w:tcW w:w="0" w:type="dxa"/>
            <w:vAlign w:val="bottom"/>
          </w:tcPr>
          <w:p>
            <w:pPr>
              <w:spacing w:after="0"/>
              <w:rPr>
                <w:sz w:val="1"/>
                <w:szCs w:val="1"/>
                <w:color w:val="auto"/>
              </w:rPr>
            </w:pPr>
          </w:p>
        </w:tc>
      </w:tr>
      <w:tr>
        <w:trPr>
          <w:trHeight w:val="160"/>
        </w:trPr>
        <w:tc>
          <w:tcPr>
            <w:tcW w:w="332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M&amp;E</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3"/>
                <w:szCs w:val="13"/>
                <w:color w:val="auto"/>
              </w:rPr>
            </w:pPr>
          </w:p>
        </w:tc>
        <w:tc>
          <w:tcPr>
            <w:tcW w:w="35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9"/>
              </w:rPr>
              <w:t>Increase primarily due to growth in revenue from EBA</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offerings.</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3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8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Net Revenue by Geographic Area</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Constant currency change</w:t>
            </w: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8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compared to prior fiscal</w:t>
            </w: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1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April</w:t>
            </w:r>
          </w:p>
        </w:tc>
        <w:tc>
          <w:tcPr>
            <w:tcW w:w="220" w:type="dxa"/>
            <w:vAlign w:val="bottom"/>
          </w:tcPr>
          <w:p>
            <w:pPr>
              <w:spacing w:after="0"/>
              <w:rPr>
                <w:sz w:val="16"/>
                <w:szCs w:val="16"/>
                <w:color w:val="auto"/>
              </w:rPr>
            </w:pPr>
          </w:p>
        </w:tc>
        <w:tc>
          <w:tcPr>
            <w:tcW w:w="18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year</w:t>
            </w:r>
          </w:p>
        </w:tc>
        <w:tc>
          <w:tcPr>
            <w:tcW w:w="140" w:type="dxa"/>
            <w:vAlign w:val="bottom"/>
          </w:tcPr>
          <w:p>
            <w:pPr>
              <w:spacing w:after="0"/>
              <w:rPr>
                <w:sz w:val="16"/>
                <w:szCs w:val="16"/>
                <w:color w:val="auto"/>
              </w:rPr>
            </w:pPr>
          </w:p>
        </w:tc>
        <w:tc>
          <w:tcPr>
            <w:tcW w:w="152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9"/>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840" w:type="dxa"/>
            <w:vAlign w:val="bottom"/>
            <w:gridSpan w:val="3"/>
            <w:vMerge w:val="continue"/>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620" w:type="dxa"/>
            <w:vAlign w:val="bottom"/>
            <w:tcBorders>
              <w:top w:val="single" w:sz="8" w:color="auto"/>
            </w:tcBorders>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3"/>
                <w:szCs w:val="3"/>
                <w:color w:val="auto"/>
              </w:rPr>
            </w:pPr>
          </w:p>
        </w:tc>
        <w:tc>
          <w:tcPr>
            <w:tcW w:w="1720" w:type="dxa"/>
            <w:vAlign w:val="bottom"/>
            <w:tcBorders>
              <w:top w:val="single" w:sz="8" w:color="auto"/>
            </w:tcBorders>
            <w:vMerge w:val="restart"/>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36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30, 2026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0" w:type="dxa"/>
            <w:vAlign w:val="bottom"/>
          </w:tcPr>
          <w:p>
            <w:pPr>
              <w:spacing w:after="0"/>
              <w:rPr>
                <w:sz w:val="1"/>
                <w:szCs w:val="1"/>
                <w:color w:val="auto"/>
              </w:rPr>
            </w:pPr>
          </w:p>
        </w:tc>
      </w:tr>
      <w:tr>
        <w:trPr>
          <w:trHeight w:val="197"/>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w:t>
            </w:r>
          </w:p>
        </w:tc>
        <w:tc>
          <w:tcPr>
            <w:tcW w:w="3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Americas</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1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Americas</w:t>
            </w: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0" w:type="dxa"/>
            <w:vAlign w:val="bottom"/>
          </w:tcPr>
          <w:p>
            <w:pPr>
              <w:spacing w:after="0"/>
              <w:rPr>
                <w:sz w:val="1"/>
                <w:szCs w:val="1"/>
                <w:color w:val="auto"/>
              </w:rPr>
            </w:pPr>
          </w:p>
        </w:tc>
      </w:tr>
      <w:tr>
        <w:trPr>
          <w:trHeight w:val="209"/>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EMEA</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APAC</w:t>
            </w: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3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Constant currency data not provided at this level.</w:t>
      </w:r>
    </w:p>
    <w:p>
      <w:pPr>
        <w:spacing w:after="0" w:line="233" w:lineRule="exact"/>
        <w:rPr>
          <w:sz w:val="20"/>
          <w:szCs w:val="20"/>
          <w:color w:val="auto"/>
        </w:rPr>
      </w:pPr>
    </w:p>
    <w:p>
      <w:pPr>
        <w:ind w:right="200" w:firstLine="395"/>
        <w:spacing w:after="0" w:line="248" w:lineRule="auto"/>
        <w:rPr>
          <w:sz w:val="20"/>
          <w:szCs w:val="20"/>
          <w:color w:val="auto"/>
        </w:rPr>
      </w:pPr>
      <w:r>
        <w:rPr>
          <w:rFonts w:ascii="Times New Roman" w:cs="Times New Roman" w:eastAsia="Times New Roman" w:hAnsi="Times New Roman"/>
          <w:sz w:val="18"/>
          <w:szCs w:val="18"/>
          <w:color w:val="auto"/>
        </w:rPr>
        <w:t>We believe that international revenue will continue to comprise a majority of our net revenue. Unfavorable economic conditions, including in connection with the ongoing geopolitical conflicts (and any related political or economic responses and counter-responses or otherwise by various global actors or the general effect on the global economy), or global trade wars, in the countries that contribute a significant portion of our net revenue, including in emerging economies such as Brazil, India, and China, has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31" w:name="page32"/>
    <w:bookmarkEnd w:id="31"/>
    <w:p>
      <w:pPr>
        <w:ind w:left="240"/>
        <w:spacing w:after="0"/>
        <w:rPr>
          <w:sz w:val="20"/>
          <w:szCs w:val="20"/>
          <w:color w:val="auto"/>
        </w:rPr>
      </w:pPr>
      <w:r>
        <w:rPr>
          <w:rFonts w:ascii="Times New Roman" w:cs="Times New Roman" w:eastAsia="Times New Roman" w:hAnsi="Times New Roman"/>
          <w:sz w:val="18"/>
          <w:szCs w:val="18"/>
          <w:i w:val="1"/>
          <w:iCs w:val="1"/>
          <w:color w:val="auto"/>
        </w:rPr>
        <w:t>Net Revenue by Product Type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Change compared to</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7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540" w:type="dxa"/>
            <w:vAlign w:val="bottom"/>
            <w:gridSpan w:val="3"/>
            <w:vMerge w:val="continue"/>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vMerge w:val="restart"/>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32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line="20" w:lineRule="exact"/>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April 30, 2026</w:t>
            </w: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by Product Type:</w:t>
            </w: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9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Design</w:t>
            </w:r>
          </w:p>
        </w:tc>
        <w:tc>
          <w:tcPr>
            <w:tcW w:w="200" w:type="dxa"/>
            <w:vAlign w:val="bottom"/>
          </w:tcPr>
          <w:p>
            <w:pPr>
              <w:jc w:val="right"/>
              <w:ind w:right="24"/>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1,612</w:t>
            </w:r>
          </w:p>
        </w:tc>
        <w:tc>
          <w:tcPr>
            <w:tcW w:w="120" w:type="dxa"/>
            <w:vAlign w:val="bottom"/>
          </w:tcPr>
          <w:p>
            <w:pPr>
              <w:spacing w:after="0"/>
              <w:rPr>
                <w:sz w:val="13"/>
                <w:szCs w:val="13"/>
                <w:color w:val="auto"/>
              </w:rPr>
            </w:pPr>
          </w:p>
        </w:tc>
        <w:tc>
          <w:tcPr>
            <w:tcW w:w="180" w:type="dxa"/>
            <w:vAlign w:val="bottom"/>
          </w:tcPr>
          <w:p>
            <w:pPr>
              <w:jc w:val="right"/>
              <w:ind w:right="21"/>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251</w:t>
            </w:r>
          </w:p>
        </w:tc>
        <w:tc>
          <w:tcPr>
            <w:tcW w:w="1140" w:type="dxa"/>
            <w:vAlign w:val="bottom"/>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3"/>
                <w:szCs w:val="13"/>
                <w:color w:val="auto"/>
              </w:rPr>
            </w:pPr>
          </w:p>
        </w:tc>
        <w:tc>
          <w:tcPr>
            <w:tcW w:w="18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1,361</w:t>
            </w: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growth in AEC</w:t>
            </w: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collections, EBA offerings, AutoCAD, AutoCAD</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LT, and MFG collections.</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Make</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45</w:t>
            </w:r>
          </w:p>
        </w:tc>
        <w:tc>
          <w:tcPr>
            <w:tcW w:w="1140" w:type="dxa"/>
            <w:vAlign w:val="bottom"/>
            <w:gridSpan w:val="2"/>
            <w:shd w:val="clear" w:color="auto" w:fill="CCEEFF"/>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rPr>
              <w:t>Increase primarily due to growth in revenue from</w:t>
            </w: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Autodesk Forma and Fusion.</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1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of Revenue and Operating Expenses</w:t>
      </w:r>
    </w:p>
    <w:p>
      <w:pPr>
        <w:spacing w:after="0" w:line="242"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Cost of subscription revenue includes the labor costs of providing product support to our subscription customers, SaaS vendor costs and allocated IT costs, facilities costs, professional services fees related to operating our network and cloud infrastructure, royalties, depreciation expense and operating lease payments associated with computer equipment, data center costs, related expenses of network operations, stock-based compensation expense, and gains and losses on our operating expense cash flow hedges.</w:t>
      </w:r>
    </w:p>
    <w:p>
      <w:pPr>
        <w:spacing w:after="0" w:line="210"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Cost of other revenue includes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206"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206"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Marketing and sales expenses include salaries, bonuses, benefits, and stock-based compensation expense for our marketing and sales employees, the expense of travel, entertainment, and training for such personnel, sales commissions to employees and Solution Providers,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spacing w:after="0" w:line="212" w:lineRule="exact"/>
        <w:rPr>
          <w:sz w:val="20"/>
          <w:szCs w:val="20"/>
          <w:color w:val="auto"/>
        </w:rPr>
      </w:pPr>
    </w:p>
    <w:p>
      <w:pPr>
        <w:ind w:right="100" w:firstLine="434"/>
        <w:spacing w:after="0" w:line="256" w:lineRule="auto"/>
        <w:rPr>
          <w:sz w:val="20"/>
          <w:szCs w:val="20"/>
          <w:color w:val="auto"/>
        </w:rPr>
      </w:pPr>
      <w:r>
        <w:rPr>
          <w:rFonts w:ascii="Times New Roman" w:cs="Times New Roman" w:eastAsia="Times New Roman" w:hAnsi="Times New Roman"/>
          <w:sz w:val="18"/>
          <w:szCs w:val="18"/>
          <w:color w:val="auto"/>
        </w:rPr>
        <w:t>Most of the sales incentives payments to Solution Providers are considered incremental and recoverable costs of obtaining a contract with a customer. The deferred costs are amortized over the period of benefit. The sales incentives not qualifying for capitalization are recorded as marketing and sales expenses as the costs are incurred under the incentive program requirements.</w:t>
      </w:r>
    </w:p>
    <w:p>
      <w:pPr>
        <w:spacing w:after="0" w:line="206"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spacing w:after="0" w:line="210" w:lineRule="exact"/>
        <w:rPr>
          <w:sz w:val="20"/>
          <w:szCs w:val="20"/>
          <w:color w:val="auto"/>
        </w:rPr>
      </w:pPr>
    </w:p>
    <w:p>
      <w:pPr>
        <w:ind w:firstLine="434"/>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spacing w:after="0" w:line="210"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Restructuring, other exit costs, and facility reductions include charges related to the restructuring plan initiated during the fourth fiscal quarter ended January 31, 2026 (“January 2026 Plan”) to support our initiatives to optimize and complete our go-to-market organization and, at the same time, to reallocate resources to our strategic priorities of investments in cloud, platform and artificial intelligence. In addition to the culmination of our sales and marketing optimization program, the January 2026 Plan reallocates resources in certain other functions to accelerate Autodesk’s strategic priorities.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40" w:type="dxa"/>
            <w:vAlign w:val="bottom"/>
          </w:tcPr>
          <w:p>
            <w:pPr>
              <w:spacing w:after="0"/>
              <w:rPr>
                <w:sz w:val="13"/>
                <w:szCs w:val="13"/>
                <w:color w:val="auto"/>
              </w:rPr>
            </w:pPr>
          </w:p>
        </w:tc>
        <w:tc>
          <w:tcPr>
            <w:tcW w:w="16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20" w:type="dxa"/>
            <w:vAlign w:val="bottom"/>
          </w:tcPr>
          <w:p>
            <w:pPr>
              <w:spacing w:after="0"/>
              <w:rPr>
                <w:sz w:val="13"/>
                <w:szCs w:val="13"/>
                <w:color w:val="auto"/>
              </w:rPr>
            </w:pPr>
          </w:p>
        </w:tc>
        <w:tc>
          <w:tcPr>
            <w:tcW w:w="7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4"/>
              <w:spacing w:after="0" w:line="143"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20" w:type="dxa"/>
            <w:vAlign w:val="bottom"/>
          </w:tcPr>
          <w:p>
            <w:pPr>
              <w:spacing w:after="0"/>
              <w:rPr>
                <w:sz w:val="13"/>
                <w:szCs w:val="13"/>
                <w:color w:val="auto"/>
              </w:rPr>
            </w:pPr>
          </w:p>
        </w:tc>
        <w:tc>
          <w:tcPr>
            <w:tcW w:w="8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w w:val="98"/>
              </w:rPr>
              <w:t>April 30,</w:t>
            </w:r>
          </w:p>
        </w:tc>
        <w:tc>
          <w:tcPr>
            <w:tcW w:w="140" w:type="dxa"/>
            <w:vAlign w:val="bottom"/>
          </w:tcPr>
          <w:p>
            <w:pPr>
              <w:spacing w:after="0"/>
              <w:rPr>
                <w:sz w:val="13"/>
                <w:szCs w:val="13"/>
                <w:color w:val="auto"/>
              </w:rPr>
            </w:pPr>
          </w:p>
        </w:tc>
        <w:tc>
          <w:tcPr>
            <w:tcW w:w="560" w:type="dxa"/>
            <w:vAlign w:val="bottom"/>
            <w:vMerge w:val="restart"/>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44"/>
              <w:spacing w:after="0" w:line="158"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00" w:type="dxa"/>
            <w:vAlign w:val="bottom"/>
          </w:tcPr>
          <w:p>
            <w:pPr>
              <w:spacing w:after="0"/>
              <w:rPr>
                <w:sz w:val="13"/>
                <w:szCs w:val="13"/>
                <w:color w:val="auto"/>
              </w:rPr>
            </w:pPr>
          </w:p>
        </w:tc>
        <w:tc>
          <w:tcPr>
            <w:tcW w:w="470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0"/>
        </w:trPr>
        <w:tc>
          <w:tcPr>
            <w:tcW w:w="2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4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Subscription</w:t>
            </w: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18</w:t>
            </w:r>
          </w:p>
        </w:tc>
        <w:tc>
          <w:tcPr>
            <w:tcW w:w="9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an increase in cloud hosting costs and</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employee-related costs.</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cost of revenue remained flat period over period.</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Amortization of developed</w:t>
            </w:r>
          </w:p>
        </w:tc>
        <w:tc>
          <w:tcPr>
            <w:tcW w:w="12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940" w:type="dxa"/>
            <w:vAlign w:val="bottom"/>
            <w:gridSpan w:val="2"/>
          </w:tcPr>
          <w:p>
            <w:pPr>
              <w:ind w:left="340"/>
              <w:spacing w:after="0" w:line="158" w:lineRule="exact"/>
              <w:rPr>
                <w:sz w:val="20"/>
                <w:szCs w:val="20"/>
                <w:color w:val="auto"/>
              </w:rPr>
            </w:pPr>
            <w:r>
              <w:rPr>
                <w:rFonts w:ascii="Times New Roman" w:cs="Times New Roman" w:eastAsia="Times New Roman" w:hAnsi="Times New Roman"/>
                <w:sz w:val="16"/>
                <w:szCs w:val="16"/>
                <w:color w:val="auto"/>
              </w:rPr>
              <w:t>NM (1)</w:t>
            </w:r>
          </w:p>
        </w:tc>
        <w:tc>
          <w:tcPr>
            <w:tcW w:w="120" w:type="dxa"/>
            <w:vAlign w:val="bottom"/>
          </w:tcPr>
          <w:p>
            <w:pPr>
              <w:spacing w:after="0"/>
              <w:rPr>
                <w:sz w:val="13"/>
                <w:szCs w:val="13"/>
                <w:color w:val="auto"/>
              </w:rPr>
            </w:pP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8"/>
              </w:rPr>
              <w:t>Amortization of developed technologies remained flat period over period.</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technologies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cost of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Marketing and sales</w:t>
            </w: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593</w:t>
            </w:r>
          </w:p>
        </w:tc>
        <w:tc>
          <w:tcPr>
            <w:tcW w:w="12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27</w:t>
            </w:r>
          </w:p>
        </w:tc>
        <w:tc>
          <w:tcPr>
            <w:tcW w:w="9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566</w:t>
            </w: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Increase primarily due to an increase in sales commissions to Solution</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Providers partially offset by a decrease in employee-related costs and the</w:t>
            </w: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recording of the cumulative adjustment related to the Company’s</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 in the prior comparative period.</w:t>
            </w:r>
          </w:p>
        </w:tc>
        <w:tc>
          <w:tcPr>
            <w:tcW w:w="0" w:type="dxa"/>
            <w:vAlign w:val="bottom"/>
          </w:tcPr>
          <w:p>
            <w:pPr>
              <w:spacing w:after="0"/>
              <w:rPr>
                <w:sz w:val="1"/>
                <w:szCs w:val="1"/>
                <w:color w:val="auto"/>
              </w:rPr>
            </w:pPr>
          </w:p>
        </w:tc>
      </w:tr>
      <w:tr>
        <w:trPr>
          <w:trHeight w:val="160"/>
        </w:trPr>
        <w:tc>
          <w:tcPr>
            <w:tcW w:w="2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421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27</w:t>
            </w:r>
          </w:p>
        </w:tc>
        <w:tc>
          <w:tcPr>
            <w:tcW w:w="960" w:type="dxa"/>
            <w:vAlign w:val="bottom"/>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
              <w:spacing w:after="0" w:line="160" w:lineRule="exact"/>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13"/>
                <w:szCs w:val="13"/>
                <w:color w:val="auto"/>
              </w:rPr>
            </w:pPr>
          </w:p>
        </w:tc>
        <w:tc>
          <w:tcPr>
            <w:tcW w:w="470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color w:val="auto"/>
                <w:w w:val="99"/>
              </w:rPr>
              <w:t>Increase primarily due to an increase in employee-related costs driven by</w:t>
            </w: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7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higher headcount and an increase in cloud hosting costs partially offset</w:t>
            </w: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7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by a decrease in stock-based compensation due to the recording of the</w:t>
            </w:r>
          </w:p>
        </w:tc>
        <w:tc>
          <w:tcPr>
            <w:tcW w:w="0" w:type="dxa"/>
            <w:vAlign w:val="bottom"/>
          </w:tcPr>
          <w:p>
            <w:pPr>
              <w:spacing w:after="0"/>
              <w:rPr>
                <w:sz w:val="1"/>
                <w:szCs w:val="1"/>
                <w:color w:val="auto"/>
              </w:rPr>
            </w:pPr>
          </w:p>
        </w:tc>
      </w:tr>
      <w:tr>
        <w:trPr>
          <w:trHeight w:val="158"/>
        </w:trPr>
        <w:tc>
          <w:tcPr>
            <w:tcW w:w="2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7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cumulative adjustment related to the Company’s Employee Stock</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Plan in the prior comparative period.</w:t>
            </w:r>
          </w:p>
        </w:tc>
        <w:tc>
          <w:tcPr>
            <w:tcW w:w="0" w:type="dxa"/>
            <w:vAlign w:val="bottom"/>
          </w:tcPr>
          <w:p>
            <w:pPr>
              <w:spacing w:after="0"/>
              <w:rPr>
                <w:sz w:val="1"/>
                <w:szCs w:val="1"/>
                <w:color w:val="auto"/>
              </w:rPr>
            </w:pPr>
          </w:p>
        </w:tc>
      </w:tr>
      <w:tr>
        <w:trPr>
          <w:trHeight w:val="209"/>
        </w:trPr>
        <w:tc>
          <w:tcPr>
            <w:tcW w:w="2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costs remained flat period over period.</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intangibles remained flat period over period.</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Restructuring, other exit costs, and</w:t>
            </w:r>
          </w:p>
        </w:tc>
        <w:tc>
          <w:tcPr>
            <w:tcW w:w="12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color w:val="auto"/>
              </w:rPr>
              <w:t>(75)</w:t>
            </w:r>
          </w:p>
        </w:tc>
        <w:tc>
          <w:tcPr>
            <w:tcW w:w="9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4"/>
              <w:spacing w:after="0" w:line="158" w:lineRule="exact"/>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The decrease is due to the restructuring plan initiated during the first</w:t>
            </w:r>
          </w:p>
        </w:tc>
        <w:tc>
          <w:tcPr>
            <w:tcW w:w="0" w:type="dxa"/>
            <w:vAlign w:val="bottom"/>
          </w:tcPr>
          <w:p>
            <w:pPr>
              <w:spacing w:after="0"/>
              <w:rPr>
                <w:sz w:val="1"/>
                <w:szCs w:val="1"/>
                <w:color w:val="auto"/>
              </w:rPr>
            </w:pPr>
          </w:p>
        </w:tc>
      </w:tr>
      <w:tr>
        <w:trPr>
          <w:trHeight w:val="158"/>
        </w:trPr>
        <w:tc>
          <w:tcPr>
            <w:tcW w:w="284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facility reductions</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quarter of fiscal 2026 which was substantially complete as of January 31,</w:t>
            </w:r>
          </w:p>
        </w:tc>
        <w:tc>
          <w:tcPr>
            <w:tcW w:w="0" w:type="dxa"/>
            <w:vAlign w:val="bottom"/>
          </w:tcPr>
          <w:p>
            <w:pPr>
              <w:spacing w:after="0"/>
              <w:rPr>
                <w:sz w:val="1"/>
                <w:szCs w:val="1"/>
                <w:color w:val="auto"/>
              </w:rPr>
            </w:pPr>
          </w:p>
        </w:tc>
      </w:tr>
      <w:tr>
        <w:trPr>
          <w:trHeight w:val="209"/>
        </w:trPr>
        <w:tc>
          <w:tcPr>
            <w:tcW w:w="2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400" w:hanging="395"/>
        <w:spacing w:after="0"/>
        <w:tabs>
          <w:tab w:leader="none" w:pos="4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meaningful</w:t>
      </w:r>
    </w:p>
    <w:p>
      <w:pPr>
        <w:spacing w:after="0" w:line="219" w:lineRule="exact"/>
        <w:rPr>
          <w:sz w:val="20"/>
          <w:szCs w:val="20"/>
          <w:color w:val="auto"/>
        </w:rPr>
      </w:pPr>
    </w:p>
    <w:p>
      <w:pPr>
        <w:ind w:right="480"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highlights our expectation for the absolute dollar change between the second quarter of fiscal 2027, as compared to the second quarter of fiscal 2026:</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1920" w:type="dxa"/>
            <w:vAlign w:val="bottom"/>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9"/>
              </w:rPr>
              <w:t>Absolute dollar impact</w:t>
            </w:r>
          </w:p>
        </w:tc>
        <w:tc>
          <w:tcPr>
            <w:tcW w:w="588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24"/>
        </w:trPr>
        <w:tc>
          <w:tcPr>
            <w:tcW w:w="33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9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Increase</w:t>
            </w: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 expect our cost of revenue to increase as our revenue grows.</w:t>
            </w:r>
          </w:p>
        </w:tc>
        <w:tc>
          <w:tcPr>
            <w:tcW w:w="0" w:type="dxa"/>
            <w:vAlign w:val="bottom"/>
          </w:tcPr>
          <w:p>
            <w:pPr>
              <w:spacing w:after="0"/>
              <w:rPr>
                <w:sz w:val="1"/>
                <w:szCs w:val="1"/>
                <w:color w:val="auto"/>
              </w:rPr>
            </w:pPr>
          </w:p>
        </w:tc>
      </w:tr>
      <w:tr>
        <w:trPr>
          <w:trHeight w:val="158"/>
        </w:trPr>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Marketing and sales</w:t>
            </w:r>
          </w:p>
        </w:tc>
        <w:tc>
          <w:tcPr>
            <w:tcW w:w="1920" w:type="dxa"/>
            <w:vAlign w:val="bottom"/>
            <w:vMerge w:val="restart"/>
          </w:tcPr>
          <w:p>
            <w:pPr>
              <w:jc w:val="center"/>
              <w:ind w:left="82"/>
              <w:spacing w:after="0"/>
              <w:rPr>
                <w:sz w:val="20"/>
                <w:szCs w:val="20"/>
                <w:color w:val="auto"/>
              </w:rPr>
            </w:pPr>
            <w:r>
              <w:rPr>
                <w:rFonts w:ascii="Times New Roman" w:cs="Times New Roman" w:eastAsia="Times New Roman" w:hAnsi="Times New Roman"/>
                <w:sz w:val="16"/>
                <w:szCs w:val="16"/>
                <w:color w:val="auto"/>
                <w:w w:val="97"/>
              </w:rPr>
              <w:t>Increase</w:t>
            </w:r>
          </w:p>
        </w:tc>
        <w:tc>
          <w:tcPr>
            <w:tcW w:w="5880" w:type="dxa"/>
            <w:vAlign w:val="bottom"/>
          </w:tcPr>
          <w:p>
            <w:pPr>
              <w:ind w:left="180"/>
              <w:spacing w:after="0" w:line="158" w:lineRule="exact"/>
              <w:rPr>
                <w:sz w:val="20"/>
                <w:szCs w:val="20"/>
                <w:color w:val="auto"/>
              </w:rPr>
            </w:pPr>
            <w:r>
              <w:rPr>
                <w:rFonts w:ascii="Times New Roman" w:cs="Times New Roman" w:eastAsia="Times New Roman" w:hAnsi="Times New Roman"/>
                <w:sz w:val="16"/>
                <w:szCs w:val="16"/>
                <w:color w:val="auto"/>
              </w:rPr>
              <w:t>We expect marketing and sales expenses to increase with the recognition of Solution</w:t>
            </w:r>
          </w:p>
        </w:tc>
        <w:tc>
          <w:tcPr>
            <w:tcW w:w="0" w:type="dxa"/>
            <w:vAlign w:val="bottom"/>
          </w:tcPr>
          <w:p>
            <w:pPr>
              <w:spacing w:after="0"/>
              <w:rPr>
                <w:sz w:val="1"/>
                <w:szCs w:val="1"/>
                <w:color w:val="auto"/>
              </w:rPr>
            </w:pPr>
          </w:p>
        </w:tc>
      </w:tr>
      <w:tr>
        <w:trPr>
          <w:trHeight w:val="209"/>
        </w:trPr>
        <w:tc>
          <w:tcPr>
            <w:tcW w:w="334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Provider commissions.</w:t>
            </w:r>
          </w:p>
        </w:tc>
        <w:tc>
          <w:tcPr>
            <w:tcW w:w="0" w:type="dxa"/>
            <w:vAlign w:val="bottom"/>
          </w:tcPr>
          <w:p>
            <w:pPr>
              <w:spacing w:after="0"/>
              <w:rPr>
                <w:sz w:val="1"/>
                <w:szCs w:val="1"/>
                <w:color w:val="auto"/>
              </w:rPr>
            </w:pPr>
          </w:p>
        </w:tc>
      </w:tr>
      <w:tr>
        <w:trPr>
          <w:trHeight w:val="160"/>
        </w:trPr>
        <w:tc>
          <w:tcPr>
            <w:tcW w:w="3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920" w:type="dxa"/>
            <w:vAlign w:val="bottom"/>
            <w:vMerge w:val="restart"/>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7"/>
              </w:rPr>
              <w:t>Increase</w:t>
            </w:r>
          </w:p>
        </w:tc>
        <w:tc>
          <w:tcPr>
            <w:tcW w:w="5880" w:type="dxa"/>
            <w:vAlign w:val="bottom"/>
            <w:shd w:val="clear" w:color="auto" w:fill="CCEEFF"/>
          </w:tcPr>
          <w:p>
            <w:pPr>
              <w:ind w:left="180"/>
              <w:spacing w:after="0" w:line="160" w:lineRule="exact"/>
              <w:rPr>
                <w:sz w:val="20"/>
                <w:szCs w:val="20"/>
                <w:color w:val="auto"/>
              </w:rPr>
            </w:pPr>
            <w:r>
              <w:rPr>
                <w:rFonts w:ascii="Times New Roman" w:cs="Times New Roman" w:eastAsia="Times New Roman" w:hAnsi="Times New Roman"/>
                <w:sz w:val="16"/>
                <w:szCs w:val="16"/>
                <w:color w:val="auto"/>
              </w:rPr>
              <w:t>We expect our research and development expenses to increase as we continue our</w:t>
            </w:r>
          </w:p>
        </w:tc>
        <w:tc>
          <w:tcPr>
            <w:tcW w:w="0" w:type="dxa"/>
            <w:vAlign w:val="bottom"/>
          </w:tcPr>
          <w:p>
            <w:pPr>
              <w:spacing w:after="0"/>
              <w:rPr>
                <w:sz w:val="1"/>
                <w:szCs w:val="1"/>
                <w:color w:val="auto"/>
              </w:rPr>
            </w:pPr>
          </w:p>
        </w:tc>
      </w:tr>
      <w:tr>
        <w:trPr>
          <w:trHeight w:val="211"/>
        </w:trPr>
        <w:tc>
          <w:tcPr>
            <w:tcW w:w="3340" w:type="dxa"/>
            <w:vAlign w:val="bottom"/>
            <w:vMerge w:val="continue"/>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 cloud, platform, and artificial intelligence.</w:t>
            </w:r>
          </w:p>
        </w:tc>
        <w:tc>
          <w:tcPr>
            <w:tcW w:w="0" w:type="dxa"/>
            <w:vAlign w:val="bottom"/>
          </w:tcPr>
          <w:p>
            <w:pPr>
              <w:spacing w:after="0"/>
              <w:rPr>
                <w:sz w:val="1"/>
                <w:szCs w:val="1"/>
                <w:color w:val="auto"/>
              </w:rPr>
            </w:pPr>
          </w:p>
        </w:tc>
      </w:tr>
      <w:tr>
        <w:trPr>
          <w:trHeight w:val="158"/>
        </w:trPr>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920" w:type="dxa"/>
            <w:vAlign w:val="bottom"/>
            <w:vMerge w:val="restart"/>
          </w:tcPr>
          <w:p>
            <w:pPr>
              <w:jc w:val="center"/>
              <w:ind w:left="82"/>
              <w:spacing w:after="0"/>
              <w:rPr>
                <w:sz w:val="20"/>
                <w:szCs w:val="20"/>
                <w:color w:val="auto"/>
              </w:rPr>
            </w:pPr>
            <w:r>
              <w:rPr>
                <w:rFonts w:ascii="Times New Roman" w:cs="Times New Roman" w:eastAsia="Times New Roman" w:hAnsi="Times New Roman"/>
                <w:sz w:val="16"/>
                <w:szCs w:val="16"/>
                <w:color w:val="auto"/>
                <w:w w:val="97"/>
              </w:rPr>
              <w:t>Increase</w:t>
            </w:r>
          </w:p>
        </w:tc>
        <w:tc>
          <w:tcPr>
            <w:tcW w:w="5880" w:type="dxa"/>
            <w:vAlign w:val="bottom"/>
          </w:tcPr>
          <w:p>
            <w:pPr>
              <w:ind w:left="180"/>
              <w:spacing w:after="0" w:line="158" w:lineRule="exact"/>
              <w:rPr>
                <w:sz w:val="20"/>
                <w:szCs w:val="20"/>
                <w:color w:val="auto"/>
              </w:rPr>
            </w:pPr>
            <w:r>
              <w:rPr>
                <w:rFonts w:ascii="Times New Roman" w:cs="Times New Roman" w:eastAsia="Times New Roman" w:hAnsi="Times New Roman"/>
                <w:sz w:val="16"/>
                <w:szCs w:val="16"/>
                <w:color w:val="auto"/>
              </w:rPr>
              <w:t>We expect general and administrative expenses to increase but at a slower rate than</w:t>
            </w:r>
          </w:p>
        </w:tc>
        <w:tc>
          <w:tcPr>
            <w:tcW w:w="0" w:type="dxa"/>
            <w:vAlign w:val="bottom"/>
          </w:tcPr>
          <w:p>
            <w:pPr>
              <w:spacing w:after="0"/>
              <w:rPr>
                <w:sz w:val="1"/>
                <w:szCs w:val="1"/>
                <w:color w:val="auto"/>
              </w:rPr>
            </w:pPr>
          </w:p>
        </w:tc>
      </w:tr>
      <w:tr>
        <w:trPr>
          <w:trHeight w:val="209"/>
        </w:trPr>
        <w:tc>
          <w:tcPr>
            <w:tcW w:w="334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revenue, due to continued cost discipline.</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192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6"/>
                <w:szCs w:val="16"/>
                <w:color w:val="auto"/>
                <w:w w:val="96"/>
              </w:rPr>
              <w:t>Flat</w:t>
            </w: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 expect our amortization of purchased intangibles to remain unchanged.</w:t>
            </w: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880" w:type="dxa"/>
            <w:vAlign w:val="bottom"/>
          </w:tcPr>
          <w:p>
            <w:pPr>
              <w:ind w:left="180"/>
              <w:spacing w:after="0" w:line="158" w:lineRule="exact"/>
              <w:rPr>
                <w:sz w:val="20"/>
                <w:szCs w:val="20"/>
                <w:color w:val="auto"/>
              </w:rPr>
            </w:pPr>
            <w:r>
              <w:rPr>
                <w:rFonts w:ascii="Times New Roman" w:cs="Times New Roman" w:eastAsia="Times New Roman" w:hAnsi="Times New Roman"/>
                <w:sz w:val="16"/>
                <w:szCs w:val="16"/>
                <w:color w:val="auto"/>
              </w:rPr>
              <w:t>We expect restructuring, other exit costs, and facility reductions to remain flat. The plan</w:t>
            </w:r>
          </w:p>
        </w:tc>
        <w:tc>
          <w:tcPr>
            <w:tcW w:w="0" w:type="dxa"/>
            <w:vAlign w:val="bottom"/>
          </w:tcPr>
          <w:p>
            <w:pPr>
              <w:spacing w:after="0"/>
              <w:rPr>
                <w:sz w:val="1"/>
                <w:szCs w:val="1"/>
                <w:color w:val="auto"/>
              </w:rPr>
            </w:pPr>
          </w:p>
        </w:tc>
      </w:tr>
      <w:tr>
        <w:trPr>
          <w:trHeight w:val="158"/>
        </w:trPr>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Restructuring, other exit costs, and facility</w:t>
            </w:r>
          </w:p>
        </w:tc>
        <w:tc>
          <w:tcPr>
            <w:tcW w:w="1920" w:type="dxa"/>
            <w:vAlign w:val="bottom"/>
          </w:tcPr>
          <w:p>
            <w:pPr>
              <w:spacing w:after="0"/>
              <w:rPr>
                <w:sz w:val="13"/>
                <w:szCs w:val="13"/>
                <w:color w:val="auto"/>
              </w:rPr>
            </w:pPr>
          </w:p>
        </w:tc>
        <w:tc>
          <w:tcPr>
            <w:tcW w:w="5880" w:type="dxa"/>
            <w:vAlign w:val="bottom"/>
          </w:tcPr>
          <w:p>
            <w:pPr>
              <w:ind w:left="180"/>
              <w:spacing w:after="0" w:line="158" w:lineRule="exact"/>
              <w:rPr>
                <w:sz w:val="20"/>
                <w:szCs w:val="20"/>
                <w:color w:val="auto"/>
              </w:rPr>
            </w:pPr>
            <w:r>
              <w:rPr>
                <w:rFonts w:ascii="Times New Roman" w:cs="Times New Roman" w:eastAsia="Times New Roman" w:hAnsi="Times New Roman"/>
                <w:sz w:val="16"/>
                <w:szCs w:val="16"/>
                <w:color w:val="auto"/>
              </w:rPr>
              <w:t>initiated in the first quarter of fiscal 2026 was substantially complete as of January 31,</w:t>
            </w:r>
          </w:p>
        </w:tc>
        <w:tc>
          <w:tcPr>
            <w:tcW w:w="0" w:type="dxa"/>
            <w:vAlign w:val="bottom"/>
          </w:tcPr>
          <w:p>
            <w:pPr>
              <w:spacing w:after="0"/>
              <w:rPr>
                <w:sz w:val="1"/>
                <w:szCs w:val="1"/>
                <w:color w:val="auto"/>
              </w:rPr>
            </w:pPr>
          </w:p>
        </w:tc>
      </w:tr>
      <w:tr>
        <w:trPr>
          <w:trHeight w:val="158"/>
        </w:trPr>
        <w:tc>
          <w:tcPr>
            <w:tcW w:w="3340" w:type="dxa"/>
            <w:vAlign w:val="bottom"/>
            <w:vMerge w:val="continue"/>
          </w:tcPr>
          <w:p>
            <w:pPr>
              <w:spacing w:after="0"/>
              <w:rPr>
                <w:sz w:val="13"/>
                <w:szCs w:val="13"/>
                <w:color w:val="auto"/>
              </w:rPr>
            </w:pPr>
          </w:p>
        </w:tc>
        <w:tc>
          <w:tcPr>
            <w:tcW w:w="1920" w:type="dxa"/>
            <w:vAlign w:val="bottom"/>
            <w:vMerge w:val="restart"/>
          </w:tcPr>
          <w:p>
            <w:pPr>
              <w:jc w:val="center"/>
              <w:ind w:left="82"/>
              <w:spacing w:after="0"/>
              <w:rPr>
                <w:sz w:val="20"/>
                <w:szCs w:val="20"/>
                <w:color w:val="auto"/>
              </w:rPr>
            </w:pPr>
            <w:r>
              <w:rPr>
                <w:rFonts w:ascii="Times New Roman" w:cs="Times New Roman" w:eastAsia="Times New Roman" w:hAnsi="Times New Roman"/>
                <w:sz w:val="16"/>
                <w:szCs w:val="16"/>
                <w:color w:val="auto"/>
                <w:w w:val="96"/>
              </w:rPr>
              <w:t>Flat</w:t>
            </w:r>
          </w:p>
        </w:tc>
        <w:tc>
          <w:tcPr>
            <w:tcW w:w="5880" w:type="dxa"/>
            <w:vAlign w:val="bottom"/>
          </w:tcPr>
          <w:p>
            <w:pPr>
              <w:ind w:left="180"/>
              <w:spacing w:after="0" w:line="158" w:lineRule="exact"/>
              <w:rPr>
                <w:sz w:val="20"/>
                <w:szCs w:val="20"/>
                <w:color w:val="auto"/>
              </w:rPr>
            </w:pPr>
            <w:r>
              <w:rPr>
                <w:rFonts w:ascii="Times New Roman" w:cs="Times New Roman" w:eastAsia="Times New Roman" w:hAnsi="Times New Roman"/>
                <w:sz w:val="16"/>
                <w:szCs w:val="16"/>
                <w:color w:val="auto"/>
              </w:rPr>
              <w:t>2026. The majority of the costs of the plan initiated in the fourth quarter of fiscal 2026</w:t>
            </w:r>
          </w:p>
        </w:tc>
        <w:tc>
          <w:tcPr>
            <w:tcW w:w="0" w:type="dxa"/>
            <w:vAlign w:val="bottom"/>
          </w:tcPr>
          <w:p>
            <w:pPr>
              <w:spacing w:after="0"/>
              <w:rPr>
                <w:sz w:val="1"/>
                <w:szCs w:val="1"/>
                <w:color w:val="auto"/>
              </w:rPr>
            </w:pPr>
          </w:p>
        </w:tc>
      </w:tr>
      <w:tr>
        <w:trPr>
          <w:trHeight w:val="207"/>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reductions</w:t>
            </w:r>
          </w:p>
        </w:tc>
        <w:tc>
          <w:tcPr>
            <w:tcW w:w="1920" w:type="dxa"/>
            <w:vAlign w:val="bottom"/>
            <w:vMerge w:val="continue"/>
          </w:tcPr>
          <w:p>
            <w:pPr>
              <w:spacing w:after="0"/>
              <w:rPr>
                <w:sz w:val="17"/>
                <w:szCs w:val="17"/>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were incurred in fiscal 2026 and in the first quarter of fiscal 2027.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33" w:name="page34"/>
    <w:bookmarkEnd w:id="33"/>
    <w:p>
      <w:pPr>
        <w:ind w:left="240"/>
        <w:spacing w:after="0"/>
        <w:rPr>
          <w:sz w:val="20"/>
          <w:szCs w:val="20"/>
          <w:color w:val="auto"/>
        </w:rPr>
      </w:pPr>
      <w:r>
        <w:rPr>
          <w:rFonts w:ascii="Times New Roman" w:cs="Times New Roman" w:eastAsia="Times New Roman" w:hAnsi="Times New Roman"/>
          <w:sz w:val="18"/>
          <w:szCs w:val="18"/>
          <w:i w:val="1"/>
          <w:iCs w:val="1"/>
          <w:color w:val="auto"/>
        </w:rPr>
        <w:t>Interest and Other Income (Expense), Net</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interest and other income (expense),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540" w:type="dxa"/>
            <w:vAlign w:val="bottom"/>
            <w:tcBorders>
              <w:bottom w:val="single" w:sz="8" w:color="auto"/>
            </w:tcBorders>
            <w:gridSpan w:val="4"/>
            <w:shd w:val="clear" w:color="auto" w:fill="CCEEFF"/>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r>
      <w:tr>
        <w:trPr>
          <w:trHeight w:val="184"/>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investment income (loss), net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ind w:left="743"/>
              <w:spacing w:after="0"/>
              <w:rPr>
                <w:sz w:val="20"/>
                <w:szCs w:val="20"/>
                <w:color w:val="auto"/>
              </w:rPr>
            </w:pPr>
            <w:r>
              <w:rPr>
                <w:rFonts w:ascii="Times New Roman" w:cs="Times New Roman" w:eastAsia="Times New Roman" w:hAnsi="Times New Roman"/>
                <w:sz w:val="16"/>
                <w:szCs w:val="16"/>
                <w:color w:val="auto"/>
                <w:w w:val="96"/>
              </w:rPr>
              <w:t>(2)</w:t>
            </w:r>
          </w:p>
        </w:tc>
      </w:tr>
      <w:tr>
        <w:trPr>
          <w:trHeight w:val="209"/>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foreign currency</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left="763"/>
              <w:spacing w:after="0"/>
              <w:rPr>
                <w:sz w:val="20"/>
                <w:szCs w:val="20"/>
                <w:color w:val="auto"/>
              </w:rPr>
            </w:pPr>
            <w:r>
              <w:rPr>
                <w:rFonts w:ascii="Times New Roman" w:cs="Times New Roman" w:eastAsia="Times New Roman" w:hAnsi="Times New Roman"/>
                <w:sz w:val="16"/>
                <w:szCs w:val="16"/>
                <w:color w:val="auto"/>
                <w:w w:val="99"/>
              </w:rPr>
              <w:t>3</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strategic investments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743"/>
              <w:spacing w:after="0"/>
              <w:rPr>
                <w:sz w:val="20"/>
                <w:szCs w:val="20"/>
                <w:color w:val="auto"/>
              </w:rPr>
            </w:pPr>
            <w:r>
              <w:rPr>
                <w:rFonts w:ascii="Times New Roman" w:cs="Times New Roman" w:eastAsia="Times New Roman" w:hAnsi="Times New Roman"/>
                <w:sz w:val="16"/>
                <w:szCs w:val="16"/>
                <w:color w:val="auto"/>
                <w:w w:val="96"/>
              </w:rPr>
              <w:t>(1)</w:t>
            </w:r>
          </w:p>
        </w:tc>
      </w:tr>
      <w:tr>
        <w:trPr>
          <w:trHeight w:val="20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763"/>
              <w:spacing w:after="0"/>
              <w:rPr>
                <w:sz w:val="20"/>
                <w:szCs w:val="20"/>
                <w:color w:val="auto"/>
              </w:rPr>
            </w:pPr>
            <w:r>
              <w:rPr>
                <w:rFonts w:ascii="Times New Roman" w:cs="Times New Roman" w:eastAsia="Times New Roman" w:hAnsi="Times New Roman"/>
                <w:sz w:val="16"/>
                <w:szCs w:val="16"/>
                <w:color w:val="auto"/>
                <w:w w:val="99"/>
              </w:rPr>
              <w:t>1</w:t>
            </w:r>
          </w:p>
        </w:tc>
      </w:tr>
      <w:tr>
        <w:trPr>
          <w:trHeight w:val="22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center"/>
              <w:ind w:left="763"/>
              <w:spacing w:after="0"/>
              <w:rPr>
                <w:sz w:val="20"/>
                <w:szCs w:val="20"/>
                <w:color w:val="auto"/>
              </w:rPr>
            </w:pPr>
            <w:r>
              <w:rPr>
                <w:rFonts w:ascii="Times New Roman" w:cs="Times New Roman" w:eastAsia="Times New Roman" w:hAnsi="Times New Roman"/>
                <w:sz w:val="16"/>
                <w:szCs w:val="16"/>
                <w:color w:val="auto"/>
                <w:w w:val="99"/>
              </w:rPr>
              <w:t>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Interest and other income, net, increased by $57 million during the three months ended April 30, 2026, as compared to the same period in the prior fiscal year. The increase in the three months ended April 30, 2026, as compared to the same period in the prior fiscal year was primarily due to an increase in gains on strategic investments.</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Interest expense and investment income fluctuates based on average cash, marketable securities, debt balances, average maturities, and interest rates.</w:t>
      </w:r>
    </w:p>
    <w:p>
      <w:pPr>
        <w:spacing w:after="0" w:line="24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9" w:lineRule="exact"/>
        <w:rPr>
          <w:sz w:val="20"/>
          <w:szCs w:val="20"/>
          <w:color w:val="auto"/>
        </w:rPr>
      </w:pPr>
    </w:p>
    <w:p>
      <w:pPr>
        <w:ind w:right="520" w:firstLine="434"/>
        <w:spacing w:after="0" w:line="253" w:lineRule="auto"/>
        <w:rPr>
          <w:sz w:val="20"/>
          <w:szCs w:val="20"/>
          <w:color w:val="auto"/>
        </w:rPr>
      </w:pPr>
      <w:r>
        <w:rPr>
          <w:rFonts w:ascii="Times New Roman" w:cs="Times New Roman" w:eastAsia="Times New Roman" w:hAnsi="Times New Roman"/>
          <w:sz w:val="18"/>
          <w:szCs w:val="18"/>
          <w:color w:val="auto"/>
        </w:rPr>
        <w:t>We had income tax expense of $108 million, relative to pre-tax income of $599 million for the three months ended April 30, 2026, and income tax expense of $82 million, relative to pre-tax income of $234 million for the three months ended April 30, 2025.</w:t>
      </w:r>
    </w:p>
    <w:p>
      <w:pPr>
        <w:spacing w:after="0" w:line="195" w:lineRule="exact"/>
        <w:rPr>
          <w:sz w:val="20"/>
          <w:szCs w:val="20"/>
          <w:color w:val="auto"/>
        </w:rPr>
      </w:pPr>
    </w:p>
    <w:p>
      <w:pPr>
        <w:ind w:right="160" w:firstLine="434"/>
        <w:spacing w:after="0" w:line="286" w:lineRule="auto"/>
        <w:rPr>
          <w:sz w:val="20"/>
          <w:szCs w:val="20"/>
          <w:color w:val="auto"/>
        </w:rPr>
      </w:pPr>
      <w:r>
        <w:rPr>
          <w:rFonts w:ascii="Times New Roman" w:cs="Times New Roman" w:eastAsia="Times New Roman" w:hAnsi="Times New Roman"/>
          <w:sz w:val="16"/>
          <w:szCs w:val="16"/>
          <w:color w:val="auto"/>
        </w:rPr>
        <w:t>The income tax expense for the three months ended April 30, 2026, increased compared to the corresponding period in fiscal year 2026. The increase is driven by higher pre-tax income for the three months ended as of April 30, 2026. Also, in the preceding period, the company made an election in the U.S. regarding the timing of taxation of revenue, which reduced the taxable benefit arising from FDDEI and increased tax expense associated with NCTI.</w:t>
      </w:r>
    </w:p>
    <w:p>
      <w:pPr>
        <w:spacing w:after="0" w:line="184" w:lineRule="exact"/>
        <w:rPr>
          <w:sz w:val="20"/>
          <w:szCs w:val="20"/>
          <w:color w:val="auto"/>
        </w:rPr>
      </w:pPr>
    </w:p>
    <w:p>
      <w:pPr>
        <w:ind w:right="200" w:firstLine="434"/>
        <w:spacing w:after="0" w:line="250" w:lineRule="auto"/>
        <w:rPr>
          <w:sz w:val="20"/>
          <w:szCs w:val="20"/>
          <w:color w:val="auto"/>
        </w:rPr>
      </w:pPr>
      <w:r>
        <w:rPr>
          <w:rFonts w:ascii="Times New Roman" w:cs="Times New Roman" w:eastAsia="Times New Roman" w:hAnsi="Times New Roman"/>
          <w:sz w:val="18"/>
          <w:szCs w:val="18"/>
          <w:color w:val="auto"/>
        </w:rPr>
        <w:t>A valuation allowance is recorded to reduce deferred tax assets when management cannot conclude that it is more likely than not that the deferred tax asset will be realized. The valuation allowance is determined by assessing both positive and negative evidence to determine whether it is more likely than not that deferred tax assets are realizable; such assessment is required on a jurisdiction-by-jurisdiction basis. Significant judgment is required in determining whether a valuation allowance should be recorded against deferred tax assets. In assessing the need for a valuation allowance, we consider all available evidence including past operating results and estimates of future taxable income.</w:t>
      </w:r>
    </w:p>
    <w:p>
      <w:pPr>
        <w:spacing w:after="0" w:line="198" w:lineRule="exact"/>
        <w:rPr>
          <w:sz w:val="20"/>
          <w:szCs w:val="20"/>
          <w:color w:val="auto"/>
        </w:rPr>
      </w:pPr>
    </w:p>
    <w:p>
      <w:pPr>
        <w:ind w:right="20" w:firstLine="434"/>
        <w:spacing w:after="0" w:line="237" w:lineRule="auto"/>
        <w:rPr>
          <w:sz w:val="20"/>
          <w:szCs w:val="20"/>
          <w:color w:val="auto"/>
        </w:rPr>
      </w:pPr>
      <w:r>
        <w:rPr>
          <w:rFonts w:ascii="Times New Roman" w:cs="Times New Roman" w:eastAsia="Times New Roman" w:hAnsi="Times New Roman"/>
          <w:sz w:val="18"/>
          <w:szCs w:val="18"/>
          <w:color w:val="auto"/>
        </w:rPr>
        <w:t>We continue to retain a valuation allowance against New Zealand, California, Massachusetts, and Michigan deferred tax assets and deferred tax assets on capital losses or items that will convert to a capital loss upon reversal in Australia and the U.S., as we do not have sufficient income of the appropriate character to benefit from these deferred tax assets. We will continue to evaluate all available positive and negative evidence, including future taxable income and tax planning strategies, in assessing the need for valuation allowances.</w:t>
      </w:r>
    </w:p>
    <w:p>
      <w:pPr>
        <w:spacing w:after="0" w:line="209" w:lineRule="exact"/>
        <w:rPr>
          <w:sz w:val="20"/>
          <w:szCs w:val="20"/>
          <w:color w:val="auto"/>
        </w:rPr>
      </w:pPr>
    </w:p>
    <w:p>
      <w:pPr>
        <w:ind w:right="120" w:firstLine="395"/>
        <w:spacing w:after="0" w:line="234" w:lineRule="auto"/>
        <w:rPr>
          <w:sz w:val="20"/>
          <w:szCs w:val="20"/>
          <w:color w:val="auto"/>
        </w:rPr>
      </w:pPr>
      <w:r>
        <w:rPr>
          <w:rFonts w:ascii="Times New Roman" w:cs="Times New Roman" w:eastAsia="Times New Roman" w:hAnsi="Times New Roman"/>
          <w:sz w:val="18"/>
          <w:szCs w:val="18"/>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Our future effective tax rates may be adversely affected to the extent earnings are lower than anticipated in countries where we have lower statutory tax rates.</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filed a request to the Internal Revenue Service (“IRS”) in the U.S. in fiscal 2026 for non-automatic change in accounting method to no longer capitalize certain research and development expenditures in its controlled foreign corporations, in line with recent IRS guidance. The tax effects of the proposed accounting method change have not been recognized in the accompanying consolidated financial statements as of April 30, 2026 as IRS approval is required prior to recognition. The Company will record the impact of the method change in the period that IRS approval is obtained. We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anticipate this method change will decrease our provision for income taxes due to reduction of tax expense associated with NCTI.</w:t>
      </w:r>
    </w:p>
    <w:p>
      <w:pPr>
        <w:spacing w:after="0" w:line="24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Signed into law on July 4, 2025, the One Big Beautiful Bill Act (“OBBBA”) includes significant provisions, such as the permanent extension of certain expiring provisions of the Tax Cuts and Jobs Act, modifications to the international tax framework and the restoration of favorable tax treatment for certain business provisions. The OBBBA has multiple effective dates, with certain provisions effective in fiscal 2027. We have reflected the tax effects of OBBBA in our provision for income taxes as of April 30, 2026.</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212"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At April 30, 2026, our principal sources of liquidity were cash, cash equivalents, and marketable securities totaling $3.31 billion, net accounts receivable of $579 million, and our revolving loan facility.</w:t>
      </w:r>
    </w:p>
    <w:p>
      <w:pPr>
        <w:spacing w:after="0" w:line="183" w:lineRule="exact"/>
        <w:rPr>
          <w:sz w:val="20"/>
          <w:szCs w:val="20"/>
          <w:color w:val="auto"/>
        </w:rPr>
      </w:pPr>
    </w:p>
    <w:p>
      <w:pPr>
        <w:ind w:right="20" w:firstLine="395"/>
        <w:spacing w:after="0" w:line="263" w:lineRule="auto"/>
        <w:rPr>
          <w:sz w:val="20"/>
          <w:szCs w:val="20"/>
          <w:color w:val="auto"/>
        </w:rPr>
      </w:pPr>
      <w:r>
        <w:rPr>
          <w:rFonts w:ascii="Times New Roman" w:cs="Times New Roman" w:eastAsia="Times New Roman" w:hAnsi="Times New Roman"/>
          <w:sz w:val="16"/>
          <w:szCs w:val="16"/>
          <w:color w:val="auto"/>
        </w:rPr>
        <w:t>In May 2025, the Company terminated its previous credit agreement and entered into a new Credit Agreement (the “2025 Credit Agreement”) by and among the Company, the lenders party thereto and Citibank, N.A. (“Citibank”), as administrative agent, which provides for an unsecured revolving loan facility in the aggregate principal amount of $1.5 billion, with an option to increase the principal amount to $2 billion subject to receipt of additional commitments and other customary conditions. The proceeds from the 2025 Credit Agreement are available for working capital and general corporate purposes. At April 30, 2026, Autodesk had no outstanding borrowings under the 2025 Credit Agreement. See Part I, Item 1, “Financial Statements,” Note 11, “Borrowing Arrangements,” in the Notes to Condensed Consolidated Financial Statements for further discussion on our covenant requirements and additional information with respect to the 2025 Credit Agreement. If we are unable to remain in compliance with the covenants under the 2025 Credit Agreement, we will not be able to draw on our revolving credit facility. Additionally, as of May 29, 2026, we have no amounts outstanding under the 2025 Credit Agreement.</w:t>
      </w:r>
    </w:p>
    <w:p>
      <w:pPr>
        <w:spacing w:after="0" w:line="190" w:lineRule="exact"/>
        <w:rPr>
          <w:sz w:val="20"/>
          <w:szCs w:val="20"/>
          <w:color w:val="auto"/>
        </w:rPr>
      </w:pPr>
    </w:p>
    <w:p>
      <w:pPr>
        <w:ind w:right="640" w:firstLine="395"/>
        <w:spacing w:after="0" w:line="253" w:lineRule="auto"/>
        <w:rPr>
          <w:sz w:val="20"/>
          <w:szCs w:val="20"/>
          <w:color w:val="auto"/>
        </w:rPr>
      </w:pPr>
      <w:r>
        <w:rPr>
          <w:rFonts w:ascii="Times New Roman" w:cs="Times New Roman" w:eastAsia="Times New Roman" w:hAnsi="Times New Roman"/>
          <w:sz w:val="18"/>
          <w:szCs w:val="18"/>
          <w:color w:val="auto"/>
        </w:rPr>
        <w:t>As of April 30, 2026, we have $2.50 billion aggregate principal amount of notes outstanding. See Part I, Item 1, “Financial Statements,” Note 11, “Borrowing Arrangements,” in the Notes to Condensed Consolidated Financial Statements for further discussion.</w:t>
      </w:r>
    </w:p>
    <w:p>
      <w:pPr>
        <w:spacing w:after="0" w:line="195" w:lineRule="exact"/>
        <w:rPr>
          <w:sz w:val="20"/>
          <w:szCs w:val="20"/>
          <w:color w:val="auto"/>
        </w:rPr>
      </w:pPr>
    </w:p>
    <w:p>
      <w:pPr>
        <w:ind w:firstLine="395"/>
        <w:spacing w:after="0" w:line="237" w:lineRule="auto"/>
        <w:rPr>
          <w:sz w:val="20"/>
          <w:szCs w:val="20"/>
          <w:color w:val="auto"/>
        </w:rPr>
      </w:pPr>
      <w:r>
        <w:rPr>
          <w:rFonts w:ascii="Times New Roman" w:cs="Times New Roman" w:eastAsia="Times New Roman" w:hAnsi="Times New Roman"/>
          <w:sz w:val="18"/>
          <w:szCs w:val="18"/>
          <w:color w:val="auto"/>
        </w:rPr>
        <w:t>On May 28, 2026, we entered into a definitive agreement to acquire MaintainX, Inc. for approximately $3.6 billion in cash. The proposed acquisition is subject to customary closing conditions, including regulatory approvals, and is expected to close later in fiscal 2027. We intend to use debt and available cash to fund the proposed acquisition. See Part I, Item 1, Note 19, “Subsequent Events,” in the Notes to Condensed Consolidated Financial Statements for further discussion.</w:t>
      </w:r>
    </w:p>
    <w:p>
      <w:pPr>
        <w:spacing w:after="0" w:line="222"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$1.5 billion revolving credit facility.</w:t>
      </w:r>
    </w:p>
    <w:p>
      <w:pPr>
        <w:spacing w:after="0" w:line="206"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Our cash and cash equivalents and marketable securities balances are concentrated in a few locations around the world, with substantial amounts held outside of the United States. There are several factors that can impact our ability to utilize foreign cash balances, such as foreign exchange restrictions, foreign regulatory restrictions, or adverse tax costs.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212"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Cash from operations could also be affected by various risks and uncertainties, including, but not limited to, the risks detailed in Part II, Item 1A titled “Risk Factors.” Based on our current business plan and revenue prospects, we believe that our existing cash and cash equivalents, our anticipated cash flows from operations, and our available revolving credit facility will be sufficient to meet our working capital and operating resource expenditure requirements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5" w:name="page36"/>
    <w:bookmarkEnd w:id="35"/>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4"/>
        </w:trPr>
        <w:tc>
          <w:tcPr>
            <w:tcW w:w="8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right="140" w:firstLine="395"/>
        <w:spacing w:after="0" w:line="248" w:lineRule="auto"/>
        <w:rPr>
          <w:sz w:val="20"/>
          <w:szCs w:val="20"/>
          <w:color w:val="auto"/>
        </w:rPr>
      </w:pPr>
      <w:r>
        <w:rPr>
          <w:rFonts w:ascii="Times New Roman" w:cs="Times New Roman" w:eastAsia="Times New Roman" w:hAnsi="Times New Roman"/>
          <w:sz w:val="18"/>
          <w:szCs w:val="18"/>
          <w:color w:val="auto"/>
        </w:rPr>
        <w:t>Net cash provided by operating activities of $893 million for the three months ended April 30, 2026, primarily consisted of $491 million of our net income adjusted for $369 million non-cash items such as stock-based compensation expense, restructuring, other exit costs, and facility reductions, amortization of costs to obtain a contract with a customer, depreciation, amortization, and accretion expense, and deferred income tax and by changes in operating assets and liabilities. The positive change in cash provided by working capital is primarily due to the change in accounts receivable of $859 million due to the seasonality of our billings in the fourth fiscal quarter and timing of cash collections from customers partially offset by negative changes in accounts payable and other liabilities of $488 million due to the timing of payments related to employee compensation and related costs and deferred revenue of $238 million due to the timing of our billing installments and seasonality of billings in the fourth fiscal quarter.</w:t>
      </w:r>
    </w:p>
    <w:p>
      <w:pPr>
        <w:spacing w:after="0" w:line="213"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of $564 million for the three months ended April 30, 2025, primarily consisted of $152 million of our net income adjusted for $489 million non-cash items such as stock-based compensation expense, restructuring, other exit costs, and facility reductions, amortization of costs to obtain a contract with a customer, depreciation, amortization, and accretion expense, and deferred income tax. The decrease in working capital is primarily due to a negative change in prepaid expenses and other assets of $304 million, and a decrease in deferred revenue of $204 million due to the timing of our billing installments and seasonality of billings in the fourth fiscal quarter, partially offset by the change in accounts receivable of $515 million due to the seasonality of our billings in the fourth fiscal quarter and timing of cash collections from customers.</w:t>
      </w:r>
    </w:p>
    <w:p>
      <w:pPr>
        <w:spacing w:after="0" w:line="212"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was $29 million for the three months ended April 30, 2026, primarily due to sales and maturities of marketable securities partially offset by purchases of marketable securities. Net cash provided by investing activities was $58 million for the three months ended April 30, 2025, primarily due to sales and maturities of marketable securities partially offset by purchases of marketable securities.</w:t>
      </w:r>
    </w:p>
    <w:p>
      <w:pPr>
        <w:spacing w:after="0" w:line="206" w:lineRule="exact"/>
        <w:rPr>
          <w:sz w:val="20"/>
          <w:szCs w:val="20"/>
          <w:color w:val="auto"/>
        </w:rPr>
      </w:pPr>
    </w:p>
    <w:p>
      <w:pPr>
        <w:jc w:val="both"/>
        <w:ind w:right="100" w:firstLine="395"/>
        <w:spacing w:after="0" w:line="268" w:lineRule="auto"/>
        <w:rPr>
          <w:sz w:val="20"/>
          <w:szCs w:val="20"/>
          <w:color w:val="auto"/>
        </w:rPr>
      </w:pPr>
      <w:r>
        <w:rPr>
          <w:rFonts w:ascii="Times New Roman" w:cs="Times New Roman" w:eastAsia="Times New Roman" w:hAnsi="Times New Roman"/>
          <w:sz w:val="18"/>
          <w:szCs w:val="18"/>
          <w:color w:val="auto"/>
        </w:rPr>
        <w:t>Net cash used in financing activities was $498 million for the three months ended April 30, 2026, primarily due to the repurchases of common stock. Net cash used in financing activities was $415 million for the three months ended April 30, 2025, primarily due to repurchases of common stock.</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2" w:lineRule="exact"/>
        <w:rPr>
          <w:sz w:val="20"/>
          <w:szCs w:val="20"/>
          <w:color w:val="auto"/>
        </w:rPr>
      </w:pPr>
    </w:p>
    <w:p>
      <w:pPr>
        <w:ind w:right="100" w:firstLine="395"/>
        <w:spacing w:after="0" w:line="248" w:lineRule="auto"/>
        <w:rPr>
          <w:sz w:val="20"/>
          <w:szCs w:val="20"/>
          <w:color w:val="auto"/>
        </w:rPr>
      </w:pPr>
      <w:r>
        <w:rPr>
          <w:rFonts w:ascii="Times New Roman" w:cs="Times New Roman" w:eastAsia="Times New Roman" w:hAnsi="Times New Roman"/>
          <w:sz w:val="18"/>
          <w:szCs w:val="18"/>
          <w:color w:val="auto"/>
        </w:rPr>
        <w:t>Autodesk's stock repurchase programs provide Autodesk with the ability to offset the dilution from the issuance of stock under our employee stock plans and reduce shares outstanding over time and has the effect of returning excess cash generated from our business to stockholders. Under the share repurchase programs, Autodesk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or dollar amount available in the authorized pool, cash requirements for acquisitions, cash requirements to retire outstanding debt, economic and market conditions, stock price, and legal and regulatory requirements.</w:t>
      </w:r>
    </w:p>
    <w:p>
      <w:pPr>
        <w:spacing w:after="0" w:line="213" w:lineRule="exact"/>
        <w:rPr>
          <w:sz w:val="20"/>
          <w:szCs w:val="20"/>
          <w:color w:val="auto"/>
        </w:rPr>
      </w:pPr>
    </w:p>
    <w:p>
      <w:pPr>
        <w:ind w:right="34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provides information about the repurchase of common stock in open-market transactions during the three months ended April 30, 2026:</w:t>
      </w:r>
    </w:p>
    <w:tbl>
      <w:tblPr>
        <w:tblLayout w:type="fixed"/>
        <w:tblInd w:w="0" w:type="dxa"/>
        <w:tblCellMar>
          <w:top w:w="0" w:type="dxa"/>
          <w:left w:w="0" w:type="dxa"/>
          <w:bottom w:w="0" w:type="dxa"/>
          <w:right w:w="0" w:type="dxa"/>
        </w:tblCellMar>
      </w:tblPr>
      <w:tr>
        <w:trPr>
          <w:trHeight w:val="145"/>
        </w:trPr>
        <w:tc>
          <w:tcPr>
            <w:tcW w:w="406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2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00" w:type="dxa"/>
            <w:vAlign w:val="bottom"/>
          </w:tcPr>
          <w:p>
            <w:pPr>
              <w:spacing w:after="0"/>
              <w:rPr>
                <w:sz w:val="12"/>
                <w:szCs w:val="12"/>
                <w:color w:val="auto"/>
              </w:rPr>
            </w:pPr>
          </w:p>
        </w:tc>
        <w:tc>
          <w:tcPr>
            <w:tcW w:w="2340" w:type="dxa"/>
            <w:vAlign w:val="bottom"/>
            <w:gridSpan w:val="2"/>
          </w:tcPr>
          <w:p>
            <w:pPr>
              <w:jc w:val="right"/>
              <w:ind w:right="3"/>
              <w:spacing w:after="0" w:line="145" w:lineRule="exact"/>
              <w:rPr>
                <w:sz w:val="20"/>
                <w:szCs w:val="20"/>
                <w:color w:val="auto"/>
              </w:rPr>
            </w:pPr>
            <w:r>
              <w:rPr>
                <w:rFonts w:ascii="Times New Roman" w:cs="Times New Roman" w:eastAsia="Times New Roman" w:hAnsi="Times New Roman"/>
                <w:sz w:val="14"/>
                <w:szCs w:val="14"/>
                <w:b w:val="1"/>
                <w:bCs w:val="1"/>
                <w:color w:val="auto"/>
              </w:rPr>
              <w:t>Approximate Dollar Value of Shares</w:t>
            </w:r>
          </w:p>
        </w:tc>
        <w:tc>
          <w:tcPr>
            <w:tcW w:w="0" w:type="dxa"/>
            <w:vAlign w:val="bottom"/>
          </w:tcPr>
          <w:p>
            <w:pPr>
              <w:spacing w:after="0"/>
              <w:rPr>
                <w:sz w:val="1"/>
                <w:szCs w:val="1"/>
                <w:color w:val="auto"/>
              </w:rPr>
            </w:pPr>
          </w:p>
        </w:tc>
      </w:tr>
      <w:tr>
        <w:trPr>
          <w:trHeight w:val="14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13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1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234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that May Yet Be Purchased Under the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Announced Plans or Programs (1)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w w:val="99"/>
              </w:rPr>
              <w:t xml:space="preserve">Plans or Programs </w:t>
            </w:r>
            <w:r>
              <w:rPr>
                <w:rFonts w:ascii="Times New Roman" w:cs="Times New Roman" w:eastAsia="Times New Roman" w:hAnsi="Times New Roman"/>
                <w:sz w:val="14"/>
                <w:szCs w:val="14"/>
                <w:b w:val="1"/>
                <w:bCs w:val="1"/>
                <w:i w:val="1"/>
                <w:iCs w:val="1"/>
                <w:color w:val="auto"/>
                <w:w w:val="99"/>
              </w:rPr>
              <w:t>(in millions)</w:t>
            </w:r>
            <w:r>
              <w:rPr>
                <w:rFonts w:ascii="Times New Roman" w:cs="Times New Roman" w:eastAsia="Times New Roman" w:hAnsi="Times New Roman"/>
                <w:sz w:val="14"/>
                <w:szCs w:val="14"/>
                <w:b w:val="1"/>
                <w:bCs w:val="1"/>
                <w:color w:val="auto"/>
                <w:w w:val="99"/>
              </w:rPr>
              <w:t xml:space="preserve"> (2)</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1 - February 28, 2026</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233.54</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1 - March 31, 2026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248.83</w:t>
            </w:r>
          </w:p>
        </w:tc>
        <w:tc>
          <w:tcPr>
            <w:tcW w:w="100" w:type="dxa"/>
            <w:vAlign w:val="bottom"/>
          </w:tcPr>
          <w:p>
            <w:pPr>
              <w:spacing w:after="0"/>
              <w:rPr>
                <w:sz w:val="18"/>
                <w:szCs w:val="18"/>
                <w:color w:val="auto"/>
              </w:rPr>
            </w:pPr>
          </w:p>
        </w:tc>
        <w:tc>
          <w:tcPr>
            <w:tcW w:w="21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763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7,102</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 April 30, 2026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234.02</w:t>
            </w:r>
          </w:p>
        </w:tc>
        <w:tc>
          <w:tcPr>
            <w:tcW w:w="100" w:type="dxa"/>
            <w:vAlign w:val="bottom"/>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279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7,037</w:t>
            </w:r>
          </w:p>
        </w:tc>
        <w:tc>
          <w:tcPr>
            <w:tcW w:w="0" w:type="dxa"/>
            <w:vAlign w:val="bottom"/>
          </w:tcPr>
          <w:p>
            <w:pPr>
              <w:spacing w:after="0"/>
              <w:rPr>
                <w:sz w:val="1"/>
                <w:szCs w:val="1"/>
                <w:color w:val="auto"/>
              </w:rPr>
            </w:pP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239.87</w:t>
            </w:r>
          </w:p>
        </w:tc>
        <w:tc>
          <w:tcPr>
            <w:tcW w:w="100" w:type="dxa"/>
            <w:vAlign w:val="bottom"/>
          </w:tcPr>
          <w:p>
            <w:pPr>
              <w:spacing w:after="0"/>
              <w:rPr>
                <w:sz w:val="17"/>
                <w:szCs w:val="17"/>
                <w:color w:val="auto"/>
              </w:rPr>
            </w:pPr>
          </w:p>
        </w:tc>
        <w:tc>
          <w:tcPr>
            <w:tcW w:w="21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1" w:lineRule="exact"/>
        <w:rPr>
          <w:sz w:val="20"/>
          <w:szCs w:val="20"/>
          <w:color w:val="auto"/>
        </w:rPr>
      </w:pPr>
    </w:p>
    <w:p>
      <w:pPr>
        <w:ind w:left="400" w:hanging="395"/>
        <w:spacing w:after="0"/>
        <w:tabs>
          <w:tab w:leader="none" w:pos="4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shares purchased in open-market transactions under the stock repurchase plans approved by the Board of Directors.</w:t>
      </w:r>
    </w:p>
    <w:p>
      <w:pPr>
        <w:spacing w:after="0" w:line="4" w:lineRule="exact"/>
        <w:rPr>
          <w:rFonts w:ascii="Times New Roman" w:cs="Times New Roman" w:eastAsia="Times New Roman" w:hAnsi="Times New Roman"/>
          <w:sz w:val="16"/>
          <w:szCs w:val="16"/>
          <w:color w:val="auto"/>
        </w:rPr>
      </w:pPr>
    </w:p>
    <w:p>
      <w:pPr>
        <w:jc w:val="both"/>
        <w:ind w:left="400" w:right="400" w:hanging="395"/>
        <w:spacing w:after="0" w:line="248" w:lineRule="auto"/>
        <w:tabs>
          <w:tab w:leader="none" w:pos="4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plans publicly announced and approved by the Board of Directors in November 2022 and November 2024 that each authorized the repurchase of $5 billion. At April 30, 2026, $2.04 billion and $5 billion remained available for repurchase under the November 2022 and November 2024 repurchase programs, respectively. The plans do not have a fixed expiration date. See Part I, Item 1, “Financial Statements,” Note 15, “Stockholders' Equity,” in the Notes to the Condensed Consolidated Financial Statements for further discussion.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40"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Billings: </w:t>
      </w:r>
      <w:r>
        <w:rPr>
          <w:rFonts w:ascii="Times New Roman" w:cs="Times New Roman" w:eastAsia="Times New Roman" w:hAnsi="Times New Roman"/>
          <w:sz w:val="18"/>
          <w:szCs w:val="18"/>
          <w:color w:val="auto"/>
        </w:rPr>
        <w:t>Total revenue plus the net change in deferred revenue, as presented in the consolidated statement of cash flows, for the reporting period less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contract assets for the reporting period.</w:t>
      </w:r>
    </w:p>
    <w:p>
      <w:pPr>
        <w:spacing w:after="0" w:line="190"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Cloud Service Offerings: </w:t>
      </w:r>
      <w:r>
        <w:rPr>
          <w:rFonts w:ascii="Times New Roman" w:cs="Times New Roman" w:eastAsia="Times New Roman" w:hAnsi="Times New Roman"/>
          <w:sz w:val="18"/>
          <w:szCs w:val="18"/>
          <w:color w:val="auto"/>
        </w:rPr>
        <w:t>Represents individual term-based offerings deployed through web browser technologies or in a hybrid software and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configuration. Cloud service offerings that are bundled with other product offerings are not captured as a separate cloud service offering.</w:t>
      </w:r>
    </w:p>
    <w:p>
      <w:pPr>
        <w:spacing w:after="0" w:line="19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Constant Currency (CC) Growth Rates: </w:t>
      </w:r>
      <w:r>
        <w:rPr>
          <w:rFonts w:ascii="Times New Roman" w:cs="Times New Roman" w:eastAsia="Times New Roman" w:hAnsi="Times New Roman"/>
          <w:sz w:val="18"/>
          <w:szCs w:val="18"/>
          <w:color w:val="auto"/>
        </w:rPr>
        <w:t>We attempt to represent the changes in the underlying business operations by eliminating fluctuations caused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206"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Design Business: </w:t>
      </w:r>
      <w:r>
        <w:rPr>
          <w:rFonts w:ascii="Times New Roman" w:cs="Times New Roman" w:eastAsia="Times New Roman" w:hAnsi="Times New Roman"/>
          <w:sz w:val="18"/>
          <w:szCs w:val="18"/>
          <w:color w:val="auto"/>
        </w:rPr>
        <w:t>Represents the combination of product subscriptions and all EBAs. Main products include, but are not limited to, AutoCAD, AutoCAD 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Collections, Revit, Inventor, Maya and 3ds Max. Certain products, such as our computer aided manufacturing solutions, incorporate both Design and Make functionality and are classified as Design.</w:t>
      </w:r>
    </w:p>
    <w:p>
      <w:pPr>
        <w:spacing w:after="0" w:line="20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Enterprise Business Agreements (EBAs): </w:t>
      </w:r>
      <w:r>
        <w:rPr>
          <w:rFonts w:ascii="Times New Roman" w:cs="Times New Roman" w:eastAsia="Times New Roman" w:hAnsi="Times New Roman"/>
          <w:sz w:val="18"/>
          <w:szCs w:val="18"/>
          <w:color w:val="auto"/>
        </w:rPr>
        <w:t>Represents programs providing enterprise customers with token-based access to a broad pool of Autodesk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defined contract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Flex: </w:t>
      </w:r>
      <w:r>
        <w:rPr>
          <w:rFonts w:ascii="Times New Roman" w:cs="Times New Roman" w:eastAsia="Times New Roman" w:hAnsi="Times New Roman"/>
          <w:sz w:val="18"/>
          <w:szCs w:val="18"/>
          <w:color w:val="auto"/>
        </w:rPr>
        <w:t>A pay-as-you-go consumption option to pre-purchase tokens to access any product available with Flex for a daily rate.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Cash flow from operating activities minus capital expenditures.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7" w:name="page38"/>
    <w:bookmarkEnd w:id="37"/>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Industry Collections: </w:t>
      </w:r>
      <w:r>
        <w:rPr>
          <w:rFonts w:ascii="Times New Roman" w:cs="Times New Roman" w:eastAsia="Times New Roman" w:hAnsi="Times New Roman"/>
          <w:sz w:val="18"/>
          <w:szCs w:val="18"/>
          <w:color w:val="auto"/>
        </w:rPr>
        <w:t>Autodesk Industry Collections are a combination of products and services that target a specific user objective and support a set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workflows for that objective. Our Industry Collections consist of: Autodesk Architecture, Engineering, and Construction Collection, Autodesk Product Design and Manufacturing Collection, and Autodesk Media and Entertainment Collection.</w:t>
      </w:r>
    </w:p>
    <w:p>
      <w:pPr>
        <w:spacing w:after="0" w:line="20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Make Business: </w:t>
      </w:r>
      <w:r>
        <w:rPr>
          <w:rFonts w:ascii="Times New Roman" w:cs="Times New Roman" w:eastAsia="Times New Roman" w:hAnsi="Times New Roman"/>
          <w:sz w:val="18"/>
          <w:szCs w:val="18"/>
          <w:color w:val="auto"/>
        </w:rPr>
        <w:t>Represents certain cloud-based product subscriptions. Main products include, but are not limited to, Autodesk Build, Forma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Collaboration, BuildingConnected, Fusion, and Flow Production Tracking. Certain products, such as Fusion, incorporate both Design and Make functionality and are classified as Make.</w:t>
      </w:r>
    </w:p>
    <w:p>
      <w:pPr>
        <w:spacing w:after="0" w:line="190"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Product Family: </w:t>
      </w:r>
      <w:r>
        <w:rPr>
          <w:rFonts w:ascii="Times New Roman" w:cs="Times New Roman" w:eastAsia="Times New Roman" w:hAnsi="Times New Roman"/>
          <w:sz w:val="18"/>
          <w:szCs w:val="18"/>
          <w:color w:val="auto"/>
        </w:rPr>
        <w:t>A grouping of related products or solutions that address specific industry or market needs, customer types, or use cases, or share 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technology or deployment models. Where a customer has a right to use different products over time, Autodesk may classify amounts to a single product family based on the customer’s primary industry or use case, or to product family other, or allocate the amounts across product families using estimates.</w:t>
      </w:r>
    </w:p>
    <w:p>
      <w:pPr>
        <w:spacing w:after="0" w:line="21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Solution Provider: </w:t>
      </w:r>
      <w:r>
        <w:rPr>
          <w:rFonts w:ascii="Times New Roman" w:cs="Times New Roman" w:eastAsia="Times New Roman" w:hAnsi="Times New Roman"/>
          <w:sz w:val="18"/>
          <w:szCs w:val="18"/>
          <w:color w:val="auto"/>
        </w:rPr>
        <w:t>Solution Providers are our channel partners when we transact directly with our customers. Solution Providers may act as resellers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or Autodesk products or solutions.</w:t>
      </w:r>
    </w:p>
    <w:p>
      <w:pPr>
        <w:spacing w:after="0" w:line="200" w:lineRule="exact"/>
        <w:rPr>
          <w:sz w:val="20"/>
          <w:szCs w:val="20"/>
          <w:color w:val="auto"/>
        </w:rPr>
      </w:pPr>
    </w:p>
    <w:p>
      <w:pPr>
        <w:spacing w:after="0" w:line="22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42" w:lineRule="exact"/>
        <w:rPr>
          <w:sz w:val="20"/>
          <w:szCs w:val="20"/>
          <w:color w:val="auto"/>
        </w:rPr>
      </w:pPr>
    </w:p>
    <w:p>
      <w:pPr>
        <w:ind w:right="20" w:firstLine="434"/>
        <w:spacing w:after="0" w:line="248"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2026, and January 31, 2026, we had open cash flow and balance sheet hedge contracts with future settlements generally within one to 12 months. Contracts were primarily denominated in Australian dollars, British pounds, Euros, Japanese yen, and Singapore dollars. We do not enter into foreign exchange derivative instruments for trading or speculative purposes.</w:t>
      </w:r>
    </w:p>
    <w:p>
      <w:pPr>
        <w:spacing w:after="0" w:line="213" w:lineRule="exact"/>
        <w:rPr>
          <w:sz w:val="20"/>
          <w:szCs w:val="20"/>
          <w:color w:val="auto"/>
        </w:rPr>
      </w:pPr>
    </w:p>
    <w:p>
      <w:pPr>
        <w:ind w:right="100" w:firstLine="434"/>
        <w:spacing w:after="0" w:line="263" w:lineRule="auto"/>
        <w:rPr>
          <w:sz w:val="20"/>
          <w:szCs w:val="20"/>
          <w:color w:val="auto"/>
        </w:rPr>
      </w:pPr>
      <w:r>
        <w:rPr>
          <w:rFonts w:ascii="Times New Roman" w:cs="Times New Roman" w:eastAsia="Times New Roman" w:hAnsi="Times New Roman"/>
          <w:sz w:val="18"/>
          <w:szCs w:val="18"/>
          <w:color w:val="auto"/>
        </w:rPr>
        <w:t>Our option and foreign exchange forward contracts outstanding as of the respective period-ends are summarized in U.S. dollar equivalents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3"/>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24"/>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6"/>
                <w:szCs w:val="16"/>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7"/>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Contracts:</w:t>
            </w: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09"/>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20" w:type="dxa"/>
            <w:vAlign w:val="bottom"/>
          </w:tcPr>
          <w:p>
            <w:pPr>
              <w:spacing w:after="0"/>
              <w:rPr>
                <w:sz w:val="18"/>
                <w:szCs w:val="18"/>
                <w:color w:val="auto"/>
              </w:rPr>
            </w:pPr>
          </w:p>
        </w:tc>
        <w:tc>
          <w:tcPr>
            <w:tcW w:w="1100" w:type="dxa"/>
            <w:vAlign w:val="bottom"/>
          </w:tcPr>
          <w:p>
            <w:pPr>
              <w:jc w:val="right"/>
              <w:ind w:right="945"/>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center"/>
              <w:ind w:left="843"/>
              <w:spacing w:after="0"/>
              <w:rPr>
                <w:sz w:val="20"/>
                <w:szCs w:val="20"/>
                <w:color w:val="auto"/>
              </w:rPr>
            </w:pPr>
            <w:r>
              <w:rPr>
                <w:rFonts w:ascii="Times New Roman" w:cs="Times New Roman" w:eastAsia="Times New Roman" w:hAnsi="Times New Roman"/>
                <w:sz w:val="16"/>
                <w:szCs w:val="16"/>
                <w:color w:val="auto"/>
                <w:w w:val="99"/>
              </w:rPr>
              <w:t>18</w:t>
            </w:r>
          </w:p>
        </w:tc>
      </w:tr>
      <w:tr>
        <w:trPr>
          <w:trHeight w:val="21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Sold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823"/>
              <w:spacing w:after="0"/>
              <w:rPr>
                <w:sz w:val="20"/>
                <w:szCs w:val="20"/>
                <w:color w:val="auto"/>
              </w:rPr>
            </w:pPr>
            <w:r>
              <w:rPr>
                <w:rFonts w:ascii="Times New Roman" w:cs="Times New Roman" w:eastAsia="Times New Roman" w:hAnsi="Times New Roman"/>
                <w:sz w:val="16"/>
                <w:szCs w:val="16"/>
                <w:color w:val="auto"/>
                <w:w w:val="97"/>
              </w:rPr>
              <w:t>(20)</w:t>
            </w: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 Contracts: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843"/>
              <w:spacing w:after="0"/>
              <w:rPr>
                <w:sz w:val="20"/>
                <w:szCs w:val="20"/>
                <w:color w:val="auto"/>
              </w:rPr>
            </w:pPr>
            <w:r>
              <w:rPr>
                <w:rFonts w:ascii="Times New Roman" w:cs="Times New Roman" w:eastAsia="Times New Roman" w:hAnsi="Times New Roman"/>
                <w:sz w:val="16"/>
                <w:szCs w:val="16"/>
                <w:color w:val="auto"/>
                <w:w w:val="99"/>
              </w:rPr>
              <w:t>12</w:t>
            </w:r>
          </w:p>
        </w:tc>
      </w:tr>
      <w:tr>
        <w:trPr>
          <w:trHeight w:val="207"/>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Sold</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ind w:left="823"/>
              <w:spacing w:after="0"/>
              <w:rPr>
                <w:sz w:val="20"/>
                <w:szCs w:val="20"/>
                <w:color w:val="auto"/>
              </w:rPr>
            </w:pPr>
            <w:r>
              <w:rPr>
                <w:rFonts w:ascii="Times New Roman" w:cs="Times New Roman" w:eastAsia="Times New Roman" w:hAnsi="Times New Roman"/>
                <w:sz w:val="16"/>
                <w:szCs w:val="16"/>
                <w:color w:val="auto"/>
                <w:w w:val="97"/>
              </w:rPr>
              <w:t>(13)</w:t>
            </w:r>
          </w:p>
        </w:tc>
      </w:tr>
    </w:tbl>
    <w:p>
      <w:pPr>
        <w:spacing w:after="0" w:line="301" w:lineRule="exact"/>
        <w:rPr>
          <w:sz w:val="20"/>
          <w:szCs w:val="20"/>
          <w:color w:val="auto"/>
        </w:rPr>
      </w:pPr>
    </w:p>
    <w:p>
      <w:pPr>
        <w:ind w:right="80" w:firstLine="434"/>
        <w:spacing w:after="0" w:line="252" w:lineRule="auto"/>
        <w:rPr>
          <w:sz w:val="20"/>
          <w:szCs w:val="20"/>
          <w:color w:val="auto"/>
        </w:rPr>
      </w:pPr>
      <w:r>
        <w:rPr>
          <w:rFonts w:ascii="Times New Roman" w:cs="Times New Roman" w:eastAsia="Times New Roman" w:hAnsi="Times New Roman"/>
          <w:sz w:val="18"/>
          <w:szCs w:val="18"/>
          <w:color w:val="auto"/>
        </w:rPr>
        <w:t>We use foreign currency contracts to reduce the exchange rate impact on the net revenue and operating expenses of certain anticipated transactions. A hypothetical 10% appreciation of the U.S. dollar from its value at April 30, 2026, and January 31, 2026, would increase the fair value of our foreign currency contracts by $157 million and $159 million, respectively. A hypothetical 10% depreciation of the dollar from its value at April 30, 2026, and January 31, 2026, would decrease the fair value of our foreign currency contracts by $94 million and $158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2" w:lineRule="exact"/>
        <w:rPr>
          <w:sz w:val="20"/>
          <w:szCs w:val="20"/>
          <w:color w:val="auto"/>
        </w:rPr>
      </w:pPr>
    </w:p>
    <w:p>
      <w:pPr>
        <w:ind w:right="140" w:firstLine="434"/>
        <w:spacing w:after="0" w:line="252" w:lineRule="auto"/>
        <w:rPr>
          <w:sz w:val="20"/>
          <w:szCs w:val="20"/>
          <w:color w:val="auto"/>
        </w:rPr>
      </w:pPr>
      <w:r>
        <w:rPr>
          <w:rFonts w:ascii="Times New Roman" w:cs="Times New Roman" w:eastAsia="Times New Roman" w:hAnsi="Times New Roman"/>
          <w:sz w:val="18"/>
          <w:szCs w:val="18"/>
          <w:color w:val="auto"/>
        </w:rPr>
        <w:t>Interest rate movements affect both the interest income we earn on our short-term investments and the market value of certain longer-term securities. At April 30, 2026, we had $2.41 billion of cash equivalents and marketable securities, including $253 million classified as short-term marketable securities and $385 million classified as long-term marketable securities. If interest rates were to move up or down by 50 or 100 basis points over a 12-month period, the market value change of these securities would not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Other Market Risk</w:t>
      </w:r>
    </w:p>
    <w:p>
      <w:pPr>
        <w:spacing w:after="0" w:line="242"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 Item 1, “Financial Statements,” Note 5, “Financial Instruments,” in the Notes to Condensed Consolidated Financial Statements for further discussion regarding these strategic investments.</w:t>
      </w:r>
    </w:p>
    <w:p>
      <w:pPr>
        <w:spacing w:after="0" w:line="21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2" w:lineRule="exact"/>
        <w:rPr>
          <w:sz w:val="20"/>
          <w:szCs w:val="20"/>
          <w:color w:val="auto"/>
        </w:rPr>
      </w:pPr>
    </w:p>
    <w:p>
      <w:pPr>
        <w:ind w:right="200" w:firstLine="395"/>
        <w:spacing w:after="0" w:line="286" w:lineRule="auto"/>
        <w:rPr>
          <w:sz w:val="20"/>
          <w:szCs w:val="20"/>
          <w:color w:val="auto"/>
        </w:rPr>
      </w:pPr>
      <w:r>
        <w:rPr>
          <w:rFonts w:ascii="Times New Roman" w:cs="Times New Roman" w:eastAsia="Times New Roman" w:hAnsi="Times New Roman"/>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5"/>
        <w:spacing w:after="0" w:line="283" w:lineRule="auto"/>
        <w:tabs>
          <w:tab w:leader="none" w:pos="20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87"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firstLine="395"/>
        <w:spacing w:after="0" w:line="24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three months ended April 30, 2026,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213"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In early March 2024, the Audit Committee of Autodesk’s Board of Directors commenced an internal investigation with the assistance of outside counsel and advisors regarding the Company’s free cash flow and non-GAAP operating margin practices (the “Internal Investigation”).</w:t>
      </w:r>
    </w:p>
    <w:p>
      <w:pPr>
        <w:spacing w:after="0" w:line="196"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On April 24, 2024, Michael Barkasi filed a purported federal securities class action complaint in the Northern District of California against Autodesk, our Chief Executive Officer, Andrew Anagnost, and our former Chief Financial Officer, Deborah L. Clifford. The complaint, which was filed shortly after Autodesk’s announcement of the Internal Investigation, generally alleged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purported to be brought on behalf of those who purchased or otherwise acquired the Company’s securities between February 23, 2023 and April 16, 2024, and sought unspecified damages and other relief. On November 25, 2024, Defendants filed a motion to dismiss the complaint. On July 18, 2025, the Court granted defendants’ motion to dismiss with leave to amend. On August 8, 2025, plaintiffs filed an amended complaint, which purported to assert claims under Sections 10(b) and 20(a) of the Exchange Act, and Rule 10b-5 promulgated thereunder. Defendants’ motion to dismiss the amended complaint was filed on August 29, 2025. On January 26, 2026, the Court granted defendants’ motion to dismiss the amended complaint with prejudice. On February 12, 2026, the Court entered judgment. Plaintiffs filed a notice of appeal on March 12, 2026 and filed an opening brief on appeal on May 27, 2026. At this stage, the Company cannot reasonably estimate the amount of any possible financial loss that could result from this matter.</w:t>
      </w:r>
    </w:p>
    <w:p>
      <w:pPr>
        <w:spacing w:after="0" w:line="217" w:lineRule="exact"/>
        <w:rPr>
          <w:sz w:val="20"/>
          <w:szCs w:val="20"/>
          <w:color w:val="auto"/>
        </w:rPr>
      </w:pPr>
    </w:p>
    <w:p>
      <w:pPr>
        <w:ind w:right="40" w:firstLine="395"/>
        <w:spacing w:after="0" w:line="279" w:lineRule="auto"/>
        <w:rPr>
          <w:sz w:val="20"/>
          <w:szCs w:val="20"/>
          <w:color w:val="auto"/>
        </w:rPr>
      </w:pPr>
      <w:r>
        <w:rPr>
          <w:rFonts w:ascii="Times New Roman" w:cs="Times New Roman" w:eastAsia="Times New Roman" w:hAnsi="Times New Roman"/>
          <w:sz w:val="16"/>
          <w:szCs w:val="16"/>
          <w:color w:val="auto"/>
        </w:rPr>
        <w:t>In addition, on June 7, 2024, a purported stockholder derivative complaint was filed in the United States District Court for the Northern District of California, naming our directors at the time of the complaint and our Chief Strategy Officer as defendants and our company as a nominal defendant. The complaint generally alleges violations of Section 14(a) of the Exchange Act and breach of fiduciary duties, aiding and abetting breach of fiduciary duties, unjust enrichment, abuse of control, and waste of corporate assets, based on similar underlying allegations contained in the purported federal securities class action complaint described above. A second purported stockholder derivative complaint naming the same defendants was filed in the Northern District of California on June 25, 2024. The complaint in that case generally alleges violations of Section 10(b) of the Exchange Act and Rule 10b-5, Section 20(a) of the Exchange Act, breach of fiduciary duties, unjust enrichment, abuse of control, gross mismanagement, waste of corporate assets, and contribution, also based on similar underlying allegations contained in the purported federal securities class action described above. On October 29, 2024 the Court consolidated and stayed the two stockholder derivative actions. A third purported stockholder derivative complaint naming the same defendants was filed in the District of Delaware on February 14, 2025. That complaint generally alleged violations of Section 10(b) of the Exchange Act and Rule 10b-5, Sections 14(a) and 20(a) of the Exchange Act, breach of fiduciary duties, misappropriation of information, unjust enrichment, abuse of control, gross mismanagement, and waste of corporate assets, also based on similar underlying allegations contained in the purported federal securities class action described above. The plaintiff in the District of Delaware action filed a notice of voluntary dismissal of the action without prejudice on April 4, 2025, which the Court entered on April 7, 2025.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0" w:name="page41"/>
    <w:bookmarkEnd w:id="40"/>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2" w:lineRule="exact"/>
        <w:rPr>
          <w:sz w:val="20"/>
          <w:szCs w:val="20"/>
          <w:color w:val="auto"/>
        </w:rPr>
      </w:pPr>
    </w:p>
    <w:p>
      <w:pPr>
        <w:ind w:firstLine="395"/>
        <w:spacing w:after="0" w:line="239"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significant risks, a number of which are beyond our control. In addition to the other information contained in this Quarterly Report on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Quarterly Report on Form 10-Q and in the documents incorporated herein by reference. They could affect our actual results of operations, causing them to differ materially from those expressed in forward-looking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Risk Factors</w:t>
      </w:r>
    </w:p>
    <w:p>
      <w:pPr>
        <w:spacing w:after="0" w:line="242" w:lineRule="exact"/>
        <w:rPr>
          <w:sz w:val="20"/>
          <w:szCs w:val="20"/>
          <w:color w:val="auto"/>
        </w:rPr>
      </w:pPr>
    </w:p>
    <w:p>
      <w:pPr>
        <w:ind w:right="240" w:firstLine="395"/>
        <w:spacing w:after="0" w:line="254"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22" w:lineRule="exact"/>
        <w:rPr>
          <w:sz w:val="20"/>
          <w:szCs w:val="20"/>
          <w:color w:val="auto"/>
        </w:rPr>
      </w:pPr>
    </w:p>
    <w:p>
      <w:pPr>
        <w:ind w:left="640" w:right="500" w:hanging="319"/>
        <w:spacing w:after="0" w:line="234"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Our strategy to develop and introduce new products and services, exposing us to risks such as limited customer acceptance (both with new and existing customers), costs related to product defects, and large expenditures.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Existing and increased competition and rapidly evolving technological changes.</w:t>
      </w:r>
    </w:p>
    <w:p>
      <w:pPr>
        <w:spacing w:after="0" w:line="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w:t>
      </w:r>
    </w:p>
    <w:p>
      <w:pPr>
        <w:spacing w:after="0" w:line="9"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Costs and challenges associated with strategic acquisitions and investments.</w:t>
      </w:r>
    </w:p>
    <w:p>
      <w:pPr>
        <w:spacing w:after="0" w:line="34" w:lineRule="exact"/>
        <w:rPr>
          <w:rFonts w:ascii="Arial" w:cs="Arial" w:eastAsia="Arial" w:hAnsi="Arial"/>
          <w:sz w:val="21"/>
          <w:szCs w:val="21"/>
          <w:color w:val="auto"/>
        </w:rPr>
      </w:pPr>
    </w:p>
    <w:p>
      <w:pPr>
        <w:ind w:left="640" w:right="80" w:hanging="319"/>
        <w:spacing w:after="0" w:line="234"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Dependency on international revenue and operations, exposing us to significant international regulatory, economic, intellectual property, collections, currency exchange rate, taxation, political, and other risks.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Inability to predict subscription renewal rates and their impact on our future revenue and operating results.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 of our financial results, key metrics and other operating metrics.</w:t>
      </w:r>
    </w:p>
    <w:p>
      <w:pPr>
        <w:spacing w:after="0" w:line="20"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17"/>
          <w:szCs w:val="17"/>
          <w:color w:val="auto"/>
        </w:rPr>
        <w:t>Deriving a substantial portion of our net revenue from a small number of solutions, including our AutoCAD-based software products and collections.</w:t>
      </w:r>
    </w:p>
    <w:p>
      <w:pPr>
        <w:spacing w:after="0" w:line="16" w:lineRule="exact"/>
        <w:rPr>
          <w:rFonts w:ascii="Arial" w:cs="Arial" w:eastAsia="Arial" w:hAnsi="Arial"/>
          <w:sz w:val="20"/>
          <w:szCs w:val="20"/>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Any failure to successfully execute and manage initiatives to realign or introduce new business and sales initiatives.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Our strategy and expectations regarding the expected benefits, timing and costs associated with our restructuring plans.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Net revenue, billings, earnings, cash flow, or subscriptions shortfalls or volatility of the market causing the market price of our stock to decline.</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Challenges relating to the proper management and governance of our use of AI in our offerings.</w:t>
      </w:r>
    </w:p>
    <w:p>
      <w:pPr>
        <w:spacing w:after="0" w:line="12" w:lineRule="exact"/>
        <w:rPr>
          <w:rFonts w:ascii="Times New Roman" w:cs="Times New Roman" w:eastAsia="Times New Roman" w:hAnsi="Times New Roman"/>
          <w:sz w:val="21"/>
          <w:szCs w:val="21"/>
          <w:color w:val="auto"/>
        </w:rPr>
      </w:pPr>
    </w:p>
    <w:p>
      <w:pPr>
        <w:ind w:left="640" w:hanging="319"/>
        <w:spacing w:after="0" w:line="236"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Security incidents compromising the integrity of our or our customers’ offerings, services, data, or intellectual property.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Reliance on third parties to provide us with a number of operational and technical services as well as software.</w:t>
      </w:r>
    </w:p>
    <w:p>
      <w:pPr>
        <w:spacing w:after="0" w:line="22" w:lineRule="exact"/>
        <w:rPr>
          <w:rFonts w:ascii="Arial" w:cs="Arial" w:eastAsia="Arial" w:hAnsi="Arial"/>
          <w:sz w:val="21"/>
          <w:szCs w:val="21"/>
          <w:color w:val="auto"/>
        </w:rPr>
      </w:pPr>
    </w:p>
    <w:p>
      <w:pPr>
        <w:ind w:left="640" w:right="300" w:hanging="319"/>
        <w:spacing w:after="0" w:line="234"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Our highly complex software, which may contain undetected errors, defects, or vulnerabilities, and is subject to service disruptions, degradations, outages or other performance problems.</w:t>
      </w:r>
    </w:p>
    <w:p>
      <w:pPr>
        <w:spacing w:after="0" w:line="1" w:lineRule="exact"/>
        <w:rPr>
          <w:rFonts w:ascii="Arial" w:cs="Arial" w:eastAsia="Arial" w:hAnsi="Arial"/>
          <w:sz w:val="21"/>
          <w:szCs w:val="21"/>
          <w:color w:val="auto"/>
        </w:rPr>
      </w:pPr>
    </w:p>
    <w:p>
      <w:pPr>
        <w:ind w:left="640" w:hanging="319"/>
        <w:spacing w:after="0" w:line="235" w:lineRule="auto"/>
        <w:tabs>
          <w:tab w:leader="none" w:pos="64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Increasing regulatory focus on privacy, data protection, and cybersecurity issues and expanding laws.</w:t>
      </w:r>
    </w:p>
    <w:p>
      <w:pPr>
        <w:spacing w:after="0" w:line="22" w:lineRule="exact"/>
        <w:rPr>
          <w:rFonts w:ascii="Times New Roman" w:cs="Times New Roman" w:eastAsia="Times New Roman" w:hAnsi="Times New Roman"/>
          <w:sz w:val="21"/>
          <w:szCs w:val="21"/>
          <w:color w:val="auto"/>
        </w:rPr>
      </w:pPr>
    </w:p>
    <w:p>
      <w:pPr>
        <w:ind w:left="640" w:right="180" w:hanging="319"/>
        <w:spacing w:after="0" w:line="234"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Governmental export and import controls that could impair our ability to compete in international markets or subject us to liability if we violate the controls.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Protection of our intellectual property rights and intellectual property infringement claims from others.</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The government procurement process.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currency exchange rates.</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Our debt service obligations.</w:t>
      </w:r>
    </w:p>
    <w:p>
      <w:pPr>
        <w:spacing w:after="0" w:line="16" w:lineRule="exact"/>
        <w:rPr>
          <w:rFonts w:ascii="Arial" w:cs="Arial" w:eastAsia="Arial" w:hAnsi="Arial"/>
          <w:sz w:val="21"/>
          <w:szCs w:val="21"/>
          <w:color w:val="auto"/>
        </w:rPr>
      </w:pPr>
    </w:p>
    <w:p>
      <w:pPr>
        <w:ind w:left="640" w:right="200" w:hanging="319"/>
        <w:spacing w:after="0" w:line="237" w:lineRule="auto"/>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8"/>
          <w:szCs w:val="18"/>
          <w:color w:val="auto"/>
        </w:rPr>
        <w:t>Our investment portfolio consisting of a variety of investment vehicles that are subject to interest rate trends, market volatility, and other economic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Business and Strategy</w:t>
      </w:r>
    </w:p>
    <w:p>
      <w:pPr>
        <w:spacing w:after="0" w:line="227" w:lineRule="exact"/>
        <w:rPr>
          <w:sz w:val="20"/>
          <w:szCs w:val="20"/>
          <w:color w:val="auto"/>
        </w:rPr>
      </w:pPr>
    </w:p>
    <w:p>
      <w:pPr>
        <w:ind w:right="620"/>
        <w:spacing w:after="0" w:line="335" w:lineRule="auto"/>
        <w:rPr>
          <w:sz w:val="20"/>
          <w:szCs w:val="20"/>
          <w:color w:val="auto"/>
        </w:rPr>
      </w:pPr>
      <w:r>
        <w:rPr>
          <w:rFonts w:ascii="Times New Roman" w:cs="Times New Roman" w:eastAsia="Times New Roman" w:hAnsi="Times New Roman"/>
          <w:sz w:val="16"/>
          <w:szCs w:val="16"/>
          <w:i w:val="1"/>
          <w:iCs w:val="1"/>
          <w:color w:val="auto"/>
        </w:rPr>
        <w:t>Our strategy to develop and introduce new products and services exposes us to risks such as limited customer acceptance (both with new and existing customers), costs related to product defects, and large expenditures, each of which may result in no additional net revenue or decreased net revenue.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869" w:right="439" w:bottom="1440" w:gutter="0" w:footer="0" w:header="0"/>
        </w:sectPr>
      </w:pPr>
    </w:p>
    <w:bookmarkStart w:id="41" w:name="page42"/>
    <w:bookmarkEnd w:id="41"/>
    <w:p>
      <w:pPr>
        <w:ind w:right="80" w:firstLine="395"/>
        <w:spacing w:after="0" w:line="247" w:lineRule="auto"/>
        <w:rPr>
          <w:sz w:val="20"/>
          <w:szCs w:val="20"/>
          <w:color w:val="auto"/>
        </w:rPr>
      </w:pPr>
      <w:r>
        <w:rPr>
          <w:rFonts w:ascii="Times New Roman" w:cs="Times New Roman" w:eastAsia="Times New Roman" w:hAnsi="Times New Roman"/>
          <w:sz w:val="18"/>
          <w:szCs w:val="18"/>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Both new and existing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including AI features. If we are unable to provide new features, enhancements to user experience, and modifications in a timely and cost-effective manner that achieve market acceptance, align with customer expectations, and that keep pace with rapid technological developments and changing regulatory landscapes, our business and operating results could be adversely affected. For example, AI and machine learning are propelling advancements in technology, but if they are not widely adopted and accepted or fail to operate as expected, our business and reputation may be harmed.</w:t>
      </w:r>
    </w:p>
    <w:p>
      <w:pPr>
        <w:spacing w:after="0" w:line="201" w:lineRule="exact"/>
        <w:rPr>
          <w:sz w:val="20"/>
          <w:szCs w:val="20"/>
          <w:color w:val="auto"/>
        </w:rPr>
      </w:pPr>
    </w:p>
    <w:p>
      <w:pPr>
        <w:ind w:right="60" w:firstLine="395"/>
        <w:spacing w:after="0" w:line="263" w:lineRule="auto"/>
        <w:rPr>
          <w:sz w:val="20"/>
          <w:szCs w:val="20"/>
          <w:color w:val="auto"/>
        </w:rPr>
      </w:pPr>
      <w:r>
        <w:rPr>
          <w:rFonts w:ascii="Times New Roman" w:cs="Times New Roman" w:eastAsia="Times New Roman" w:hAnsi="Times New Roman"/>
          <w:sz w:val="16"/>
          <w:szCs w:val="16"/>
          <w:color w:val="auto"/>
        </w:rPr>
        <w:t>In addition, we frequently introduce new business models or methods that require a considerable investment of technical and financial resources, such as our introduction of flexible subscription and service offerings, our transition of multi-subscription plans to named-user plans and our new transaction model.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new customers or existing customers, and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203"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212"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and increased competition and rapidly evolving technological changes may reduce our revenue and profits</w:t>
      </w:r>
      <w:r>
        <w:rPr>
          <w:rFonts w:ascii="Times New Roman" w:cs="Times New Roman" w:eastAsia="Times New Roman" w:hAnsi="Times New Roman"/>
          <w:sz w:val="21"/>
          <w:szCs w:val="21"/>
          <w:i w:val="1"/>
          <w:iCs w:val="1"/>
          <w:color w:val="auto"/>
        </w:rPr>
        <w:t>.</w:t>
      </w:r>
    </w:p>
    <w:p>
      <w:pPr>
        <w:spacing w:after="0" w:line="256"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subscriptions and cloud-enabled technologies.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Our competitors and new entrants may also be able to develop and market new technologies that render our existing or future products less competitive. For example, disruptive technologies such as machine learning and other AI technologies may significantly alter the market for our products in unpredictable ways and reduce customer demand. The market may also react to these disruptive technologies in unpredictable ways inconsistent with our financial condition and results of operation.</w:t>
      </w:r>
    </w:p>
    <w:p>
      <w:pPr>
        <w:spacing w:after="0" w:line="215"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Global economic and political conditions may further impact our industries, business, and financial results.</w:t>
      </w:r>
    </w:p>
    <w:p>
      <w:pPr>
        <w:spacing w:after="0" w:line="242" w:lineRule="exact"/>
        <w:rPr>
          <w:sz w:val="20"/>
          <w:szCs w:val="20"/>
          <w:color w:val="auto"/>
        </w:rPr>
      </w:pPr>
    </w:p>
    <w:p>
      <w:pPr>
        <w:ind w:firstLine="395"/>
        <w:spacing w:after="0" w:line="278" w:lineRule="auto"/>
        <w:rPr>
          <w:sz w:val="20"/>
          <w:szCs w:val="20"/>
          <w:color w:val="auto"/>
        </w:rPr>
      </w:pPr>
      <w:r>
        <w:rPr>
          <w:rFonts w:ascii="Times New Roman" w:cs="Times New Roman" w:eastAsia="Times New Roman" w:hAnsi="Times New Roman"/>
          <w:sz w:val="16"/>
          <w:szCs w:val="16"/>
          <w:color w:val="auto"/>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most recently regarding tariffs and trade protectionism, have caused uncertainty in the global economy, and an economic downturn or recession in the United States or in other countries may occur or has already occurred and may continue. The extent to which these challenges will impact our financial condition or results of operations is still uncertain and will continue to depend on developments such as the impact of these challenges on our customers, vendors, distributors, and resellers, such as the supply chain disruption and resulting inflationary pressures and global labor shortage that we have seen recently, material scarcity, as well as other factors;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wars and armed conflicts, including the ongoing wars between Ukraine and Russia and conflicts in the Middle East; foreign exchange rate fluctuations; and the effect of these challenges on margins and cash flow. All of these factors continue to evolve and remain uncertain at this time, and some of these factors are not within our control.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200" w:lineRule="exact"/>
        <w:rPr>
          <w:sz w:val="20"/>
          <w:szCs w:val="20"/>
          <w:color w:val="auto"/>
        </w:rPr>
      </w:pPr>
    </w:p>
    <w:p>
      <w:pPr>
        <w:spacing w:after="0" w:line="209" w:lineRule="exact"/>
        <w:rPr>
          <w:sz w:val="20"/>
          <w:szCs w:val="20"/>
          <w:color w:val="auto"/>
        </w:rPr>
      </w:pPr>
    </w:p>
    <w:p>
      <w:pPr>
        <w:ind w:right="80" w:firstLine="395"/>
        <w:spacing w:after="0" w:line="246" w:lineRule="auto"/>
        <w:rPr>
          <w:sz w:val="20"/>
          <w:szCs w:val="20"/>
          <w:color w:val="auto"/>
        </w:rPr>
      </w:pPr>
      <w:r>
        <w:rPr>
          <w:rFonts w:ascii="Times New Roman" w:cs="Times New Roman" w:eastAsia="Times New Roman" w:hAnsi="Times New Roman"/>
          <w:sz w:val="18"/>
          <w:szCs w:val="18"/>
          <w:color w:val="auto"/>
        </w:rPr>
        <w:t>As described elsewhere in these risk factors, we are dependent on international revenue and operations and are subject to related risks of conducting business globally. Trends toward nationalism and protectionism, including imposition of tariffs and related trade wars,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War, geopolitical conflicts,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impacted by the costs and challenges associated with strategic acquisitions and investments.</w:t>
      </w:r>
    </w:p>
    <w:p>
      <w:pPr>
        <w:spacing w:after="0" w:line="242"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We regularly acquire or invest in businesses, software solutions, and technologies that are complementary to our business through acquisitions, strategic alliances, or equity or debt investments, including several transactions in fiscal 2025 and fiscal 2026. We also recently announced we entered into a definitive agreement to acquire MaintainX, Inc. subject to regulatory review and closing conditions.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spacing w:after="0" w:line="240" w:lineRule="exact"/>
        <w:rPr>
          <w:sz w:val="20"/>
          <w:szCs w:val="20"/>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inability to retain customers, key employees, vendors, distributors, business partners, and other entities associated with the acquired business;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that due diligence of the acquired business or solution does not identify significant problems;</w:t>
      </w:r>
    </w:p>
    <w:p>
      <w:pPr>
        <w:spacing w:after="0" w:line="22" w:lineRule="exact"/>
        <w:rPr>
          <w:rFonts w:ascii="Arial" w:cs="Arial" w:eastAsia="Arial" w:hAnsi="Arial"/>
          <w:sz w:val="21"/>
          <w:szCs w:val="21"/>
          <w:color w:val="auto"/>
        </w:rPr>
      </w:pPr>
    </w:p>
    <w:p>
      <w:pPr>
        <w:ind w:left="640" w:right="120" w:hanging="319"/>
        <w:spacing w:after="0" w:line="241" w:lineRule="auto"/>
        <w:tabs>
          <w:tab w:leader="none" w:pos="6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claims from terminated employees, customers, or other third parties;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the potential for incompatible business cultures;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8"/>
          <w:szCs w:val="18"/>
          <w:color w:val="auto"/>
        </w:rPr>
        <w:t>significantly higher than anticipated transaction or integration-related costs;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potential that a proposed transaction is not completed;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3" w:name="page44"/>
    <w:bookmarkEnd w:id="43"/>
    <w:p>
      <w:pPr>
        <w:ind w:left="640" w:right="40" w:hanging="319"/>
        <w:spacing w:after="0" w:line="237" w:lineRule="auto"/>
        <w:tabs>
          <w:tab w:leader="none" w:pos="63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potential that acquired businesses or businesses that we invest in may not have adequate controls, processes, and procedures to ensure compliance with laws and regulations, including with respect to data privacy, data protection, and cybersecurity, as well as anti-bribery and anti-corruption laws, export controls, sanctions and industry-specific-regulation;</w:t>
      </w:r>
    </w:p>
    <w:p>
      <w:pPr>
        <w:spacing w:after="0" w:line="23" w:lineRule="exact"/>
        <w:rPr>
          <w:rFonts w:ascii="Times New Roman" w:cs="Times New Roman" w:eastAsia="Times New Roman" w:hAnsi="Times New Roman"/>
          <w:sz w:val="21"/>
          <w:szCs w:val="21"/>
          <w:color w:val="auto"/>
        </w:rPr>
      </w:pPr>
    </w:p>
    <w:p>
      <w:pPr>
        <w:ind w:left="640" w:right="200" w:hanging="319"/>
        <w:spacing w:after="0" w:line="234" w:lineRule="auto"/>
        <w:tabs>
          <w:tab w:leader="none" w:pos="63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additional exposure to economic, tax, currency, political, legal, and regulatory risks and liabilities, including risks associated with specific countries; and</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17"/>
          <w:szCs w:val="17"/>
          <w:color w:val="auto"/>
        </w:rPr>
        <w:t>the potential impact on relationships with existing customers, vendors, and distributors as business partners as a result of acquiring another business.</w:t>
      </w:r>
    </w:p>
    <w:p>
      <w:pPr>
        <w:spacing w:after="0" w:line="232"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and investments may negatively impact our business. In addition, if we do not complete an announced acquisition transaction, such as the MaintainX, Inc. transaction, or integrate an acquired business successfully and in a timely manner, we may not realize the benefits of the acquisition to the extent anticipated. We may also incur significant costs, expenses and fees, including for professional services, other transaction costs, and potential termination fees, for which we will have received little or no benefit, and our stock price could decline.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spacing w:after="0" w:line="211"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i w:val="1"/>
          <w:iCs w:val="1"/>
          <w:color w:val="auto"/>
        </w:rPr>
        <w:t>We cannot guarantee that the acquisition of MaintainX, Inc. will be consummated within the expected time period, or at all, and if consummated, that our assumptions regarding the acquisition will be correct.</w:t>
      </w:r>
    </w:p>
    <w:p>
      <w:pPr>
        <w:spacing w:after="0" w:line="19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On May 28, 2026, we entered into a definitive merger agreement to acquire MaintainX, Inc. Completion of the acquisition is subject to certain conditions contained in the merger agreement and we cannot guarantee that the acquisition of MaintainX, Inc. will be consummated within the expected time period, or at all. If the acquisition is not consummated, or closing is substantially delayed for any reason, our business may be materially and adversely affected as we will have incurred substantial costs and expenses and utilized considerable resources. If the acquisition is consummated, it may involve unexpected costs or liabilities, we may be unable to achieve the expected projections, synergies and operating efficiencies within the expected time frames, or at all, and the integration of MaintainX, Inc. into our business may be more difficult, time consuming or costly than expected.</w:t>
      </w:r>
    </w:p>
    <w:p>
      <w:pPr>
        <w:spacing w:after="0" w:line="210"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i w:val="1"/>
          <w:iCs w:val="1"/>
          <w:color w:val="auto"/>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spacing w:after="0" w:line="192"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International net revenue represented 65% and 64% of our net revenue for the three months ended April 30, 2026 and 2025, respectively. Our international revenue, some of which comes from emerging economies, is subject to economic and political conditions in foreign markets, including those resulting from economic and political conditions in the United States.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w:t>
      </w:r>
    </w:p>
    <w:p>
      <w:pPr>
        <w:spacing w:after="0" w:line="212" w:lineRule="exact"/>
        <w:rPr>
          <w:sz w:val="20"/>
          <w:szCs w:val="20"/>
          <w:color w:val="auto"/>
        </w:rPr>
      </w:pPr>
    </w:p>
    <w:p>
      <w:pPr>
        <w:jc w:val="both"/>
        <w:ind w:right="140" w:firstLine="395"/>
        <w:spacing w:after="0" w:line="250" w:lineRule="auto"/>
        <w:rPr>
          <w:sz w:val="20"/>
          <w:szCs w:val="20"/>
          <w:color w:val="auto"/>
        </w:rPr>
      </w:pPr>
      <w:r>
        <w:rPr>
          <w:rFonts w:ascii="Times New Roman" w:cs="Times New Roman" w:eastAsia="Times New Roman" w:hAnsi="Times New Roman"/>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ind w:left="640" w:hanging="319"/>
        <w:spacing w:after="0"/>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economic volatility;</w:t>
      </w:r>
    </w:p>
    <w:p>
      <w:pPr>
        <w:ind w:left="640" w:right="140" w:hanging="319"/>
        <w:spacing w:after="0" w:line="235"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quotas, and other trade barriers and restrictions, geopolitical conflicts, and any political or economic responses and counter-responses thereto by various global actors;</w:t>
      </w:r>
    </w:p>
    <w:p>
      <w:pPr>
        <w:spacing w:after="0" w:line="2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7"/>
          <w:szCs w:val="17"/>
          <w:color w:val="auto"/>
        </w:rPr>
        <w:t>fluctuating currency exchange rates, including devaluations, currency controls, and inflation, and risks related to any hedging activities we undertake;</w:t>
      </w:r>
    </w:p>
    <w:p>
      <w:pPr>
        <w:spacing w:after="0" w:line="15" w:lineRule="exact"/>
        <w:rPr>
          <w:rFonts w:ascii="Arial" w:cs="Arial" w:eastAsia="Arial" w:hAnsi="Arial"/>
          <w:sz w:val="20"/>
          <w:szCs w:val="20"/>
          <w:color w:val="auto"/>
        </w:rPr>
      </w:pPr>
    </w:p>
    <w:p>
      <w:pPr>
        <w:ind w:left="640" w:hanging="319"/>
        <w:spacing w:after="0" w:line="232"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regulatory requirements and practices;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delays resulting from difficulty in obtaining export licenses for certain technology;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different purchase patterns as compared to the developed world;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8"/>
          <w:szCs w:val="18"/>
          <w:color w:val="auto"/>
        </w:rPr>
        <w:t>operating in locations with a higher incidence of corruption and fraudulent business practices, particularly in emerging economies;</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911" w:right="419" w:bottom="1440" w:gutter="0" w:footer="0" w:header="0"/>
        </w:sectPr>
      </w:pPr>
    </w:p>
    <w:bookmarkStart w:id="44" w:name="page45"/>
    <w:bookmarkEnd w:id="44"/>
    <w:p>
      <w:pPr>
        <w:ind w:left="640" w:hanging="319"/>
        <w:spacing w:after="0"/>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compliance with the U.S. Foreign Corrupt Practices Act, the U.K. Bribery Act, and other anti-corruption laws;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difficulties in staffing and managing foreign sales and development operations;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local competition;</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longer collection cycles for accounts receivable;</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U.S. and foreign tax law changes and the complexities of tax reporting;</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laws regarding the free flow of data across international borders and management of and access to data and public networks;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possible future limitations upon foreign-owned businesses;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inadequate local infrastructure;</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greater difficulty in protecting intellectual property;</w:t>
      </w:r>
    </w:p>
    <w:p>
      <w:pPr>
        <w:spacing w:after="0" w:line="16" w:lineRule="exact"/>
        <w:rPr>
          <w:rFonts w:ascii="Arial" w:cs="Arial" w:eastAsia="Arial" w:hAnsi="Arial"/>
          <w:sz w:val="21"/>
          <w:szCs w:val="21"/>
          <w:color w:val="auto"/>
        </w:rPr>
      </w:pPr>
    </w:p>
    <w:p>
      <w:pPr>
        <w:ind w:left="640" w:hanging="319"/>
        <w:spacing w:after="0" w:line="221" w:lineRule="auto"/>
        <w:tabs>
          <w:tab w:leader="none" w:pos="64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8"/>
          <w:szCs w:val="18"/>
          <w:color w:val="auto"/>
        </w:rPr>
        <w:t>software piracy; and</w:t>
      </w:r>
    </w:p>
    <w:p>
      <w:pPr>
        <w:ind w:left="640" w:right="420" w:hanging="319"/>
        <w:spacing w:after="0" w:line="289" w:lineRule="auto"/>
        <w:tabs>
          <w:tab w:leader="none" w:pos="63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beyond our control, including popular uprisings, terrorism, war (including any related political or economic responses and counter-responses or otherwise by various global actors or the general effect on the global economy), natural disasters, and diseases and pandemics.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business partners also have international operations and are subject to the risks described above.</w:t>
      </w:r>
    </w:p>
    <w:p>
      <w:pPr>
        <w:spacing w:after="0" w:line="21" w:lineRule="exact"/>
        <w:rPr>
          <w:sz w:val="20"/>
          <w:szCs w:val="20"/>
          <w:color w:val="auto"/>
        </w:rPr>
      </w:pPr>
    </w:p>
    <w:p>
      <w:pPr>
        <w:ind w:firstLine="395"/>
        <w:spacing w:after="0" w:line="276" w:lineRule="auto"/>
        <w:rPr>
          <w:sz w:val="20"/>
          <w:szCs w:val="20"/>
          <w:color w:val="auto"/>
        </w:rPr>
      </w:pPr>
      <w:r>
        <w:rPr>
          <w:rFonts w:ascii="Times New Roman" w:cs="Times New Roman" w:eastAsia="Times New Roman" w:hAnsi="Times New Roman"/>
          <w:sz w:val="16"/>
          <w:szCs w:val="16"/>
          <w:color w:val="auto"/>
        </w:rPr>
        <w:t>In addition, in recent years, the United States has instituted or proposed changes to foreign trade policy, including the negotiation or termination of trade agreements, the imposition of new or increased tariffs on products imported from certain countries; economic sanctions on individuals, corporations, or countries; and other government regulations affecting trade between the United States and other countries in which we do business. For example, the United States and other global actors have continued to impose sanctions and export restrictions as a result of the war against Ukraine launched by Russia, the geopolitical landscape with respect to China, ongoing conflicts in the Middle East, and other risks. Additionally, recent executive actions and executive branch policies in the United States, such as those communicated in a February 2025 memorandum regarding a change in U.S. policy with respect to the negotiation and imposition of digital services taxes and regulations by other countries, suggest a broader purview for changes in U.S. trade policy, including a significant increase in the imposition of tariffs, as a component of U.S. foreign policy. For example, since March 2025 the United States has imposed additional Section 232 tariffs on various commodities, including but not limited to steel, aluminum, passenger vehicles and trucks (and components for such vehicles), and other industry-specific targets. Between February 2025 and February 2026, the United States placed additional fentanyl-related tariffs on most goods from China, Canada and Mexico (with an exception for goods qualifying for duty-free treatment under the U.S.-Mexico-Canada Agreement); and between April 2025 and February 2026 placed additional reciprocal tariffs on most imports from U.S. trading partners other than Canada, Mexico, Russia, Belarus, Cuba, and North Korea. These additional U.S. tariffs were implemented under authorities asserted in the International Emergency Economic Powers Act (“IEEPA”) and rescinded on February 24, 2026, following a Supreme Court decision invalidating the use of IEEPA to authorize these tariffs. Although the U.S. government began rolling out a system on April 20, 2026 to begin processing refund requests for certain affected entities, the availability, timing, and amount of any related refunds associated with payments of these duties remain uncertain and subject to further legal, regulatory, and administrative action. Furthermore, beginning February 24, 2026, the U.S. government also implemented a new, global “temporary import surcharge” of 10% on many of the same products affected by the prior reciprocal tariffs, under authorities provided for in Section 122 of the Trade Act of 1974, supplementing existing non-IEEPA measures. Additional trade-related investigations by the U.S. government are in progress and could result in the imposition of additional tariffs.</w:t>
      </w:r>
    </w:p>
    <w:p>
      <w:pPr>
        <w:spacing w:after="0" w:line="200" w:lineRule="exact"/>
        <w:rPr>
          <w:sz w:val="20"/>
          <w:szCs w:val="20"/>
          <w:color w:val="auto"/>
        </w:rPr>
      </w:pPr>
    </w:p>
    <w:p>
      <w:pPr>
        <w:spacing w:after="0" w:line="211" w:lineRule="exact"/>
        <w:rPr>
          <w:sz w:val="20"/>
          <w:szCs w:val="20"/>
          <w:color w:val="auto"/>
        </w:rPr>
      </w:pPr>
    </w:p>
    <w:p>
      <w:pPr>
        <w:ind w:right="140" w:firstLine="395"/>
        <w:spacing w:after="0" w:line="282" w:lineRule="auto"/>
        <w:rPr>
          <w:sz w:val="20"/>
          <w:szCs w:val="20"/>
          <w:color w:val="auto"/>
        </w:rPr>
      </w:pPr>
      <w:r>
        <w:rPr>
          <w:rFonts w:ascii="Times New Roman" w:cs="Times New Roman" w:eastAsia="Times New Roman" w:hAnsi="Times New Roman"/>
          <w:sz w:val="16"/>
          <w:szCs w:val="16"/>
          <w:color w:val="auto"/>
        </w:rPr>
        <w:t>There is currently significant uncertainty about the future relationship between the United States and its trading partners with respect to trade policies, tariffs, taxes, and similar policies affecting cross-border operations. These new or increased tariffs and other changes in U.S. trade policy, including new sanctions and increased export restrictions, have triggered and could continue to trigger retaliatory actions by affected countries, including Canada, China, Russia, and others, that have instituted, considered, or are considering imposing new or increased tariffs, export controls, and other trade sanctions targeting certain U.S. persons or U.S.-manufactured goods. These retaliatory measures could include responses such as the imposition of new or increased digital services taxes. The escalation of protectionist or retaliatory trade measures in either the United States or any other countries in which we do business, such as additional sanctions, a change in tariff structures, increased export controls, or other trade policies, may increase the cost of, or otherwise interfere with, the conduct of our business, and could have a material adverse effect on our financial condition, operations, and business outlook.</w:t>
      </w:r>
    </w:p>
    <w:p>
      <w:pPr>
        <w:spacing w:after="0" w:line="192" w:lineRule="exact"/>
        <w:rPr>
          <w:sz w:val="20"/>
          <w:szCs w:val="20"/>
          <w:color w:val="auto"/>
        </w:rPr>
      </w:pPr>
    </w:p>
    <w:p>
      <w:pPr>
        <w:ind w:right="120" w:firstLine="474"/>
        <w:spacing w:after="0" w:line="268" w:lineRule="auto"/>
        <w:rPr>
          <w:sz w:val="20"/>
          <w:szCs w:val="20"/>
          <w:color w:val="auto"/>
        </w:rPr>
      </w:pPr>
      <w:r>
        <w:rPr>
          <w:rFonts w:ascii="Times New Roman" w:cs="Times New Roman" w:eastAsia="Times New Roman" w:hAnsi="Times New Roman"/>
          <w:sz w:val="18"/>
          <w:szCs w:val="18"/>
          <w:color w:val="auto"/>
        </w:rPr>
        <w:t>Even if we are able to successfully manage the risks of international operations, our business may be adversely affected if our business partners are not able to successfully manage these risks.</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97"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We may not be able to predict subscription renewal rates and their impact on our future revenue and operating results.</w:t>
      </w:r>
    </w:p>
    <w:p>
      <w:pPr>
        <w:spacing w:after="0" w:line="242"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We are dependent on attracting new customers as well as renewing and expanding our business with existing customers. 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volatility of flexible usage-based models; and reductions in customer spending levels, customer activity, or number of users due to economic downturns or financial markets uncertainty. If our customers do not renew their subscriptions or if they renew on less favorable terms, our revenues may decline.</w:t>
      </w:r>
    </w:p>
    <w:p>
      <w:pPr>
        <w:spacing w:after="0" w:line="212"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In addition, we generally recognize subscription revenue over the term of the respective contracts, which typically range from 1-year to 3-years. As a result, most of the revenue we report in each quarter is the result of subscriptions entered into during previous quarters. Consequently, a decline in new or renewed subscriptions in any one quarter may not be reflected in our revenue results for that quarter but will negatively impact our revenue in future quarters. Accordingly, the effect of significant downturns in sales and market acceptance of our services, and changes in our attrition rate, may not be fully reflected in our results of operations until future periods.</w:t>
      </w:r>
    </w:p>
    <w:p>
      <w:pPr>
        <w:spacing w:after="0" w:line="210"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92" w:lineRule="exact"/>
        <w:rPr>
          <w:sz w:val="20"/>
          <w:szCs w:val="20"/>
          <w:color w:val="auto"/>
        </w:rPr>
      </w:pPr>
    </w:p>
    <w:p>
      <w:pPr>
        <w:ind w:right="40" w:firstLine="395"/>
        <w:spacing w:after="0" w:line="245" w:lineRule="auto"/>
        <w:rPr>
          <w:sz w:val="20"/>
          <w:szCs w:val="20"/>
          <w:color w:val="auto"/>
        </w:rPr>
      </w:pPr>
      <w:r>
        <w:rPr>
          <w:rFonts w:ascii="Times New Roman" w:cs="Times New Roman" w:eastAsia="Times New Roman" w:hAnsi="Times New Roman"/>
          <w:sz w:val="18"/>
          <w:szCs w:val="18"/>
          <w:color w:val="auto"/>
        </w:rPr>
        <w:t>Our quarterly financial results, key metrics, and other operating metrics have fluctuated in the past and will continue to do so in the future. These fluctuations have in the past caused and could in the future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have in the past caused and could in the future cause our financial results, key metrics, and other operating metrics to fluctuate include:</w:t>
      </w:r>
    </w:p>
    <w:p>
      <w:pPr>
        <w:spacing w:after="0" w:line="3" w:lineRule="exact"/>
        <w:rPr>
          <w:sz w:val="20"/>
          <w:szCs w:val="20"/>
          <w:color w:val="auto"/>
        </w:rPr>
      </w:pPr>
    </w:p>
    <w:p>
      <w:pPr>
        <w:ind w:left="640" w:right="220" w:hanging="319"/>
        <w:spacing w:after="0" w:line="235" w:lineRule="auto"/>
        <w:tabs>
          <w:tab w:leader="none" w:pos="6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economic, business, and political conditions in Europe and APAC including from an economic downturn or recession in the United States or other countries, as well as economic and regulatory uncertainty;</w:t>
      </w:r>
    </w:p>
    <w:p>
      <w:pPr>
        <w:spacing w:after="0" w:line="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produce sufficient revenue, billings, subscription, profitability, and cash flow growth;</w:t>
      </w:r>
    </w:p>
    <w:p>
      <w:pPr>
        <w:spacing w:after="0" w:line="21" w:lineRule="exact"/>
        <w:rPr>
          <w:rFonts w:ascii="Arial" w:cs="Arial" w:eastAsia="Arial" w:hAnsi="Arial"/>
          <w:sz w:val="21"/>
          <w:szCs w:val="21"/>
          <w:color w:val="auto"/>
        </w:rPr>
      </w:pPr>
    </w:p>
    <w:p>
      <w:pPr>
        <w:ind w:left="640" w:right="480" w:hanging="319"/>
        <w:spacing w:after="0" w:line="229" w:lineRule="auto"/>
        <w:tabs>
          <w:tab w:leader="none" w:pos="635"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accurately predict the impact of acquired businesses or to identify and realize the anticipated benefits of acquisitions, and successfully integrate such acquired businesses and technologies;</w:t>
      </w:r>
    </w:p>
    <w:p>
      <w:pPr>
        <w:ind w:left="640" w:hanging="319"/>
        <w:spacing w:after="0" w:line="235" w:lineRule="auto"/>
        <w:tabs>
          <w:tab w:leader="none" w:pos="6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 to named-user plans and annual billing of multi-year contracts, which impacted the timing of our billings and cash collections in fiscal year 2024, 2025 and 2026 and which is expected to continue into fiscal year 2027;</w:t>
      </w:r>
    </w:p>
    <w:p>
      <w:pPr>
        <w:spacing w:after="0" w:line="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successfully introduce and expand new transaction models such as Flex;</w:t>
      </w:r>
    </w:p>
    <w:p>
      <w:pPr>
        <w:spacing w:after="0" w:line="15"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potential goodwill impairment charges related to prior acquisitions;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manage spend;</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billings linearity;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subscription mix, pricing pressure, or changes in subscription pricing;</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weak or negative growth in one or more of the industries we serve, including AECO, manufacturing, and digital media and entertainment markets;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the success of new business or sales initiatives;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security breaches and incidents, related reputational harm, and potential financial penalties to customers and government entities;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restructuring or other accounting charges and unexpected costs or other operating expenses;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additional investments in our technologies or deployment of our services;</w:t>
      </w:r>
    </w:p>
    <w:p>
      <w:pPr>
        <w:spacing w:after="0" w:line="22" w:lineRule="exact"/>
        <w:rPr>
          <w:rFonts w:ascii="Arial" w:cs="Arial" w:eastAsia="Arial" w:hAnsi="Arial"/>
          <w:sz w:val="21"/>
          <w:szCs w:val="21"/>
          <w:color w:val="auto"/>
        </w:rPr>
      </w:pPr>
    </w:p>
    <w:p>
      <w:pPr>
        <w:ind w:left="640" w:right="460" w:hanging="319"/>
        <w:spacing w:after="0" w:line="234" w:lineRule="auto"/>
        <w:tabs>
          <w:tab w:leader="none" w:pos="635"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revenue recognition or other accounting guidelines employed by us and/or established by the Financial Accounting Standards Board, Securities and Exchange Commission, or other rulemaking bodies;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fluctuations in foreign currency exchange rates and the effectiveness of our hedging activity;</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dependence on and timing of large transactions;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adjustments arising from ongoing or future tax examinations;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the ability of governments around the world to adopt fiscal policies, meet their financial and debt obligations, and finance infrastructure projects;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expand our AutoCAD and AutoCAD LT customer base to related design products and services;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46" w:name="page47"/>
    <w:bookmarkEnd w:id="46"/>
    <w:p>
      <w:pPr>
        <w:ind w:left="640" w:right="240" w:hanging="319"/>
        <w:spacing w:after="0" w:line="234" w:lineRule="auto"/>
        <w:tabs>
          <w:tab w:leader="none" w:pos="63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rapidly adapt to technological and customer preference changes, including those related to cloud computing, mobile devices, and new computing platforms;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the introduction of new products by us or our competitors;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the financial and business condition of our reseller and distribution channels;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perceived or actual technical or other problems with a product or combination of subscriptions;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unexpected or negative outcomes of matters and expenses relating to litigation or regulatory inquiries;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increases in cloud functionality-related expenses;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timing of releases and retirements of offerings;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tax laws or tax or accounting rules and regulations, such as increased use of fair value measures;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sales compensation practices;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effectively implement and maintain our copyright legalization programs, especially in developing countries;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renegotiation or termination of royalty or intellectual property arrangements;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interruptions or terminations in the business of our consultants or third-party developers;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timing and degree of expected investments in growth and efficiency opportunities;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achieve continued success in technology advancements;</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catastrophic events, natural disasters, or public health events, such as pandemics and epidemics;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regulatory compliance costs; and</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appropriately estimate the scope of services under consulting arrangements.</w:t>
      </w:r>
    </w:p>
    <w:p>
      <w:pPr>
        <w:spacing w:after="0" w:line="220"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We have also experienced fluctuations in financial results in interim periods in certain geographic regions due to seasonality or regional economic or political conditions. In particular, our financial results, key metrics, or other operating metrics in Europe during our third quarter are usually affected by a slower summer period, and our APAC operations typically experience seasonal slowing in our fourth quarter. War, geopolitical conflicts, and any related political or economic responses and counter-responses or otherwise by various global actors or the general effect on the global economy, could also affect our business.</w:t>
      </w:r>
    </w:p>
    <w:p>
      <w:pPr>
        <w:spacing w:after="0" w:line="212"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20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i w:val="1"/>
          <w:iCs w:val="1"/>
          <w:color w:val="auto"/>
        </w:rPr>
        <w:t>We derive a substantial portion of our net revenue from a small number of solutions, including our AutoCAD-based software products and collections, and if these offerings are not successful, our revenue would be adversely affected.</w:t>
      </w:r>
    </w:p>
    <w:p>
      <w:pPr>
        <w:spacing w:after="0" w:line="192" w:lineRule="exact"/>
        <w:rPr>
          <w:sz w:val="20"/>
          <w:szCs w:val="20"/>
          <w:color w:val="auto"/>
        </w:rPr>
      </w:pPr>
    </w:p>
    <w:p>
      <w:pPr>
        <w:ind w:right="100" w:firstLine="434"/>
        <w:spacing w:after="0" w:line="249" w:lineRule="auto"/>
        <w:rPr>
          <w:sz w:val="20"/>
          <w:szCs w:val="20"/>
          <w:color w:val="auto"/>
        </w:rPr>
      </w:pPr>
      <w:r>
        <w:rPr>
          <w:rFonts w:ascii="Times New Roman" w:cs="Times New Roman" w:eastAsia="Times New Roman" w:hAnsi="Times New Roman"/>
          <w:sz w:val="18"/>
          <w:szCs w:val="18"/>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both the three months ended April 30, 2026 and 2025, combined revenue from our AutoCAD and AutoCAD LT family products, not including collections having AutoCAD or AutoCAD LT as a component, represented 25% of our total net revenue.</w:t>
      </w:r>
    </w:p>
    <w:p>
      <w:pPr>
        <w:spacing w:after="0" w:line="210"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92" w:lineRule="exact"/>
        <w:rPr>
          <w:sz w:val="20"/>
          <w:szCs w:val="20"/>
          <w:color w:val="auto"/>
        </w:rPr>
      </w:pPr>
    </w:p>
    <w:p>
      <w:pPr>
        <w:ind w:firstLine="434"/>
        <w:spacing w:after="0" w:line="248" w:lineRule="auto"/>
        <w:rPr>
          <w:sz w:val="20"/>
          <w:szCs w:val="20"/>
          <w:color w:val="auto"/>
        </w:rPr>
      </w:pPr>
      <w:r>
        <w:rPr>
          <w:rFonts w:ascii="Times New Roman" w:cs="Times New Roman" w:eastAsia="Times New Roman" w:hAnsi="Times New Roman"/>
          <w:sz w:val="18"/>
          <w:szCs w:val="18"/>
          <w:color w:val="auto"/>
        </w:rPr>
        <w:t>As part of our effort to accommodate our customers’ needs and demands and the rapid evolution of technology, from time to time we evolve our business and sales initiatives, such as shifting to annual billing of multi-year contracts, introducing and expanding new business models such as the new transaction model and Flex,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11" w:right="379" w:bottom="1440" w:gutter="0" w:footer="0" w:header="0"/>
        </w:sectPr>
      </w:pPr>
    </w:p>
    <w:bookmarkStart w:id="47" w:name="page48"/>
    <w:bookmarkEnd w:id="47"/>
    <w:p>
      <w:pPr>
        <w:ind w:right="400"/>
        <w:spacing w:after="0" w:line="268" w:lineRule="auto"/>
        <w:rPr>
          <w:sz w:val="20"/>
          <w:szCs w:val="20"/>
          <w:color w:val="auto"/>
        </w:rPr>
      </w:pPr>
      <w:r>
        <w:rPr>
          <w:rFonts w:ascii="Times New Roman" w:cs="Times New Roman" w:eastAsia="Times New Roman" w:hAnsi="Times New Roman"/>
          <w:sz w:val="18"/>
          <w:szCs w:val="18"/>
          <w:color w:val="auto"/>
        </w:rPr>
        <w:t>initiatives proves incorrect, or our attempts to improve efficiency are not successful, our actual results may vary materially from those anticipated, and our financial results will be negatively impacted.</w:t>
      </w:r>
    </w:p>
    <w:p>
      <w:pPr>
        <w:spacing w:after="0" w:line="19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i w:val="1"/>
          <w:iCs w:val="1"/>
          <w:color w:val="auto"/>
        </w:rPr>
        <w:t>We may not successfully execute or achieve the expected benefits of our restructuring plan and other measures we may take in the future, and our efforts may adversely affect our business.</w:t>
      </w:r>
    </w:p>
    <w:p>
      <w:pPr>
        <w:spacing w:after="0" w:line="1" w:lineRule="exact"/>
        <w:rPr>
          <w:sz w:val="20"/>
          <w:szCs w:val="20"/>
          <w:color w:val="auto"/>
        </w:rPr>
      </w:pPr>
    </w:p>
    <w:p>
      <w:pPr>
        <w:ind w:right="80" w:firstLine="395"/>
        <w:spacing w:after="0" w:line="278" w:lineRule="auto"/>
        <w:rPr>
          <w:sz w:val="20"/>
          <w:szCs w:val="20"/>
          <w:color w:val="auto"/>
        </w:rPr>
      </w:pPr>
      <w:r>
        <w:rPr>
          <w:rFonts w:ascii="Times New Roman" w:cs="Times New Roman" w:eastAsia="Times New Roman" w:hAnsi="Times New Roman"/>
          <w:sz w:val="16"/>
          <w:szCs w:val="16"/>
          <w:color w:val="auto"/>
        </w:rPr>
        <w:t>During the first quarter of fiscal 2026, we initiated a restructuring plan (the “2026 Plan”), to support Autodesk's initiatives to optimize its go-to-market organization and, at the same time, to reallocate resources to Autodesk’s strategic priorities such as investments in cloud, platform, and artificial intelligence. During the fourth quarter of fiscal 2026, we initiated another restructuring plan (the "January 2026 Plan") that marks the final phase of our sales and marketing optimization program. These measures are intended to address our short and long-term objectives and are based on our current estimates, assumptions, and forecasts, which are subject to known and unknown risks and uncertainties. Implementation of these and any other initiatives may not achieve our expected benefits, may be disruptive to our business, the expected costs and charges may be greater than we have forecasted, and the estimated cost savings may be lower than we have forecasted. In addition, our 2026 Plan and January 2026 Plan could result in personnel attrition beyond our planned reduction in headcount or could reduce employee morale, which could in turn adversely impact productivity, including through a loss of continuity, loss of accumulated knowledge and/or inefficiency during transitional periods, could affect our ability to attract highly skilled employees, or may otherwise adversely affect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revenue, billings, earnings, cash flow, or subscriptions shortfalls or volatility of the market generally may cause the market price of our stock to decline.</w:t>
      </w:r>
    </w:p>
    <w:p>
      <w:pPr>
        <w:spacing w:after="0" w:line="265" w:lineRule="exact"/>
        <w:rPr>
          <w:sz w:val="20"/>
          <w:szCs w:val="20"/>
          <w:color w:val="auto"/>
        </w:rPr>
      </w:pPr>
    </w:p>
    <w:p>
      <w:pPr>
        <w:ind w:right="240" w:firstLine="395"/>
        <w:spacing w:after="0" w:line="250" w:lineRule="auto"/>
        <w:rPr>
          <w:sz w:val="20"/>
          <w:szCs w:val="20"/>
          <w:color w:val="auto"/>
        </w:rPr>
      </w:pPr>
      <w:r>
        <w:rPr>
          <w:rFonts w:ascii="Times New Roman" w:cs="Times New Roman" w:eastAsia="Times New Roman" w:hAnsi="Times New Roman"/>
          <w:sz w:val="18"/>
          <w:szCs w:val="18"/>
          <w:color w:val="auto"/>
        </w:rPr>
        <w:t>The market price for our common stock has experienced significant fluctuations and may continue to fluctuate significantly. The market price for our common stock has in the past been, and in the future may be, affected by a number of factors, including the other risks described in these risk factors and the following:</w:t>
      </w:r>
    </w:p>
    <w:p>
      <w:pPr>
        <w:spacing w:after="0" w:line="24" w:lineRule="exact"/>
        <w:rPr>
          <w:sz w:val="20"/>
          <w:szCs w:val="20"/>
          <w:color w:val="auto"/>
        </w:rPr>
      </w:pPr>
    </w:p>
    <w:p>
      <w:pPr>
        <w:ind w:left="640" w:right="20" w:hanging="319"/>
        <w:spacing w:after="0" w:line="237" w:lineRule="auto"/>
        <w:tabs>
          <w:tab w:leader="none" w:pos="63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shortfalls in our expected financial results, including net revenue, billings, earnings, and cash flow or key performance metrics, such as subscriptions, and how those results compare to securities analyst expectations, including whether those results fail to meet, exceed, or significantly exceed securities analyst expectations;</w:t>
      </w:r>
    </w:p>
    <w:p>
      <w:pPr>
        <w:spacing w:after="0" w:line="2" w:lineRule="exact"/>
        <w:rPr>
          <w:rFonts w:ascii="Arial" w:cs="Arial" w:eastAsia="Arial" w:hAnsi="Arial"/>
          <w:sz w:val="21"/>
          <w:szCs w:val="21"/>
          <w:color w:val="auto"/>
        </w:rPr>
      </w:pPr>
    </w:p>
    <w:p>
      <w:pPr>
        <w:ind w:left="640" w:hanging="319"/>
        <w:spacing w:after="0" w:line="237" w:lineRule="auto"/>
        <w:tabs>
          <w:tab w:leader="none" w:pos="64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quarterly variations in our or our competitors’ results of operations;</w:t>
      </w:r>
    </w:p>
    <w:p>
      <w:pPr>
        <w:ind w:left="640" w:hanging="319"/>
        <w:spacing w:after="0" w:line="235" w:lineRule="auto"/>
        <w:tabs>
          <w:tab w:leader="none" w:pos="6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political, or market conditions, including from an economic downturn or recession in the United States or in other countries, as well as economic and regulatory uncertainty;</w:t>
      </w:r>
    </w:p>
    <w:p>
      <w:pPr>
        <w:spacing w:after="0" w:line="22" w:lineRule="exact"/>
        <w:rPr>
          <w:rFonts w:ascii="Times New Roman" w:cs="Times New Roman" w:eastAsia="Times New Roman" w:hAnsi="Times New Roman"/>
          <w:sz w:val="18"/>
          <w:szCs w:val="18"/>
          <w:color w:val="auto"/>
        </w:rPr>
      </w:pPr>
    </w:p>
    <w:p>
      <w:pPr>
        <w:ind w:left="640" w:right="20" w:hanging="319"/>
        <w:spacing w:after="0" w:line="234" w:lineRule="auto"/>
        <w:tabs>
          <w:tab w:leader="none" w:pos="63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uncertainty about certain governments’ abilities to repay debt or effect fiscal policy;</w:t>
      </w:r>
    </w:p>
    <w:p>
      <w:pPr>
        <w:spacing w:after="0" w:line="21" w:lineRule="exact"/>
        <w:rPr>
          <w:rFonts w:ascii="Arial" w:cs="Arial" w:eastAsia="Arial" w:hAnsi="Arial"/>
          <w:sz w:val="21"/>
          <w:szCs w:val="21"/>
          <w:color w:val="auto"/>
        </w:rPr>
      </w:pPr>
    </w:p>
    <w:p>
      <w:pPr>
        <w:ind w:left="640" w:right="220" w:hanging="319"/>
        <w:spacing w:after="0" w:line="246" w:lineRule="auto"/>
        <w:tabs>
          <w:tab w:leader="none" w:pos="6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or enhancements by us or our competitors as well as market perception of disruptive technologies such as machine learning and other AI technologies;</w:t>
      </w:r>
    </w:p>
    <w:p>
      <w:pPr>
        <w:spacing w:after="0" w:line="1" w:lineRule="exact"/>
        <w:rPr>
          <w:rFonts w:ascii="Times New Roman" w:cs="Times New Roman" w:eastAsia="Times New Roman" w:hAnsi="Times New Roman"/>
          <w:sz w:val="18"/>
          <w:szCs w:val="18"/>
          <w:color w:val="auto"/>
        </w:rPr>
      </w:pPr>
    </w:p>
    <w:p>
      <w:pPr>
        <w:ind w:left="640" w:hanging="319"/>
        <w:spacing w:after="0" w:line="235" w:lineRule="auto"/>
        <w:tabs>
          <w:tab w:leader="none" w:pos="64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unusual events such as significant acquisitions, divestitures, regulatory actions, and litigation;</w:t>
      </w:r>
    </w:p>
    <w:p>
      <w:pPr>
        <w:spacing w:after="0" w:line="22" w:lineRule="exact"/>
        <w:rPr>
          <w:rFonts w:ascii="Arial" w:cs="Arial" w:eastAsia="Arial" w:hAnsi="Arial"/>
          <w:sz w:val="21"/>
          <w:szCs w:val="21"/>
          <w:color w:val="auto"/>
        </w:rPr>
      </w:pPr>
    </w:p>
    <w:p>
      <w:pPr>
        <w:ind w:left="640" w:hanging="319"/>
        <w:spacing w:after="0"/>
        <w:tabs>
          <w:tab w:leader="none" w:pos="64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laws, rules, or regulations applicable to our business;</w:t>
      </w:r>
    </w:p>
    <w:p>
      <w:pPr>
        <w:spacing w:after="0" w:line="15"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outstanding debt service obligations;</w:t>
      </w:r>
    </w:p>
    <w:p>
      <w:pPr>
        <w:spacing w:after="0" w:line="2" w:lineRule="exact"/>
        <w:rPr>
          <w:rFonts w:ascii="Arial" w:cs="Arial" w:eastAsia="Arial" w:hAnsi="Arial"/>
          <w:sz w:val="21"/>
          <w:szCs w:val="21"/>
          <w:color w:val="auto"/>
        </w:rPr>
      </w:pPr>
    </w:p>
    <w:p>
      <w:pPr>
        <w:ind w:left="640" w:hanging="319"/>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activist shareholders or others, and our response to such actions; and</w:t>
      </w:r>
    </w:p>
    <w:p>
      <w:pPr>
        <w:spacing w:after="0" w:line="23" w:lineRule="exact"/>
        <w:rPr>
          <w:rFonts w:ascii="Times New Roman" w:cs="Times New Roman" w:eastAsia="Times New Roman" w:hAnsi="Times New Roman"/>
          <w:sz w:val="18"/>
          <w:szCs w:val="18"/>
          <w:color w:val="auto"/>
        </w:rPr>
      </w:pPr>
    </w:p>
    <w:p>
      <w:pPr>
        <w:ind w:left="640" w:right="160" w:hanging="319"/>
        <w:spacing w:after="0" w:line="234" w:lineRule="auto"/>
        <w:tabs>
          <w:tab w:leader="none" w:pos="63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other factors, including factors unrelated to our operating performance, such as instability affecting the economy or the operating performance of our competitors.</w:t>
      </w:r>
    </w:p>
    <w:p>
      <w:pPr>
        <w:spacing w:after="0" w:line="221"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204"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92"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8" w:name="page49"/>
    <w:bookmarkEnd w:id="48"/>
    <w:p>
      <w:pPr>
        <w:ind w:right="280"/>
        <w:spacing w:after="0" w:line="252" w:lineRule="auto"/>
        <w:rPr>
          <w:sz w:val="20"/>
          <w:szCs w:val="20"/>
          <w:color w:val="auto"/>
        </w:rPr>
      </w:pPr>
      <w:r>
        <w:rPr>
          <w:rFonts w:ascii="Times New Roman" w:cs="Times New Roman" w:eastAsia="Times New Roman" w:hAnsi="Times New Roman"/>
          <w:sz w:val="18"/>
          <w:szCs w:val="18"/>
          <w:color w:val="auto"/>
        </w:rPr>
        <w:t>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08"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i w:val="1"/>
          <w:iCs w:val="1"/>
          <w:color w:val="auto"/>
        </w:rPr>
        <w:t>We incorporate AI into our offerings, and challenges with properly managing its use could result in competitive harm, reputational harm, or liability, and adversely affect our results of operations.</w:t>
      </w:r>
    </w:p>
    <w:p>
      <w:pPr>
        <w:spacing w:after="0" w:line="192"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We are increasingly building AI into many of our offerings. We expect to rely on AI technologies to help drive future growth in our business, but there can be no assurance that we will realize the desired or anticipated benefits from AI or at all. We may also fail to properly implement or market our AI offerings. As with many innovations, AI presents risks and challenges that could affect its adoption, and therefore our business. Our competitors or other third parties may incorporate AI into their products more quickly or more successfully than us, which could impair our ability to compete effectively and adversely affect our results of operations. The costs associated with developing and maintaining our AI offerings could exceed any financial benefits, at least for some period. Additionally, our offerings based on or otherwise leveraging AI may expose us to additional lawsuits and regulatory investigations and other proceedings and subject us to legal liability as well as brand and reputational harm. For example, if the content, analyses, or recommendations that AI applications assist in producing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w:t>
      </w:r>
    </w:p>
    <w:p>
      <w:pPr>
        <w:spacing w:after="0" w:line="188" w:lineRule="exact"/>
        <w:rPr>
          <w:sz w:val="20"/>
          <w:szCs w:val="20"/>
          <w:color w:val="auto"/>
        </w:rPr>
      </w:pPr>
    </w:p>
    <w:p>
      <w:pPr>
        <w:ind w:firstLine="395"/>
        <w:spacing w:after="0" w:line="236" w:lineRule="auto"/>
        <w:rPr>
          <w:sz w:val="20"/>
          <w:szCs w:val="20"/>
          <w:color w:val="auto"/>
        </w:rPr>
      </w:pPr>
      <w:r>
        <w:rPr>
          <w:rFonts w:ascii="Times New Roman" w:cs="Times New Roman" w:eastAsia="Times New Roman" w:hAnsi="Times New Roman"/>
          <w:sz w:val="18"/>
          <w:szCs w:val="18"/>
          <w:color w:val="auto"/>
        </w:rPr>
        <w:t>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Government regulation addressing AI ethics, transparency requirements, or other aspects of the development, or use, or deployment of AI may also increase the burden and cost of research, development, and other activities, which may increase our costs, limit our ability to leverage AI, and subject us to brand or reputational harm, competitive harm, or legal liability. For example, the European Union’s Artificial Intelligence Act (the “AI Act”), which achieved approval by the European Council on February 2, 2024, and the European Parliament on March 13, 2024, imposes obligations on providers and users of AI technologies. Some U.S. states have proposed, and in certain cases enacted, laws addressing aspects of the development and use of AI. Failure to address AI ethical and regulatory issues by us or others in our industry could undermine public confidence in AI, slow adoption of AI in our products and services, and subject us to claims, demands, and proceedings from private actors, regulatory investigations and other proceedings by regulatory authorities, and fines, penalties, and other liabilities.</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i w:val="1"/>
          <w:iCs w:val="1"/>
          <w:color w:val="auto"/>
        </w:rPr>
        <w:t>Autodesk and certain of its current and former executives and directors have been named as defendants in ongoing shareholder lawsuits, which may result in additional expense and/or litigation.</w:t>
      </w:r>
    </w:p>
    <w:p>
      <w:pPr>
        <w:spacing w:after="0" w:line="192"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Autodesk and certain of our officers and directors have been named in purported federal securities class action litigation arising out of our announcement of an internal investigation regarding Autodesk’s free cash flow and non-GAAP operating margin practices. For additional discussion, see Part II, Item 1. Legal Proceedings and Note 14 to our Consolidated Financial Statements. The pending litigation, and any future litigation, investigation or other actions that may be filed or initiated against us or our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spacing w:after="0" w:line="212" w:lineRule="exact"/>
        <w:rPr>
          <w:sz w:val="20"/>
          <w:szCs w:val="20"/>
          <w:color w:val="auto"/>
        </w:rPr>
      </w:pPr>
    </w:p>
    <w:p>
      <w:pPr>
        <w:ind w:right="180" w:firstLine="395"/>
        <w:spacing w:after="0" w:line="289" w:lineRule="auto"/>
        <w:rPr>
          <w:sz w:val="20"/>
          <w:szCs w:val="20"/>
          <w:color w:val="auto"/>
        </w:rPr>
      </w:pPr>
      <w:r>
        <w:rPr>
          <w:rFonts w:ascii="Times New Roman" w:cs="Times New Roman" w:eastAsia="Times New Roman" w:hAnsi="Times New Roman"/>
          <w:sz w:val="16"/>
          <w:szCs w:val="16"/>
          <w:color w:val="auto"/>
        </w:rPr>
        <w:t>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may be exposed to substantial uninsured liabilities, including pursuant to our indemnification obligations, which could adversely affect our business, prospects, results of operations and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Operations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9" w:name="page50"/>
    <w:bookmarkEnd w:id="49"/>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Security breaches or incidents may compromise the integrity of our or our customers’ systems, solutions, offerings, services, applications, data, or intellectual property, harm our reputation, damage our competitiveness, create additional liability, and adversely impact our financial results.</w:t>
      </w:r>
    </w:p>
    <w:p>
      <w:pPr>
        <w:spacing w:after="0" w:line="192" w:lineRule="exact"/>
        <w:rPr>
          <w:sz w:val="20"/>
          <w:szCs w:val="20"/>
          <w:color w:val="auto"/>
        </w:rPr>
      </w:pPr>
    </w:p>
    <w:p>
      <w:pPr>
        <w:ind w:right="20" w:firstLine="395"/>
        <w:spacing w:after="0" w:line="282" w:lineRule="auto"/>
        <w:rPr>
          <w:sz w:val="20"/>
          <w:szCs w:val="20"/>
          <w:color w:val="auto"/>
        </w:rPr>
      </w:pPr>
      <w:r>
        <w:rPr>
          <w:rFonts w:ascii="Times New Roman" w:cs="Times New Roman" w:eastAsia="Times New Roman" w:hAnsi="Times New Roman"/>
          <w:sz w:val="16"/>
          <w:szCs w:val="16"/>
          <w:color w:val="auto"/>
        </w:rPr>
        <w:t>As we digitize Autodesk and use cloud- and web-based technologies to leverage customer data to deliver the total customer experience, we are exposed to increased security risks and the potential for unauthorized access to, or improper use, disclosure, or other processing of, our and our customers’ information. Like other software offerings and systems, ours are vulnerable to security breaches and incidents, including those from acquired companies. Also, our ability to mitigate the risk of security breaches and incidents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Despite these efforts, we have been subject to security breaches and incidents, and we face the risks of them occurring in the future, as well as the risks of delays and other difficulties in identifying, responding to, or remediating security breaches or incidents.</w:t>
      </w:r>
    </w:p>
    <w:p>
      <w:pPr>
        <w:spacing w:after="0" w:line="192" w:lineRule="exact"/>
        <w:rPr>
          <w:sz w:val="20"/>
          <w:szCs w:val="20"/>
          <w:color w:val="auto"/>
        </w:rPr>
      </w:pPr>
    </w:p>
    <w:p>
      <w:pPr>
        <w:ind w:right="20" w:firstLine="395"/>
        <w:spacing w:after="0" w:line="245" w:lineRule="auto"/>
        <w:rPr>
          <w:sz w:val="20"/>
          <w:szCs w:val="20"/>
          <w:color w:val="auto"/>
        </w:rPr>
      </w:pPr>
      <w:r>
        <w:rPr>
          <w:rFonts w:ascii="Times New Roman" w:cs="Times New Roman" w:eastAsia="Times New Roman" w:hAnsi="Times New Roman"/>
          <w:sz w:val="18"/>
          <w:szCs w:val="18"/>
          <w:color w:val="auto"/>
        </w:rPr>
        <w:t>Hackers regularly have targeted our systems, offerings, services, and applications, and we expect them to do so in the future. To date, we have not considered any such identified security events as material to us, including to our reputation or business operations, or had a material financial impact, but there can be no assurance that future cyberattacks will not be material or otherwise significant. Security breaches or incidents disrupt the proper functioning of our systems, solutions, offerings, applications, or services; cause errors in the output of our customers’ work; allow unauthorized access to or unauthorized use, disclosure, modification, loss, unavailability, or destruction of, sensitive data or intellectual property, including proprietary or confidential information of ours or our customers; or cause other destructive or disruptive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among others, identity theft, unauthorized access, DNS attacks, wireless network attacks, viruses and worms, malware, bugs, vulnerabilities, advanced persistent threats, application-centric attacks, peer-to-peer attacks, social engineering, phishing, credential stuffing, malicious file uploads, backdoor trojans, supply chain attacks, ransomware attacks, and distributed denial of service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risks are compounded given the shift in recent years to work-from-home arrangements for a large population of employees and contractors, as well as employees and contractors of our third-party technology providers and vendors, and the risks could also be elevated in connection with the ongoing wars between Ukraine and Russia and conflicts in the Middle East as we and our third-party technology providers and vendors are vulnerable to a heightened risk of cyberattacks from or affiliated with nation-state actors, including retaliatory attacks from Russian actors against U.S.-based companies. Additionally, these threats continue to evolve in sophistication and volume and are difficult to detect and predict due to advances in electronic warfare techniques, advances in cryptography and other technologies, including AI and machine learning. AI and machine learning technologies have the potential to increase the impact and speed of cyber-attacks, and may be able to be used to detect, and take advantage of vulnerabilities in, systems or networks. Our use of AI may increase our risks of being subject to a security breach or incident or increase the impact of certain attacks, breaches, or incidents. Despite our significant efforts to create security barriers to such threats, we cannot entirely mitigate these risks, and there is no guarantee that inadvertent or unauthorized use or disclosure of such information will not occur or that third parties will not gain unauthorized access to such information.</w:t>
      </w:r>
    </w:p>
    <w:p>
      <w:pPr>
        <w:spacing w:after="0" w:line="220"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security breaches or incidents involving certain types of personal data and personal information. We are also contractually required to notify certain customers of certain security breaches or incidents. Any security breach or incident suffered, or believed to have been suffered, by us or by our technology providers or vendors could result in harm to our reputation and competitive position, difficulty attracting new customers (including government customers), retaining existing customers, and securing payment from customers, our expenditure of significant capital and other resources to evaluate and alleviate the security incident and to try to prevent further or additional incidents, and regulatory inquiries, investigations, and other proceedings, private claims, demands, lawsuits, potential liability, and the potential loss of our authorization under the Federal Risk and Authorization Management Program (“FedRAMP”).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breach or incident, and our financial performance could be negatively impacted.</w:t>
      </w:r>
    </w:p>
    <w:p>
      <w:pPr>
        <w:spacing w:after="0" w:line="22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incident.</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0" w:name="page51"/>
    <w:bookmarkEnd w:id="50"/>
    <w:p>
      <w:pPr>
        <w:ind w:right="60"/>
        <w:spacing w:after="0" w:line="250" w:lineRule="auto"/>
        <w:rPr>
          <w:sz w:val="20"/>
          <w:szCs w:val="20"/>
          <w:color w:val="auto"/>
        </w:rPr>
      </w:pPr>
      <w:r>
        <w:rPr>
          <w:rFonts w:ascii="Times New Roman" w:cs="Times New Roman" w:eastAsia="Times New Roman" w:hAnsi="Times New Roman"/>
          <w:sz w:val="18"/>
          <w:szCs w:val="18"/>
          <w:color w:val="auto"/>
        </w:rPr>
        <w:t>We also cannot be sure that our existing insurance coverage will continue to be available on acceptable terms or will be 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4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i w:val="1"/>
          <w:iCs w:val="1"/>
          <w:color w:val="auto"/>
        </w:rPr>
        <w:t>Our use of third-party open source software could negatively affect our ability to sell subscriptions to access our products and subject us to possible litigation and greater security risks.</w:t>
      </w:r>
    </w:p>
    <w:p>
      <w:pPr>
        <w:spacing w:after="0" w:line="19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 applicable license, 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 source licenses, we may be required to publicly release certain portions of our proprietary source code. We could also be required to expend substantial time and resources to re-engineer some or all of our software. Any of the foregoing could materially adversely affect our business, financial condition, results of operations, and prospects.</w:t>
      </w:r>
    </w:p>
    <w:p>
      <w:pPr>
        <w:spacing w:after="0" w:line="21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spacing w:after="0" w:line="210"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spacing w:after="0" w:line="179"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Our ability to monitor such third parties’ security measures is limited. There have been and may continue to be significant supply chain attacks, and we cannot guarantee that our or our such third parties’ systems have not been breached or otherwise compromised or that they do not contain exploitable defects, bugs, or vulnerabilities that could result in an incident, breach, or other disruption to, our or these third parties’ systems. Any security breach or incident involving such third parties could compromise the integrity or availability of, or result in the theft or unauthorized use, modification, or other processing of, our and our customers’ data. In addition, our operations or the operations of our customers or partners could be negatively affected in the event of a security breach or incident and could be subject to the loss or theft of confidential or proprietary information, including source code. Unauthorized access to or other processing of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w:t>
      </w:r>
    </w:p>
    <w:p>
      <w:pPr>
        <w:spacing w:after="0" w:line="200" w:lineRule="exact"/>
        <w:rPr>
          <w:sz w:val="20"/>
          <w:szCs w:val="20"/>
          <w:color w:val="auto"/>
        </w:rPr>
      </w:pPr>
    </w:p>
    <w:p>
      <w:pPr>
        <w:spacing w:after="0" w:line="20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i w:val="1"/>
          <w:iCs w:val="1"/>
          <w:color w:val="auto"/>
        </w:rPr>
        <w:t>Delays in service from third-party service providers could expose us to liability, harm our reputation, damage our competitiveness, and adversely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1" w:name="page52"/>
    <w:bookmarkEnd w:id="51"/>
    <w:p>
      <w:pPr>
        <w:ind w:firstLine="395"/>
        <w:spacing w:after="0" w:line="250" w:lineRule="auto"/>
        <w:rPr>
          <w:sz w:val="20"/>
          <w:szCs w:val="20"/>
          <w:color w:val="auto"/>
        </w:rPr>
      </w:pPr>
      <w:r>
        <w:rPr>
          <w:rFonts w:ascii="Times New Roman" w:cs="Times New Roman" w:eastAsia="Times New Roman" w:hAnsi="Times New Roman"/>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laws relating to privacy, data protection, and cybersecurity in certain jurisdictions, and our financial results could be negatively impacted.</w:t>
      </w:r>
    </w:p>
    <w:p>
      <w:pPr>
        <w:spacing w:after="0" w:line="210" w:lineRule="exact"/>
        <w:rPr>
          <w:sz w:val="20"/>
          <w:szCs w:val="20"/>
          <w:color w:val="auto"/>
        </w:rPr>
      </w:pPr>
    </w:p>
    <w:p>
      <w:pPr>
        <w:spacing w:after="0" w:line="335" w:lineRule="auto"/>
        <w:rPr>
          <w:sz w:val="20"/>
          <w:szCs w:val="20"/>
          <w:color w:val="auto"/>
        </w:rPr>
      </w:pPr>
      <w:r>
        <w:rPr>
          <w:rFonts w:ascii="Times New Roman" w:cs="Times New Roman" w:eastAsia="Times New Roman" w:hAnsi="Times New Roman"/>
          <w:sz w:val="16"/>
          <w:szCs w:val="16"/>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46" w:lineRule="exact"/>
        <w:rPr>
          <w:sz w:val="20"/>
          <w:szCs w:val="20"/>
          <w:color w:val="auto"/>
        </w:rPr>
      </w:pPr>
    </w:p>
    <w:p>
      <w:pPr>
        <w:ind w:right="40" w:firstLine="395"/>
        <w:spacing w:after="0" w:line="284" w:lineRule="auto"/>
        <w:rPr>
          <w:sz w:val="20"/>
          <w:szCs w:val="20"/>
          <w:color w:val="auto"/>
        </w:rPr>
      </w:pPr>
      <w:r>
        <w:rPr>
          <w:rFonts w:ascii="Times New Roman" w:cs="Times New Roman" w:eastAsia="Times New Roman" w:hAnsi="Times New Roman"/>
          <w:sz w:val="16"/>
          <w:szCs w:val="16"/>
          <w:color w:val="auto"/>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185"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i w:val="1"/>
          <w:iCs w:val="1"/>
          <w:color w:val="auto"/>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spacing w:after="0" w:line="192" w:lineRule="exact"/>
        <w:rPr>
          <w:sz w:val="20"/>
          <w:szCs w:val="20"/>
          <w:color w:val="auto"/>
        </w:rPr>
      </w:pPr>
    </w:p>
    <w:p>
      <w:pPr>
        <w:jc w:val="both"/>
        <w:ind w:right="80" w:firstLine="395"/>
        <w:spacing w:after="0" w:line="256" w:lineRule="auto"/>
        <w:rPr>
          <w:sz w:val="20"/>
          <w:szCs w:val="20"/>
          <w:color w:val="auto"/>
        </w:rPr>
      </w:pPr>
      <w:r>
        <w:rPr>
          <w:rFonts w:ascii="Times New Roman" w:cs="Times New Roman" w:eastAsia="Times New Roman" w:hAnsi="Times New Roman"/>
          <w:sz w:val="18"/>
          <w:szCs w:val="18"/>
          <w:color w:val="auto"/>
        </w:rPr>
        <w:t>The software solutions that we offer are complex and, despite extensive testing and quality control, may contain errors, defects, or vulnerabilities. Some errors, defects, or vulnerabilities in our software solutions may only be discovered after they have been released. In addition, we have experienced, and may in the future experience, service disruptions, degradations, outages, and other performance problems in connection with our software solutions.</w:t>
      </w:r>
    </w:p>
    <w:p>
      <w:pPr>
        <w:spacing w:after="0" w:line="206"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spacing w:after="0" w:line="204" w:lineRule="exact"/>
        <w:rPr>
          <w:sz w:val="20"/>
          <w:szCs w:val="20"/>
          <w:color w:val="auto"/>
        </w:rPr>
      </w:pPr>
    </w:p>
    <w:p>
      <w:pPr>
        <w:ind w:right="540"/>
        <w:spacing w:after="0" w:line="257" w:lineRule="auto"/>
        <w:rPr>
          <w:sz w:val="20"/>
          <w:szCs w:val="20"/>
          <w:color w:val="auto"/>
        </w:rPr>
      </w:pPr>
      <w:r>
        <w:rPr>
          <w:rFonts w:ascii="Times New Roman" w:cs="Times New Roman" w:eastAsia="Times New Roman" w:hAnsi="Times New Roman"/>
          <w:sz w:val="18"/>
          <w:szCs w:val="18"/>
          <w:i w:val="1"/>
          <w:iCs w:val="1"/>
          <w:color w:val="auto"/>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spacing w:after="0" w:line="206"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We sell our software products both directly to end users and through a network of distributors and resellers. For the three months ended April 30, 2026 and 2025, approximately 28% and 45%, respectively, of our revenue was derived from indirect channel sales primarily through distributors and resellers. Our distributor, TD Synnex accounted for 9% and 20% of our total net revenue for the three months ended April 30, 2026 and 2025, respectively. We anticipate that our revenue by direct sales channel will continue to increase as a percentage of total net revenue. We expect our indirect channel will continue to transact and support a portion of our customers, particularly in emerging regions.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219"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Over time, we have modified and continue to modify aspects of our relationship with our distributors and resellers, such as their incentive programs, pricing to them, and our distribution model to motivate and reward them for aligning their businesses with our strategy and business objectives. Further, our distributors and resellers may lose confidence in our business, move to competitive products, or not have the skills or ability to support customers. In particular, if one or more of such distributors or resellers were unable to meet their obligations with respect to accounts payable to us, we could be forced to write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52" w:name="page53"/>
    <w:bookmarkEnd w:id="52"/>
    <w:p>
      <w:pPr>
        <w:ind w:right="60"/>
        <w:spacing w:after="0" w:line="268" w:lineRule="auto"/>
        <w:rPr>
          <w:sz w:val="20"/>
          <w:szCs w:val="20"/>
          <w:color w:val="auto"/>
        </w:rPr>
      </w:pPr>
      <w:r>
        <w:rPr>
          <w:rFonts w:ascii="Times New Roman" w:cs="Times New Roman" w:eastAsia="Times New Roman" w:hAnsi="Times New Roman"/>
          <w:sz w:val="18"/>
          <w:szCs w:val="18"/>
          <w:color w:val="auto"/>
        </w:rPr>
        <w:t>off such accounts and may be required to delay the recognition of revenue on future sales to these customers. These events could have a material adverse effect on our financial results.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software from third parties, and a failure to properly manage our use of third-party software could result in increased costs or loss of revenue.</w:t>
      </w:r>
    </w:p>
    <w:p>
      <w:pPr>
        <w:spacing w:after="0" w:line="242"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spacing w:after="0" w:line="21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affected if we are unable to attract and retain key personnel.</w:t>
      </w:r>
    </w:p>
    <w:p>
      <w:pPr>
        <w:spacing w:after="0" w:line="242"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including sales leadership personnel, could make it difficult to meet key objectives, such as timely and effective product introductions and financial goals.</w:t>
      </w:r>
    </w:p>
    <w:p>
      <w:pPr>
        <w:spacing w:after="0" w:line="21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92" w:lineRule="exact"/>
        <w:rPr>
          <w:sz w:val="20"/>
          <w:szCs w:val="20"/>
          <w:color w:val="auto"/>
        </w:rPr>
      </w:pPr>
    </w:p>
    <w:p>
      <w:pPr>
        <w:jc w:val="both"/>
        <w:ind w:right="120" w:firstLine="395"/>
        <w:spacing w:after="0" w:line="250" w:lineRule="auto"/>
        <w:rPr>
          <w:sz w:val="20"/>
          <w:szCs w:val="20"/>
          <w:color w:val="auto"/>
        </w:rPr>
      </w:pPr>
      <w:r>
        <w:rPr>
          <w:rFonts w:ascii="Times New Roman" w:cs="Times New Roman" w:eastAsia="Times New Roman" w:hAnsi="Times New Roman"/>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in licensing relationships and with third-party developers could adversely impact our business.</w:t>
      </w:r>
    </w:p>
    <w:p>
      <w:pPr>
        <w:spacing w:after="0" w:line="24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212"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Laws and Regulations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3" w:name="page54"/>
    <w:bookmarkEnd w:id="53"/>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Increasing regulatory focus on privacy, data protection, and cybersecurity issues, as well as new and expanding laws and regulations, and customer requirements, addressing AI, data localization and sovereignty, and the collection and processing of data and information, may impact our business and expose us to increased liability.</w:t>
      </w:r>
    </w:p>
    <w:p>
      <w:pPr>
        <w:spacing w:after="0" w:line="206"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 jurisdictions globally. We also collect and otherwise process personal data and personal information of our employees and contractors. As a result, numerous federal, state, and global laws and regulations relating to privacy, data protection, cybersecurity, and the collection, use, security, and other processing of personal data, personal information, and other data and information, apply to our data and information processing activities.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these matters proposed and enacted in various jurisdictions. Globally, laws such as the General Data Protection Regulation (“EU”) 2016/679 (“GDPR”) in the European Union and the Personal Information Protection Law (“PIPL”) in China have been enacted, and numerous other countries have proposed or have enacted laws concerning these matters, and we expect new laws, regulations, and industry standards concerning these matters to be proposed and enacted in various jurisdictions. In addition, new and emerging laws and regulations in the United States governing privacy, data protection, and cybersecurity, such as the California Consumer Privacy Act (“CCPA”), the California Privacy Rights Act (“CPRA”), other laws and regulations in other states, and numerous laws and regulations at the U.S. federal level, have been enacted or otherwise promulgated. These laws and regulations, as well as industry self-regulatory codes, industry standards, and other actual and asserted obligations to which we are or may be asserted to be subject,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AI and machine learning). These requirements, among others, may impact demand for our offerings and force us to bear the burden of expanded obligations in our contracts.</w:t>
      </w:r>
    </w:p>
    <w:p>
      <w:pPr>
        <w:spacing w:after="0" w:line="222" w:lineRule="exact"/>
        <w:rPr>
          <w:sz w:val="20"/>
          <w:szCs w:val="20"/>
          <w:color w:val="auto"/>
        </w:rPr>
      </w:pPr>
    </w:p>
    <w:p>
      <w:pPr>
        <w:ind w:right="40" w:firstLine="395"/>
        <w:spacing w:after="0" w:line="300" w:lineRule="auto"/>
        <w:rPr>
          <w:sz w:val="20"/>
          <w:szCs w:val="20"/>
          <w:color w:val="auto"/>
        </w:rPr>
      </w:pPr>
      <w:r>
        <w:rPr>
          <w:rFonts w:ascii="Times New Roman" w:cs="Times New Roman" w:eastAsia="Times New Roman" w:hAnsi="Times New Roman"/>
          <w:sz w:val="16"/>
          <w:szCs w:val="16"/>
          <w:color w:val="auto"/>
        </w:rPr>
        <w:t>Many laws and regulations relating to privacy and data protection impose restrictions on cross-border transfers of personal data. Available data transfer mechanisms impose obligations on us and other companies that engage in cross-border personal data transfers and are complex, uncertain, and subject to active</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6"/>
          <w:szCs w:val="16"/>
          <w:color w:val="auto"/>
        </w:rPr>
        <w:t>litigation and enforcement actions in a number of jurisdictions around the world. Data transfer mechanisms may be challenged, revoked, or otherwise modified. Numerous jurisdictions also have imposed data localization requirements, and we have faced, and expect to continue to face, customer requirements to maintain data in particular jurisdictions. We may, in addition to other impacts in connection with personal data transfer mechanisms or data localization requirements, be required to expend significant time and resources to update contractual arrangements and to comply with new and evolving obligations, experience additional costs associated with increased compliance burdens, and find it necessary or appropriate to stop using certain service providers, engage in new contract negotiations, localize certain personal data, or make other operational changes, all of which may impact our business, financial condition, and results of operations. Further, we face exposure to regulatory complaints, actions, and other proceedings, and the potential for substantial fines, other liabilities, and injunctions or other imposed requirements, in connection with transfers of personal data and data localization requirements.</w:t>
      </w:r>
    </w:p>
    <w:p>
      <w:pPr>
        <w:spacing w:after="0" w:line="192" w:lineRule="exact"/>
        <w:rPr>
          <w:sz w:val="20"/>
          <w:szCs w:val="20"/>
          <w:color w:val="auto"/>
        </w:rPr>
      </w:pPr>
    </w:p>
    <w:p>
      <w:pPr>
        <w:ind w:right="220" w:firstLine="395"/>
        <w:spacing w:after="0" w:line="276" w:lineRule="auto"/>
        <w:rPr>
          <w:sz w:val="20"/>
          <w:szCs w:val="20"/>
          <w:color w:val="auto"/>
        </w:rPr>
      </w:pPr>
      <w:r>
        <w:rPr>
          <w:rFonts w:ascii="Times New Roman" w:cs="Times New Roman" w:eastAsia="Times New Roman" w:hAnsi="Times New Roman"/>
          <w:sz w:val="18"/>
          <w:szCs w:val="18"/>
          <w:color w:val="auto"/>
        </w:rPr>
        <w:t>In addition, the CPRA and many other recently enacted state laws addressing privacy and cybersecurity provide for additional obligations and grant additional rights to consumers such as correction of personal information and additional opt-out rights. These laws have required us to modify our data processing practices and policies and may cause us to make additional modifications, and to incur substantial costs and expenses, in our efforts to comply. Additionally, privacy advocacy groups and technology and other industries are considering various new, additional, or different self-regulatory standards that may place, or be asserted to place, additional burdens on us.</w:t>
      </w:r>
    </w:p>
    <w:p>
      <w:pPr>
        <w:spacing w:after="0" w:line="191"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Evolving legislation and the interplay of federal and state laws may be subject to varying interpretations by courts and government agencies, creating complex compliance issues. These, as well as conflicting obligations imposed by laws and regulations in various jurisdictions around the world, have caused and may cause variation in requirements, increase restrictions and potential legal risk and impact strategies and the availability of, and our ability to process, previously useful data, potentially exposing us to additional expense, adverse publicity, and liability.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4" w:name="page55"/>
    <w:bookmarkEnd w:id="54"/>
    <w:p>
      <w:pPr>
        <w:ind w:firstLine="395"/>
        <w:spacing w:after="0" w:line="246" w:lineRule="auto"/>
        <w:rPr>
          <w:sz w:val="20"/>
          <w:szCs w:val="20"/>
          <w:color w:val="auto"/>
        </w:rPr>
      </w:pPr>
      <w:r>
        <w:rPr>
          <w:rFonts w:ascii="Times New Roman" w:cs="Times New Roman" w:eastAsia="Times New Roman" w:hAnsi="Times New Roman"/>
          <w:sz w:val="18"/>
          <w:szCs w:val="18"/>
          <w:color w:val="auto"/>
        </w:rPr>
        <w:t>Governments, regulators, plaintiffs’ attorneys, and privacy advocates have increased their focus on how companies collect, use, store, share, transmit, and otherwise process personal data, personal information, and certain other data and information. Any perception of our practices, products, offerings, or services as violating of individual privacy or data protection rights, or failing to comply with obligations under laws or regulations relating to privacy, data protection, or cybersecurity, may subject us to public criticism, lawsuits, reputational harm, or investigations, claims, demands, or other proceedings by regulators, industry groups or other third parties, all of which could disrupt or adversely impact our business and expose us to fines, penalties, and other liabilities. Moreover, because the interpretation and application of many laws, regulations, and other actual and asserted obligations relating to privacy, data protection, cybersecurity, and the collection, use, security, and other processing of data and information are uncertain, it is possible that these laws, regulations, and obligations may be interpreted and applied in a manner that is inconsistent with our practices or the features of our products, offerings, and services. We could be required to fundamentally change our business activities and practices or modify our products, offerings, and services, any of which could require significant additional expense and adversely affect our business and results of operations, including impacting our ability to innovate, delaying our development roadmap, negatively impacting our efforts to understand our customers, limiting the effectiveness of our marketing activities, adversely affecting our relationships with customers and our ability to compete, harming our margins, and subjecting us to additional liabilities.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spacing w:after="0" w:line="212"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i w:val="1"/>
          <w:iCs w:val="1"/>
          <w:color w:val="auto"/>
        </w:rPr>
        <w:t>We are subject to governmental export and import controls that could impair our ability to compete in international markets or subject us to liability if we violate the controls.</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Our offerings are subject to export controls and economic sanctions laws and regulations that prohibit the delivery of certain solutions and services or the</w:t>
      </w:r>
    </w:p>
    <w:p>
      <w:pPr>
        <w:spacing w:after="0" w:line="6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export of these solutions and services to locations, governments, and persons targeted by applicable sanctions without the required export authorizations. While we have processes to prevent our offerings from being exported in violation of these laws, including obtaining authorizations as appropriate and screening against U.S. government and applicable international lists of restricted and prohibited persons, we cannot guarantee that these processes will prevent all violations of export controls and sanctions laws and regulations.</w:t>
      </w:r>
    </w:p>
    <w:p>
      <w:pPr>
        <w:spacing w:after="0" w:line="21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controls and sanctions compliance requirements in our channel partner agreements. Complying with export controls and sanctions laws and regulations for a particular sale may be time-consuming and may result in the delay or loss of sales opportunities. Violations of applicable sanctions or export control laws or regulations can result in fines or penalties.</w:t>
      </w:r>
    </w:p>
    <w:p>
      <w:pPr>
        <w:spacing w:after="0" w:line="198" w:lineRule="exact"/>
        <w:rPr>
          <w:sz w:val="20"/>
          <w:szCs w:val="20"/>
          <w:color w:val="auto"/>
        </w:rPr>
      </w:pPr>
    </w:p>
    <w:p>
      <w:pPr>
        <w:ind w:right="560" w:firstLine="395"/>
        <w:spacing w:after="0" w:line="253" w:lineRule="auto"/>
        <w:rPr>
          <w:sz w:val="20"/>
          <w:szCs w:val="20"/>
          <w:color w:val="auto"/>
        </w:rPr>
      </w:pPr>
      <w:r>
        <w:rPr>
          <w:rFonts w:ascii="Times New Roman" w:cs="Times New Roman" w:eastAsia="Times New Roman" w:hAnsi="Times New Roman"/>
          <w:sz w:val="18"/>
          <w:szCs w:val="18"/>
          <w:color w:val="auto"/>
        </w:rPr>
        <w:t>For additional risks regarding sanctions and trade protectionism, please see the risk factor entitled “We are dependent on international revenue and operations . . .” earlier in this section.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not able to adequately protect our proprietary rights, our business could be harmed.</w:t>
      </w:r>
    </w:p>
    <w:p>
      <w:pPr>
        <w:spacing w:after="0" w:line="242"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spacing w:after="0" w:line="192"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5" w:name="page56"/>
    <w:bookmarkEnd w:id="55"/>
    <w:p>
      <w:pPr>
        <w:ind w:right="320"/>
        <w:spacing w:after="0" w:line="268" w:lineRule="auto"/>
        <w:rPr>
          <w:sz w:val="20"/>
          <w:szCs w:val="20"/>
          <w:color w:val="auto"/>
        </w:rPr>
      </w:pPr>
      <w:r>
        <w:rPr>
          <w:rFonts w:ascii="Times New Roman" w:cs="Times New Roman" w:eastAsia="Times New Roman" w:hAnsi="Times New Roman"/>
          <w:sz w:val="18"/>
          <w:szCs w:val="18"/>
          <w:color w:val="auto"/>
        </w:rPr>
        <w:t>or published without our authorization. If this were to occur, it may be difficult and/or costly for us to enforce our rights, and our financial performance and reputation could be negatively impacted.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face intellectual property infringement claims that could be costly to defend and result in the loss of significant rights.</w:t>
      </w:r>
    </w:p>
    <w:p>
      <w:pPr>
        <w:spacing w:after="0" w:line="242"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w:t>
      </w:r>
    </w:p>
    <w:p>
      <w:pPr>
        <w:spacing w:after="0" w:line="212"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Contracting with government entities exposes us to additional risks inherent in the government procurement process.</w:t>
      </w:r>
    </w:p>
    <w:p>
      <w:pPr>
        <w:spacing w:after="0" w:line="242" w:lineRule="exact"/>
        <w:rPr>
          <w:sz w:val="20"/>
          <w:szCs w:val="20"/>
          <w:color w:val="auto"/>
        </w:rPr>
      </w:pPr>
    </w:p>
    <w:p>
      <w:pPr>
        <w:ind w:right="200" w:firstLine="395"/>
        <w:spacing w:after="0" w:line="248" w:lineRule="auto"/>
        <w:rPr>
          <w:sz w:val="20"/>
          <w:szCs w:val="20"/>
          <w:color w:val="auto"/>
        </w:rPr>
      </w:pPr>
      <w:r>
        <w:rPr>
          <w:rFonts w:ascii="Times New Roman" w:cs="Times New Roman" w:eastAsia="Times New Roman" w:hAnsi="Times New Roman"/>
          <w:sz w:val="18"/>
          <w:szCs w:val="18"/>
          <w:color w:val="auto"/>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which are subject to change by the government, and which may require significant upfront cost, time, and resources, with no assurance that we will secure contracts with government entities. Furthermore, government certification requirements applicable to our platform, including FedRAMP, may change and, in doing so, restrict our ability to sell into the governmental sector until we have attained the full or revised certification. Governmental entities may also have statutory, contractual or other legal rights to terminate contracts with us or our partners for convenience or for other reasons.</w:t>
      </w:r>
    </w:p>
    <w:p>
      <w:pPr>
        <w:spacing w:after="0" w:line="213"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We have obtained authorization under FedRAMP for certain offerings, which facilitates our entry into the U.S. federal government market. Such certification is subject to rigorous compliance and if we lose our certification, it could inhibit or preclude our ability to contract with certain U.S. federal government customers. In addition, some customers may rely on our authorization under FedRAMP to help satisfy their own legal and regulatory compliance requirements and our failure to maintain FedRAMP authorization might result in a breach under public sector contracts obtained on the basis of such authorization. This could subject us to liability, result in reputational harm, and adversely impact our financial condition or operating results.</w:t>
      </w:r>
    </w:p>
    <w:p>
      <w:pPr>
        <w:spacing w:after="0" w:line="212"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Financial Developments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fluctuations in currency exchange rates that could negatively impact our financial results and cash flows.</w:t>
      </w:r>
    </w:p>
    <w:p>
      <w:pPr>
        <w:spacing w:after="0" w:line="24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6" w:name="page57"/>
    <w:bookmarkEnd w:id="56"/>
    <w:p>
      <w:pPr>
        <w:ind w:right="600"/>
        <w:spacing w:after="0" w:line="268" w:lineRule="auto"/>
        <w:rPr>
          <w:sz w:val="20"/>
          <w:szCs w:val="20"/>
          <w:color w:val="auto"/>
        </w:rPr>
      </w:pPr>
      <w:r>
        <w:rPr>
          <w:rFonts w:ascii="Times New Roman" w:cs="Times New Roman" w:eastAsia="Times New Roman" w:hAnsi="Times New Roman"/>
          <w:sz w:val="18"/>
          <w:szCs w:val="18"/>
          <w:color w:val="auto"/>
        </w:rPr>
        <w:t>against currency exposures. However, our attempts to hedge against these risks may not be completely successful, resulting in an adverse impact on our financial results.</w:t>
      </w:r>
    </w:p>
    <w:p>
      <w:pPr>
        <w:spacing w:after="0" w:line="196"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210"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In addition, global events, including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service obligations may adversely affect our financial condition and cash flows from operations.</w:t>
      </w:r>
    </w:p>
    <w:p>
      <w:pPr>
        <w:spacing w:after="0" w:line="242" w:lineRule="exact"/>
        <w:rPr>
          <w:sz w:val="20"/>
          <w:szCs w:val="20"/>
          <w:color w:val="auto"/>
        </w:rPr>
      </w:pPr>
    </w:p>
    <w:p>
      <w:pPr>
        <w:ind w:right="200" w:firstLine="395"/>
        <w:spacing w:after="0" w:line="249" w:lineRule="auto"/>
        <w:rPr>
          <w:sz w:val="20"/>
          <w:szCs w:val="20"/>
          <w:color w:val="auto"/>
        </w:rPr>
      </w:pPr>
      <w:r>
        <w:rPr>
          <w:rFonts w:ascii="Times New Roman" w:cs="Times New Roman" w:eastAsia="Times New Roman" w:hAnsi="Times New Roman"/>
          <w:sz w:val="18"/>
          <w:szCs w:val="18"/>
          <w:color w:val="auto"/>
        </w:rPr>
        <w:t>As of April 30, 2026, we have outstanding indebtedness in an aggregate principal amount of $2.50 billion under notes due at various times from June 2027 to June 2035, as described in Part I, Item 1 “Financial Statements”, Note 11, “Borrowing Arrangements.” In May 2025, we entered into the 2025 Credit Agreement, which provides for an unsecured revolving loan facility in an aggregate principal amount of up to $1.5 billion, with an option to increase the commitments thereunder to up to $2 billion, subject to receipt of additional commitments and other customary conditions, as described in Part I, Item 1, “Financial Statements,” Note 11, “Borrowing Arrangements”. Maintenance of our indebtedness, contractual restrictions, and additional issuances of indebtedness could:</w:t>
      </w:r>
    </w:p>
    <w:p>
      <w:pPr>
        <w:spacing w:after="0" w:line="212" w:lineRule="exact"/>
        <w:rPr>
          <w:sz w:val="20"/>
          <w:szCs w:val="20"/>
          <w:color w:val="auto"/>
        </w:rPr>
      </w:pPr>
    </w:p>
    <w:p>
      <w:pPr>
        <w:ind w:left="640" w:hanging="319"/>
        <w:spacing w:after="0"/>
        <w:tabs>
          <w:tab w:leader="none" w:pos="64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8"/>
          <w:szCs w:val="18"/>
          <w:color w:val="auto"/>
        </w:rPr>
        <w:t>cause us to dedicate a substantial portion of our cash flows from operations towards debt service obligations and principal repayments;</w:t>
      </w:r>
    </w:p>
    <w:p>
      <w:pPr>
        <w:spacing w:after="0" w:line="16" w:lineRule="exact"/>
        <w:rPr>
          <w:rFonts w:ascii="Arial" w:cs="Arial" w:eastAsia="Arial" w:hAnsi="Arial"/>
          <w:sz w:val="21"/>
          <w:szCs w:val="21"/>
          <w:color w:val="auto"/>
        </w:rPr>
      </w:pPr>
    </w:p>
    <w:p>
      <w:pPr>
        <w:ind w:left="640" w:hanging="319"/>
        <w:spacing w:after="0" w:line="219" w:lineRule="auto"/>
        <w:tabs>
          <w:tab w:leader="none" w:pos="64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5" w:lineRule="exact"/>
        <w:rPr>
          <w:rFonts w:ascii="Arial" w:cs="Arial" w:eastAsia="Arial" w:hAnsi="Arial"/>
          <w:sz w:val="21"/>
          <w:szCs w:val="21"/>
          <w:color w:val="auto"/>
        </w:rPr>
      </w:pPr>
    </w:p>
    <w:p>
      <w:pPr>
        <w:ind w:left="640" w:hanging="319"/>
        <w:spacing w:after="0" w:line="207" w:lineRule="auto"/>
        <w:tabs>
          <w:tab w:leader="none" w:pos="64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8"/>
          <w:szCs w:val="18"/>
          <w:color w:val="auto"/>
        </w:rPr>
        <w:t>impair our ability to obtain future financing for working capital, capital expenditures, acquisitions, general corporate, or other purposes; and</w:t>
      </w:r>
    </w:p>
    <w:p>
      <w:pPr>
        <w:spacing w:after="0" w:line="16" w:lineRule="exact"/>
        <w:rPr>
          <w:rFonts w:ascii="Arial" w:cs="Arial" w:eastAsia="Arial" w:hAnsi="Arial"/>
          <w:sz w:val="21"/>
          <w:szCs w:val="21"/>
          <w:color w:val="auto"/>
        </w:rPr>
      </w:pPr>
    </w:p>
    <w:p>
      <w:pPr>
        <w:ind w:left="640" w:right="20" w:hanging="319"/>
        <w:spacing w:after="0" w:line="239" w:lineRule="auto"/>
        <w:tabs>
          <w:tab w:leader="none" w:pos="635"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21" w:lineRule="exact"/>
        <w:rPr>
          <w:sz w:val="20"/>
          <w:szCs w:val="20"/>
          <w:color w:val="auto"/>
        </w:rPr>
      </w:pPr>
    </w:p>
    <w:p>
      <w:pPr>
        <w:ind w:firstLine="395"/>
        <w:spacing w:after="0" w:line="237" w:lineRule="auto"/>
        <w:rPr>
          <w:sz w:val="20"/>
          <w:szCs w:val="20"/>
          <w:color w:val="auto"/>
        </w:rPr>
      </w:pPr>
      <w:r>
        <w:rPr>
          <w:rFonts w:ascii="Times New Roman" w:cs="Times New Roman" w:eastAsia="Times New Roman" w:hAnsi="Times New Roman"/>
          <w:sz w:val="18"/>
          <w:szCs w:val="18"/>
          <w:color w:val="auto"/>
        </w:rPr>
        <w:t>We are required to comply with the covenants set forth in the 2025 Credit Agreement. If we breach any of the covenants and do not obtain a waiver from the lenders, then, subject to applicable cure periods, we would not be able to incur additional indebtedness under the 2025 Credit Agreement described in Part I, Item 1, “Financial Statements,” Note 11, “Borrowing Arrangements,” and the lenders under the 2025 Credit Agreement could declare any outstanding indebtedness under the 2025 Credit Agreement immediately due and payable, which declaration could also lead to a default under agreements governing our outstanding senior notes and any future indebtedness. In addition, changes by any rating agency to our credit rating may negatively impact the value and liquidity of our securities. Under certain circumstances, if our credit ratings are downgraded or other negative action is taken, the interest rate payable by us under the 2025 Credit Agreement could increase. Downgrades in our credit ratings could also restrict our ability to obtain additional financing in the future and could affect the terms of any such financing.</w:t>
      </w:r>
    </w:p>
    <w:p>
      <w:pPr>
        <w:spacing w:after="0" w:line="205" w:lineRule="exact"/>
        <w:rPr>
          <w:sz w:val="20"/>
          <w:szCs w:val="20"/>
          <w:color w:val="auto"/>
        </w:rPr>
      </w:pPr>
    </w:p>
    <w:p>
      <w:pPr>
        <w:ind w:right="220"/>
        <w:spacing w:after="0" w:line="304" w:lineRule="auto"/>
        <w:rPr>
          <w:sz w:val="20"/>
          <w:szCs w:val="20"/>
          <w:color w:val="auto"/>
        </w:rPr>
      </w:pPr>
      <w:r>
        <w:rPr>
          <w:rFonts w:ascii="Times New Roman" w:cs="Times New Roman" w:eastAsia="Times New Roman" w:hAnsi="Times New Roman"/>
          <w:sz w:val="16"/>
          <w:szCs w:val="16"/>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171"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reduce our investment income or result in material charges, which in turn could impact our overall net income (loss) and earnings (loss) per share.</w:t>
      </w:r>
    </w:p>
    <w:p>
      <w:pPr>
        <w:spacing w:after="0" w:line="24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loss on any of our investments may cause us to record an other-than-temporary impairment charge. The effect of this charge could impact our overall</w:t>
      </w:r>
    </w:p>
    <w:p>
      <w:pPr>
        <w:spacing w:after="0" w:line="4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income and earnings per share</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In any of these scenarios, our liquidity may be negatively impacted, which in turn may prohibit us from making investments in our business, taking advantage of opportunities, and potentially meeting our financial obligations as they come due.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tax rules and regulations, and uncertainties in interpretation and application, could materially affect our tax obligations and effective tax rate.</w:t>
      </w:r>
    </w:p>
    <w:p>
      <w:pPr>
        <w:spacing w:after="0" w:line="242"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Our effective tax rate is primarily based on our geographic mix of earnings; statutory rates; stock-based compensation;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if our positions are not sustained, may have a significant impact on our effective tax rate and cash taxes.</w:t>
      </w:r>
    </w:p>
    <w:p>
      <w:pPr>
        <w:spacing w:after="0" w:line="212" w:lineRule="exact"/>
        <w:rPr>
          <w:sz w:val="20"/>
          <w:szCs w:val="20"/>
          <w:color w:val="auto"/>
        </w:rPr>
      </w:pPr>
    </w:p>
    <w:p>
      <w:pPr>
        <w:ind w:right="20" w:firstLine="395"/>
        <w:spacing w:after="0" w:line="291" w:lineRule="auto"/>
        <w:rPr>
          <w:sz w:val="20"/>
          <w:szCs w:val="20"/>
          <w:color w:val="auto"/>
        </w:rPr>
      </w:pPr>
      <w:r>
        <w:rPr>
          <w:rFonts w:ascii="Times New Roman" w:cs="Times New Roman" w:eastAsia="Times New Roman" w:hAnsi="Times New Roman"/>
          <w:sz w:val="16"/>
          <w:szCs w:val="16"/>
          <w:color w:val="auto"/>
        </w:rPr>
        <w:t>Tax laws in the United States and in foreign tax jurisdictions are dynamic and subject to change as new laws are passed and new interpretations of the law are issued or applied. Due to the complexity and varying interpretations of new and existing tax laws, the U.S. Department of Treasury and other standard-setting bodies have issued and will continue to issue regulations and interpretative guidance that could significantly impact how we will apply the law and the</w:t>
      </w:r>
    </w:p>
    <w:p>
      <w:pPr>
        <w:spacing w:after="0" w:line="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ultimate effect on our results of operations, including for our prior tax years. In addition, increases in corporate tax rates, could increase our effective tax rate, cash taxes and have an adverse effect on our results from operations.</w:t>
      </w:r>
    </w:p>
    <w:p>
      <w:pPr>
        <w:spacing w:after="0" w:line="196" w:lineRule="exact"/>
        <w:rPr>
          <w:sz w:val="20"/>
          <w:szCs w:val="20"/>
          <w:color w:val="auto"/>
        </w:rPr>
      </w:pPr>
    </w:p>
    <w:p>
      <w:pPr>
        <w:ind w:right="80" w:firstLine="395"/>
        <w:spacing w:after="0" w:line="284" w:lineRule="auto"/>
        <w:rPr>
          <w:sz w:val="20"/>
          <w:szCs w:val="20"/>
          <w:color w:val="auto"/>
        </w:rPr>
      </w:pPr>
      <w:r>
        <w:rPr>
          <w:rFonts w:ascii="Times New Roman" w:cs="Times New Roman" w:eastAsia="Times New Roman" w:hAnsi="Times New Roman"/>
          <w:sz w:val="16"/>
          <w:szCs w:val="16"/>
          <w:color w:val="auto"/>
        </w:rPr>
        <w:t>Increasingly, tax authorities are reviewing existing corporate tax regulatory and legal regimes. Many countries are actively considering or implementing new taxing regimes and changes to existing tax laws. This could include U.S. and foreign tax law developments related to changes to long-standing tax principles arising from proposals made by the Organization for Economic Co-operation and Development (the “OECD”) that seek to allocate greater taxing rights to countries where customers are located and establish a global minimum tax rate of 15% (“Pillar Two”). On January 5, 2026, the OECD announced a“side-by-side” elective safe harbor that exempts U.S.-parented multinational entities from certain provisions of Pillar Two for fiscal years beginning on or after January 1, 2026. If U.S. or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18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92" w:lineRule="exact"/>
        <w:rPr>
          <w:sz w:val="20"/>
          <w:szCs w:val="20"/>
          <w:color w:val="auto"/>
        </w:rPr>
      </w:pPr>
    </w:p>
    <w:p>
      <w:pPr>
        <w:ind w:firstLine="395"/>
        <w:spacing w:after="0" w:line="287" w:lineRule="auto"/>
        <w:rPr>
          <w:sz w:val="20"/>
          <w:szCs w:val="20"/>
          <w:color w:val="auto"/>
        </w:rPr>
      </w:pPr>
      <w:r>
        <w:rPr>
          <w:rFonts w:ascii="Times New Roman" w:cs="Times New Roman" w:eastAsia="Times New Roman" w:hAnsi="Times New Roman"/>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w:t>
      </w:r>
    </w:p>
    <w:p>
      <w:pPr>
        <w:spacing w:after="0" w:line="2"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considering both positive and negative evidence to determine whether all or a portion of the deferred tax assets are more likely than not to be realized. 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adjustments to the realizability of our deferred tax assets may have a material effect on our financial condition and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Risk Factors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significantly disrupted upon the occurrence of a catastrophic event.</w:t>
      </w:r>
    </w:p>
    <w:p>
      <w:pPr>
        <w:spacing w:after="0" w:line="242"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other climate-related events (such as drought, water security, heat waves, cold waves, and poor air quality), telecommunications failure, power failure, cyber-attack, terrorism or war (including the ongoing wars between Ukraine and Russia and conflicts in the Middle East,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spacing w:after="0" w:line="400"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206" w:lineRule="exact"/>
        <w:rPr>
          <w:sz w:val="20"/>
          <w:szCs w:val="20"/>
          <w:color w:val="auto"/>
        </w:rPr>
      </w:pPr>
    </w:p>
    <w:p>
      <w:pPr>
        <w:ind w:right="60" w:firstLine="395"/>
        <w:spacing w:after="0" w:line="282" w:lineRule="auto"/>
        <w:rPr>
          <w:sz w:val="20"/>
          <w:szCs w:val="20"/>
          <w:color w:val="auto"/>
        </w:rPr>
      </w:pPr>
      <w:r>
        <w:rPr>
          <w:rFonts w:ascii="Times New Roman" w:cs="Times New Roman" w:eastAsia="Times New Roman" w:hAnsi="Times New Roman"/>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existing financial accounting standards or practices, or taxation rules or practices may adversely affect our results of operations.</w:t>
      </w:r>
    </w:p>
    <w:p>
      <w:pPr>
        <w:spacing w:after="0" w:line="242" w:lineRule="exact"/>
        <w:rPr>
          <w:sz w:val="20"/>
          <w:szCs w:val="20"/>
          <w:color w:val="auto"/>
        </w:rPr>
      </w:pPr>
    </w:p>
    <w:p>
      <w:pPr>
        <w:jc w:val="both"/>
        <w:ind w:right="420" w:firstLine="395"/>
        <w:spacing w:after="0" w:line="256" w:lineRule="auto"/>
        <w:rPr>
          <w:sz w:val="20"/>
          <w:szCs w:val="20"/>
          <w:color w:val="auto"/>
        </w:rPr>
      </w:pPr>
      <w:r>
        <w:rPr>
          <w:rFonts w:ascii="Times New Roman" w:cs="Times New Roman" w:eastAsia="Times New Roman" w:hAnsi="Times New Roman"/>
          <w:sz w:val="18"/>
          <w:szCs w:val="18"/>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204"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92"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9" w:name="page60"/>
    <w:bookmarkEnd w:id="59"/>
    <w:p>
      <w:pPr>
        <w:ind w:right="340"/>
        <w:spacing w:after="0" w:line="332" w:lineRule="auto"/>
        <w:rPr>
          <w:sz w:val="20"/>
          <w:szCs w:val="20"/>
          <w:color w:val="auto"/>
        </w:rPr>
      </w:pPr>
      <w:r>
        <w:rPr>
          <w:rFonts w:ascii="Times New Roman" w:cs="Times New Roman" w:eastAsia="Times New Roman" w:hAnsi="Times New Roman"/>
          <w:sz w:val="16"/>
          <w:szCs w:val="16"/>
          <w:color w:val="auto"/>
        </w:rPr>
        <w:t>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147"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92"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We make assumptions, judgments, and estimates for a number of items, including revenue recognition for product subscriptions and enterprise business agreements (“EBAs”), the determination of the fair value of acquired assets and liabilities, and the realizability of deferred tax assets. We also make assumptions, judgments, and estimates in determining the accruals for uncertain tax positions, variable compensation, partner incentive programs, loss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21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three months ended April 30, 2026.</w:t>
      </w:r>
    </w:p>
    <w:p>
      <w:pPr>
        <w:spacing w:after="0" w:line="227" w:lineRule="exact"/>
        <w:rPr>
          <w:sz w:val="20"/>
          <w:szCs w:val="20"/>
          <w:color w:val="auto"/>
        </w:rPr>
      </w:pPr>
    </w:p>
    <w:p>
      <w:pPr>
        <w:jc w:val="both"/>
        <w:ind w:right="160" w:firstLine="434"/>
        <w:spacing w:after="0" w:line="248" w:lineRule="auto"/>
        <w:rPr>
          <w:sz w:val="20"/>
          <w:szCs w:val="20"/>
          <w:color w:val="auto"/>
        </w:rPr>
      </w:pPr>
      <w:r>
        <w:rPr>
          <w:rFonts w:ascii="Times New Roman" w:cs="Times New Roman" w:eastAsia="Times New Roman" w:hAnsi="Times New Roman"/>
          <w:sz w:val="18"/>
          <w:szCs w:val="18"/>
          <w:color w:val="auto"/>
        </w:rPr>
        <w:t>The information concerning issuer purchases of equity securities required by this Item is incorporated by reference herein to the section of this Report entitled “Issuer Purchases of Equity Securities” in Part I, Item 2, “Management's Discussion and Analysis of Financial Condition and Results of Operations,” above.</w:t>
      </w:r>
    </w:p>
    <w:p>
      <w:pPr>
        <w:spacing w:after="0" w:line="19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firstLine="632"/>
        <w:spacing w:after="0" w:line="253" w:lineRule="auto"/>
        <w:rPr>
          <w:sz w:val="20"/>
          <w:szCs w:val="20"/>
          <w:color w:val="auto"/>
        </w:rPr>
      </w:pPr>
      <w:r>
        <w:rPr>
          <w:rFonts w:ascii="Times New Roman" w:cs="Times New Roman" w:eastAsia="Times New Roman" w:hAnsi="Times New Roman"/>
          <w:sz w:val="18"/>
          <w:szCs w:val="18"/>
          <w:color w:val="auto"/>
        </w:rPr>
        <w:t>During our last fiscal quarter ended April 30, 2026, the following officer(s), as defined in Rule 16a-1(f), adopted a “Rule 10b5-1 trading arrangement” as defined in Regulation S-K Item 408, as follows:</w:t>
      </w:r>
    </w:p>
    <w:p>
      <w:pPr>
        <w:spacing w:after="0" w:line="195" w:lineRule="exact"/>
        <w:rPr>
          <w:sz w:val="20"/>
          <w:szCs w:val="20"/>
          <w:color w:val="auto"/>
        </w:rPr>
      </w:pPr>
    </w:p>
    <w:p>
      <w:pPr>
        <w:ind w:firstLine="632"/>
        <w:spacing w:after="0" w:line="241" w:lineRule="auto"/>
        <w:rPr>
          <w:sz w:val="20"/>
          <w:szCs w:val="20"/>
          <w:color w:val="auto"/>
        </w:rPr>
      </w:pPr>
      <w:r>
        <w:rPr>
          <w:rFonts w:ascii="Times New Roman" w:cs="Times New Roman" w:eastAsia="Times New Roman" w:hAnsi="Times New Roman"/>
          <w:sz w:val="18"/>
          <w:szCs w:val="18"/>
          <w:color w:val="auto"/>
        </w:rPr>
        <w:t>On March 26, 2026, Steve Blum, our Chief Operating Officer, adopted a new Rule 10b5-1 trading arrangement providing for the sale from time to time of an aggregate of up to 19,894 shares of our common stock. The trading arrangement is intended to satisfy the affirmative defense in Rule 10b5-1(c). The duration of the trading arrangement is until March 26, 2027, or earlier if all transactions under the trading arrangement are completed.</w:t>
      </w:r>
    </w:p>
    <w:p>
      <w:pPr>
        <w:spacing w:after="0" w:line="205" w:lineRule="exact"/>
        <w:rPr>
          <w:sz w:val="20"/>
          <w:szCs w:val="20"/>
          <w:color w:val="auto"/>
        </w:rPr>
      </w:pPr>
    </w:p>
    <w:p>
      <w:pPr>
        <w:ind w:right="100" w:firstLine="632"/>
        <w:spacing w:after="0" w:line="253" w:lineRule="auto"/>
        <w:rPr>
          <w:sz w:val="20"/>
          <w:szCs w:val="20"/>
          <w:color w:val="auto"/>
        </w:rPr>
      </w:pPr>
      <w:r>
        <w:rPr>
          <w:rFonts w:ascii="Times New Roman" w:cs="Times New Roman" w:eastAsia="Times New Roman" w:hAnsi="Times New Roman"/>
          <w:sz w:val="18"/>
          <w:szCs w:val="18"/>
          <w:color w:val="auto"/>
        </w:rPr>
        <w:t>No other officers, as defined in Rule 16a-1(f), or directors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60" w:name="page61"/>
    <w:bookmarkEnd w:id="60"/>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as part of this Quarterly Report on Form 10-Q.</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60" w:type="dxa"/>
            <w:vAlign w:val="bottom"/>
            <w:gridSpan w:val="6"/>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560" w:type="dxa"/>
            <w:vAlign w:val="bottom"/>
            <w:gridSpan w:val="3"/>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540" w:type="dxa"/>
            <w:vAlign w:val="bottom"/>
          </w:tcPr>
          <w:p>
            <w:pPr>
              <w:spacing w:after="0"/>
              <w:rPr>
                <w:sz w:val="17"/>
                <w:szCs w:val="17"/>
                <w:color w:val="auto"/>
              </w:rPr>
            </w:pP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Autodesk, Inc. 2026 Director Compensation Policy</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40" w:type="dxa"/>
            <w:vAlign w:val="bottom"/>
          </w:tcPr>
          <w:p>
            <w:pPr>
              <w:spacing w:after="0"/>
              <w:rPr>
                <w:sz w:val="22"/>
                <w:szCs w:val="22"/>
                <w:color w:val="auto"/>
              </w:rPr>
            </w:pP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of the</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60" w:type="dxa"/>
            <w:vAlign w:val="bottom"/>
            <w:tcBorders>
              <w:top w:val="single" w:sz="8" w:color="0000FF"/>
            </w:tcBorders>
            <w:gridSpan w:val="7"/>
          </w:tcPr>
          <w:p>
            <w:pPr>
              <w:spacing w:after="0" w:line="138" w:lineRule="exact"/>
              <w:rPr>
                <w:sz w:val="20"/>
                <w:szCs w:val="20"/>
                <w:color w:val="auto"/>
              </w:rPr>
            </w:pPr>
            <w:r>
              <w:rPr>
                <w:rFonts w:ascii="Times New Roman" w:cs="Times New Roman" w:eastAsia="Times New Roman" w:hAnsi="Times New Roman"/>
                <w:sz w:val="15"/>
                <w:szCs w:val="15"/>
                <w:color w:val="0000FF"/>
              </w:rPr>
              <w:t>Securities Exchange Act of 1934</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40" w:type="dxa"/>
            <w:vAlign w:val="bottom"/>
          </w:tcPr>
          <w:p>
            <w:pPr>
              <w:spacing w:after="0"/>
              <w:rPr>
                <w:sz w:val="24"/>
                <w:szCs w:val="24"/>
                <w:color w:val="auto"/>
              </w:rPr>
            </w:pP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of the</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20" w:type="dxa"/>
            <w:vAlign w:val="bottom"/>
            <w:tcBorders>
              <w:top w:val="single" w:sz="8" w:color="0000FF"/>
            </w:tcBorders>
            <w:gridSpan w:val="6"/>
          </w:tcPr>
          <w:p>
            <w:pPr>
              <w:spacing w:after="0" w:line="138" w:lineRule="exact"/>
              <w:rPr>
                <w:sz w:val="20"/>
                <w:szCs w:val="20"/>
                <w:color w:val="auto"/>
              </w:rPr>
            </w:pPr>
            <w:r>
              <w:rPr>
                <w:rFonts w:ascii="Times New Roman" w:cs="Times New Roman" w:eastAsia="Times New Roman" w:hAnsi="Times New Roman"/>
                <w:sz w:val="15"/>
                <w:szCs w:val="15"/>
                <w:color w:val="0000FF"/>
              </w:rPr>
              <w:t>Securities Exchange Act of 1934</w:t>
            </w:r>
          </w:p>
        </w:tc>
        <w:tc>
          <w:tcPr>
            <w:tcW w:w="8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 †</w:t>
            </w: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300" w:type="dxa"/>
            <w:vAlign w:val="bottom"/>
            <w:tcBorders>
              <w:top w:val="single" w:sz="8" w:color="0000FF"/>
            </w:tcBorders>
            <w:gridSpan w:val="5"/>
          </w:tcPr>
          <w:p>
            <w:pPr>
              <w:spacing w:after="0" w:line="138" w:lineRule="exact"/>
              <w:rPr>
                <w:sz w:val="20"/>
                <w:szCs w:val="20"/>
                <w:color w:val="auto"/>
              </w:rPr>
            </w:pPr>
            <w:r>
              <w:rPr>
                <w:rFonts w:ascii="Times New Roman" w:cs="Times New Roman" w:eastAsia="Times New Roman" w:hAnsi="Times New Roman"/>
                <w:sz w:val="15"/>
                <w:szCs w:val="15"/>
                <w:color w:val="0000FF"/>
              </w:rPr>
              <w:t>pursuant to 18 U.S.C. Section 1350, as adopted pursuant to Section</w:t>
            </w:r>
          </w:p>
        </w:tc>
        <w:tc>
          <w:tcPr>
            <w:tcW w:w="740" w:type="dxa"/>
            <w:vAlign w:val="bottom"/>
            <w:gridSpan w:val="4"/>
          </w:tcPr>
          <w:p>
            <w:pPr>
              <w:spacing w:after="0" w:line="138" w:lineRule="exact"/>
              <w:rPr>
                <w:sz w:val="20"/>
                <w:szCs w:val="20"/>
                <w:color w:val="auto"/>
              </w:rPr>
            </w:pPr>
            <w:r>
              <w:rPr>
                <w:rFonts w:ascii="Times New Roman" w:cs="Times New Roman" w:eastAsia="Times New Roman" w:hAnsi="Times New Roman"/>
                <w:sz w:val="15"/>
                <w:szCs w:val="15"/>
                <w:color w:val="0000FF"/>
              </w:rPr>
              <w:t>906 of</w:t>
            </w: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w w:val="86"/>
              </w:rPr>
              <w:t>X</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700" w:type="dxa"/>
            <w:vAlign w:val="bottom"/>
            <w:tcBorders>
              <w:top w:val="single" w:sz="8" w:color="0000FF"/>
            </w:tcBorders>
            <w:gridSpan w:val="8"/>
          </w:tcPr>
          <w:p>
            <w:pPr>
              <w:spacing w:after="0" w:line="138" w:lineRule="exact"/>
              <w:rPr>
                <w:sz w:val="20"/>
                <w:szCs w:val="20"/>
                <w:color w:val="auto"/>
              </w:rPr>
            </w:pPr>
            <w:r>
              <w:rPr>
                <w:rFonts w:ascii="Times New Roman" w:cs="Times New Roman" w:eastAsia="Times New Roman" w:hAnsi="Times New Roman"/>
                <w:sz w:val="15"/>
                <w:szCs w:val="15"/>
                <w:color w:val="0000FF"/>
              </w:rPr>
              <w:t>the Sarbanes-Oxley Act of 2002</w:t>
            </w: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 ††</w:t>
            </w: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40" w:type="dxa"/>
            <w:vAlign w:val="bottom"/>
            <w:gridSpan w:val="9"/>
          </w:tcPr>
          <w:p>
            <w:pPr>
              <w:spacing w:after="0" w:line="158" w:lineRule="exact"/>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 ††</w:t>
            </w: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 ††</w:t>
            </w: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 ††</w:t>
            </w: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Definition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 ††</w:t>
            </w: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 ††</w:t>
            </w: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 ††</w:t>
            </w: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Cover Page Interactive Data File - the cover page interactive date is</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embedded within the Inline XBRL document or included within the Exhibit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520" w:hanging="274"/>
        <w:spacing w:after="0"/>
        <w:tabs>
          <w:tab w:leader="none" w:pos="15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attachments</w:t>
      </w:r>
    </w:p>
    <w:p>
      <w:pPr>
        <w:spacing w:after="0" w:line="232" w:lineRule="exact"/>
        <w:rPr>
          <w:rFonts w:ascii="Times New Roman" w:cs="Times New Roman" w:eastAsia="Times New Roman" w:hAnsi="Times New Roman"/>
          <w:sz w:val="16"/>
          <w:szCs w:val="16"/>
          <w:color w:val="auto"/>
        </w:rPr>
      </w:pPr>
    </w:p>
    <w:p>
      <w:pPr>
        <w:ind w:left="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Denotes a management contract or compensatory plan or arrangement.</w:t>
      </w:r>
    </w:p>
    <w:p>
      <w:pPr>
        <w:spacing w:after="0" w:line="27" w:lineRule="exact"/>
        <w:rPr>
          <w:sz w:val="20"/>
          <w:szCs w:val="20"/>
          <w:color w:val="auto"/>
        </w:rPr>
      </w:pPr>
    </w:p>
    <w:p>
      <w:pPr>
        <w:ind w:left="680" w:hanging="657"/>
        <w:spacing w:after="0" w:line="227" w:lineRule="auto"/>
        <w:tabs>
          <w:tab w:leader="none" w:pos="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57" w:lineRule="exact"/>
        <w:rPr>
          <w:sz w:val="20"/>
          <w:szCs w:val="20"/>
          <w:color w:val="auto"/>
        </w:rPr>
      </w:pPr>
    </w:p>
    <w:p>
      <w:pPr>
        <w:ind w:left="680" w:hanging="657"/>
        <w:spacing w:after="0"/>
        <w:tabs>
          <w:tab w:leader="none" w:pos="6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61" w:name="page62"/>
    <w:bookmarkEnd w:id="61"/>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2" w:lineRule="exact"/>
        <w:rPr>
          <w:sz w:val="20"/>
          <w:szCs w:val="20"/>
          <w:color w:val="auto"/>
        </w:rPr>
      </w:pPr>
    </w:p>
    <w:p>
      <w:pPr>
        <w:ind w:right="4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29, 2026</w:t>
      </w:r>
    </w:p>
    <w:p>
      <w:pPr>
        <w:spacing w:after="0" w:line="200" w:lineRule="exact"/>
        <w:rPr>
          <w:sz w:val="20"/>
          <w:szCs w:val="20"/>
          <w:color w:val="auto"/>
        </w:rPr>
      </w:pPr>
    </w:p>
    <w:p>
      <w:pPr>
        <w:spacing w:after="0" w:line="3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AUTODESK, INC.</w:t>
      </w:r>
    </w:p>
    <w:p>
      <w:pPr>
        <w:spacing w:after="0" w:line="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(Registrant)</w:t>
      </w:r>
    </w:p>
    <w:p>
      <w:pPr>
        <w:spacing w:after="0" w:line="275"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8"/>
          <w:szCs w:val="18"/>
          <w:color w:val="auto"/>
        </w:rPr>
        <w:t>/s/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13970</wp:posOffset>
            </wp:positionV>
            <wp:extent cx="36182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spacing w:after="0" w:line="170"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b w:val="1"/>
          <w:bCs w:val="1"/>
          <w:color w:val="auto"/>
        </w:rPr>
        <w:t>Janesh Moorjani</w:t>
      </w:r>
    </w:p>
    <w:p>
      <w:pPr>
        <w:spacing w:after="0" w:line="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jc w:val="right"/>
        <w:spacing w:after="0"/>
        <w:rPr>
          <w:sz w:val="20"/>
          <w:szCs w:val="20"/>
          <w:color w:val="auto"/>
        </w:rPr>
      </w:pPr>
      <w:r>
        <w:rPr>
          <w:rFonts w:ascii="Times New Roman" w:cs="Times New Roman" w:eastAsia="Times New Roman" w:hAnsi="Times New Roman"/>
          <w:sz w:val="16"/>
          <w:szCs w:val="16"/>
          <w:b w:val="1"/>
          <w:b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00"/>
          </w:cols>
          <w:pgMar w:left="320" w:top="869" w:right="1079" w:bottom="1440" w:gutter="0" w:footer="0" w:header="0"/>
        </w:sectPr>
      </w:pPr>
    </w:p>
    <w:bookmarkStart w:id="62" w:name="page63"/>
    <w:bookmarkEnd w:id="62"/>
    <w:p>
      <w:pPr>
        <w:ind w:left="4760"/>
        <w:spacing w:after="0"/>
        <w:rPr>
          <w:sz w:val="20"/>
          <w:szCs w:val="20"/>
          <w:color w:val="auto"/>
        </w:rPr>
      </w:pPr>
      <w:r>
        <w:rPr>
          <w:rFonts w:ascii="Times New Roman" w:cs="Times New Roman" w:eastAsia="Times New Roman" w:hAnsi="Times New Roman"/>
          <w:sz w:val="21"/>
          <w:szCs w:val="21"/>
          <w:b w:val="1"/>
          <w:bCs w:val="1"/>
          <w:color w:val="auto"/>
        </w:rPr>
        <w:t>AUTODESK, INC.</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color w:val="auto"/>
        </w:rPr>
        <w:t>AMENDED AND RESTATED DIRECTOR COMPENSATION POLICY</w:t>
      </w:r>
    </w:p>
    <w:p>
      <w:pPr>
        <w:spacing w:after="0" w:line="22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Adopted and approved on March 23, 2026</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Effective as of the Date of Autodesk’s 2026 Annual Meeting of Stockholders</w:t>
      </w:r>
    </w:p>
    <w:p>
      <w:pPr>
        <w:spacing w:after="0" w:line="215"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21"/>
          <w:szCs w:val="21"/>
          <w:color w:val="auto"/>
        </w:rPr>
        <w:t>Autodesk,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believes that providing cash and equity compensation to its members of 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and members of the Board who are not employees of the Company, the “</w:t>
      </w:r>
      <w:r>
        <w:rPr>
          <w:rFonts w:ascii="Times New Roman" w:cs="Times New Roman" w:eastAsia="Times New Roman" w:hAnsi="Times New Roman"/>
          <w:sz w:val="21"/>
          <w:szCs w:val="21"/>
          <w:b w:val="1"/>
          <w:bCs w:val="1"/>
          <w:color w:val="auto"/>
        </w:rPr>
        <w:t>Directors</w:t>
      </w:r>
      <w:r>
        <w:rPr>
          <w:rFonts w:ascii="Times New Roman" w:cs="Times New Roman" w:eastAsia="Times New Roman" w:hAnsi="Times New Roman"/>
          <w:sz w:val="21"/>
          <w:szCs w:val="21"/>
          <w:color w:val="auto"/>
        </w:rPr>
        <w:t>”) represents an effective tool to attract, retain and reward Directors. This Director Compensation Policy (the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is intended to formalize the Company’s policy regarding the compensation to its Directors. Unless otherwise defined herein, capitalized terms used in this Policy will have the meaning given to such terms in the Company’s 2022 Equity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or if the Plan is no longer in place, the meaning given to such terms or any similar terms in the equity plan then in place. Each Director will be solely responsible for any tax obligations incurred by such Director as a result of the equity and cash payments such Director receives under this Policy.</w:t>
      </w:r>
    </w:p>
    <w:p>
      <w:pPr>
        <w:spacing w:after="0" w:line="175" w:lineRule="exact"/>
        <w:rPr>
          <w:sz w:val="20"/>
          <w:szCs w:val="20"/>
          <w:color w:val="auto"/>
        </w:rPr>
      </w:pPr>
    </w:p>
    <w:p>
      <w:pPr>
        <w:jc w:val="both"/>
        <w:ind w:firstLine="632"/>
        <w:spacing w:after="0" w:line="282" w:lineRule="auto"/>
        <w:rPr>
          <w:sz w:val="20"/>
          <w:szCs w:val="20"/>
          <w:color w:val="auto"/>
        </w:rPr>
      </w:pPr>
      <w:r>
        <w:rPr>
          <w:rFonts w:ascii="Times New Roman" w:cs="Times New Roman" w:eastAsia="Times New Roman" w:hAnsi="Times New Roman"/>
          <w:sz w:val="21"/>
          <w:szCs w:val="21"/>
          <w:color w:val="auto"/>
        </w:rPr>
        <w:t>Notwithstanding anything in this Policy to the contrary, members of the Board who are Company employees do not receive additional compensation for service on the Board and are not considered “Directors” for purposes of this Policy.</w:t>
      </w:r>
    </w:p>
    <w:p>
      <w:pPr>
        <w:spacing w:after="0" w:line="139" w:lineRule="exact"/>
        <w:rPr>
          <w:sz w:val="20"/>
          <w:szCs w:val="20"/>
          <w:color w:val="auto"/>
        </w:rPr>
      </w:pPr>
    </w:p>
    <w:p>
      <w:pPr>
        <w:ind w:left="640" w:hanging="319"/>
        <w:spacing w:after="0"/>
        <w:tabs>
          <w:tab w:leader="none" w:pos="640" w:val="left"/>
        </w:tabs>
        <w:numPr>
          <w:ilvl w:val="0"/>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Retainers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Annual Board Service Retainer</w:t>
      </w:r>
    </w:p>
    <w:p>
      <w:pPr>
        <w:spacing w:after="0" w:line="221" w:lineRule="exact"/>
        <w:rPr>
          <w:sz w:val="20"/>
          <w:szCs w:val="20"/>
          <w:color w:val="auto"/>
        </w:rPr>
      </w:pPr>
    </w:p>
    <w:p>
      <w:pPr>
        <w:ind w:firstLine="632"/>
        <w:spacing w:after="0" w:line="282" w:lineRule="auto"/>
        <w:rPr>
          <w:sz w:val="20"/>
          <w:szCs w:val="20"/>
          <w:color w:val="auto"/>
        </w:rPr>
      </w:pPr>
      <w:r>
        <w:rPr>
          <w:rFonts w:ascii="Times New Roman" w:cs="Times New Roman" w:eastAsia="Times New Roman" w:hAnsi="Times New Roman"/>
          <w:sz w:val="21"/>
          <w:szCs w:val="21"/>
          <w:color w:val="auto"/>
        </w:rPr>
        <w:t>Each Director will be paid an annual retainer with a value of $75,000 There are no per-meeting attendance fees for attending Board meetings.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Annual Committee Service Retainer</w:t>
      </w:r>
    </w:p>
    <w:p>
      <w:pPr>
        <w:spacing w:after="0" w:line="221" w:lineRule="exact"/>
        <w:rPr>
          <w:sz w:val="20"/>
          <w:szCs w:val="20"/>
          <w:color w:val="auto"/>
        </w:rPr>
      </w:pPr>
    </w:p>
    <w:p>
      <w:pPr>
        <w:ind w:firstLine="632"/>
        <w:spacing w:after="0" w:line="295" w:lineRule="auto"/>
        <w:rPr>
          <w:sz w:val="20"/>
          <w:szCs w:val="20"/>
          <w:color w:val="auto"/>
        </w:rPr>
      </w:pPr>
      <w:r>
        <w:rPr>
          <w:rFonts w:ascii="Times New Roman" w:cs="Times New Roman" w:eastAsia="Times New Roman" w:hAnsi="Times New Roman"/>
          <w:sz w:val="21"/>
          <w:szCs w:val="21"/>
          <w:color w:val="auto"/>
        </w:rPr>
        <w:t xml:space="preserve">Each Director who serves as the chair of the Board or the chair of a committee of the Board listed below will be eligible to earn </w:t>
      </w:r>
      <w:r>
        <w:rPr>
          <w:rFonts w:ascii="Times New Roman" w:cs="Times New Roman" w:eastAsia="Times New Roman" w:hAnsi="Times New Roman"/>
          <w:sz w:val="21"/>
          <w:szCs w:val="21"/>
          <w:b w:val="1"/>
          <w:bCs w:val="1"/>
          <w:i w:val="1"/>
          <w:iCs w:val="1"/>
          <w:color w:val="auto"/>
        </w:rPr>
        <w:t>additional</w:t>
      </w:r>
      <w:r>
        <w:rPr>
          <w:rFonts w:ascii="Times New Roman" w:cs="Times New Roman" w:eastAsia="Times New Roman" w:hAnsi="Times New Roman"/>
          <w:sz w:val="21"/>
          <w:szCs w:val="21"/>
          <w:color w:val="auto"/>
        </w:rPr>
        <w:t xml:space="preserve"> annual retainers with values as follows: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276"/>
        </w:trPr>
        <w:tc>
          <w:tcPr>
            <w:tcW w:w="3120" w:type="dxa"/>
            <w:vAlign w:val="bottom"/>
          </w:tcPr>
          <w:p>
            <w:pPr>
              <w:spacing w:after="0"/>
              <w:rPr>
                <w:sz w:val="20"/>
                <w:szCs w:val="20"/>
                <w:color w:val="auto"/>
              </w:rPr>
            </w:pPr>
            <w:r>
              <w:rPr>
                <w:rFonts w:ascii="Times New Roman" w:cs="Times New Roman" w:eastAsia="Times New Roman" w:hAnsi="Times New Roman"/>
                <w:sz w:val="21"/>
                <w:szCs w:val="21"/>
                <w:color w:val="auto"/>
              </w:rPr>
              <w:t>Non-Executive Chair of the Board</w:t>
            </w:r>
          </w:p>
        </w:tc>
        <w:tc>
          <w:tcPr>
            <w:tcW w:w="2240" w:type="dxa"/>
            <w:vAlign w:val="bottom"/>
          </w:tcPr>
          <w:p>
            <w:pPr>
              <w:jc w:val="right"/>
              <w:ind w:right="515"/>
              <w:spacing w:after="0"/>
              <w:rPr>
                <w:sz w:val="20"/>
                <w:szCs w:val="20"/>
                <w:color w:val="auto"/>
              </w:rPr>
            </w:pPr>
            <w:r>
              <w:rPr>
                <w:rFonts w:ascii="Times New Roman" w:cs="Times New Roman" w:eastAsia="Times New Roman" w:hAnsi="Times New Roman"/>
                <w:sz w:val="21"/>
                <w:szCs w:val="21"/>
                <w:color w:val="auto"/>
              </w:rPr>
              <w:t>$100,000</w:t>
            </w:r>
          </w:p>
        </w:tc>
        <w:tc>
          <w:tcPr>
            <w:tcW w:w="1080" w:type="dxa"/>
            <w:vAlign w:val="bottom"/>
          </w:tcPr>
          <w:p>
            <w:pPr>
              <w:spacing w:after="0"/>
              <w:rPr>
                <w:sz w:val="23"/>
                <w:szCs w:val="23"/>
                <w:color w:val="auto"/>
              </w:rPr>
            </w:pPr>
          </w:p>
        </w:tc>
      </w:tr>
      <w:tr>
        <w:trPr>
          <w:trHeight w:val="461"/>
        </w:trPr>
        <w:tc>
          <w:tcPr>
            <w:tcW w:w="3120" w:type="dxa"/>
            <w:vAlign w:val="bottom"/>
          </w:tcPr>
          <w:p>
            <w:pPr>
              <w:spacing w:after="0"/>
              <w:rPr>
                <w:sz w:val="20"/>
                <w:szCs w:val="20"/>
                <w:color w:val="auto"/>
              </w:rPr>
            </w:pPr>
            <w:r>
              <w:rPr>
                <w:rFonts w:ascii="Times New Roman" w:cs="Times New Roman" w:eastAsia="Times New Roman" w:hAnsi="Times New Roman"/>
                <w:sz w:val="21"/>
                <w:szCs w:val="21"/>
                <w:color w:val="auto"/>
              </w:rPr>
              <w:t>Chair of Audit Committee:</w:t>
            </w:r>
          </w:p>
        </w:tc>
        <w:tc>
          <w:tcPr>
            <w:tcW w:w="2240" w:type="dxa"/>
            <w:vAlign w:val="bottom"/>
          </w:tcPr>
          <w:p>
            <w:pPr>
              <w:jc w:val="right"/>
              <w:ind w:right="1255"/>
              <w:spacing w:after="0"/>
              <w:rPr>
                <w:sz w:val="20"/>
                <w:szCs w:val="20"/>
                <w:color w:val="auto"/>
              </w:rPr>
            </w:pPr>
            <w:r>
              <w:rPr>
                <w:rFonts w:ascii="Times New Roman" w:cs="Times New Roman" w:eastAsia="Times New Roman" w:hAnsi="Times New Roman"/>
                <w:sz w:val="21"/>
                <w:szCs w:val="21"/>
                <w:color w:val="auto"/>
              </w:rPr>
              <w:t>$25,000</w:t>
            </w:r>
          </w:p>
        </w:tc>
        <w:tc>
          <w:tcPr>
            <w:tcW w:w="1080" w:type="dxa"/>
            <w:vAlign w:val="bottom"/>
          </w:tcPr>
          <w:p>
            <w:pPr>
              <w:spacing w:after="0"/>
              <w:rPr>
                <w:sz w:val="24"/>
                <w:szCs w:val="24"/>
                <w:color w:val="auto"/>
              </w:rPr>
            </w:pPr>
          </w:p>
        </w:tc>
      </w:tr>
      <w:tr>
        <w:trPr>
          <w:trHeight w:val="461"/>
        </w:trPr>
        <w:tc>
          <w:tcPr>
            <w:tcW w:w="5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Chair of Compensation and Human Resources Committee:</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$20,000</w:t>
            </w:r>
          </w:p>
        </w:tc>
      </w:tr>
      <w:tr>
        <w:trPr>
          <w:trHeight w:val="461"/>
        </w:trPr>
        <w:tc>
          <w:tcPr>
            <w:tcW w:w="53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Chair of Corporate Governance and Nominating Committee:</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Retainers Paid in Cash</w:t>
      </w:r>
    </w:p>
    <w:p>
      <w:pPr>
        <w:spacing w:after="0" w:line="261" w:lineRule="exact"/>
        <w:rPr>
          <w:sz w:val="20"/>
          <w:szCs w:val="20"/>
          <w:color w:val="auto"/>
        </w:rPr>
      </w:pPr>
    </w:p>
    <w:p>
      <w:pPr>
        <w:ind w:firstLine="632"/>
        <w:spacing w:after="0" w:line="308" w:lineRule="auto"/>
        <w:rPr>
          <w:sz w:val="20"/>
          <w:szCs w:val="20"/>
          <w:color w:val="auto"/>
        </w:rPr>
      </w:pPr>
      <w:r>
        <w:rPr>
          <w:rFonts w:ascii="Times New Roman" w:cs="Times New Roman" w:eastAsia="Times New Roman" w:hAnsi="Times New Roman"/>
          <w:sz w:val="21"/>
          <w:szCs w:val="21"/>
          <w:color w:val="auto"/>
        </w:rPr>
        <w:t>Each annual retainer paid in cash under this Policy will be paid quarterly in arrears on a prorated basis to each Director who has served in the relevant capacity at any point during the</w:t>
      </w:r>
    </w:p>
    <w:p>
      <w:pPr>
        <w:sectPr>
          <w:pgSz w:w="11900" w:h="16838" w:orient="portrait"/>
          <w:cols w:equalWidth="0" w:num="1">
            <w:col w:w="11240"/>
          </w:cols>
          <w:pgMar w:left="320" w:top="1385" w:right="339" w:bottom="1440" w:gutter="0" w:footer="0" w:header="0"/>
        </w:sectPr>
      </w:pPr>
    </w:p>
    <w:bookmarkStart w:id="63" w:name="page64"/>
    <w:bookmarkEnd w:id="63"/>
    <w:p>
      <w:pPr>
        <w:jc w:val="both"/>
        <w:spacing w:after="0" w:line="279" w:lineRule="auto"/>
        <w:rPr>
          <w:sz w:val="20"/>
          <w:szCs w:val="20"/>
          <w:color w:val="auto"/>
        </w:rPr>
      </w:pPr>
      <w:r>
        <w:rPr>
          <w:rFonts w:ascii="Times New Roman" w:cs="Times New Roman" w:eastAsia="Times New Roman" w:hAnsi="Times New Roman"/>
          <w:sz w:val="21"/>
          <w:szCs w:val="21"/>
          <w:color w:val="auto"/>
        </w:rPr>
        <w:t>immediately preceding fiscal quarter, and such payment shall be made no later than the quarterly meeting of the Board in the following fiscal quarter. For purposes of clarification, a Director who has served as a Director, as a non-executive chair of the board, or as chair of an applicable committee during only a portion of the relevant Company fiscal quarter will receive a pro-rated payment of the quarterly payment of the applicable annual cash retainer(s), calculated based on the number of days during such fiscal quarter such Director has served in the relevant capacities.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Retainers Paid in Restricted Stock Units</w:t>
      </w:r>
    </w:p>
    <w:p>
      <w:pPr>
        <w:spacing w:after="0" w:line="217" w:lineRule="exact"/>
        <w:rPr>
          <w:sz w:val="20"/>
          <w:szCs w:val="20"/>
          <w:color w:val="auto"/>
        </w:rPr>
      </w:pPr>
    </w:p>
    <w:p>
      <w:pPr>
        <w:jc w:val="both"/>
        <w:ind w:firstLine="632"/>
        <w:spacing w:after="0" w:line="253" w:lineRule="auto"/>
        <w:rPr>
          <w:sz w:val="20"/>
          <w:szCs w:val="20"/>
          <w:color w:val="auto"/>
        </w:rPr>
      </w:pPr>
      <w:r>
        <w:rPr>
          <w:rFonts w:ascii="Times New Roman" w:cs="Times New Roman" w:eastAsia="Times New Roman" w:hAnsi="Times New Roman"/>
          <w:sz w:val="21"/>
          <w:szCs w:val="21"/>
          <w:color w:val="auto"/>
        </w:rPr>
        <w:t>On or before December 31 of the calendar year prior to the Company’s annual meeting of stockholders (the “</w:t>
      </w:r>
      <w:r>
        <w:rPr>
          <w:rFonts w:ascii="Times New Roman" w:cs="Times New Roman" w:eastAsia="Times New Roman" w:hAnsi="Times New Roman"/>
          <w:sz w:val="21"/>
          <w:szCs w:val="21"/>
          <w:b w:val="1"/>
          <w:bCs w:val="1"/>
          <w:color w:val="auto"/>
        </w:rPr>
        <w:t>Annual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Meeting</w:t>
      </w:r>
      <w:r>
        <w:rPr>
          <w:rFonts w:ascii="Times New Roman" w:cs="Times New Roman" w:eastAsia="Times New Roman" w:hAnsi="Times New Roman"/>
          <w:sz w:val="21"/>
          <w:szCs w:val="21"/>
          <w:color w:val="auto"/>
        </w:rPr>
        <w:t>”) during the term of this Policy, each Director may make an election (the “</w:t>
      </w:r>
      <w:r>
        <w:rPr>
          <w:rFonts w:ascii="Times New Roman" w:cs="Times New Roman" w:eastAsia="Times New Roman" w:hAnsi="Times New Roman"/>
          <w:sz w:val="21"/>
          <w:szCs w:val="21"/>
          <w:b w:val="1"/>
          <w:bCs w:val="1"/>
          <w:color w:val="auto"/>
        </w:rPr>
        <w:t>Election</w:t>
      </w:r>
      <w:r>
        <w:rPr>
          <w:rFonts w:ascii="Times New Roman" w:cs="Times New Roman" w:eastAsia="Times New Roman" w:hAnsi="Times New Roman"/>
          <w:sz w:val="21"/>
          <w:szCs w:val="21"/>
          <w:color w:val="auto"/>
        </w:rPr>
        <w:t>”) to receive any or all of his or 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annual cash retainer that will be earned for services performed as a Director in calendar years after the calendar year in which the election is made in the form of a Restricted Stock Unit Award. The Election must be in writing and delivered to the Secretary of the Company on or prior to December 31 of the calendar year prior to such Annual Meeting. Any such Election made by a Director shall be irrevocable and shall comply with Section 409A of the Code to the extent applicable unless otherwise determined by the Board. Effective as of immediately following the Annual Meeting, the Director shall automatically receive, without the need for further Board action, a Restricted Stock Unit Award for that number of Shares determined by dividing (1) the product of (a) the amount of his or her annual retainer as a Director covered by the Election, multiplied by (b) 1.2, by (2) the Fair Market Value of a Share on that date, rounded down to the nearest whole Share, provided that on the Date of Grant of any such Restricted Stock Unit Award such person is a Director; and provided further that sufficient Shares are available under the Plan for the grant of such Restricted Stock Unit Award. Such Restricted Stock Unit Award shall vest on the date of the following year’s Annual Meeting, provided that the Participant is a Director on such date.</w:t>
      </w:r>
    </w:p>
    <w:p>
      <w:pPr>
        <w:spacing w:after="0" w:line="191" w:lineRule="exact"/>
        <w:rPr>
          <w:sz w:val="20"/>
          <w:szCs w:val="20"/>
          <w:color w:val="auto"/>
        </w:rPr>
      </w:pPr>
    </w:p>
    <w:p>
      <w:pPr>
        <w:ind w:left="640" w:hanging="319"/>
        <w:spacing w:after="0"/>
        <w:tabs>
          <w:tab w:leader="none" w:pos="640"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Equity Compensation other than Retainers</w:t>
      </w:r>
    </w:p>
    <w:p>
      <w:pPr>
        <w:spacing w:after="0" w:line="223" w:lineRule="exact"/>
        <w:rPr>
          <w:sz w:val="20"/>
          <w:szCs w:val="20"/>
          <w:color w:val="auto"/>
        </w:rPr>
      </w:pPr>
    </w:p>
    <w:p>
      <w:pPr>
        <w:jc w:val="both"/>
        <w:ind w:firstLine="632"/>
        <w:spacing w:after="0" w:line="259" w:lineRule="auto"/>
        <w:rPr>
          <w:sz w:val="20"/>
          <w:szCs w:val="20"/>
          <w:color w:val="auto"/>
        </w:rPr>
      </w:pPr>
      <w:r>
        <w:rPr>
          <w:rFonts w:ascii="Times New Roman" w:cs="Times New Roman" w:eastAsia="Times New Roman" w:hAnsi="Times New Roman"/>
          <w:sz w:val="21"/>
          <w:szCs w:val="21"/>
          <w:color w:val="auto"/>
        </w:rPr>
        <w:t>Directors will be eligible to receive all types of Awards (except Incentive Stock Options) under the Plan (or the applicable equity plan in place at the time of grant), including discretionary Awards not covered under this Policy. All grants of Awards to Directors pursuant to Section 2 of this Policy will be automatic and nondiscretionary, except as otherwise provided herein, without the need for further Board action, and will be made in accordance with the following provisions:</w:t>
      </w:r>
    </w:p>
    <w:p>
      <w:pPr>
        <w:spacing w:after="0" w:line="181" w:lineRule="exact"/>
        <w:rPr>
          <w:sz w:val="20"/>
          <w:szCs w:val="20"/>
          <w:color w:val="auto"/>
        </w:rPr>
      </w:pPr>
    </w:p>
    <w:p>
      <w:pPr>
        <w:jc w:val="both"/>
        <w:ind w:firstLine="637"/>
        <w:spacing w:after="0" w:line="255" w:lineRule="auto"/>
        <w:tabs>
          <w:tab w:leader="none" w:pos="108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Award</w:t>
      </w:r>
      <w:r>
        <w:rPr>
          <w:rFonts w:ascii="Times New Roman" w:cs="Times New Roman" w:eastAsia="Times New Roman" w:hAnsi="Times New Roman"/>
          <w:sz w:val="21"/>
          <w:szCs w:val="21"/>
          <w:color w:val="auto"/>
        </w:rPr>
        <w:t>. Each Director who first joins the Board on or after the effective date of this Policy shall be automatically granted Restricted Stock Units upon the effective date on which such person first serves as a Director, for that number of Shares as determined by dividing (1) the product of (a) $300,000 multiplied by (b) the ratio of (i) the number of calendar days from the Date of Grant to the Company’s next Annual Meeting, if scheduled, or the first anniversary of the Company’s last Annual Meeting, if the next Annual Meeting is not yet scheduled, divided by (ii) 365; by (2) the Fair Market Value of a Share on the Date of Grant, rounded down to the nearest whole Share (the “</w:t>
      </w:r>
      <w:r>
        <w:rPr>
          <w:rFonts w:ascii="Times New Roman" w:cs="Times New Roman" w:eastAsia="Times New Roman" w:hAnsi="Times New Roman"/>
          <w:sz w:val="21"/>
          <w:szCs w:val="21"/>
          <w:b w:val="1"/>
          <w:bCs w:val="1"/>
          <w:color w:val="auto"/>
        </w:rPr>
        <w:t>Initial Restricted Stock Units</w:t>
      </w:r>
      <w:r>
        <w:rPr>
          <w:rFonts w:ascii="Times New Roman" w:cs="Times New Roman" w:eastAsia="Times New Roman" w:hAnsi="Times New Roman"/>
          <w:sz w:val="21"/>
          <w:szCs w:val="21"/>
          <w:color w:val="auto"/>
        </w:rPr>
        <w:t>”)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8"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1125855</wp:posOffset>
            </wp:positionH>
            <wp:positionV relativeFrom="page">
              <wp:posOffset>1943735</wp:posOffset>
            </wp:positionV>
            <wp:extent cx="5297805" cy="128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29780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5" w:firstLine="5"/>
        <w:spacing w:after="0" w:line="265" w:lineRule="auto"/>
        <w:tabs>
          <w:tab w:leader="none" w:pos="12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however, that the number of Shares subject to a grant of Initial Restricted Stock Units shall be subject to review and revision by the Board on an annual basis; and provided further, however, that if a Director’s effective date of first service on the Board falls on the date of an Annual Meeting, such Director shall not receive an award of Initial Restricted Stock Units.</w:t>
      </w:r>
    </w:p>
    <w:p>
      <w:pPr>
        <w:spacing w:after="0" w:line="160" w:lineRule="exact"/>
        <w:rPr>
          <w:rFonts w:ascii="Times New Roman" w:cs="Times New Roman" w:eastAsia="Times New Roman" w:hAnsi="Times New Roman"/>
          <w:sz w:val="21"/>
          <w:szCs w:val="21"/>
          <w:color w:val="auto"/>
        </w:rPr>
      </w:pPr>
    </w:p>
    <w:p>
      <w:pPr>
        <w:jc w:val="both"/>
        <w:ind w:left="-5" w:firstLine="637"/>
        <w:spacing w:after="0" w:line="257" w:lineRule="auto"/>
        <w:tabs>
          <w:tab w:leader="none" w:pos="1135"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On the date of each Annual Meeting during the term of this Policy, each Director shall automatically receive an additional award of Restricted Stock Units for that number of Shares as determined by dividing $300,000 by the Fair Market Value of a Share on the Date of Grant, rounded down to the nearest whole Share (the “</w:t>
      </w:r>
      <w:r>
        <w:rPr>
          <w:rFonts w:ascii="Times New Roman" w:cs="Times New Roman" w:eastAsia="Times New Roman" w:hAnsi="Times New Roman"/>
          <w:sz w:val="21"/>
          <w:szCs w:val="21"/>
          <w:b w:val="1"/>
          <w:bCs w:val="1"/>
          <w:color w:val="auto"/>
        </w:rPr>
        <w:t>Annual Restricted Stock Units</w:t>
      </w:r>
      <w:r>
        <w:rPr>
          <w:rFonts w:ascii="Times New Roman" w:cs="Times New Roman" w:eastAsia="Times New Roman" w:hAnsi="Times New Roman"/>
          <w:sz w:val="21"/>
          <w:szCs w:val="21"/>
          <w:color w:val="auto"/>
        </w:rPr>
        <w:t>”), provided that the grant of Annual Restricted Stock Units shall be subject to the Director’s continued service; and provided further, that the number of Shares subject to a grant of Annual Restricted Stock Units shall be subject to review and revision by the Board on an annual basis.</w:t>
      </w:r>
    </w:p>
    <w:p>
      <w:pPr>
        <w:spacing w:after="0" w:line="172" w:lineRule="exact"/>
        <w:rPr>
          <w:rFonts w:ascii="Times New Roman" w:cs="Times New Roman" w:eastAsia="Times New Roman" w:hAnsi="Times New Roman"/>
          <w:sz w:val="21"/>
          <w:szCs w:val="21"/>
          <w:color w:val="auto"/>
        </w:rPr>
      </w:pPr>
    </w:p>
    <w:p>
      <w:pPr>
        <w:ind w:left="-5" w:firstLine="637"/>
        <w:spacing w:after="0" w:line="295" w:lineRule="auto"/>
        <w:tabs>
          <w:tab w:leader="none" w:pos="116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grant of Initial Restricted Stock Units and Annual Restricted Stock Units shall vest on the date of the Annual Meeting following the Date of Grant, provided that the Participant is a Director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55"/>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35"/>
          </w:cols>
          <w:pgMar w:left="325" w:top="1440" w:right="339" w:bottom="1440" w:gutter="0" w:footer="0" w:header="0"/>
        </w:sectPr>
      </w:pPr>
    </w:p>
    <w:bookmarkStart w:id="65" w:name="page66"/>
    <w:bookmarkEnd w:id="65"/>
    <w:p>
      <w:pPr>
        <w:spacing w:after="0" w:line="156" w:lineRule="exact"/>
        <w:rPr>
          <w:sz w:val="20"/>
          <w:szCs w:val="20"/>
          <w:color w:val="auto"/>
        </w:rPr>
      </w:pPr>
    </w:p>
    <w:p>
      <w:pPr>
        <w:ind w:left="640" w:hanging="319"/>
        <w:spacing w:after="0"/>
        <w:tabs>
          <w:tab w:leader="none" w:pos="640"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Limitations</w:t>
      </w:r>
    </w:p>
    <w:p>
      <w:pPr>
        <w:spacing w:after="0" w:line="223" w:lineRule="exact"/>
        <w:rPr>
          <w:rFonts w:ascii="Times New Roman" w:cs="Times New Roman" w:eastAsia="Times New Roman" w:hAnsi="Times New Roman"/>
          <w:sz w:val="21"/>
          <w:szCs w:val="21"/>
          <w:b w:val="1"/>
          <w:bCs w:val="1"/>
          <w:color w:val="auto"/>
        </w:rPr>
      </w:pPr>
    </w:p>
    <w:p>
      <w:pPr>
        <w:ind w:left="6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 compensation granted to a Director shall be subject to the limits provided in Section 12 of the Plan.</w:t>
      </w:r>
    </w:p>
    <w:p>
      <w:pPr>
        <w:spacing w:after="0" w:line="215" w:lineRule="exact"/>
        <w:rPr>
          <w:rFonts w:ascii="Times New Roman" w:cs="Times New Roman" w:eastAsia="Times New Roman" w:hAnsi="Times New Roman"/>
          <w:sz w:val="21"/>
          <w:szCs w:val="21"/>
          <w:b w:val="1"/>
          <w:bCs w:val="1"/>
          <w:color w:val="auto"/>
        </w:rPr>
      </w:pPr>
    </w:p>
    <w:p>
      <w:pPr>
        <w:ind w:left="640" w:hanging="319"/>
        <w:spacing w:after="0"/>
        <w:tabs>
          <w:tab w:leader="none" w:pos="640"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Travel Expenses</w:t>
      </w:r>
    </w:p>
    <w:p>
      <w:pPr>
        <w:spacing w:after="0" w:line="38" w:lineRule="exact"/>
        <w:rPr>
          <w:rFonts w:ascii="Times New Roman" w:cs="Times New Roman" w:eastAsia="Times New Roman" w:hAnsi="Times New Roman"/>
          <w:sz w:val="21"/>
          <w:szCs w:val="21"/>
          <w:b w:val="1"/>
          <w:bCs w:val="1"/>
          <w:color w:val="auto"/>
        </w:rPr>
      </w:pPr>
    </w:p>
    <w:p>
      <w:pPr>
        <w:ind w:left="64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Each Director’s reasonable, customary and documented travel expenses to Board or Board committee meetings will be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reimbursed by the Company, subject to any applicable Company policies that may be in effect from time to time.</w:t>
      </w:r>
    </w:p>
    <w:p>
      <w:pPr>
        <w:spacing w:after="0" w:line="229" w:lineRule="exact"/>
        <w:rPr>
          <w:sz w:val="20"/>
          <w:szCs w:val="20"/>
          <w:color w:val="auto"/>
        </w:rPr>
      </w:pPr>
    </w:p>
    <w:p>
      <w:pPr>
        <w:ind w:left="640" w:hanging="319"/>
        <w:spacing w:after="0"/>
        <w:tabs>
          <w:tab w:leader="none" w:pos="640"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Continuing Education Expenses</w:t>
      </w:r>
    </w:p>
    <w:p>
      <w:pPr>
        <w:spacing w:after="0" w:line="223" w:lineRule="exact"/>
        <w:rPr>
          <w:sz w:val="20"/>
          <w:szCs w:val="20"/>
          <w:color w:val="auto"/>
        </w:rPr>
      </w:pPr>
    </w:p>
    <w:p>
      <w:pPr>
        <w:ind w:firstLine="632"/>
        <w:spacing w:after="0" w:line="295" w:lineRule="auto"/>
        <w:rPr>
          <w:sz w:val="20"/>
          <w:szCs w:val="20"/>
          <w:color w:val="auto"/>
        </w:rPr>
      </w:pPr>
      <w:r>
        <w:rPr>
          <w:rFonts w:ascii="Times New Roman" w:cs="Times New Roman" w:eastAsia="Times New Roman" w:hAnsi="Times New Roman"/>
          <w:sz w:val="21"/>
          <w:szCs w:val="21"/>
          <w:color w:val="auto"/>
        </w:rPr>
        <w:t>Each Director’s reasonable, customary and documented expenses for continuing education programs focused on the legal and ethical responsibilities of board members will be reimbursed by the Company.</w:t>
      </w:r>
    </w:p>
    <w:p>
      <w:pPr>
        <w:spacing w:after="0" w:line="126" w:lineRule="exact"/>
        <w:rPr>
          <w:sz w:val="20"/>
          <w:szCs w:val="20"/>
          <w:color w:val="auto"/>
        </w:rPr>
      </w:pPr>
    </w:p>
    <w:p>
      <w:pPr>
        <w:ind w:left="640" w:hanging="319"/>
        <w:spacing w:after="0"/>
        <w:tabs>
          <w:tab w:leader="none" w:pos="640"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Additional Provisions</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All provisions of the Plan not inconsistent with this Policy will apply to Awards granted to Directors.</w:t>
      </w:r>
    </w:p>
    <w:p>
      <w:pPr>
        <w:spacing w:after="0" w:line="215" w:lineRule="exact"/>
        <w:rPr>
          <w:sz w:val="20"/>
          <w:szCs w:val="20"/>
          <w:color w:val="auto"/>
        </w:rPr>
      </w:pPr>
    </w:p>
    <w:p>
      <w:pPr>
        <w:ind w:left="640" w:hanging="319"/>
        <w:spacing w:after="0"/>
        <w:tabs>
          <w:tab w:leader="none" w:pos="64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Revisions</w:t>
      </w:r>
    </w:p>
    <w:p>
      <w:pPr>
        <w:spacing w:after="0" w:line="223" w:lineRule="exact"/>
        <w:rPr>
          <w:sz w:val="20"/>
          <w:szCs w:val="20"/>
          <w:color w:val="auto"/>
        </w:rPr>
      </w:pPr>
    </w:p>
    <w:p>
      <w:pPr>
        <w:jc w:val="both"/>
        <w:ind w:firstLine="355"/>
        <w:spacing w:after="0" w:line="260" w:lineRule="auto"/>
        <w:rPr>
          <w:sz w:val="20"/>
          <w:szCs w:val="20"/>
          <w:color w:val="auto"/>
        </w:rPr>
      </w:pPr>
      <w:r>
        <w:rPr>
          <w:rFonts w:ascii="Times New Roman" w:cs="Times New Roman" w:eastAsia="Times New Roman" w:hAnsi="Times New Roman"/>
          <w:sz w:val="21"/>
          <w:szCs w:val="21"/>
          <w:color w:val="auto"/>
        </w:rPr>
        <w:t>The Board may amend, alter, suspend or terminate this Policy at any time and for any reason. No amendment, alteration, suspension or termination of this Policy will materially impair the rights of a Director with respect to compensation that already has been paid or awarded, unless otherwise mutually agreed between the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Anagnost, certify that:</w:t>
      </w:r>
    </w:p>
    <w:p>
      <w:pPr>
        <w:spacing w:after="0" w:line="96" w:lineRule="exact"/>
        <w:rPr>
          <w:sz w:val="20"/>
          <w:szCs w:val="20"/>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82"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2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2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2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p>
      <w:pPr>
        <w:spacing w:after="0" w:line="135" w:lineRule="exact"/>
        <w:rPr>
          <w:sz w:val="20"/>
          <w:szCs w:val="20"/>
          <w:color w:val="auto"/>
        </w:rPr>
      </w:pPr>
    </w:p>
    <w:p>
      <w:pPr>
        <w:ind w:left="7540"/>
        <w:spacing w:after="0"/>
        <w:tabs>
          <w:tab w:leader="none" w:pos="78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3980815</wp:posOffset>
            </wp:positionH>
            <wp:positionV relativeFrom="paragraph">
              <wp:posOffset>13970</wp:posOffset>
            </wp:positionV>
            <wp:extent cx="31584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58490" cy="8255"/>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ind w:left="7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ectPr>
          <w:pgSz w:w="11900" w:h="16838" w:orient="portrait"/>
          <w:cols w:equalWidth="0" w:num="1">
            <w:col w:w="11240"/>
          </w:cols>
          <w:pgMar w:left="320" w:top="96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Janesh Moorjani, certify that:</w:t>
      </w:r>
    </w:p>
    <w:p>
      <w:pPr>
        <w:spacing w:after="0" w:line="96" w:lineRule="exact"/>
        <w:rPr>
          <w:sz w:val="20"/>
          <w:szCs w:val="20"/>
          <w:color w:val="auto"/>
        </w:rPr>
      </w:pPr>
    </w:p>
    <w:p>
      <w:pPr>
        <w:ind w:left="320" w:hanging="315"/>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82"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640" w:right="160" w:hanging="319"/>
        <w:spacing w:after="0" w:line="256"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Times New Roman" w:cs="Times New Roman" w:eastAsia="Times New Roman" w:hAnsi="Times New Roman"/>
          <w:sz w:val="18"/>
          <w:szCs w:val="18"/>
          <w:color w:val="auto"/>
        </w:rPr>
      </w:pPr>
    </w:p>
    <w:p>
      <w:pPr>
        <w:ind w:left="640" w:right="60" w:hanging="319"/>
        <w:spacing w:after="0" w:line="256"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640" w:right="120" w:hanging="319"/>
        <w:spacing w:after="0" w:line="268" w:lineRule="auto"/>
        <w:tabs>
          <w:tab w:leader="none" w:pos="6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640" w:right="180" w:hanging="319"/>
        <w:spacing w:after="0" w:line="268"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p>
      <w:pPr>
        <w:spacing w:after="0" w:line="135"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8"/>
          <w:szCs w:val="18"/>
          <w:color w:val="auto"/>
        </w:rPr>
        <w:t>/s/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13970</wp:posOffset>
            </wp:positionV>
            <wp:extent cx="36429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7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b w:val="1"/>
          <w:bCs w:val="1"/>
          <w:color w:val="auto"/>
        </w:rPr>
        <w:t>Janesh Moorjani</w:t>
      </w:r>
    </w:p>
    <w:p>
      <w:pPr>
        <w:spacing w:after="0" w:line="2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ind w:left="742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ectPr>
          <w:pgSz w:w="11900" w:h="16838" w:orient="portrait"/>
          <w:cols w:equalWidth="0" w:num="1">
            <w:col w:w="11240"/>
          </w:cols>
          <w:pgMar w:left="320" w:top="96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7" w:lineRule="exact"/>
        <w:rPr>
          <w:sz w:val="20"/>
          <w:szCs w:val="20"/>
          <w:color w:val="auto"/>
        </w:rPr>
      </w:pPr>
    </w:p>
    <w:p>
      <w:pPr>
        <w:ind w:right="120" w:firstLine="316"/>
        <w:spacing w:after="0" w:line="252" w:lineRule="auto"/>
        <w:rPr>
          <w:sz w:val="20"/>
          <w:szCs w:val="20"/>
          <w:color w:val="auto"/>
        </w:rPr>
      </w:pPr>
      <w:r>
        <w:rPr>
          <w:rFonts w:ascii="Times New Roman" w:cs="Times New Roman" w:eastAsia="Times New Roman" w:hAnsi="Times New Roman"/>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April 30, 2026,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29, 2026</w:t>
      </w:r>
    </w:p>
    <w:p>
      <w:pPr>
        <w:spacing w:after="0" w:line="135" w:lineRule="exact"/>
        <w:rPr>
          <w:sz w:val="20"/>
          <w:szCs w:val="20"/>
          <w:color w:val="auto"/>
        </w:rPr>
      </w:pPr>
    </w:p>
    <w:p>
      <w:pPr>
        <w:ind w:left="7320"/>
        <w:spacing w:after="0"/>
        <w:tabs>
          <w:tab w:leader="none" w:pos="76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3451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00" w:lineRule="exact"/>
        <w:rPr>
          <w:sz w:val="20"/>
          <w:szCs w:val="20"/>
          <w:color w:val="auto"/>
        </w:rPr>
      </w:pPr>
    </w:p>
    <w:p>
      <w:pPr>
        <w:spacing w:after="0" w:line="219" w:lineRule="exact"/>
        <w:rPr>
          <w:sz w:val="20"/>
          <w:szCs w:val="20"/>
          <w:color w:val="auto"/>
        </w:rPr>
      </w:pPr>
    </w:p>
    <w:p>
      <w:pPr>
        <w:ind w:right="40" w:firstLine="316"/>
        <w:spacing w:after="0" w:line="252" w:lineRule="auto"/>
        <w:rPr>
          <w:sz w:val="20"/>
          <w:szCs w:val="20"/>
          <w:color w:val="auto"/>
        </w:rPr>
      </w:pPr>
      <w:r>
        <w:rPr>
          <w:rFonts w:ascii="Times New Roman" w:cs="Times New Roman" w:eastAsia="Times New Roman" w:hAnsi="Times New Roman"/>
          <w:sz w:val="18"/>
          <w:szCs w:val="18"/>
          <w:color w:val="auto"/>
        </w:rPr>
        <w:t>Based on my knowledge, I, Janesh Moorjani, certify, pursuant to 18 U.S.C. Section 1350, as adopted pursuant to Section 906 of the Sarbanes-Oxley Act of 2002, that the Quarterly Report of Autodesk, Inc. on Form 10-Q for the quarterly period ended April 30, 2026,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29, 2026</w:t>
      </w:r>
    </w:p>
    <w:p>
      <w:pPr>
        <w:spacing w:after="0" w:line="135"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13970</wp:posOffset>
            </wp:positionV>
            <wp:extent cx="3451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1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Janesh Moorjani</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sectPr>
      <w:pgSz w:w="11900" w:h="16838" w:orient="portrait"/>
      <w:cols w:equalWidth="0" w:num="1">
        <w:col w:w="11240"/>
      </w:cols>
      <w:pgMar w:left="320" w:top="9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6"/>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lowerRoman"/>
      <w:start w:val="2"/>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lowerRoman"/>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lvl w:ilvl="1">
      <w:lvlJc w:val="left"/>
      <w:lvlText w:val="%2"/>
      <w:numFmt w:val="decimal"/>
      <w:start w:val="10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2"/>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
      <w:numFmt w:val="bullet"/>
      <w:start w:val="1"/>
    </w:lvl>
    <w:lvl w:ilvl="1">
      <w:lvlJc w:val="left"/>
      <w:lvlText w:val="(%2)"/>
      <w:numFmt w:val="lowerLetter"/>
      <w:start w:val="2"/>
    </w:lvl>
  </w:abstractNum>
  <w:abstractNum w:abstractNumId="42">
    <w:nsid w:val="7A6D8D3C"/>
    <w:multiLevelType w:val="hybridMultilevel"/>
    <w:lvl w:ilvl="0">
      <w:lvlJc w:val="left"/>
      <w:lvlText w:val="%1."/>
      <w:numFmt w:val="decimal"/>
      <w:start w:val="3"/>
    </w:lvl>
  </w:abstractNum>
  <w:abstractNum w:abstractNumId="43">
    <w:nsid w:val="4B588F54"/>
    <w:multiLevelType w:val="hybridMultilevel"/>
    <w:lvl w:ilvl="0">
      <w:lvlJc w:val="left"/>
      <w:lvlText w:val="%1."/>
      <w:numFmt w:val="decimal"/>
      <w:start w:val="5"/>
    </w:lvl>
  </w:abstractNum>
  <w:abstractNum w:abstractNumId="44">
    <w:nsid w:val="542289EC"/>
    <w:multiLevelType w:val="hybridMultilevel"/>
    <w:lvl w:ilvl="0">
      <w:lvlJc w:val="left"/>
      <w:lvlText w:val="%1."/>
      <w:numFmt w:val="decimal"/>
      <w:start w:val="6"/>
    </w:lvl>
  </w:abstractNum>
  <w:abstractNum w:abstractNumId="45">
    <w:nsid w:val="6DE91B18"/>
    <w:multiLevelType w:val="hybridMultilevel"/>
    <w:lvl w:ilvl="0">
      <w:lvlJc w:val="left"/>
      <w:lvlText w:val="%1."/>
      <w:numFmt w:val="decimal"/>
      <w:start w:val="7"/>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2026-05-29T16:55:53Z</dcterms:created>
  <dcterms:modified xsi:type="dcterms:W3CDTF">2026-05-29T16:55:53Z</dcterms:modified>
</cp:coreProperties>
</file>