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64"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77"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For the fiscal year ended January 31, 2010</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560" w:right="320" w:hanging="552"/>
        <w:spacing w:after="0" w:line="256" w:lineRule="auto"/>
        <w:tabs>
          <w:tab w:leader="none" w:pos="5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ind w:left="5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95" w:lineRule="exact"/>
        <w:rPr>
          <w:sz w:val="24"/>
          <w:szCs w:val="24"/>
          <w:color w:val="auto"/>
        </w:rPr>
      </w:pPr>
    </w:p>
    <w:p>
      <w:pPr>
        <w:sectPr>
          <w:pgSz w:w="11900" w:h="16838" w:orient="portrait"/>
          <w:cols w:equalWidth="0" w:num="2">
            <w:col w:w="2820" w:space="620"/>
            <w:col w:w="798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0-14338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115570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194" w:lineRule="exact"/>
        <w:rPr>
          <w:sz w:val="24"/>
          <w:szCs w:val="24"/>
          <w:color w:val="auto"/>
        </w:rPr>
      </w:pPr>
    </w:p>
    <w:tbl>
      <w:tblPr>
        <w:tblLayout w:type="fixed"/>
        <w:tblInd w:w="1700" w:type="dxa"/>
        <w:tblCellMar>
          <w:top w:w="0" w:type="dxa"/>
          <w:left w:w="0" w:type="dxa"/>
          <w:bottom w:w="0" w:type="dxa"/>
          <w:right w:w="0" w:type="dxa"/>
        </w:tblCellMar>
      </w:tblPr>
      <w:tr>
        <w:trPr>
          <w:trHeight w:val="393"/>
        </w:trPr>
        <w:tc>
          <w:tcPr>
            <w:tcW w:w="2380" w:type="dxa"/>
            <w:vAlign w:val="bottom"/>
          </w:tcPr>
          <w:p>
            <w:pPr>
              <w:spacing w:after="0"/>
              <w:rPr>
                <w:sz w:val="24"/>
                <w:szCs w:val="24"/>
                <w:color w:val="auto"/>
              </w:rPr>
            </w:pPr>
          </w:p>
        </w:tc>
        <w:tc>
          <w:tcPr>
            <w:tcW w:w="5180" w:type="dxa"/>
            <w:vAlign w:val="bottom"/>
          </w:tcPr>
          <w:p>
            <w:pPr>
              <w:jc w:val="center"/>
              <w:ind w:right="1833"/>
              <w:spacing w:after="0"/>
              <w:rPr>
                <w:sz w:val="20"/>
                <w:szCs w:val="20"/>
                <w:color w:val="auto"/>
              </w:rPr>
            </w:pPr>
            <w:r>
              <w:rPr>
                <w:rFonts w:ascii="Arial" w:cs="Arial" w:eastAsia="Arial" w:hAnsi="Arial"/>
                <w:sz w:val="32"/>
                <w:szCs w:val="32"/>
                <w:b w:val="1"/>
                <w:bCs w:val="1"/>
                <w:color w:val="auto"/>
              </w:rPr>
              <w:t>AUTODESK, INC.</w:t>
            </w:r>
          </w:p>
        </w:tc>
      </w:tr>
      <w:tr>
        <w:trPr>
          <w:trHeight w:val="174"/>
        </w:trPr>
        <w:tc>
          <w:tcPr>
            <w:tcW w:w="2380" w:type="dxa"/>
            <w:vAlign w:val="bottom"/>
          </w:tcPr>
          <w:p>
            <w:pPr>
              <w:spacing w:after="0"/>
              <w:rPr>
                <w:sz w:val="15"/>
                <w:szCs w:val="15"/>
                <w:color w:val="auto"/>
              </w:rPr>
            </w:pPr>
          </w:p>
        </w:tc>
        <w:tc>
          <w:tcPr>
            <w:tcW w:w="5180" w:type="dxa"/>
            <w:vAlign w:val="bottom"/>
          </w:tcPr>
          <w:p>
            <w:pPr>
              <w:jc w:val="center"/>
              <w:ind w:right="183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18"/>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8"/>
              </w:rPr>
              <w:t>Delaware</w:t>
            </w:r>
          </w:p>
        </w:tc>
        <w:tc>
          <w:tcPr>
            <w:tcW w:w="5180" w:type="dxa"/>
            <w:vAlign w:val="bottom"/>
          </w:tcPr>
          <w:p>
            <w:pPr>
              <w:jc w:val="right"/>
              <w:ind w:right="13"/>
              <w:spacing w:after="0"/>
              <w:rPr>
                <w:sz w:val="20"/>
                <w:szCs w:val="20"/>
                <w:color w:val="auto"/>
              </w:rPr>
            </w:pPr>
            <w:r>
              <w:rPr>
                <w:rFonts w:ascii="Arial" w:cs="Arial" w:eastAsia="Arial" w:hAnsi="Arial"/>
                <w:sz w:val="18"/>
                <w:szCs w:val="18"/>
                <w:b w:val="1"/>
                <w:bCs w:val="1"/>
                <w:color w:val="auto"/>
              </w:rPr>
              <w:t>94-2819853</w:t>
            </w:r>
          </w:p>
        </w:tc>
      </w:tr>
      <w:tr>
        <w:trPr>
          <w:trHeight w:val="149"/>
        </w:trPr>
        <w:tc>
          <w:tcPr>
            <w:tcW w:w="23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5180" w:type="dxa"/>
            <w:vAlign w:val="bottom"/>
          </w:tcPr>
          <w:p>
            <w:pPr>
              <w:jc w:val="center"/>
              <w:ind w:left="4053"/>
              <w:spacing w:after="0" w:line="149" w:lineRule="exact"/>
              <w:rPr>
                <w:sz w:val="20"/>
                <w:szCs w:val="20"/>
                <w:color w:val="auto"/>
              </w:rPr>
            </w:pPr>
            <w:r>
              <w:rPr>
                <w:rFonts w:ascii="Arial" w:cs="Arial" w:eastAsia="Arial" w:hAnsi="Arial"/>
                <w:sz w:val="14"/>
                <w:szCs w:val="14"/>
                <w:b w:val="1"/>
                <w:bCs w:val="1"/>
                <w:color w:val="auto"/>
                <w:w w:val="90"/>
              </w:rPr>
              <w:t>(I.R.S. employer</w:t>
            </w:r>
          </w:p>
        </w:tc>
      </w:tr>
      <w:tr>
        <w:trPr>
          <w:trHeight w:val="174"/>
        </w:trPr>
        <w:tc>
          <w:tcPr>
            <w:tcW w:w="2380" w:type="dxa"/>
            <w:vAlign w:val="bottom"/>
          </w:tcPr>
          <w:p>
            <w:pPr>
              <w:jc w:val="center"/>
              <w:ind w:right="82"/>
              <w:spacing w:after="0"/>
              <w:rPr>
                <w:sz w:val="20"/>
                <w:szCs w:val="20"/>
                <w:color w:val="auto"/>
              </w:rPr>
            </w:pPr>
            <w:r>
              <w:rPr>
                <w:rFonts w:ascii="Arial" w:cs="Arial" w:eastAsia="Arial" w:hAnsi="Arial"/>
                <w:sz w:val="14"/>
                <w:szCs w:val="14"/>
                <w:b w:val="1"/>
                <w:bCs w:val="1"/>
                <w:color w:val="auto"/>
                <w:w w:val="87"/>
              </w:rPr>
              <w:t>of incorporation or organization)</w:t>
            </w:r>
          </w:p>
        </w:tc>
        <w:tc>
          <w:tcPr>
            <w:tcW w:w="5180" w:type="dxa"/>
            <w:vAlign w:val="bottom"/>
          </w:tcPr>
          <w:p>
            <w:pPr>
              <w:jc w:val="center"/>
              <w:ind w:left="4053"/>
              <w:spacing w:after="0"/>
              <w:rPr>
                <w:sz w:val="20"/>
                <w:szCs w:val="20"/>
                <w:color w:val="auto"/>
              </w:rPr>
            </w:pPr>
            <w:r>
              <w:rPr>
                <w:rFonts w:ascii="Arial" w:cs="Arial" w:eastAsia="Arial" w:hAnsi="Arial"/>
                <w:sz w:val="14"/>
                <w:szCs w:val="14"/>
                <w:b w:val="1"/>
                <w:bCs w:val="1"/>
                <w:color w:val="auto"/>
                <w:w w:val="87"/>
              </w:rPr>
              <w:t>Identification No.)</w:t>
            </w:r>
          </w:p>
        </w:tc>
      </w:tr>
      <w:tr>
        <w:trPr>
          <w:trHeight w:val="378"/>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9"/>
              </w:rPr>
              <w:t>111 McInnis Parkway,</w:t>
            </w:r>
          </w:p>
        </w:tc>
        <w:tc>
          <w:tcPr>
            <w:tcW w:w="5180" w:type="dxa"/>
            <w:vAlign w:val="bottom"/>
          </w:tcPr>
          <w:p>
            <w:pPr>
              <w:spacing w:after="0"/>
              <w:rPr>
                <w:sz w:val="24"/>
                <w:szCs w:val="24"/>
                <w:color w:val="auto"/>
              </w:rPr>
            </w:pPr>
          </w:p>
        </w:tc>
      </w:tr>
      <w:tr>
        <w:trPr>
          <w:trHeight w:val="231"/>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9"/>
              </w:rPr>
              <w:t>San Rafael, California</w:t>
            </w:r>
          </w:p>
        </w:tc>
        <w:tc>
          <w:tcPr>
            <w:tcW w:w="5180" w:type="dxa"/>
            <w:vAlign w:val="bottom"/>
          </w:tcPr>
          <w:p>
            <w:pPr>
              <w:jc w:val="right"/>
              <w:ind w:right="213"/>
              <w:spacing w:after="0"/>
              <w:rPr>
                <w:sz w:val="20"/>
                <w:szCs w:val="20"/>
                <w:color w:val="auto"/>
              </w:rPr>
            </w:pPr>
            <w:r>
              <w:rPr>
                <w:rFonts w:ascii="Arial" w:cs="Arial" w:eastAsia="Arial" w:hAnsi="Arial"/>
                <w:sz w:val="18"/>
                <w:szCs w:val="18"/>
                <w:b w:val="1"/>
                <w:bCs w:val="1"/>
                <w:color w:val="auto"/>
              </w:rPr>
              <w:t>94903</w:t>
            </w:r>
          </w:p>
        </w:tc>
      </w:tr>
      <w:tr>
        <w:trPr>
          <w:trHeight w:val="174"/>
        </w:trPr>
        <w:tc>
          <w:tcPr>
            <w:tcW w:w="2380" w:type="dxa"/>
            <w:vAlign w:val="bottom"/>
          </w:tcPr>
          <w:p>
            <w:pPr>
              <w:jc w:val="center"/>
              <w:ind w:right="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180" w:type="dxa"/>
            <w:vAlign w:val="bottom"/>
          </w:tcPr>
          <w:p>
            <w:pPr>
              <w:jc w:val="center"/>
              <w:ind w:left="4053"/>
              <w:spacing w:after="0"/>
              <w:rPr>
                <w:sz w:val="20"/>
                <w:szCs w:val="20"/>
                <w:color w:val="auto"/>
              </w:rPr>
            </w:pPr>
            <w:r>
              <w:rPr>
                <w:rFonts w:ascii="Arial" w:cs="Arial" w:eastAsia="Arial" w:hAnsi="Arial"/>
                <w:sz w:val="14"/>
                <w:szCs w:val="14"/>
                <w:b w:val="1"/>
                <w:bCs w:val="1"/>
                <w:color w:val="auto"/>
                <w:w w:val="92"/>
              </w:rPr>
              <w:t>(Zip Code)</w:t>
            </w: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(415) 507-5000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6" w:lineRule="exact"/>
        <w:rPr>
          <w:sz w:val="24"/>
          <w:szCs w:val="24"/>
          <w:color w:val="auto"/>
        </w:rPr>
      </w:pPr>
    </w:p>
    <w:tbl>
      <w:tblPr>
        <w:tblLayout w:type="fixed"/>
        <w:tblInd w:w="160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80" w:type="dxa"/>
            <w:vAlign w:val="bottom"/>
            <w:gridSpan w:val="3"/>
          </w:tcPr>
          <w:p>
            <w:pPr>
              <w:jc w:val="center"/>
              <w:ind w:left="1632"/>
              <w:spacing w:after="0"/>
              <w:rPr>
                <w:sz w:val="20"/>
                <w:szCs w:val="20"/>
                <w:color w:val="auto"/>
              </w:rPr>
            </w:pPr>
            <w:r>
              <w:rPr>
                <w:rFonts w:ascii="Arial" w:cs="Arial" w:eastAsia="Arial" w:hAnsi="Arial"/>
                <w:sz w:val="18"/>
                <w:szCs w:val="18"/>
                <w:b w:val="1"/>
                <w:bCs w:val="1"/>
                <w:color w:val="auto"/>
                <w:w w:val="85"/>
              </w:rPr>
              <w:t>Name of each exchange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9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on which</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230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Arial" w:cs="Arial" w:eastAsia="Arial" w:hAnsi="Arial"/>
                <w:sz w:val="16"/>
                <w:szCs w:val="16"/>
                <w:b w:val="1"/>
                <w:bCs w:val="1"/>
                <w:color w:val="auto"/>
                <w:w w:val="77"/>
              </w:rPr>
              <w:t>Common</w:t>
            </w:r>
          </w:p>
        </w:tc>
        <w:tc>
          <w:tcPr>
            <w:tcW w:w="13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80" w:type="dxa"/>
            <w:vAlign w:val="bottom"/>
            <w:gridSpan w:val="3"/>
            <w:vMerge w:val="restart"/>
          </w:tcPr>
          <w:p>
            <w:pPr>
              <w:jc w:val="center"/>
              <w:ind w:left="1632"/>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line="20" w:lineRule="exact"/>
              <w:rPr>
                <w:sz w:val="1"/>
                <w:szCs w:val="1"/>
                <w:color w:val="auto"/>
              </w:rPr>
            </w:pPr>
          </w:p>
        </w:tc>
      </w:tr>
      <w:tr>
        <w:trPr>
          <w:trHeight w:val="189"/>
        </w:trPr>
        <w:tc>
          <w:tcPr>
            <w:tcW w:w="560" w:type="dxa"/>
            <w:vAlign w:val="bottom"/>
            <w:vMerge w:val="continue"/>
          </w:tcPr>
          <w:p>
            <w:pPr>
              <w:spacing w:after="0"/>
              <w:rPr>
                <w:sz w:val="16"/>
                <w:szCs w:val="16"/>
                <w:color w:val="auto"/>
              </w:rPr>
            </w:pPr>
          </w:p>
        </w:tc>
        <w:tc>
          <w:tcPr>
            <w:tcW w:w="3580" w:type="dxa"/>
            <w:vAlign w:val="bottom"/>
            <w:gridSpan w:val="2"/>
          </w:tcPr>
          <w:p>
            <w:pPr>
              <w:ind w:left="180"/>
              <w:spacing w:after="0" w:line="189" w:lineRule="exact"/>
              <w:rPr>
                <w:sz w:val="20"/>
                <w:szCs w:val="20"/>
                <w:color w:val="auto"/>
              </w:rPr>
            </w:pPr>
            <w:r>
              <w:rPr>
                <w:rFonts w:ascii="Arial" w:cs="Arial" w:eastAsia="Arial" w:hAnsi="Arial"/>
                <w:sz w:val="18"/>
                <w:szCs w:val="18"/>
                <w:b w:val="1"/>
                <w:bCs w:val="1"/>
                <w:color w:val="auto"/>
              </w:rPr>
              <w:t>Stock, $0.01 Par Value</w:t>
            </w:r>
          </w:p>
        </w:tc>
        <w:tc>
          <w:tcPr>
            <w:tcW w:w="42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280" w:type="dxa"/>
            <w:vAlign w:val="bottom"/>
            <w:gridSpan w:val="3"/>
          </w:tcPr>
          <w:p>
            <w:pPr>
              <w:jc w:val="center"/>
              <w:ind w:left="1632"/>
              <w:spacing w:after="0"/>
              <w:rPr>
                <w:sz w:val="20"/>
                <w:szCs w:val="20"/>
                <w:color w:val="auto"/>
              </w:rPr>
            </w:pPr>
            <w:r>
              <w:rPr>
                <w:rFonts w:ascii="Arial" w:cs="Arial" w:eastAsia="Arial" w:hAnsi="Arial"/>
                <w:sz w:val="18"/>
                <w:szCs w:val="18"/>
                <w:b w:val="1"/>
                <w:bCs w:val="1"/>
                <w:color w:val="auto"/>
                <w:w w:val="92"/>
              </w:rPr>
              <w:t>(NASDAQ Global Select Market)</w:t>
            </w:r>
          </w:p>
        </w:tc>
        <w:tc>
          <w:tcPr>
            <w:tcW w:w="0" w:type="dxa"/>
            <w:vAlign w:val="bottom"/>
          </w:tcPr>
          <w:p>
            <w:pPr>
              <w:spacing w:after="0"/>
              <w:rPr>
                <w:sz w:val="1"/>
                <w:szCs w:val="1"/>
                <w:color w:val="auto"/>
              </w:rPr>
            </w:pPr>
          </w:p>
        </w:tc>
      </w:tr>
    </w:tbl>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5" w:lineRule="exact"/>
        <w:rPr>
          <w:sz w:val="24"/>
          <w:szCs w:val="24"/>
          <w:color w:val="auto"/>
        </w:rPr>
      </w:pPr>
    </w:p>
    <w:p>
      <w:pPr>
        <w:ind w:left="360"/>
        <w:spacing w:after="0" w:line="207" w:lineRule="exact"/>
        <w:tabs>
          <w:tab w:leader="none" w:pos="8740" w:val="left"/>
          <w:tab w:leader="none" w:pos="938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660" w:firstLine="342"/>
        <w:spacing w:after="0" w:line="229"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Securities Exchange Act of 1934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firstLine="342"/>
        <w:spacing w:after="0" w:line="28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w:t>
      </w:r>
    </w:p>
    <w:p>
      <w:pPr>
        <w:spacing w:after="0" w:line="207" w:lineRule="exact"/>
        <w:tabs>
          <w:tab w:leader="none" w:pos="520" w:val="left"/>
          <w:tab w:leader="none" w:pos="1160" w:val="left"/>
        </w:tabs>
        <w:rPr>
          <w:sz w:val="20"/>
          <w:szCs w:val="20"/>
          <w:color w:val="auto"/>
        </w:rPr>
      </w:pPr>
      <w:r>
        <w:rPr>
          <w:rFonts w:ascii="Arial" w:cs="Arial" w:eastAsia="Arial" w:hAnsi="Arial"/>
          <w:sz w:val="18"/>
          <w:szCs w:val="18"/>
          <w:color w:val="auto"/>
        </w:rPr>
        <w:t>days.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3" w:lineRule="exact"/>
        <w:rPr>
          <w:sz w:val="24"/>
          <w:szCs w:val="24"/>
          <w:color w:val="auto"/>
        </w:rPr>
      </w:pPr>
    </w:p>
    <w:p>
      <w:pPr>
        <w:jc w:val="both"/>
        <w:ind w:right="1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right="3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right="60" w:firstLine="342"/>
        <w:spacing w:after="0" w:line="28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21" w:lineRule="exact"/>
        <w:rPr>
          <w:sz w:val="24"/>
          <w:szCs w:val="24"/>
          <w:color w:val="auto"/>
        </w:rPr>
      </w:pPr>
    </w:p>
    <w:p>
      <w:pPr>
        <w:ind w:left="44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2" w:lineRule="exact"/>
        <w:rPr>
          <w:sz w:val="24"/>
          <w:szCs w:val="24"/>
          <w:color w:val="auto"/>
        </w:rPr>
      </w:pPr>
    </w:p>
    <w:p>
      <w:pPr>
        <w:sectPr>
          <w:pgSz w:w="11900" w:h="16838" w:orient="portrait"/>
          <w:cols w:equalWidth="0" w:num="8">
            <w:col w:w="2020" w:space="80"/>
            <w:col w:w="540" w:space="720"/>
            <w:col w:w="1160" w:space="100"/>
            <w:col w:w="700" w:space="720"/>
            <w:col w:w="1480" w:space="100"/>
            <w:col w:w="800" w:space="720"/>
            <w:col w:w="1920" w:space="80"/>
            <w:col w:w="280"/>
          </w:cols>
          <w:pgMar w:left="240" w:top="230" w:right="239" w:bottom="1440" w:gutter="0" w:footer="0" w:header="0"/>
          <w:type w:val="continuous"/>
        </w:sectPr>
      </w:pPr>
    </w:p>
    <w:p>
      <w:pPr>
        <w:spacing w:after="0" w:line="15"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by Rule 12b-2 of the Exchange Act).</w:t>
      </w:r>
    </w:p>
    <w:p>
      <w:pPr>
        <w:spacing w:after="0" w:line="20" w:lineRule="exact"/>
        <w:rPr>
          <w:sz w:val="24"/>
          <w:szCs w:val="24"/>
          <w:color w:val="auto"/>
        </w:rPr>
      </w:pPr>
      <w:r>
        <w:rPr>
          <w:sz w:val="24"/>
          <w:szCs w:val="24"/>
          <w:color w:val="auto"/>
        </w:rPr>
        <w:br w:type="column"/>
      </w:r>
    </w:p>
    <w:p>
      <w:pPr>
        <w:jc w:val="center"/>
        <w:spacing w:after="0" w:line="15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98" w:lineRule="exact"/>
        <w:rPr>
          <w:sz w:val="24"/>
          <w:szCs w:val="24"/>
          <w:color w:val="auto"/>
        </w:rPr>
      </w:pPr>
    </w:p>
    <w:p>
      <w:pPr>
        <w:sectPr>
          <w:pgSz w:w="11900" w:h="16838" w:orient="portrait"/>
          <w:cols w:equalWidth="0" w:num="3">
            <w:col w:w="8360" w:space="180"/>
            <w:col w:w="460" w:space="180"/>
            <w:col w:w="2240"/>
          </w:cols>
          <w:pgMar w:left="240" w:top="230" w:right="239" w:bottom="1440" w:gutter="0" w:footer="0" w:header="0"/>
          <w:type w:val="continuous"/>
        </w:sectPr>
      </w:pPr>
    </w:p>
    <w:p>
      <w:pPr>
        <w:ind w:right="40" w:firstLine="342"/>
        <w:spacing w:after="0" w:line="292" w:lineRule="auto"/>
        <w:rPr>
          <w:sz w:val="20"/>
          <w:szCs w:val="20"/>
          <w:color w:val="auto"/>
        </w:rPr>
      </w:pPr>
      <w:r>
        <w:rPr>
          <w:rFonts w:ascii="Arial" w:cs="Arial" w:eastAsia="Arial" w:hAnsi="Arial"/>
          <w:sz w:val="16"/>
          <w:szCs w:val="16"/>
          <w:color w:val="auto"/>
        </w:rPr>
        <w:t>As of July 31, 2009, the last business day of the registrant’s most recently completed second fiscal quarter, there were approximately 229.2 million shares of the registrant’s common stock outstanding that were held by non-affiliates, and the aggregate market value of such shares held by non-affiliates of the registrant (based on the closing sale price of such shares on the NASDAQ Global Select Market on July 31, 2009) was approximately $5.0 billion. Shares of the registrant’s common stock held by each executive officer and director have been excluded in that such persons may be deemed to be affiliates. This determination of affiliate status is not necessarily a conclusive determination for other purposes.</w:t>
      </w:r>
    </w:p>
    <w:p>
      <w:pPr>
        <w:spacing w:after="0" w:line="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As of March 12, 2010, registrant had outstanding approximately 229.3 million shares of common stock.</w:t>
      </w:r>
    </w:p>
    <w:p>
      <w:pPr>
        <w:spacing w:after="0" w:line="30"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56" w:lineRule="exact"/>
        <w:rPr>
          <w:sz w:val="24"/>
          <w:szCs w:val="24"/>
          <w:color w:val="auto"/>
        </w:rPr>
      </w:pPr>
    </w:p>
    <w:p>
      <w:pPr>
        <w:ind w:right="300" w:firstLine="342"/>
        <w:spacing w:after="0" w:line="332" w:lineRule="auto"/>
        <w:rPr>
          <w:sz w:val="20"/>
          <w:szCs w:val="20"/>
          <w:color w:val="auto"/>
        </w:rPr>
      </w:pPr>
      <w:r>
        <w:rPr>
          <w:rFonts w:ascii="Arial" w:cs="Arial" w:eastAsia="Arial" w:hAnsi="Arial"/>
          <w:sz w:val="16"/>
          <w:szCs w:val="16"/>
          <w:color w:val="auto"/>
        </w:rPr>
        <w:t>Portions of the Proxy Statement for registrant’s Annual Meeting of Stockholders (the “Proxy Statement”), are incorporated by reference in Part III of this Form 10-K to the extent stated herein. The Proxy Statement will be filed within 120 days of the registrant’s fiscal year ended January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40" w:type="dxa"/>
            <w:vAlign w:val="bottom"/>
            <w:gridSpan w:val="8"/>
          </w:tcPr>
          <w:p>
            <w:pPr>
              <w:jc w:val="center"/>
              <w:ind w:right="4120"/>
              <w:spacing w:after="0"/>
              <w:rPr>
                <w:sz w:val="20"/>
                <w:szCs w:val="20"/>
                <w:color w:val="auto"/>
              </w:rPr>
            </w:pPr>
            <w:r>
              <w:rPr>
                <w:rFonts w:ascii="Arial" w:cs="Arial" w:eastAsia="Arial" w:hAnsi="Arial"/>
                <w:sz w:val="18"/>
                <w:szCs w:val="18"/>
                <w:b w:val="1"/>
                <w:bCs w:val="1"/>
                <w:color w:val="auto"/>
                <w:w w:val="97"/>
              </w:rPr>
              <w:t>AUTODESK, INC. FORM 10-K</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40" w:type="dxa"/>
            <w:vAlign w:val="bottom"/>
            <w:gridSpan w:val="8"/>
          </w:tcPr>
          <w:p>
            <w:pPr>
              <w:jc w:val="center"/>
              <w:ind w:right="410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08"/>
        </w:trPr>
        <w:tc>
          <w:tcPr>
            <w:tcW w:w="12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9160" w:type="dxa"/>
            <w:vAlign w:val="bottom"/>
            <w:gridSpan w:val="20"/>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14">
              <w:r>
                <w:rPr>
                  <w:rFonts w:ascii="Arial" w:cs="Arial" w:eastAsia="Arial" w:hAnsi="Arial"/>
                  <w:sz w:val="18"/>
                  <w:szCs w:val="18"/>
                  <w:color w:val="0000EE"/>
                  <w:w w:val="85"/>
                </w:rPr>
                <w:t>Risk Factors</w:t>
              </w:r>
            </w:hyperlink>
          </w:p>
        </w:tc>
        <w:tc>
          <w:tcPr>
            <w:tcW w:w="8900" w:type="dxa"/>
            <w:vAlign w:val="bottom"/>
            <w:gridSpan w:val="17"/>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1B.</w:t>
            </w:r>
          </w:p>
        </w:tc>
        <w:tc>
          <w:tcPr>
            <w:tcW w:w="978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Unresolved Staff Comments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1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7800" w:type="dxa"/>
            <w:vAlign w:val="bottom"/>
            <w:gridSpan w:val="11"/>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Legal Proceedings</w:t>
              </w:r>
            </w:hyperlink>
          </w:p>
        </w:tc>
        <w:tc>
          <w:tcPr>
            <w:tcW w:w="8480" w:type="dxa"/>
            <w:vAlign w:val="bottom"/>
            <w:gridSpan w:val="15"/>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4.</w:t>
            </w:r>
          </w:p>
        </w:tc>
        <w:tc>
          <w:tcPr>
            <w:tcW w:w="978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Removed and Reserved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43"/>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60" w:type="dxa"/>
            <w:vAlign w:val="bottom"/>
          </w:tcPr>
          <w:p>
            <w:pPr>
              <w:spacing w:after="0"/>
              <w:rPr>
                <w:sz w:val="20"/>
                <w:szCs w:val="20"/>
                <w:color w:val="auto"/>
              </w:rPr>
            </w:pPr>
            <w:r>
              <w:rPr>
                <w:rFonts w:ascii="Arial" w:cs="Arial" w:eastAsia="Arial" w:hAnsi="Arial"/>
                <w:sz w:val="18"/>
                <w:szCs w:val="18"/>
                <w:color w:val="auto"/>
              </w:rPr>
              <w:t>Item 5.</w:t>
            </w:r>
          </w:p>
        </w:tc>
        <w:tc>
          <w:tcPr>
            <w:tcW w:w="978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 Purchases of Equity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6.</w:t>
            </w:r>
          </w:p>
        </w:tc>
        <w:tc>
          <w:tcPr>
            <w:tcW w:w="16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w:anchor="page28">
              <w:r>
                <w:rPr>
                  <w:rFonts w:ascii="Arial" w:cs="Arial" w:eastAsia="Arial" w:hAnsi="Arial"/>
                  <w:sz w:val="18"/>
                  <w:szCs w:val="18"/>
                  <w:color w:val="0000EE"/>
                  <w:w w:val="86"/>
                </w:rPr>
                <w:t>Selected Financial Data</w:t>
              </w:r>
            </w:hyperlink>
          </w:p>
        </w:tc>
        <w:tc>
          <w:tcPr>
            <w:tcW w:w="6200" w:type="dxa"/>
            <w:vAlign w:val="bottom"/>
            <w:tcBorders>
              <w:top w:val="single" w:sz="8" w:color="0000EE"/>
            </w:tcBorders>
            <w:gridSpan w:val="13"/>
          </w:tcPr>
          <w:p>
            <w:pPr>
              <w:spacing w:after="0"/>
              <w:rPr>
                <w:sz w:val="22"/>
                <w:szCs w:val="22"/>
                <w:color w:val="auto"/>
              </w:rPr>
            </w:pPr>
          </w:p>
        </w:tc>
        <w:tc>
          <w:tcPr>
            <w:tcW w:w="19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Management’s Discussion and Analysis of Financial Condition and Results of Operations</w:t>
              </w:r>
            </w:hyperlink>
          </w:p>
        </w:tc>
        <w:tc>
          <w:tcPr>
            <w:tcW w:w="3480" w:type="dxa"/>
            <w:vAlign w:val="bottom"/>
            <w:gridSpan w:val="4"/>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7A.</w:t>
            </w:r>
          </w:p>
        </w:tc>
        <w:tc>
          <w:tcPr>
            <w:tcW w:w="9780" w:type="dxa"/>
            <w:vAlign w:val="bottom"/>
            <w:gridSpan w:val="2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8.</w:t>
            </w:r>
          </w:p>
        </w:tc>
        <w:tc>
          <w:tcPr>
            <w:tcW w:w="32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6"/>
              </w:rPr>
            </w:pPr>
            <w:hyperlink w:anchor="page51">
              <w:r>
                <w:rPr>
                  <w:rFonts w:ascii="Arial" w:cs="Arial" w:eastAsia="Arial" w:hAnsi="Arial"/>
                  <w:sz w:val="18"/>
                  <w:szCs w:val="18"/>
                  <w:color w:val="0000EE"/>
                  <w:w w:val="86"/>
                </w:rPr>
                <w:t>Financial Statements and Supplementary Data</w:t>
              </w:r>
            </w:hyperlink>
          </w:p>
        </w:tc>
        <w:tc>
          <w:tcPr>
            <w:tcW w:w="1000" w:type="dxa"/>
            <w:vAlign w:val="bottom"/>
            <w:tcBorders>
              <w:top w:val="single" w:sz="8" w:color="0000EE"/>
            </w:tcBorders>
            <w:gridSpan w:val="2"/>
          </w:tcPr>
          <w:p>
            <w:pPr>
              <w:spacing w:after="0"/>
              <w:rPr>
                <w:sz w:val="22"/>
                <w:szCs w:val="22"/>
                <w:color w:val="auto"/>
              </w:rPr>
            </w:pPr>
          </w:p>
        </w:tc>
        <w:tc>
          <w:tcPr>
            <w:tcW w:w="5540" w:type="dxa"/>
            <w:vAlign w:val="bottom"/>
            <w:gridSpan w:val="6"/>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9.</w:t>
            </w:r>
          </w:p>
        </w:tc>
        <w:tc>
          <w:tcPr>
            <w:tcW w:w="9780" w:type="dxa"/>
            <w:vAlign w:val="bottom"/>
            <w:gridSpan w:val="21"/>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9A.</w:t>
            </w:r>
          </w:p>
        </w:tc>
        <w:tc>
          <w:tcPr>
            <w:tcW w:w="17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5"/>
              </w:rPr>
            </w:pPr>
            <w:hyperlink w:anchor="page97">
              <w:r>
                <w:rPr>
                  <w:rFonts w:ascii="Arial" w:cs="Arial" w:eastAsia="Arial" w:hAnsi="Arial"/>
                  <w:sz w:val="18"/>
                  <w:szCs w:val="18"/>
                  <w:color w:val="0000EE"/>
                  <w:w w:val="85"/>
                </w:rPr>
                <w:t>Controls and Procedures</w:t>
              </w:r>
            </w:hyperlink>
          </w:p>
        </w:tc>
        <w:tc>
          <w:tcPr>
            <w:tcW w:w="4620" w:type="dxa"/>
            <w:vAlign w:val="bottom"/>
            <w:tcBorders>
              <w:top w:val="single" w:sz="8" w:color="0000EE"/>
            </w:tcBorders>
            <w:gridSpan w:val="10"/>
          </w:tcPr>
          <w:p>
            <w:pPr>
              <w:spacing w:after="0"/>
              <w:rPr>
                <w:sz w:val="22"/>
                <w:szCs w:val="22"/>
                <w:color w:val="auto"/>
              </w:rPr>
            </w:pPr>
          </w:p>
        </w:tc>
        <w:tc>
          <w:tcPr>
            <w:tcW w:w="3440" w:type="dxa"/>
            <w:vAlign w:val="bottom"/>
            <w:gridSpan w:val="3"/>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9B.</w:t>
            </w:r>
          </w:p>
        </w:tc>
        <w:tc>
          <w:tcPr>
            <w:tcW w:w="9780" w:type="dxa"/>
            <w:vAlign w:val="bottom"/>
            <w:gridSpan w:val="21"/>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43"/>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60" w:type="dxa"/>
            <w:vAlign w:val="bottom"/>
          </w:tcPr>
          <w:p>
            <w:pPr>
              <w:spacing w:after="0"/>
              <w:rPr>
                <w:sz w:val="20"/>
                <w:szCs w:val="20"/>
                <w:color w:val="auto"/>
              </w:rPr>
            </w:pPr>
            <w:r>
              <w:rPr>
                <w:rFonts w:ascii="Arial" w:cs="Arial" w:eastAsia="Arial" w:hAnsi="Arial"/>
                <w:sz w:val="18"/>
                <w:szCs w:val="18"/>
                <w:color w:val="auto"/>
              </w:rPr>
              <w:t>Item 10.</w:t>
            </w:r>
          </w:p>
        </w:tc>
        <w:tc>
          <w:tcPr>
            <w:tcW w:w="9780" w:type="dxa"/>
            <w:vAlign w:val="bottom"/>
            <w:gridSpan w:val="21"/>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Directors, Executive Officers and Corporate Governance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100">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5"/>
          </w:tcPr>
          <w:p>
            <w:pPr>
              <w:spacing w:after="0"/>
              <w:rPr>
                <w:sz w:val="22"/>
                <w:szCs w:val="22"/>
                <w:color w:val="auto"/>
              </w:rPr>
            </w:pPr>
          </w:p>
        </w:tc>
        <w:tc>
          <w:tcPr>
            <w:tcW w:w="5800" w:type="dxa"/>
            <w:vAlign w:val="bottom"/>
            <w:gridSpan w:val="7"/>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12.</w:t>
            </w:r>
          </w:p>
        </w:tc>
        <w:tc>
          <w:tcPr>
            <w:tcW w:w="9780" w:type="dxa"/>
            <w:vAlign w:val="bottom"/>
            <w:gridSpan w:val="21"/>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Security Ownership of Certain Beneficial Owners and Management and Related Stockholder Matters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13.</w:t>
            </w:r>
          </w:p>
        </w:tc>
        <w:tc>
          <w:tcPr>
            <w:tcW w:w="7100" w:type="dxa"/>
            <w:vAlign w:val="bottom"/>
            <w:tcBorders>
              <w:top w:val="single" w:sz="8" w:color="0000EE"/>
            </w:tcBorders>
            <w:gridSpan w:val="19"/>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Certain Relationships and Related Transactions, and Director Independence</w:t>
              </w:r>
            </w:hyperlink>
          </w:p>
        </w:tc>
        <w:tc>
          <w:tcPr>
            <w:tcW w:w="2680" w:type="dxa"/>
            <w:vAlign w:val="bottom"/>
            <w:gridSpan w:val="2"/>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14.</w:t>
            </w:r>
          </w:p>
        </w:tc>
        <w:tc>
          <w:tcPr>
            <w:tcW w:w="5300" w:type="dxa"/>
            <w:vAlign w:val="bottom"/>
            <w:tcBorders>
              <w:top w:val="single" w:sz="8" w:color="0000EE"/>
            </w:tcBorders>
            <w:gridSpan w:val="16"/>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Principal Accounting Fees and Services</w:t>
              </w:r>
            </w:hyperlink>
          </w:p>
        </w:tc>
        <w:tc>
          <w:tcPr>
            <w:tcW w:w="4480" w:type="dxa"/>
            <w:vAlign w:val="bottom"/>
            <w:gridSpan w:val="5"/>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43"/>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60" w:type="dxa"/>
            <w:vAlign w:val="bottom"/>
          </w:tcPr>
          <w:p>
            <w:pPr>
              <w:spacing w:after="0"/>
              <w:rPr>
                <w:sz w:val="20"/>
                <w:szCs w:val="20"/>
                <w:color w:val="auto"/>
              </w:rPr>
            </w:pPr>
            <w:r>
              <w:rPr>
                <w:rFonts w:ascii="Arial" w:cs="Arial" w:eastAsia="Arial" w:hAnsi="Arial"/>
                <w:sz w:val="18"/>
                <w:szCs w:val="18"/>
                <w:color w:val="auto"/>
              </w:rPr>
              <w:t>Item 15.</w:t>
            </w:r>
          </w:p>
        </w:tc>
        <w:tc>
          <w:tcPr>
            <w:tcW w:w="30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01">
              <w:r>
                <w:rPr>
                  <w:rFonts w:ascii="Arial" w:cs="Arial" w:eastAsia="Arial" w:hAnsi="Arial"/>
                  <w:sz w:val="18"/>
                  <w:szCs w:val="18"/>
                  <w:color w:val="0000EE"/>
                  <w:w w:val="87"/>
                </w:rPr>
                <w:t>Exhibits and Financial Statement Schedules</w:t>
              </w:r>
            </w:hyperlink>
          </w:p>
        </w:tc>
        <w:tc>
          <w:tcPr>
            <w:tcW w:w="6700" w:type="dxa"/>
            <w:vAlign w:val="bottom"/>
            <w:gridSpan w:val="9"/>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9780" w:type="dxa"/>
            <w:vAlign w:val="bottom"/>
            <w:gridSpan w:val="21"/>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4"/>
                <w:szCs w:val="14"/>
                <w:b w:val="1"/>
                <w:bCs w:val="1"/>
                <w:color w:val="auto"/>
              </w:rPr>
              <w:t>2</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7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i w:val="1"/>
          <w:iCs w:val="1"/>
          <w:color w:val="auto"/>
        </w:rPr>
        <w:t>The discussion in this Annual Report on Form 10-K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statements regarding our business strategies; anticipated future operating results, including our financial results; the impact of our restructuring activities; our belief that the strength of our channel network, technological leadership, brand recognition, breadth of product line and large installed base are helping us manage through this challenging current economic period and position us well as global economies recover; expected trends in certain financial metrics; our ability to generate sufficient future taxable income in appropriate tax jurisdictions to realize our net deferred tax assets; our ability to successfully expand adoption of our horizontal design customer products, our vertical design products and model-based design products; our belief that emerging economies continue to present long-term growth opportunities for us; and the sufficiency of our cash to meet our working capital and operating resource expenditure requirements over the next 12 months. In addition, forward-looking statements also consist of statements involving expectations regarding product acceptance, activity related to our stock repurchase program,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below in Item 1A, “Risk Factors,” and in our other reports filed with the U.S. Securities Exchange Commission. We assume no obligation to update forward-looking statements to reflect events that occur or circumstances that exist after the date on which they were made.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10-K appears at the end of this Item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are a world leading design software and services company, offering customers progressive business solutions through powerful technology products and services. We serve customers in the architecture, engineering and construction, manufacturing, and digital media and entertainment industries. Our sophisticated software products enable our customers to experience their ideas before they are real by allowing them to create and document their designs and to visualize, simulate and analyze real-world performance early in the design process by creating digital prototypes. These capabilities give our customers the flexibility to optimize and improve their designs before they actually begin the building process, helping save time and money, improving quality and fostering innovation. Our software products are sold globally, both directly to customers and through a network of resellers and distributors.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organized into four reportable operating segments:</w:t>
      </w:r>
    </w:p>
    <w:p>
      <w:pPr>
        <w:spacing w:after="0" w:line="9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Platform Solutions and Emerging Business (“PSEB”), which accounted for 36% of our net revenue in fiscal 2010,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Architecture, Engineering and Construction (“AEC”) which accounted for 30% of our net revenue in fiscal 2010,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Manufacturing (“MFG”), which accounted for 23% of our net revenue in fiscal 2010;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Media and Entertainment (“M&amp;E”), which accounted for 11% of our net revenue in fiscal 2010.</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 summary of our condensed net revenue and results of operations for our business segments is found in Note 13, “Segments,” in the Notes to our Consolidated Financial Statements.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PSEB, AEC and MFG segments</w:t>
      </w:r>
      <w:r>
        <w:rPr>
          <w:rFonts w:ascii="Arial" w:cs="Arial" w:eastAsia="Arial" w:hAnsi="Arial"/>
          <w:sz w:val="16"/>
          <w:szCs w:val="16"/>
          <w:color w:val="auto"/>
        </w:rPr>
        <w:t xml:space="preserve"> derive revenue from the sale of licenses for software products and services to customers who design, build, manage or own building, manufacturing and infrastructure projects. The principal software products of these segments include the following:</w:t>
      </w:r>
    </w:p>
    <w:p>
      <w:pPr>
        <w:spacing w:after="0" w:line="4" w:lineRule="exact"/>
        <w:rPr>
          <w:sz w:val="20"/>
          <w:szCs w:val="20"/>
          <w:color w:val="auto"/>
        </w:rPr>
      </w:pPr>
    </w:p>
    <w:p>
      <w:pPr>
        <w:ind w:left="900" w:right="1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design software, including AutoCAD and AutoCAD LT (horizontal design products), which accounted for 32% of our net revenue in fiscal 2010,</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discipline-specific design software, including AutoCAD-based products (vertical design products), which accounted for 15% of our net revenue in fiscal 2010 and</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model-based design software, including Autodesk Inventor products, Autodesk Revit products, AutoCAD Civil 3D, and Autodesk Moldflow which accounted for 29% of our net revenue in fiscal 2010.</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to software products, the PSEB, AEC and MFG segments offer a range of services including consulting, support and training, largely dedicated to enhancing our ability to sell licenses to our software products.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M&amp;E segment</w:t>
      </w:r>
      <w:r>
        <w:rPr>
          <w:rFonts w:ascii="Arial" w:cs="Arial" w:eastAsia="Arial" w:hAnsi="Arial"/>
          <w:sz w:val="18"/>
          <w:szCs w:val="18"/>
          <w:color w:val="auto"/>
        </w:rPr>
        <w:t xml:space="preserve"> derives revenue from the sale of licenses for software products and systems to creative professionals, post-production facilities, and broadcasters for a variety of applications, including feature films, television programs, commercials, music and corporate videos, interactive game production, web design and interactive web streaming. In addition, our animation products produced by our M&amp;E segment are often used by customers of products from our other segments for the visualization of their designs.</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Beginning in fiscal 2010, we reorganized our business to better align with our customers and accelerate product innovation. As part of this change, there was some product movement between business segments. We have reorganized prior year information to conform to the current period presentation.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were incorporated in California in April 1982 and were reincorporated in Delaware in May 1994. Our principal executive office is located at 111 McInnis Parkway, San Rafael, California 94903 and the telephone number at that address is (415) 507-5000. Our internet address is www.autodesk.com.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the Investor Relations portion of our web site at www.autodesk.com as soon as reasonably practicable after we electronically file such material with, or furnish it to, the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product offerings from Autodesk’s different segments are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PSEB</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PSEB segment includes our horizontal design product, AutoCAD. Our AutoCAD product is a platform product that underpins our vertical design product offerings for all the industries we serve. For example, our AEC and MFG segments offer tailored versions of AutoCAD software for the industries they serve. Our AutoCAD product also provides a platform for our developer partners to build custom solutions for a range of diverse design-oriented markets. PSEB’s revenue primarily includes revenue from sales of licenses of our horizontal</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design products, AutoCAD and AutoCAD LT, as well as many of our vertical design products. The segment’s principal product offerings included the following during fiscal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AutoCAD</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AutoCAD software, which is our largest revenue-generating product, is a customizable and extensible computer-aided design (CAD) application for professional design, drafting, detailing, and visualization. AutoCAD software provides digital tools that can be used independently and in conjunction with other specific applications in fields ranging from construction to manufacturing, civil engineering and process plant design.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AutoCAD LT</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AutoCAD LT software is purpose built for professional drafting and detailing. AutoCAD LT includes full DWG file format compatibility and document sharing capability without the need for software customization or certain advanced functionality found in our AutoCAD product. Users can share all design data with team members who use our AutoCAD product or other Autodesk products built on AutoCAD. AutoCAD LT software is our second largest revenue-generating product.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AEC</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Autodesk’s 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coordinated information to improve communication and collaboration between the extended project team. AEC provides a comprehensive portfolio of BIM solutions that help customers deliver projects faster and more economically, while minimizing environmental impact. The segment’s principal product offerings included the following during fiscal 2010:</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Autodesk Revit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Purpose-built for BIM, the Autodesk Revit products collect information about a building project and allow this information to be coordinated across all other representations of the project, so that every drawing sheet, 2D and 3D view and schedule is based on internally consistent and complete information from the same underlying building database. The Autodesk Revit products, including AutoCAD Revit Architecture Suite, AutoCAD Revit MEP Suite and AutoCAD Revit Structure Suite, provide an intuitive sophisticated model-based design and documentation system for architects; mechanical, electrical and plumbing (MEP) engineers; structural engineers; design-build teams; and other design and building industry professionals.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AutoCAD Civil 3D</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AutoCAD Civil 3D products provide a surveying, design, analysis, and documentation solution for civil engineering, including land development, transportation, and environmental projects. Using a model-centric approach that automatically updates documentation as design changes are made, AutoCAD Civil 3D products enable civil engineers, designers, drafters, and surveyors to significantly boost productivity and deliver higher-quality designs and construction documentation faster. With AutoCAD Civil 3D products, the entire project team works from the same consistent, up-to-date model so they stay coordinated throughout all project phases.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AutoCAD Architecture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Designed for architects and built on the AutoCAD platform, AutoCAD Architecture software includes powerful Architecture industry-specific tools to gain efficiency and improve coordination.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AutoCAD Map 3D</w:t>
      </w:r>
    </w:p>
    <w:p>
      <w:pPr>
        <w:spacing w:after="0" w:line="9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AutoCAD Map 3D software provides direct access to data needed for infrastructure planning, design and management activities. AutoCAD Map 3D software helps professionals working on transportation, land development, water, and power projects to more easily create, manage and analyze design geographic information system (“GIS”) and asset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MFG</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MFG segment provides the manufacturers in automotive and transportation, industrial machinery, consumer products and building products with comprehensive digital prototyping solutions that brings together design data from all phases of the product development process to develop a single digital model created in Autodesk Inventor software. Our solutions for digital prototyping are scalable, attainable, and cost-effective, enabling a broad group of manufacturers to realize benefits with minimal disruption to existing workflows. MFG’s principal product offerings included the following during fiscal 2010:</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Autodesk Inventor</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Autodesk Inventor software allows manufacturers to go beyond 3D design to digital prototyping by giving engineers a comprehensive and flexible set of tools for 3D mechanical design, simulation, analysis, tooling, visualization and documentation. With Inventor software, engineers can integrate AutoCAD drawings and model-based design data into a single digital model, creating a virtual representation of a final product that enables them to validate the form, fit, and function of the product before it is ever built. Digital prototyping with Inventor software enables manufacturers to design, visualize, and simulate products digitally, helping them to build better products, reduce development costs, and get to market faster.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AutoCAD Mechanical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AutoCAD Mechanical software is purpose-built to accelerate the mechanical design process. AutoCAD Mechanical software offers users significant productivity gains and helps save hours of design time by including all the functionality of AutoCAD software, plus comprehensive libraries of standards-based parts and tools for automating common design tasks.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Autodesk Moldflow</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Autodesk Moldflow family of injection molding simulation software provides tools that help manufacturers optimize the design of plastic parts and injection molds, and study the injection molding process.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M&amp;E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M&amp;E segment is comprised of two product groups: Animation and Advanced Systems. Animation products are sold as software only and provide tools for digital sculpting, modeling, animation, effects, rendering, and compositing for design visualization, visual effects and games production. Advanced Systems products are primarily sold as turnkey solutions for editing, finishing and visual effects design, and color grading. Principal product offerings in our M&amp;E segment’s Animation and Advanced Systems product groups included the following during fiscal 2010:</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Animation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Autodesk 3ds Max</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Autodesk 3ds Max software provides 3D modeling, animation and rendering solutions that enable game developers, design visualization professionals and visual effects artists to digitally create realistic images, animations and complex scenes and to digitally communicate abstract or complex mechanical, architectural, engineering and construction concepts.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Autodesk Maya</w:t>
      </w:r>
    </w:p>
    <w:p>
      <w:pPr>
        <w:spacing w:after="0" w:line="9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Autodesk Maya software provides 3D modeling, animation, effects, rendering and compositing solutions that enable film and video artists, game developers and design visualization professionals to digitally create engaging, lifelike images, realistic animations and simulations, and extraordinary visual effects.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Advanced Systems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Autodesk Flame, Autodesk Inferno, Autodesk Flint and Autodesk Smoke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Autodesk Flame, Autodesk Inferno and Autodesk Flint systems are our scalable line of interactive real-time visual effects design and finishing solutions. These products service a wide range of client workflows from interactive broadcast design to real-time high-resolution film work. The Autodesk Smoke system is an interactive, real-time, non-linear and non-compressed online editing and finishing system that enables editors to edit, conform and finish television commercials, broadcast programming, film trailers and feature films, as well as other high-value media content in mixed resolutions. In fiscal 2010, we introduced Autodesk Flare, a software-only version of the Flame compositing environment, available as a creative companion to Flame and Inferno seats.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Autodesk Lustre</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Autodesk Lustre system is an award winning, high-performance color-grading solution used by artists for creative look development, final color and lighting effects for both television and film projects.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INTRODUCTION</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technology industry is characterized by rapid technological change in computer hardware, operating systems and software. In addition, our customer’s requirements and preferences rapidly evolve, as do their expectations of our software. To keep pace with these changes, we maintain a vigorous program of new product development to address demands in the marketplace for our products. We dedicate considerable technical and financial resources to research and development to further enhance our existing products and to create new products and technologies. Research and development expenditures were $457.5 million or 27% of fiscal 2010 net revenue, $576.1 million or 25% of fiscal 2009 net revenue and $490.5 million or 23% of fiscal 2008 net revenue. Our software is primarily developed internally; however, we also use independent firms and contractors to perform some of our product development activities. Additionally, we acquire products or technology developed by others by purchasing or licensing products and technology from third parties. We continually review these investments in an effort to ensure that we are generating sufficient revenue or gaining a competitive advantage to justify their costs.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majority of our basic research and product development is performed in the United States, China, Singapore and Canada. However, we employ experienced software developers in all of our locations. Translation and localization of our products is performed in a number of local markets, principally Singapore and Switzerland. We generally localize and translate our products into German, French, Italian, Spanish, Russian, Japanese, Korean and simplified and traditional Chinese.</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plan to continue to manage significant product development operations internationally over the next several years. We believe that our ability to conduct research and development at various locations throughout the world allows us to optimize product development, lower costs, and integrate local market knowledge into our development activities. We continually assess the significant costs and challenges, including intellectual property protection, against the benefits of our international development activities.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our business strategy has historically depended in part on our relationships with a network of over 3,400 third-party developers who develop and sell their own products that further enhance the range of integrated solutions available to our customers.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discussion regarding risks from our product development and introduction efforts, see Item 1A, “Risk Factors.”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license or sell our products and services globally, primarily through indirect channels consisting of distributors and resellers. To a lesser extent we also transact directly with customers who are primarily large corporations. Our indirect channel model includes both a two-tiered distribution structure, where distributors sell to resellers, and a one-tiered structure, where Autodesk sells directly to resellers. We have a network of approximately 1,900 resellers and distributors worldwide. For fiscal 2010, approximately 83% of our revenue was derived from indirect channel sales through distributors and resellers, and we expect that the majority of our revenue will continue to be derived from indirect channel sales in the future. We employ a variety of incentive programs and promotions to align our reseller channel with our business strategies. Sales through one distributor, Tech Data Corporation and its affiliates, accounted for 14% of our net revenue for each of the fiscal years 2010, 2009 and 2008. No other distributor or reseller accounted for 10% or more of our revenue.</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customer-related operations are divided into three geographic regions, the Americas; Europe, Middle East and Africa (“EMEA”); and Asia Pacific (“APAC”). Each geographic region is supported by global marketing and sales organizations. These organizations develop and manage overall marketing and sales programs and work closely with a network of domestic and international sales offices. Fiscal 2010 net revenue in the Americas, EMEA and APAC was $654.4 million, $671.1 million and $388.2 million, respectively. We intend to continue to make our products available in foreign languages. We believe that international sales will continue to comprise the majority of our net revenue. Economic weakness in countries where we generate a significant portion of our net revenue, including the U.S., has had, and could in the future have, an adverse effect on our business. A summary of our financial information by geographic location is found in Note 13, “Segments” in the Notes to Consolidated Financial Statements. Our international operations and sales subject us to a variety of risks; see Item 1A, “Risk Factors,” for further discussion.</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work directly with reseller and distributor sales organizations, computer manufacturers, other software developers and peripherals manufacturers in cooperative advertising, promotions and trade-show presentations. We employ mass-marketing techniques such as Web casts, seminars, telemarketing, direct mailings and advertising in business and trade journals. We have a worldwide user group organization and we have created online user communities dedicated to the exchange of information related to the use of our products.</w:t>
      </w:r>
    </w:p>
    <w:p>
      <w:pPr>
        <w:spacing w:after="0" w:line="143"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In addition to sales of new software licenses, we generate revenue through our maintenance program and upgrade pricing options. These choices are available for a majority of our products and offer our customers two alternative means of migrating to the most recent version of our products.</w:t>
      </w:r>
    </w:p>
    <w:p>
      <w:pPr>
        <w:spacing w:after="0" w:line="85"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Under the maintenance program, known by our user community as the Autodesk Subscription Program, customers who own a perpetual use license for the most recent version of the underlying product are able to purchase maintenance that provides them with unspecified upgrades when-and-if-available and are able to download e-Learning courses and receive online support over a one year or multi-year maintenance service period. Revenue from our maintenance program is reported separately on our Consolidated Statements of Operations and is referred to throughout this document as maintenance revenue.</w:t>
      </w:r>
    </w:p>
    <w:p>
      <w:pPr>
        <w:spacing w:after="0" w:line="1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Upgrade pricing offers customers who are not on the maintenance program an opportunity to purchase upgrades at current available prices, but only to the extent that they are still on an Autodesk-supported version of the product. An existing customer, whether or not on maintenance, also has the option to upgrade, for a premium fee, to a different, vertical or model-based design product, which generally has a higher price; we refer to this as a crossgrade. The cost of a crossgrade is less than the cost of purchasing a new license. During fiscal 2010, the typical cost to upgrade was based on a multiple of the number of versions the customer was upgrading. Effective March 17, 2010, Autodesk replaced its upgrade/crossgrade pricing model with a new model where upgrades and crossgrades from the three previous software releases are priced at a percentage of a full license. Revenue from upgrades and crossgrades are reported on our Consolidated Statements of Operations in “License and other.”</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ability to effectively distribute our products depends in part upon the financial and business condition of our distributor and reseller networks. The loss of, or a significant reduction in, business with any one of our major distributors or large resellers could harm our business; see Item 1A, “Risk Factors,” for further discussion.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RESELLER SUPPORT</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provide technical support and training to customers through a leveraged support model, augmented by direct programs designed to address certain specific needs. Our customers rely primarily on the resellers and distributors from which they purchased licenses to our products for technical support; however, we do provide certain direct support for some of our customers. We support our resellers and distributors through technical product training, sales training classes, the Internet and telephone. We also provide online support directly to our customers through our maintenance program. There are also a number of user group forums in which customers are able to share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EDUCATIONAL PROGRAMS</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We offer education programs and specially priced software purchasing options tailored for educational institutions, students, and faculty to train the next generation of users. We also offer classroom support, including standardized curricula developed by educators, instructor development, and a rich assortment of online learning resources. Users trained on our products are broadly available both from educational institutions and the existing workforce, reducing the cost of training for our customers.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DEVELOPER PROGRAMS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marketing, sales, technical support and programming tools to developers who develop add-on applications for our products. Over 3,400 developers in the Autodesk Developer Network create interoperable products that further enhance the range of integrated solutions available to our customers.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typically ship products shortly after receipt of an order, which is common in the software industry. Our aggregate backlog is primarily comprised of deferred revenue. Deferred revenue consists primarily of deferred maintenance revenue from our maintenance program. To a lesser extent, deferred revenue consists of deferred license and other revenue derived from collaborative project management services, consulting services and deferred license sales. Backlog also includes current software license product orders which have not yet shipped. The category of current software license product orders which we have not yet shipped consists of orders from customers with approved credit status for currently available license software products and may include both orders with current ship dates and orders with ship dates beyond the current fiscal period.</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Aggregate backlog was $542.5 million at January 31, 2010, of which $516.5 million was deferred revenue and $26.0 million related to current software license product orders which had not yet shipped at the end of the fiscal year. Aggregate backlog was $569.5 million at January 31, 2009, of which $552.1 million was deferred revenue and $17.4 million related to current software license product orders which had not yet shipped at the end of the fiscal year. Deferred revenue decreased over the prior year primarily due to a decrease in new and renewal maintenance contracts during fiscal 2010.</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markets for our products are highly competitive and subject to rapid change. We strive to increase our competitive separation by investing in research and development, allowing us to bring new products to market and create exciting new versions of existing products that offer compelling efficiencies for our customers. We also compete through investments in marketing and sales.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PSEB, AEC, MFG and M&amp;E segments compete with vendors that specialize primarily in one of the four industry segments in which we compete. Our competitors range from large, global, publicly traded companies to small, geographically focused firms. Our primary global competitors in these segments include Adobe Systems Incorporated, ANSYS, Inc., Bentley Systems, Incorporated, Dassault Systèmes S.A. and its subsidiary Dassault Systèmes SolidWorks Corp., Environmental Systems Research Institute, Inc. (ESRI), Google Inc., Intergraph Corporation, Nemetschek AG, Parametric Technology Corporation, and Siemens Product Lifecycle Software, Inc.</w:t>
      </w:r>
    </w:p>
    <w:p>
      <w:pPr>
        <w:spacing w:after="0" w:line="143" w:lineRule="exact"/>
        <w:rPr>
          <w:sz w:val="20"/>
          <w:szCs w:val="20"/>
          <w:color w:val="auto"/>
        </w:rPr>
      </w:pPr>
    </w:p>
    <w:p>
      <w:pPr>
        <w:jc w:val="both"/>
        <w:ind w:right="160" w:firstLine="456"/>
        <w:spacing w:after="0" w:line="323" w:lineRule="auto"/>
        <w:rPr>
          <w:sz w:val="20"/>
          <w:szCs w:val="20"/>
          <w:color w:val="auto"/>
        </w:rPr>
      </w:pPr>
      <w:r>
        <w:rPr>
          <w:rFonts w:ascii="Arial" w:cs="Arial" w:eastAsia="Arial" w:hAnsi="Arial"/>
          <w:sz w:val="15"/>
          <w:szCs w:val="15"/>
          <w:color w:val="auto"/>
        </w:rPr>
        <w:t>Our M&amp;E segment also competes with a wide range of different companies from large, global, publicly-traded companies to small private entities. Large organizations that produce products that compete in some or all of our markets include Adobe Systems Incorporated, Apple Inc., Avid Technology, Inc., SONY Corporation and Thomson. The media and entertainment market is highly fragmented with complex interdependencies between many of the larger corporations. As a result, some of our competitors also own subsidiaries that are our customers or our partners in developing or bringing to market some of our solutions.</w:t>
      </w:r>
    </w:p>
    <w:p>
      <w:pPr>
        <w:spacing w:after="0" w:line="9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power with continually expanding performance at progressively lower prices contributes to the ease of market entry. The design software market is characterized by vigorous competition in each of the vertical markets in which we compete, both from existing competitors and by entry of competitors with innovative technologies. Competition is increasingly enhanced by consolidation of companies with complementary products and technologies. In addition, some of our competitors in certain markets have greater financial, technical, sales and marketing and other resources than we do. Because of these and other factors, competitive conditions in these industries are likely to continue to intensify in the future. Increased competition could result in price reductions, reduced net revenue and profit margins and loss of market share, any of which could harm our business. Furthermore, in certain markets, some of our competitors have greater financial, technical, sales and marketing and other resources. See Item 1A, “Risk Factors,” for further discussion of risks regarding competition.</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believe that our future results depend largely upon our abilities to offer new products, whether by internal development or acquisition, and to continue to provide existing product offerings that compete favorably with respect to ease of use, reliability, performance, range of useful features, continuing product enhancements, reputation, price and training.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maintain an active program to legally protect our investment in technology through intellectual property rights. We protect our intellectual property through a combination of patent, copyright, trademark and trade secret protections, confidentiality procedures and contractual provisions. The nature and extent of legal protection associated with each such intellectual property right depends on, among other things, the type of intellectual property right and the given jurisdiction in which such right arises. We believe that our intellectual property rights are valuable and important to our business, including each of our segments.</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Nonetheless, our intellectual property rights may not be successfully asserted in the future or may be invalidated, circumvented or challenged. In addition, the laws of various foreign countries where our products are distributed do not protect our intellectual property rights to the same extent as U.S. laws. Enforcement of intellectual property rights against alleged infringers can sometimes lead to costly litigation and counterclaims. Our inability to protect our proprietary information could harm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From time to time, we receive claims alleging infringement of a third party’s intellectual property rights, including patents. Disputes involving our intellectual property rights or those of another party have in the past and may in the future lead to, among other things, costly litigation or product shipment delays, which could harm our business.</w:t>
      </w:r>
    </w:p>
    <w:p>
      <w:pPr>
        <w:spacing w:after="0" w:line="14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We retain ownership of software we develop. All software is licensed to users and primarily provided in object code pursuant to either shrink-wrap, embedded or on-line licenses, or signed license agreements. These agreements contain restrictions on duplication, disclosure and transfer.</w:t>
      </w:r>
    </w:p>
    <w:p>
      <w:pPr>
        <w:spacing w:after="0" w:line="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believe that because of the limitations of laws protecting our intellectual property and the rapid, ongoing technological changes in both the computer hardware and software industries, we must rely principally upon software engineering and marketing skills to maintain and enhance our competitive market position.</w:t>
      </w:r>
    </w:p>
    <w:p>
      <w:pPr>
        <w:spacing w:after="0" w:line="14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While we have recovered some revenue resulting from the unauthorized use of our software products, we are unable to measure the full extent to which piracy of our software products exists. We believe, however, that software piracy is and can be expected to be a persistent problem that negatively impacts our revenue and financial results.</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through various licensing arrangements, we receive certain rights to intellectual property of others. We expect to maintain current licensing arrangements and to secure licensing arrangements in the future, as needed and to the extent available on reasonable terms and conditions, to support continued development and sales of our products and services. Some of these licensing arrangements require or may require royalty payments and other licensing fees. The amount of these payments and fees may depend on various factors, including but not limited to: the structure of royalty payments, offsetting considerations, if any, and the degree of use of the licensed technology.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1A, “Risk Factors,” for further discussion of risks related to protecting our intellectual property.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SUPPLIERS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Production of our PSEB, AEC, MFG and certain M&amp;E software products involves duplication of the software media and, for certain products, the printing of user manuals. The purchase of media and the transfer of the software programs onto media for distribution to customers are performed by us and by licensed subcontractors. Media for our products include DVDs which are available from multiple sources. We offer our maintenance customers an electronic software download option for selected product updates. Customers who choose electronic fulfillment receive the latest version of the software from our vendor’s secure servers. For certain of our products, user manuals are made available by request only as we work toward reducing our cost of shipping and production as well as the use of natural resources. User manuals and packaging materials are produced to our specifications by outside sources. Production is either performed in leased facilities operated by us or by independent third-party contractors. To date, we have not experienced any material difficulties or delays in the production of our software and documentation.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January 31, 2010, we employed approximately 6,800 people. None of our employees in the United States are represented by a labor union; however, in certain foreign countries, our employees are represented by work councils. We have never experienced any work stoppages and believe our employee relations are good. Reliance upon employees in other countries entails various risks that possible government instability or regulation unfavorable to foreign-owned businesses could negatively impact our business in the future.</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Over the past three years, we acquired new technology or supplemented our technology by purchasing businesses focused in specific markets or industries. During this time period, we acquired a number of companies, including the following companies that have a significant impact on our business and are discussed in our Notes to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5"/>
              </w:rPr>
              <w:t>Date of closing</w:t>
            </w:r>
          </w:p>
        </w:tc>
        <w:tc>
          <w:tcPr>
            <w:tcW w:w="206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Company</w:t>
            </w:r>
          </w:p>
        </w:tc>
        <w:tc>
          <w:tcPr>
            <w:tcW w:w="9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Details</w:t>
            </w:r>
          </w:p>
        </w:tc>
        <w:tc>
          <w:tcPr>
            <w:tcW w:w="2640" w:type="dxa"/>
            <w:vAlign w:val="bottom"/>
          </w:tcPr>
          <w:p>
            <w:pPr>
              <w:spacing w:after="0"/>
              <w:rPr>
                <w:sz w:val="14"/>
                <w:szCs w:val="14"/>
                <w:color w:val="auto"/>
              </w:rPr>
            </w:pPr>
          </w:p>
        </w:tc>
      </w:tr>
      <w:tr>
        <w:trPr>
          <w:trHeight w:val="269"/>
        </w:trPr>
        <w:tc>
          <w:tcPr>
            <w:tcW w:w="1500" w:type="dxa"/>
            <w:vAlign w:val="bottom"/>
            <w:gridSpan w:val="2"/>
          </w:tcPr>
          <w:p>
            <w:pPr>
              <w:spacing w:after="0"/>
              <w:rPr>
                <w:sz w:val="20"/>
                <w:szCs w:val="20"/>
                <w:color w:val="auto"/>
              </w:rPr>
            </w:pPr>
            <w:r>
              <w:rPr>
                <w:rFonts w:ascii="Arial" w:cs="Arial" w:eastAsia="Arial" w:hAnsi="Arial"/>
                <w:sz w:val="18"/>
                <w:szCs w:val="18"/>
                <w:color w:val="auto"/>
              </w:rPr>
              <w:t>November 2009</w:t>
            </w:r>
          </w:p>
        </w:tc>
        <w:tc>
          <w:tcPr>
            <w:tcW w:w="3580" w:type="dxa"/>
            <w:vAlign w:val="bottom"/>
            <w:gridSpan w:val="3"/>
          </w:tcPr>
          <w:p>
            <w:pPr>
              <w:ind w:left="800"/>
              <w:spacing w:after="0"/>
              <w:rPr>
                <w:sz w:val="20"/>
                <w:szCs w:val="20"/>
                <w:color w:val="auto"/>
              </w:rPr>
            </w:pPr>
            <w:r>
              <w:rPr>
                <w:rFonts w:ascii="Arial" w:cs="Arial" w:eastAsia="Arial" w:hAnsi="Arial"/>
                <w:sz w:val="18"/>
                <w:szCs w:val="18"/>
                <w:color w:val="auto"/>
              </w:rPr>
              <w:t>PlanPlatform Ltd.</w:t>
            </w: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w w:val="91"/>
              </w:rPr>
              <w:t>The PlanPlatform acquisition accelerated our software as a service technology</w:t>
            </w:r>
          </w:p>
        </w:tc>
      </w:tr>
      <w:tr>
        <w:trPr>
          <w:trHeight w:val="216"/>
        </w:trPr>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80" w:type="dxa"/>
            <w:vAlign w:val="bottom"/>
            <w:gridSpan w:val="3"/>
          </w:tcPr>
          <w:p>
            <w:pPr>
              <w:ind w:left="800"/>
              <w:spacing w:after="0"/>
              <w:rPr>
                <w:sz w:val="20"/>
                <w:szCs w:val="20"/>
                <w:color w:val="auto"/>
              </w:rPr>
            </w:pPr>
            <w:r>
              <w:rPr>
                <w:rFonts w:ascii="Arial" w:cs="Arial" w:eastAsia="Arial" w:hAnsi="Arial"/>
                <w:sz w:val="18"/>
                <w:szCs w:val="18"/>
                <w:color w:val="auto"/>
              </w:rPr>
              <w:t>(“PlanPlatform”)</w:t>
            </w: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w w:val="96"/>
              </w:rPr>
              <w:t>platform and provided a design team with knowledge of web-based design</w:t>
            </w:r>
          </w:p>
        </w:tc>
      </w:tr>
      <w:tr>
        <w:trPr>
          <w:trHeight w:val="216"/>
        </w:trPr>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w w:val="91"/>
              </w:rPr>
              <w:t>applications. PlanPlatform has been incorporated into, and the related goodwill</w:t>
            </w:r>
          </w:p>
        </w:tc>
      </w:tr>
      <w:tr>
        <w:trPr>
          <w:trHeight w:val="222"/>
        </w:trPr>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rPr>
              <w:t>was assigned to, the PSEB segment.</w:t>
            </w:r>
          </w:p>
        </w:tc>
      </w:tr>
      <w:tr>
        <w:trPr>
          <w:trHeight w:val="277"/>
        </w:trPr>
        <w:tc>
          <w:tcPr>
            <w:tcW w:w="1500" w:type="dxa"/>
            <w:vAlign w:val="bottom"/>
            <w:gridSpan w:val="2"/>
          </w:tcPr>
          <w:p>
            <w:pPr>
              <w:spacing w:after="0"/>
              <w:rPr>
                <w:sz w:val="20"/>
                <w:szCs w:val="20"/>
                <w:color w:val="auto"/>
              </w:rPr>
            </w:pPr>
            <w:r>
              <w:rPr>
                <w:rFonts w:ascii="Arial" w:cs="Arial" w:eastAsia="Arial" w:hAnsi="Arial"/>
                <w:sz w:val="18"/>
                <w:szCs w:val="18"/>
                <w:color w:val="auto"/>
              </w:rPr>
              <w:t>January 2009</w:t>
            </w:r>
          </w:p>
        </w:tc>
        <w:tc>
          <w:tcPr>
            <w:tcW w:w="3580" w:type="dxa"/>
            <w:vAlign w:val="bottom"/>
            <w:gridSpan w:val="3"/>
          </w:tcPr>
          <w:p>
            <w:pPr>
              <w:ind w:left="800"/>
              <w:spacing w:after="0"/>
              <w:rPr>
                <w:sz w:val="20"/>
                <w:szCs w:val="20"/>
                <w:color w:val="auto"/>
              </w:rPr>
            </w:pPr>
            <w:r>
              <w:rPr>
                <w:rFonts w:ascii="Arial" w:cs="Arial" w:eastAsia="Arial" w:hAnsi="Arial"/>
                <w:sz w:val="18"/>
                <w:szCs w:val="18"/>
                <w:color w:val="auto"/>
              </w:rPr>
              <w:t>ALGOR, Inc.</w:t>
            </w: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w w:val="95"/>
              </w:rPr>
              <w:t>The ALGOR acquisition enhanced our digital prototyping solutions with new</w:t>
            </w:r>
          </w:p>
        </w:tc>
      </w:tr>
      <w:tr>
        <w:trPr>
          <w:trHeight w:val="216"/>
        </w:trPr>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80" w:type="dxa"/>
            <w:vAlign w:val="bottom"/>
            <w:gridSpan w:val="3"/>
          </w:tcPr>
          <w:p>
            <w:pPr>
              <w:ind w:left="800"/>
              <w:spacing w:after="0"/>
              <w:rPr>
                <w:sz w:val="20"/>
                <w:szCs w:val="20"/>
                <w:color w:val="auto"/>
              </w:rPr>
            </w:pPr>
            <w:r>
              <w:rPr>
                <w:rFonts w:ascii="Arial" w:cs="Arial" w:eastAsia="Arial" w:hAnsi="Arial"/>
                <w:sz w:val="18"/>
                <w:szCs w:val="18"/>
                <w:color w:val="auto"/>
              </w:rPr>
              <w:t>(“ALGOR”)</w:t>
            </w: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w w:val="95"/>
              </w:rPr>
              <w:t>simulation and analysis capabilities such as thermal and fluid flow analysis.</w:t>
            </w:r>
          </w:p>
        </w:tc>
      </w:tr>
      <w:tr>
        <w:trPr>
          <w:trHeight w:val="216"/>
        </w:trPr>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w w:val="87"/>
              </w:rPr>
              <w:t>ALGOR has been incorporated into, and the related goodwill was assigned to, the</w:t>
            </w:r>
          </w:p>
        </w:tc>
      </w:tr>
      <w:tr>
        <w:trPr>
          <w:trHeight w:val="222"/>
        </w:trPr>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rPr>
              <w:t>MFG segment.</w:t>
            </w:r>
          </w:p>
        </w:tc>
      </w:tr>
      <w:tr>
        <w:trPr>
          <w:trHeight w:val="277"/>
        </w:trPr>
        <w:tc>
          <w:tcPr>
            <w:tcW w:w="1500" w:type="dxa"/>
            <w:vAlign w:val="bottom"/>
            <w:gridSpan w:val="2"/>
          </w:tcPr>
          <w:p>
            <w:pPr>
              <w:spacing w:after="0"/>
              <w:rPr>
                <w:sz w:val="20"/>
                <w:szCs w:val="20"/>
                <w:color w:val="auto"/>
              </w:rPr>
            </w:pPr>
            <w:r>
              <w:rPr>
                <w:rFonts w:ascii="Arial" w:cs="Arial" w:eastAsia="Arial" w:hAnsi="Arial"/>
                <w:sz w:val="18"/>
                <w:szCs w:val="18"/>
                <w:color w:val="auto"/>
              </w:rPr>
              <w:t>November 2008</w:t>
            </w:r>
          </w:p>
        </w:tc>
        <w:tc>
          <w:tcPr>
            <w:tcW w:w="3580" w:type="dxa"/>
            <w:vAlign w:val="bottom"/>
            <w:gridSpan w:val="3"/>
          </w:tcPr>
          <w:p>
            <w:pPr>
              <w:ind w:left="800"/>
              <w:spacing w:after="0"/>
              <w:rPr>
                <w:sz w:val="20"/>
                <w:szCs w:val="20"/>
                <w:color w:val="auto"/>
              </w:rPr>
            </w:pPr>
            <w:r>
              <w:rPr>
                <w:rFonts w:ascii="Arial" w:cs="Arial" w:eastAsia="Arial" w:hAnsi="Arial"/>
                <w:sz w:val="18"/>
                <w:szCs w:val="18"/>
                <w:color w:val="auto"/>
              </w:rPr>
              <w:t>Softimage</w:t>
            </w: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w w:val="89"/>
              </w:rPr>
              <w:t>The Softimage acquisition provided technology for the film, television and games</w:t>
            </w:r>
          </w:p>
        </w:tc>
      </w:tr>
      <w:tr>
        <w:trPr>
          <w:trHeight w:val="216"/>
        </w:trPr>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w w:val="93"/>
              </w:rPr>
              <w:t>markets. Softimage has been incorporated into, and the related goodwill was</w:t>
            </w:r>
          </w:p>
        </w:tc>
      </w:tr>
      <w:tr>
        <w:trPr>
          <w:trHeight w:val="222"/>
        </w:trPr>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rPr>
              <w:t>assigned to, the M&amp;E segment.</w:t>
            </w:r>
          </w:p>
        </w:tc>
      </w:tr>
      <w:tr>
        <w:trPr>
          <w:trHeight w:val="277"/>
        </w:trPr>
        <w:tc>
          <w:tcPr>
            <w:tcW w:w="1500" w:type="dxa"/>
            <w:vAlign w:val="bottom"/>
            <w:gridSpan w:val="2"/>
          </w:tcPr>
          <w:p>
            <w:pPr>
              <w:spacing w:after="0"/>
              <w:rPr>
                <w:sz w:val="20"/>
                <w:szCs w:val="20"/>
                <w:color w:val="auto"/>
              </w:rPr>
            </w:pPr>
            <w:r>
              <w:rPr>
                <w:rFonts w:ascii="Arial" w:cs="Arial" w:eastAsia="Arial" w:hAnsi="Arial"/>
                <w:sz w:val="18"/>
                <w:szCs w:val="18"/>
                <w:color w:val="auto"/>
              </w:rPr>
              <w:t>June 2008</w:t>
            </w:r>
          </w:p>
        </w:tc>
        <w:tc>
          <w:tcPr>
            <w:tcW w:w="3580" w:type="dxa"/>
            <w:vAlign w:val="bottom"/>
            <w:gridSpan w:val="3"/>
          </w:tcPr>
          <w:p>
            <w:pPr>
              <w:ind w:left="800"/>
              <w:spacing w:after="0"/>
              <w:rPr>
                <w:sz w:val="20"/>
                <w:szCs w:val="20"/>
                <w:color w:val="auto"/>
              </w:rPr>
            </w:pPr>
            <w:r>
              <w:rPr>
                <w:rFonts w:ascii="Arial" w:cs="Arial" w:eastAsia="Arial" w:hAnsi="Arial"/>
                <w:sz w:val="18"/>
                <w:szCs w:val="18"/>
                <w:color w:val="auto"/>
              </w:rPr>
              <w:t>Moldflow Corporation</w:t>
            </w: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w w:val="89"/>
              </w:rPr>
              <w:t>Moldflow software solutions are used for the design and engineering of injection-</w:t>
            </w:r>
          </w:p>
        </w:tc>
      </w:tr>
      <w:tr>
        <w:trPr>
          <w:trHeight w:val="216"/>
        </w:trPr>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80" w:type="dxa"/>
            <w:vAlign w:val="bottom"/>
            <w:gridSpan w:val="3"/>
          </w:tcPr>
          <w:p>
            <w:pPr>
              <w:ind w:left="800"/>
              <w:spacing w:after="0"/>
              <w:rPr>
                <w:sz w:val="20"/>
                <w:szCs w:val="20"/>
                <w:color w:val="auto"/>
              </w:rPr>
            </w:pPr>
            <w:r>
              <w:rPr>
                <w:rFonts w:ascii="Arial" w:cs="Arial" w:eastAsia="Arial" w:hAnsi="Arial"/>
                <w:sz w:val="18"/>
                <w:szCs w:val="18"/>
                <w:color w:val="auto"/>
              </w:rPr>
              <w:t>(“Moldflow”)</w:t>
            </w: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rPr>
              <w:t>molded plastic parts. The acquisition of Moldflow added simulation and</w:t>
            </w:r>
          </w:p>
        </w:tc>
      </w:tr>
      <w:tr>
        <w:trPr>
          <w:trHeight w:val="216"/>
        </w:trPr>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w w:val="94"/>
              </w:rPr>
              <w:t>optimization capabilities to our digital prototyping solution portfolio. Moldflow</w:t>
            </w:r>
          </w:p>
        </w:tc>
      </w:tr>
      <w:tr>
        <w:trPr>
          <w:trHeight w:val="216"/>
        </w:trPr>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w w:val="91"/>
              </w:rPr>
              <w:t>has been incorporated into, and the related goodwill was assigned to, the MFG</w:t>
            </w:r>
          </w:p>
        </w:tc>
      </w:tr>
      <w:tr>
        <w:trPr>
          <w:trHeight w:val="222"/>
        </w:trPr>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rPr>
              <w:t>segment.</w:t>
            </w:r>
          </w:p>
        </w:tc>
      </w:tr>
      <w:tr>
        <w:trPr>
          <w:trHeight w:val="277"/>
        </w:trPr>
        <w:tc>
          <w:tcPr>
            <w:tcW w:w="1500" w:type="dxa"/>
            <w:vAlign w:val="bottom"/>
            <w:gridSpan w:val="2"/>
          </w:tcPr>
          <w:p>
            <w:pPr>
              <w:spacing w:after="0"/>
              <w:rPr>
                <w:sz w:val="20"/>
                <w:szCs w:val="20"/>
                <w:color w:val="auto"/>
              </w:rPr>
            </w:pPr>
            <w:r>
              <w:rPr>
                <w:rFonts w:ascii="Arial" w:cs="Arial" w:eastAsia="Arial" w:hAnsi="Arial"/>
                <w:sz w:val="18"/>
                <w:szCs w:val="18"/>
                <w:color w:val="auto"/>
              </w:rPr>
              <w:t>January 2008</w:t>
            </w:r>
          </w:p>
        </w:tc>
        <w:tc>
          <w:tcPr>
            <w:tcW w:w="3580" w:type="dxa"/>
            <w:vAlign w:val="bottom"/>
            <w:gridSpan w:val="3"/>
          </w:tcPr>
          <w:p>
            <w:pPr>
              <w:ind w:left="800"/>
              <w:spacing w:after="0"/>
              <w:rPr>
                <w:sz w:val="20"/>
                <w:szCs w:val="20"/>
                <w:color w:val="auto"/>
              </w:rPr>
            </w:pPr>
            <w:r>
              <w:rPr>
                <w:rFonts w:ascii="Arial" w:cs="Arial" w:eastAsia="Arial" w:hAnsi="Arial"/>
                <w:sz w:val="18"/>
                <w:szCs w:val="18"/>
                <w:color w:val="auto"/>
              </w:rPr>
              <w:t>Hanna Strategies Holdings, Inc.</w:t>
            </w: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w w:val="93"/>
              </w:rPr>
              <w:t>Hanna Strategies, a company that formerly performed software development</w:t>
            </w:r>
          </w:p>
        </w:tc>
      </w:tr>
      <w:tr>
        <w:trPr>
          <w:trHeight w:val="216"/>
        </w:trPr>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80" w:type="dxa"/>
            <w:vAlign w:val="bottom"/>
            <w:gridSpan w:val="3"/>
          </w:tcPr>
          <w:p>
            <w:pPr>
              <w:ind w:left="800"/>
              <w:spacing w:after="0"/>
              <w:rPr>
                <w:sz w:val="20"/>
                <w:szCs w:val="20"/>
                <w:color w:val="auto"/>
              </w:rPr>
            </w:pPr>
            <w:r>
              <w:rPr>
                <w:rFonts w:ascii="Arial" w:cs="Arial" w:eastAsia="Arial" w:hAnsi="Arial"/>
                <w:sz w:val="18"/>
                <w:szCs w:val="18"/>
                <w:color w:val="auto"/>
              </w:rPr>
              <w:t>(“Hanna Strategies”)</w:t>
            </w: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w w:val="87"/>
              </w:rPr>
              <w:t>services for us, has been incorporated into, and the related goodwill was assigned</w:t>
            </w:r>
          </w:p>
        </w:tc>
      </w:tr>
      <w:tr>
        <w:trPr>
          <w:trHeight w:val="222"/>
        </w:trPr>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rPr>
              <w:t>to, the MFG segment.</w:t>
            </w:r>
          </w:p>
        </w:tc>
      </w:tr>
      <w:tr>
        <w:trPr>
          <w:trHeight w:val="277"/>
        </w:trPr>
        <w:tc>
          <w:tcPr>
            <w:tcW w:w="1500" w:type="dxa"/>
            <w:vAlign w:val="bottom"/>
            <w:gridSpan w:val="2"/>
          </w:tcPr>
          <w:p>
            <w:pPr>
              <w:spacing w:after="0"/>
              <w:rPr>
                <w:sz w:val="20"/>
                <w:szCs w:val="20"/>
                <w:color w:val="auto"/>
              </w:rPr>
            </w:pPr>
            <w:r>
              <w:rPr>
                <w:rFonts w:ascii="Arial" w:cs="Arial" w:eastAsia="Arial" w:hAnsi="Arial"/>
                <w:sz w:val="18"/>
                <w:szCs w:val="18"/>
                <w:color w:val="auto"/>
              </w:rPr>
              <w:t>January 2008</w:t>
            </w:r>
          </w:p>
        </w:tc>
        <w:tc>
          <w:tcPr>
            <w:tcW w:w="3580" w:type="dxa"/>
            <w:vAlign w:val="bottom"/>
            <w:gridSpan w:val="3"/>
          </w:tcPr>
          <w:p>
            <w:pPr>
              <w:ind w:left="800"/>
              <w:spacing w:after="0"/>
              <w:rPr>
                <w:sz w:val="20"/>
                <w:szCs w:val="20"/>
                <w:color w:val="auto"/>
              </w:rPr>
            </w:pPr>
            <w:r>
              <w:rPr>
                <w:rFonts w:ascii="Arial" w:cs="Arial" w:eastAsia="Arial" w:hAnsi="Arial"/>
                <w:sz w:val="18"/>
                <w:szCs w:val="18"/>
                <w:color w:val="auto"/>
              </w:rPr>
              <w:t>Robobat, S.A.</w:t>
            </w: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w w:val="88"/>
              </w:rPr>
              <w:t>The Robobat acquisition provided an analysis engine localized for the EMEA and</w:t>
            </w:r>
          </w:p>
        </w:tc>
      </w:tr>
      <w:tr>
        <w:trPr>
          <w:trHeight w:val="216"/>
        </w:trPr>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80" w:type="dxa"/>
            <w:vAlign w:val="bottom"/>
            <w:gridSpan w:val="3"/>
          </w:tcPr>
          <w:p>
            <w:pPr>
              <w:ind w:left="800"/>
              <w:spacing w:after="0"/>
              <w:rPr>
                <w:sz w:val="20"/>
                <w:szCs w:val="20"/>
                <w:color w:val="auto"/>
              </w:rPr>
            </w:pPr>
            <w:r>
              <w:rPr>
                <w:rFonts w:ascii="Arial" w:cs="Arial" w:eastAsia="Arial" w:hAnsi="Arial"/>
                <w:sz w:val="18"/>
                <w:szCs w:val="18"/>
                <w:color w:val="auto"/>
              </w:rPr>
              <w:t>(“Robobat”)</w:t>
            </w: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w w:val="87"/>
              </w:rPr>
              <w:t>APAC markets. Robobat has been incorporated into, and the related goodwill was</w:t>
            </w:r>
          </w:p>
        </w:tc>
      </w:tr>
      <w:tr>
        <w:trPr>
          <w:trHeight w:val="222"/>
        </w:trPr>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rPr>
              <w:t>assigned to, the AEC segment.</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9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Horizontal design products—</w:t>
      </w:r>
      <w:r>
        <w:rPr>
          <w:rFonts w:ascii="Arial" w:cs="Arial" w:eastAsia="Arial" w:hAnsi="Arial"/>
          <w:sz w:val="18"/>
          <w:szCs w:val="18"/>
          <w:color w:val="auto"/>
        </w:rPr>
        <w:t>Autodesk’s AutoCAD and AutoCAD LT products, which serve as the platform upon which our vertical design products are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Our horizontal design products are primarily developed by the PSEB segment. These products include our core design applications and can be used across a number of industries and disciplines. In the past we have referred to these products as 2D horizontal products. We have modified that reference to more accurately reflect these products’ functionality and general design nature.</w:t>
      </w:r>
    </w:p>
    <w:p>
      <w:pPr>
        <w:spacing w:after="0" w:line="136"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Vertical design products—</w:t>
      </w:r>
      <w:r>
        <w:rPr>
          <w:rFonts w:ascii="Arial" w:cs="Arial" w:eastAsia="Arial" w:hAnsi="Arial"/>
          <w:sz w:val="18"/>
          <w:szCs w:val="18"/>
          <w:color w:val="auto"/>
        </w:rPr>
        <w:t>Autodesk’s vertical design software, including AutoCAD Architecture, AutoCAD Mechanical and AutoCAD Map 3D, are</w:t>
      </w:r>
      <w:r>
        <w:rPr>
          <w:rFonts w:ascii="Arial" w:cs="Arial" w:eastAsia="Arial" w:hAnsi="Arial"/>
          <w:sz w:val="18"/>
          <w:szCs w:val="18"/>
          <w:b w:val="1"/>
          <w:bCs w:val="1"/>
          <w:color w:val="auto"/>
        </w:rPr>
        <w:t xml:space="preserve"> </w:t>
      </w:r>
      <w:r>
        <w:rPr>
          <w:rFonts w:ascii="Arial" w:cs="Arial" w:eastAsia="Arial" w:hAnsi="Arial"/>
          <w:sz w:val="18"/>
          <w:szCs w:val="18"/>
          <w:color w:val="auto"/>
        </w:rPr>
        <w:t>built upon Autodesk’s AutoCAD product and are enhanced with industry or discipline-specific functionality. In the past we have referred to these products as 2D vertical products. We have modified that reference to more accurately reflect these products’ functionality.</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58" w:lineRule="auto"/>
        <w:rPr>
          <w:sz w:val="20"/>
          <w:szCs w:val="20"/>
          <w:color w:val="auto"/>
        </w:rPr>
      </w:pPr>
      <w:r>
        <w:rPr>
          <w:rFonts w:ascii="Arial" w:cs="Arial" w:eastAsia="Arial" w:hAnsi="Arial"/>
          <w:sz w:val="18"/>
          <w:szCs w:val="18"/>
          <w:b w:val="1"/>
          <w:bCs w:val="1"/>
          <w:color w:val="auto"/>
        </w:rPr>
        <w:t>Model-based design products—</w:t>
      </w:r>
      <w:r>
        <w:rPr>
          <w:rFonts w:ascii="Arial" w:cs="Arial" w:eastAsia="Arial" w:hAnsi="Arial"/>
          <w:sz w:val="18"/>
          <w:szCs w:val="18"/>
          <w:color w:val="auto"/>
        </w:rPr>
        <w:t>Autodesk’s model-based design products, Autodesk Revit products, Autodesk Inventor products, AutoCAD Civil 3D,</w:t>
      </w:r>
      <w:r>
        <w:rPr>
          <w:rFonts w:ascii="Arial" w:cs="Arial" w:eastAsia="Arial" w:hAnsi="Arial"/>
          <w:sz w:val="18"/>
          <w:szCs w:val="18"/>
          <w:b w:val="1"/>
          <w:bCs w:val="1"/>
          <w:color w:val="auto"/>
        </w:rPr>
        <w:t xml:space="preserve"> </w:t>
      </w:r>
      <w:r>
        <w:rPr>
          <w:rFonts w:ascii="Arial" w:cs="Arial" w:eastAsia="Arial" w:hAnsi="Arial"/>
          <w:sz w:val="18"/>
          <w:szCs w:val="18"/>
          <w:color w:val="auto"/>
        </w:rPr>
        <w:t>Moldflow and Autodesk Navisworks products. In the past we have referred to these products as 3D model-based design products. We have modified that reference to more accurately reflect these products’ functionality and conform it to the descriptions of our other product types, horizontal design products and vertical design products.</w:t>
      </w:r>
    </w:p>
    <w:p>
      <w:pPr>
        <w:spacing w:after="0" w:line="136"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BIM (Building Information Modeling)—</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32"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Digital prototyping—</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b w:val="1"/>
          <w:bCs w:val="1"/>
          <w:color w:val="auto"/>
        </w:rPr>
        <w:t xml:space="preserve"> </w:t>
      </w:r>
      <w:r>
        <w:rPr>
          <w:rFonts w:ascii="Arial" w:cs="Arial" w:eastAsia="Arial" w:hAnsi="Arial"/>
          <w:sz w:val="18"/>
          <w:szCs w:val="18"/>
          <w:color w:val="auto"/>
        </w:rPr>
        <w:t>model rather than a physical model.</w:t>
      </w:r>
    </w:p>
    <w:p>
      <w:pPr>
        <w:spacing w:after="0" w:line="120" w:lineRule="exact"/>
        <w:rPr>
          <w:sz w:val="20"/>
          <w:szCs w:val="20"/>
          <w:color w:val="auto"/>
        </w:rPr>
      </w:pPr>
    </w:p>
    <w:p>
      <w:pPr>
        <w:jc w:val="both"/>
        <w:ind w:right="300" w:firstLine="456"/>
        <w:spacing w:after="0" w:line="262" w:lineRule="auto"/>
        <w:rPr>
          <w:sz w:val="20"/>
          <w:szCs w:val="20"/>
          <w:color w:val="auto"/>
        </w:rPr>
      </w:pPr>
      <w:r>
        <w:rPr>
          <w:rFonts w:ascii="Arial" w:cs="Arial" w:eastAsia="Arial" w:hAnsi="Arial"/>
          <w:sz w:val="18"/>
          <w:szCs w:val="18"/>
          <w:b w:val="1"/>
          <w:bCs w:val="1"/>
          <w:color w:val="auto"/>
        </w:rPr>
        <w:t>Upgrade and crossgrade</w:t>
      </w:r>
      <w:r>
        <w:rPr>
          <w:rFonts w:ascii="Arial" w:cs="Arial" w:eastAsia="Arial" w:hAnsi="Arial"/>
          <w:sz w:val="18"/>
          <w:szCs w:val="18"/>
          <w:color w:val="auto"/>
        </w:rPr>
        <w:t>—In an upgrade, a customer pays an incremental fee at currently available prices toward the purchase of a new version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product; the license to the previous version of the product is terminated. In a crossgrade, a customer pays an incremental fee at currently available prices toward the purchase of a different product; the license to the previous product is terminated.</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operate in a rapidly changing environment that involves significant risks, a number of which are beyond our control. In addition to the other information contained in this Form 10-K,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10-K and in the documents incorporated herein by reference. They could affect our actual results of operations, causing them to differ materially from those expressed in “forward-looking” statements.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global economic conditions do not improve or further deteriorate, our financial results may be further harmed.</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As our business has expanded globally, we have increasingly become subject to risks arising from adverse changes in domestic and global economic and political conditions. Global economic conditions have deteriorated over the past several quarters and it is not yet clear whether a sustainable recovery is currently taking place. This has led to our customers deferring, reducing or cancelling purchases in response to tighter credit, negative financial news and weaker financial performance of their businesses. Over the past several quarters, many of our customers have reduced their work forces, thereby reducing the number of licenses and the number of maintenance contracts they purchase from us. These factors have negatively impacted our business and our financial results.</w:t>
      </w:r>
    </w:p>
    <w:p>
      <w:pPr>
        <w:spacing w:after="0" w:line="100"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These actions have negatively impacted and may continue to negatively impact our business, financial results and financial condition. In addition, the negative effect these factors have had on our cash flows has caused us to restructure our business and in turn incur restructuring charges as well as take impairment charges on some of our long-term assets, and may cause us to take additional restructuring actions and charges in the future.</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global economic conditions further deteriorate, or our customers continue to struggle under these pressures, our customers may further delay, reduce or cancel their technology purchases. This could result in further reductions in sales of our products, longer sales cycles, slower adoption of new technologies and increased price competition. If global economic conditions do not improve, or our customers’ businesses do not improve, our customers may further delay, reduce or cancel their technology purchases. This could result in stagnation of our sales and our revenue.</w:t>
      </w:r>
    </w:p>
    <w:p>
      <w:pPr>
        <w:spacing w:after="0" w:line="11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addition, continued weakness in the end-user market could further negatively affect the cash flow of our distributors and resellers who could, in turn, delay paying their obligations to us. This would in turn increase our credit risk exposure and cause delays in our recognition of revenue on future sales to these customers.</w:t>
      </w:r>
    </w:p>
    <w:p>
      <w:pPr>
        <w:spacing w:after="0" w:line="221"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negatively impacts our future revenue and operating results.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If our customers do not attach maintenance to their initial license or renew their maintenance contract for our products, our maintenance revenue will decline, and our business will suffer. 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 Over the past several quarters, we have experienced a reduction in the number of licenses and maintenance contracts sold as a result of increased unemployment. This in turn, has negatively impacted our business and our financial results.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growth in billings for maintenance contracts began to slow in the second quarter of fiscal 2009, and maintenance billings declined year over year in the twelve months ended January 31, 2010. We recognize the revenue ratably over the life of the maintenance contracts, which is predominantly one year, but may also be two or three year terms. This year-over-year decrease in maintenance billings will cause downward pressure on future maintenance revenue, however future maintenance revenue will also be impacted by other factors such as the amount, timing and mix of contract terms of future billings.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Our operating results fluctuate within each quarter and from quarter to quarter making our future revenue and operating results difficult to predict.</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quarterly operating results have fluctuated in the past and may do so in the future. These fluctuations could cause our stock price to change significantly or experience declines. In addition to the other factors described in this Part I, Item 1A, some of the factors that could cause our operating results to fluctuate include:</w:t>
      </w:r>
    </w:p>
    <w:p>
      <w:pPr>
        <w:spacing w:after="0" w:line="59"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market, economic and business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lower growth or contraction of our upgrade or maintenance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sales in particular geographies, including emerging economies,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failure to expand our AutoCAD and AutoCAD LT products customer base to related vertical design products and model-based design products,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unemployment,</w:t>
      </w:r>
    </w:p>
    <w:p>
      <w:pPr>
        <w:spacing w:after="0" w:line="9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weak or negative growth in the industries we serve including architecture, engineering and construction, manufacturing, geospatial mapping and digital media and entertainment markets,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follow sales policies,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restructuring or other accounting charges,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unexpected costs or other operating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pricing pressure or changes in product pricing or product mix,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platform changes,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successfully or fully integrate acquired businesses and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unexpected or negative outcomes of matters relating to litigation or regulatory inquiries,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achieve and maintain planned cost reductions and productivity increases,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tax rates and tax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distribution channel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large sales,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grow lifecycle management or collaboration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impact of accounting rules, regulations or interpretations.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also experienced fluctuations in operating results in interim periods in certain geographic regions due to seasonality or regional economic conditions. In particular, our operating results in Europe during our third quarter are usually affected by a slow summer period, and our Asia Pacific operations typically experience seasonal slowing in our third and fourth quarters.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operating expenses are based in part on our expectations for future revenue and are relatively fixed in the short term. Accordingly, any revenue shortfall below expectations could have an immediate and significant adverse effect on our profitability. Greater than anticipated expenses or a failure to maintain rigorous cost controls would also negatively affect profitability. Further, gross margins may be adversely affected if our sales of Advanced Systems products, which historically have had lower margins, grow at a faster rate than sales of our higher-margin products.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market price for our common stock has experienced significant fluctuations and may continue to fluctuate significantly. The market price for our common stock may be affected by a number of factors, including:</w:t>
      </w:r>
    </w:p>
    <w:p>
      <w:pPr>
        <w:spacing w:after="0" w:line="5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shortfalls in our expected net revenue, earnings or key performance metrics;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in our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 and</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example, current global economic conditions have negatively impacted our financial performance and in turn the market price of our common stock.</w:t>
      </w:r>
    </w:p>
    <w:p>
      <w:pPr>
        <w:spacing w:after="0" w:line="19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00"/>
        <w:spacing w:after="0" w:line="332" w:lineRule="auto"/>
        <w:rPr>
          <w:sz w:val="20"/>
          <w:szCs w:val="20"/>
          <w:color w:val="auto"/>
        </w:rPr>
      </w:pPr>
      <w:r>
        <w:rPr>
          <w:rFonts w:ascii="Arial" w:cs="Arial" w:eastAsia="Arial" w:hAnsi="Arial"/>
          <w:sz w:val="16"/>
          <w:szCs w:val="16"/>
          <w:i w:val="1"/>
          <w:iCs w:val="1"/>
          <w:color w:val="auto"/>
        </w:rPr>
        <w:t>The actions that we have taken in response to the global economic slowdown and our related business slowdown have been costly and may not be as effective as anticipated, and we may be forced to take additional actions to reduce our expenses and stimulate demand for our products.</w:t>
      </w:r>
    </w:p>
    <w:p>
      <w:pPr>
        <w:spacing w:after="0" w:line="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taken actions to reduce our cost structure to more closely align our costs with our revenue levels. In taking these actions, we are attempting to balance the cost of such initiatives against the longer term benefit of such initiatives and our overall competitive strategy. In taking these actions, we have incurred additional costs in the short term that have had and may continue to have the effect of reducing our operating margins. If we do not achieve the proper balance of these cost reduction initiatives, we may eliminate critical elements of our operations, the loss of which could negatively impact our ability to benefit from an economic recovery. We cannot assure that our cost cutting efforts will achieve appropriate levels of expenses and future economic conditions may require that we take additional actions in the future.</w:t>
      </w:r>
    </w:p>
    <w:p>
      <w:pPr>
        <w:spacing w:after="0" w:line="144"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addition, we have taken and continue to take actions to stimulate demand for our products through a number of programs. Although we are attempting to balance the cost of these programs against the longer term benefits, it is possible that we will make such investments without a corresponding increase in demand for our products. This would further reduce our operating margins and have a negative impact on our financial results.</w:t>
      </w:r>
    </w:p>
    <w:p>
      <w:pPr>
        <w:spacing w:after="0" w:line="188" w:lineRule="exact"/>
        <w:rPr>
          <w:sz w:val="20"/>
          <w:szCs w:val="20"/>
          <w:color w:val="auto"/>
        </w:rPr>
      </w:pPr>
    </w:p>
    <w:p>
      <w:pPr>
        <w:ind w:left="240" w:right="240"/>
        <w:spacing w:after="0" w:line="259" w:lineRule="auto"/>
        <w:rPr>
          <w:sz w:val="20"/>
          <w:szCs w:val="20"/>
          <w:color w:val="auto"/>
        </w:rPr>
      </w:pPr>
      <w:r>
        <w:rPr>
          <w:rFonts w:ascii="Arial" w:cs="Arial" w:eastAsia="Arial" w:hAnsi="Arial"/>
          <w:sz w:val="18"/>
          <w:szCs w:val="18"/>
          <w:i w:val="1"/>
          <w:iCs w:val="1"/>
          <w:color w:val="auto"/>
        </w:rPr>
        <w:t>If we do not maintain our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5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sell our software products both directly to end-users and through a network of distributors and resellers. For the fiscal year ended January 31, 2010, approximately 83%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are experiencing difficulties in the current economic environment. We have processes to ensure that we assess the creditworthiness of distributors and resellers prior to our sales to them. In the past we have taken steps to support them, and may take additional steps in the future, such as extending credit terms and providing temporary discounts, which could harm our operating results. If our distributors and resellers were to become insolvent, their inability to maintain their business and sales, as well as to provide customer support services, would negatively impact our business and revenue.</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We rely significantly upon major distributors and resellers in both the U.S. and international regions, including distributors Tech Data Corporation and its global affiliates (“Tech Data”). Tech Data accounted for 14% of our consolidated net revenue for each of the fiscal years ended January 31, 2010, 2009 and 2008.</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which could have a material adverse effect on our results of operations in a given period.</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i w:val="1"/>
          <w:iCs w:val="1"/>
          <w:color w:val="auto"/>
        </w:rPr>
        <w:t>The recent global credit and banking crisis that has occurred over the past several quarters has negatively affected and may continue to negatively affect our business, financial conditions and results of operations.</w:t>
      </w:r>
    </w:p>
    <w:p>
      <w:pPr>
        <w:spacing w:after="0" w:line="5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recent global financial crisis affecting the banking system and financial markets and other financial institutions has resulted in a tightening in the credit markets, a low level of liquidity in many financial markets, and extreme volatility in many financial instrument markets. Our business has been impacted by these events and may be further impacted from this global credit and banking crisis by:</w:t>
      </w:r>
    </w:p>
    <w:p>
      <w:pPr>
        <w:spacing w:after="0" w:line="59"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insolvency of key channel partners impairing our distribution channels;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counterparty failures negatively affecting insured risks;</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expense or inability to obtain short-term financing if banks providing our line of credit are unable to lend us money when it is needed for our operations,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decreased borrowing and spending by our end users on small and large projects in the industries we serve, thereby reducing demand for our products.</w:t>
      </w:r>
    </w:p>
    <w:p>
      <w:pPr>
        <w:spacing w:after="0" w:line="287"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i w:val="1"/>
          <w:iCs w:val="1"/>
          <w:color w:val="auto"/>
        </w:rPr>
        <w:t>Because we derive a substantial portion of our net revenue from AutoCAD-based software products, if these products are not successful, our net revenue will be adversely affected.</w:t>
      </w:r>
    </w:p>
    <w:p>
      <w:pPr>
        <w:spacing w:after="0" w:line="5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derive a substantial portion of our net revenue from sales of licenses of AutoCAD software, including products based on AutoCAD that serve specific vertical markets, upgrades to those products and products that are interoperable with AutoCAD. As such,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operating results. For example, during the fiscal year ended January 31, 2010, combined revenue from our AutoCAD and AutoCAD LT products decreased 34% as compared to the same period of the prior fiscal year, harming our operating results.</w:t>
      </w:r>
    </w:p>
    <w:p>
      <w:pPr>
        <w:spacing w:after="0" w:line="225" w:lineRule="exact"/>
        <w:rPr>
          <w:sz w:val="20"/>
          <w:szCs w:val="20"/>
          <w:color w:val="auto"/>
        </w:rPr>
      </w:pPr>
    </w:p>
    <w:p>
      <w:pPr>
        <w:ind w:left="240" w:right="160"/>
        <w:spacing w:after="0" w:line="259" w:lineRule="auto"/>
        <w:rPr>
          <w:sz w:val="20"/>
          <w:szCs w:val="20"/>
          <w:color w:val="auto"/>
        </w:rPr>
      </w:pPr>
      <w:r>
        <w:rPr>
          <w:rFonts w:ascii="Arial" w:cs="Arial" w:eastAsia="Arial" w:hAnsi="Arial"/>
          <w:sz w:val="18"/>
          <w:szCs w:val="18"/>
          <w:i w:val="1"/>
          <w:iCs w:val="1"/>
          <w:color w:val="auto"/>
        </w:rPr>
        <w:t>From time to time we are subject to litigation and regulatory inquiries, and we may be named in additional litigation or become involved in regulatory inquiries in the future, all of which could result in an unfavorable outcome and have a material adverse effect on our business, financial condition, results of operations, cash flows and the trading price for our securities.</w:t>
      </w:r>
    </w:p>
    <w:p>
      <w:pPr>
        <w:spacing w:after="0" w:line="5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From time to time, we are involved in litigation or regulatory inquiries. The number and significance of these disputes and inquiries have increased as our business has evolved. Any claims or regulatory actions initiated by or against us, whether successful or not, could be time consuming, result in costly litigation, damage awards, injunctive relief, increased costs of business, require us to change our business practices, require significant amounts of management time, result in the diversion of significant operational resources, or otherwise harm our business.</w:t>
      </w:r>
    </w:p>
    <w:p>
      <w:pPr>
        <w:spacing w:after="0" w:line="194"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and other risks, which could adversely impact our financial results.</w:t>
      </w:r>
    </w:p>
    <w:p>
      <w:pPr>
        <w:spacing w:after="0" w:line="5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are dependent on our international operations for a significant portion of our revenue.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These factors have recently adversely impacted and may in the future adversely impact our international revenue, and consequently our business as a whole. Further, our dependency on international revenue makes us much more exposed to global economic trends, which can negatively impact our financial results, even if our results in the U.S. are strong for a particular period.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addition, 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difficulties in staffing and managing foreign sales and development operations, longer collection cycles for accounts receivable, potential changes in tax laws, tax arrangements with foreign governments and laws regarding the management of data, possible future limitations upon foreign owned businesses, increased financial accounting and reporting burdens and complexities, inadequate local infrastructure, greater difficulty in protecting intellectual property, and other factors beyond our control, including terrorism, war, natural disasters and diseases.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Existing and increased competition may reduce our net revenue and profits.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software industry has limited barriers to entry, and the availability of desktop computers with continually expanding performance at progressively lower prices contributes to the ease of market entry.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may adversely affect the sale of our products. Because of these and other factors, competitive conditions in the industry are likely to intensify in the future. Increased competition could result in continued price reductions, reduced net revenue and profit margins and loss of market share, any of which would likely harm our business.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believe that our future results depend largely upon our ability to offer products that compete favorably with respect to reliability, performance, ease of use, range of useful features, continuing product enhancements, reputation and price.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9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software piracy can be expected to be a persistent problem. Furthermore, our means of protecting our proprietary rights may not be adequate.</w:t>
      </w:r>
    </w:p>
    <w:p>
      <w:pPr>
        <w:spacing w:after="0" w:line="10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 and the functionality of products in different industry segments overlap,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99"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i w:val="1"/>
          <w:iCs w:val="1"/>
          <w:color w:val="auto"/>
        </w:rPr>
        <w:t>A breach of security in our products or computer systems may compromise the integrity of our products, harm our reputation, create additional liability and adversely impact our financial results.</w:t>
      </w:r>
    </w:p>
    <w:p>
      <w:pPr>
        <w:spacing w:after="0" w:line="5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make significant efforts to maintain the security and integrity of our product source code and computer systems. There appears to be an increasing number of computer “hackers” developing and deploying a variety of destructive software programs (such as viruses, worms, and the like) that could attack our products and computer systems. Despite significant efforts to create security barriers to such programs, it is virtually impossible for us to entirely mitigate this risk. Like all software products, our software is vulnerable to such attacks. The impact of such an attack could disrupt the proper functioning of our software products, cause errors in the output of our customers’ work, allow unauthorized access to sensitive, proprietary or confidential information of ours or our customers and other destructive outcomes. If this were to occur, our reputation may suffer, customers may stop buying our products, we could face lawsuits and potential liability and our financial performance could be negatively impacted.</w:t>
      </w:r>
    </w:p>
    <w:p>
      <w:pPr>
        <w:spacing w:after="0" w:line="199" w:lineRule="exact"/>
        <w:rPr>
          <w:sz w:val="20"/>
          <w:szCs w:val="20"/>
          <w:color w:val="auto"/>
        </w:rPr>
      </w:pPr>
    </w:p>
    <w:p>
      <w:pPr>
        <w:ind w:left="240" w:right="260"/>
        <w:spacing w:after="0" w:line="259" w:lineRule="auto"/>
        <w:rPr>
          <w:sz w:val="20"/>
          <w:szCs w:val="20"/>
          <w:color w:val="auto"/>
        </w:rPr>
      </w:pPr>
      <w:r>
        <w:rPr>
          <w:rFonts w:ascii="Arial" w:cs="Arial" w:eastAsia="Arial" w:hAnsi="Arial"/>
          <w:sz w:val="18"/>
          <w:szCs w:val="18"/>
          <w:i w:val="1"/>
          <w:iCs w:val="1"/>
          <w:color w:val="auto"/>
        </w:rPr>
        <w:t>While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5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we have determined in our Management Report on Internal Control over Financial Reporting, included in this Annual Report on Form 10-K, that our internal control over financial reporting was effective as of January 31, 2010, we must continue to monitor and assess our internal control over financial reporting. If our management identifies one or more material weaknesses in our internal control over financial reporting and such weakness remains uncorrected at fiscal year end, we will be unable to assert such internal control is effective at fiscal year 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5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make assumptions, judgments and estimates for a number of items, including the fair value of goodwill, financial instruments,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 For example, in October 2009, the Financial Accounting Standards Board, (“FASB”), issued two new pieces of authoritative guidance on revenue recognition, changing previous guidance in this technical accounting area. These changes will be effective for us February 1, 2011. We are currently assessing the impact that the adoption of these new accounting pronouncements will have on our consolidated financial position, results of operations and cash flows.</w:t>
      </w:r>
    </w:p>
    <w:p>
      <w:pPr>
        <w:spacing w:after="0" w:line="12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addition, the FASB is currently working on a joint project with the International Accounting Standards Board regarding revenue recognition. The objective of this project is to clarify the principles for recognizing revenue and create a joint revenue recognition standard for Generally Accepted Accounting Principles in the U.S. (“GAAP”) and International Financial Reporting Standards. Although a proposed standard has not yet been issued, it is expected that any proposed standard would result in changes to the way we recognize and report revenue under GAAP. We are currently unable to estimate the impact that these changes will have on our consolidated financial position, results of operations and cash flows.</w:t>
      </w:r>
    </w:p>
    <w:p>
      <w:pPr>
        <w:spacing w:after="0" w:line="11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Furthermore, during the first quarter of fiscal 2010, the State of California enacted legislation significantly altering California tax law. As a result of the newly enacted legislation, we expect that in fiscal years 2012 and beyond our income subject to tax in California will be less than under prior tax law and accordingly our deferred tax assets are less likely to be realized.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use derivative instruments to manage a portion of our earnings exposure and cash flow exposure to fluctuations in foreign currency exchange rates. As part of our risk management strategy, we use foreign currency forward and option contracts to manage a portion of our exposures of underlying assets, liabilities and other obligations, which exist as part of our ongoing business operations. These foreign currency instruments have maturities that extend for one to 12 months in the future, and provide us with some protection against currency exposures. Our attempts to hedge against these risks may not be successful, resulting in an adverse impact on our financial results.</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we have expanded our foreign currency cash flow hedge program beyond the current quarter to a longer term program in order to reduce foreign currency volatility, we cannot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94" w:lineRule="exact"/>
        <w:rPr>
          <w:sz w:val="20"/>
          <w:szCs w:val="20"/>
          <w:color w:val="auto"/>
        </w:rPr>
      </w:pPr>
    </w:p>
    <w:p>
      <w:pPr>
        <w:ind w:left="240" w:right="120"/>
        <w:spacing w:after="0" w:line="256"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further cause interest rates to decline, credit ratings of our investments to deteriorate, or illiquidity in the financial marketplace, we may continue to experience a decline in interest income, an inability to sell our investments, or impairment in the value of our investments.</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interest income, or result in material charges, which in turn could impact our overall net income and earnings per share.</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example, if we were to experience a loss on any of these investments that loss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224" w:lineRule="exact"/>
        <w:rPr>
          <w:sz w:val="20"/>
          <w:szCs w:val="20"/>
          <w:color w:val="auto"/>
        </w:rPr>
      </w:pPr>
    </w:p>
    <w:p>
      <w:pPr>
        <w:ind w:left="240" w:right="640"/>
        <w:spacing w:after="0" w:line="332" w:lineRule="auto"/>
        <w:rPr>
          <w:sz w:val="20"/>
          <w:szCs w:val="20"/>
          <w:color w:val="auto"/>
        </w:rPr>
      </w:pPr>
      <w:r>
        <w:rPr>
          <w:rFonts w:ascii="Arial" w:cs="Arial" w:eastAsia="Arial" w:hAnsi="Arial"/>
          <w:sz w:val="16"/>
          <w:szCs w:val="16"/>
          <w:i w:val="1"/>
          <w:iCs w:val="1"/>
          <w:color w:val="auto"/>
        </w:rPr>
        <w:t>Our strategy to develop and introduce new product and service offerings, including new product features, exposes us to risks such as limited customer acceptance, costs related to product defects and large expenditures that may not result in additional net revenue.</w:t>
      </w:r>
    </w:p>
    <w:p>
      <w:pPr>
        <w:spacing w:after="0" w:line="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We devote significant resources to the development of new technologies, such as our vertical design products and our digital prototyping and collaboration products. In addition, we frequently introduce new business models or methods that require a considerable investment of technical and financial resources. We are making such investments through further development and enhancement of our existing products, as well as through acquisitions of new product lines. Such investments may not result in sufficient revenue generation to justify their costs, or competitors may introduce new products and services that achieve acceptance among our current customers, adversely affecting our competitive position.</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particular, a critical component of our growth strategy is to have customers of our AutoCAD and AutoCAD LT products expand their portfolios to include our related vertical design products and our model-based design products such as our Autodesk Inventor products, our Autodesk Revit products, our AutoCAD Civil 3D products and our Autodesk Navisworks products. Should sales of our AutoCAD and AutoCAD LT products decrease without a corresponding increase in vertical design and model-based design product revenue or without purchases of customer seats to our vertical design products and model-based design products, our results of operations will be adversely affected.</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Further, given the rapid speed of changing customer expectations and advancement of technology inherent in the software industry, as well as the extensive and complex efforts required to create useful and widely accepted products, our executive management team must act quickly, continuously and with vision. Although we have articulated a strategy that we believe will fulfill these challenges, if we fail to execute properly on that strategy, adapt that strategy as market conditions evolve, fail to internalize and execute on that strategy,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90" w:lineRule="exact"/>
        <w:rPr>
          <w:sz w:val="20"/>
          <w:szCs w:val="20"/>
          <w:color w:val="auto"/>
        </w:rPr>
      </w:pPr>
    </w:p>
    <w:p>
      <w:pPr>
        <w:ind w:right="340" w:firstLine="456"/>
        <w:spacing w:after="0" w:line="323" w:lineRule="auto"/>
        <w:rPr>
          <w:sz w:val="20"/>
          <w:szCs w:val="20"/>
          <w:color w:val="auto"/>
        </w:rPr>
      </w:pPr>
      <w:r>
        <w:rPr>
          <w:rFonts w:ascii="Arial" w:cs="Arial" w:eastAsia="Arial" w:hAnsi="Arial"/>
          <w:sz w:val="15"/>
          <w:szCs w:val="15"/>
          <w:color w:val="auto"/>
        </w:rPr>
        <w:t>We regularly acquire or invest in businesses, software products and technologies that are complementary to our business through acquisitions, strategic alliances or equity investments. The risks associated with such acquisitions include, among others, the difficulty of assimilating products, operations and personnel,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9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addition, such acquisitions and investments may involve significant transaction or integration-related costs. We may not be successful in overcoming such risks, and such acquisitions and investments may negatively impact our business. In addition, such acquisitions and investments have in the past and may in the future contribute to potential fluctuations in our quarterly results of operations. These fluctuations could arise from transaction-related costs and charges associated with eliminating redundant expenses or write-offs of impaired assets recorded in connection with acquisitions and investments. For example, during our first quarter of fiscal 2010, we recorded an impairment charge of $21.0 million related to goodwill associated with an acquisition in our M&amp;E segment. In addition, we recorded an impairment charge of $128.9 million during our fourth quarter of fiscal 2009, also primarily related to goodwill associated with acquisitions in our M&amp;E segment. We also may need to make further investments to support these acquired companies and may have difficulty identifying and acquiring appropriate resources. These costs or charges could negatively impact our results of operations for a given period, cause quarter to quarter variability in our operating results or negatively impact our operating results for several future periods.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success depends largely on our ability to attract and retain highly skilled technical, professional, managerial, sales and marketing personnel. Historically, competition for these key personnel has been intense. The loss of services of any of our key personnel,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operating results could be negatively impacted if our tax positions are successfully challenged by tax authorities.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operating results negatively impacted.</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 have in the past, and would likely in the future, negatively impact these third-party developers and end users, which could harm our business.</w:t>
      </w:r>
    </w:p>
    <w:p>
      <w:pPr>
        <w:spacing w:after="0" w:line="14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221"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99" w:lineRule="exact"/>
        <w:rPr>
          <w:sz w:val="20"/>
          <w:szCs w:val="20"/>
          <w:color w:val="auto"/>
        </w:rPr>
      </w:pPr>
    </w:p>
    <w:p>
      <w:pPr>
        <w:ind w:left="240" w:right="260"/>
        <w:spacing w:after="0" w:line="259"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certain of our customer services operations as well as some of our operations; any interruption or delay in service from these third parties, breaches of security or privacy, or failures in data collection could expose us to liability, harm our reputation and adversely impact our financial performance.</w:t>
      </w:r>
    </w:p>
    <w:p>
      <w:pPr>
        <w:spacing w:after="0" w:line="5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of customer data. In addition, our operations could be negatively affected in the event of a security breach, and we could be subject to the loss or theft of confidential or proprietary information, including source code. Unauthorized access to this data may be obtained through break-ins, breach of our secure network by an unauthorized party, employee theft or misuse, or other misconduct.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225"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2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received no written comments regarding our periodic or current reports from the staff of the SEC that were issued 180 days or more preceding the end of our 2010 fiscal year that remain unresolved.</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lease 2,034,000 square feet of office space in 113 locations in the United States and internationally through our foreign subsidiaries. In addition, we own 25,000 square feet of office space in two locations internationally through our foreign subsidiaries. Our executive offices and corporate headquarters are located in leased office space in San Rafael, California. Our San Rafael facilities consist of 364,000 square feet under leases that have expiration dates ranging from December 2010 to December 2019. We and our foreign subsidiaries lease additional space in various locations throughout the world for local sales, product development and technical support personnel.</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All facilities are in good condition. Our facilities, excluding those in restructuring, are operating at capacities averaging 79% occupancy worldwide as of January 31, 2010. We believe that our existing facilities and offices are adequate to meet our requirements for the foreseeable future. See Note 8, “Commitments and Contingencies,” in the Notes to Consolidated Financial Statements for more information about our lease commitments.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are involved in legal proceedings from time to time arising from the normal course of business activities including claims of alleged infringement of intellectual property rights, commercial, employment, piracy prosecution and other matters. In our opinion, resolution of pending matters is not expected to have a material adverse impact on our consolidated results of operations, cash flows or financial position. However, it is possible that an unfavorable resolution of one or more such proceedings could in the future materially affect our future results of operations, cash flows or financial position in a particular period.</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common stock is traded on the NASDAQ Global Select Market under the symbol ADSK. The following table lists the high and low sales prices for each quarter in the last two fiscal years.</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High</w:t>
            </w:r>
          </w:p>
        </w:tc>
        <w:tc>
          <w:tcPr>
            <w:tcW w:w="2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Low</w:t>
            </w: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jc w:val="right"/>
              <w:ind w:right="4072"/>
              <w:spacing w:after="0"/>
              <w:rPr>
                <w:sz w:val="20"/>
                <w:szCs w:val="20"/>
                <w:color w:val="auto"/>
              </w:rPr>
            </w:pPr>
            <w:r>
              <w:rPr>
                <w:rFonts w:ascii="Arial" w:cs="Arial" w:eastAsia="Arial" w:hAnsi="Arial"/>
                <w:sz w:val="18"/>
                <w:szCs w:val="18"/>
                <w:color w:val="auto"/>
                <w:w w:val="84"/>
              </w:rPr>
              <w:t>Fiscal 2010</w:t>
            </w:r>
          </w:p>
        </w:tc>
        <w:tc>
          <w:tcPr>
            <w:tcW w:w="3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3940" w:type="dxa"/>
            <w:vAlign w:val="bottom"/>
            <w:gridSpan w:val="2"/>
          </w:tcPr>
          <w:p>
            <w:pPr>
              <w:jc w:val="center"/>
              <w:ind w:left="3352"/>
              <w:spacing w:after="0"/>
              <w:rPr>
                <w:sz w:val="20"/>
                <w:szCs w:val="20"/>
                <w:color w:val="auto"/>
              </w:rPr>
            </w:pPr>
            <w:r>
              <w:rPr>
                <w:rFonts w:ascii="Arial" w:cs="Arial" w:eastAsia="Arial" w:hAnsi="Arial"/>
                <w:sz w:val="18"/>
                <w:szCs w:val="18"/>
                <w:color w:val="auto"/>
                <w:w w:val="90"/>
              </w:rPr>
              <w:t>$19.94</w:t>
            </w:r>
          </w:p>
        </w:tc>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83"/>
              </w:rPr>
              <w:t>$ 11.78</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3940" w:type="dxa"/>
            <w:vAlign w:val="bottom"/>
            <w:gridSpan w:val="2"/>
            <w:shd w:val="clear" w:color="auto" w:fill="CCEEFF"/>
          </w:tcPr>
          <w:p>
            <w:pPr>
              <w:jc w:val="center"/>
              <w:ind w:left="3352"/>
              <w:spacing w:after="0"/>
              <w:rPr>
                <w:sz w:val="20"/>
                <w:szCs w:val="20"/>
                <w:color w:val="auto"/>
              </w:rPr>
            </w:pPr>
            <w:r>
              <w:rPr>
                <w:rFonts w:ascii="Arial" w:cs="Arial" w:eastAsia="Arial" w:hAnsi="Arial"/>
                <w:sz w:val="18"/>
                <w:szCs w:val="18"/>
                <w:color w:val="auto"/>
                <w:w w:val="90"/>
              </w:rPr>
              <w:t>$22.66</w:t>
            </w:r>
          </w:p>
        </w:tc>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$17.01</w:t>
            </w: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3940" w:type="dxa"/>
            <w:vAlign w:val="bottom"/>
            <w:gridSpan w:val="2"/>
          </w:tcPr>
          <w:p>
            <w:pPr>
              <w:jc w:val="center"/>
              <w:ind w:left="3352"/>
              <w:spacing w:after="0"/>
              <w:rPr>
                <w:sz w:val="20"/>
                <w:szCs w:val="20"/>
                <w:color w:val="auto"/>
              </w:rPr>
            </w:pPr>
            <w:r>
              <w:rPr>
                <w:rFonts w:ascii="Arial" w:cs="Arial" w:eastAsia="Arial" w:hAnsi="Arial"/>
                <w:sz w:val="18"/>
                <w:szCs w:val="18"/>
                <w:color w:val="auto"/>
                <w:w w:val="90"/>
              </w:rPr>
              <w:t>$27.08</w:t>
            </w:r>
          </w:p>
        </w:tc>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0"/>
              </w:rPr>
              <w:t>$21.76</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3940" w:type="dxa"/>
            <w:vAlign w:val="bottom"/>
            <w:gridSpan w:val="2"/>
            <w:shd w:val="clear" w:color="auto" w:fill="CCEEFF"/>
          </w:tcPr>
          <w:p>
            <w:pPr>
              <w:jc w:val="center"/>
              <w:ind w:left="3352"/>
              <w:spacing w:after="0"/>
              <w:rPr>
                <w:sz w:val="20"/>
                <w:szCs w:val="20"/>
                <w:color w:val="auto"/>
              </w:rPr>
            </w:pPr>
            <w:r>
              <w:rPr>
                <w:rFonts w:ascii="Arial" w:cs="Arial" w:eastAsia="Arial" w:hAnsi="Arial"/>
                <w:sz w:val="18"/>
                <w:szCs w:val="18"/>
                <w:color w:val="auto"/>
                <w:w w:val="90"/>
              </w:rPr>
              <w:t>$27.69</w:t>
            </w:r>
          </w:p>
        </w:tc>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$23.44</w:t>
            </w:r>
          </w:p>
        </w:tc>
      </w:tr>
      <w:tr>
        <w:trPr>
          <w:trHeight w:val="431"/>
        </w:trPr>
        <w:tc>
          <w:tcPr>
            <w:tcW w:w="4980" w:type="dxa"/>
            <w:vAlign w:val="bottom"/>
            <w:gridSpan w:val="2"/>
          </w:tcPr>
          <w:p>
            <w:pPr>
              <w:jc w:val="right"/>
              <w:ind w:right="4072"/>
              <w:spacing w:after="0"/>
              <w:rPr>
                <w:sz w:val="20"/>
                <w:szCs w:val="20"/>
                <w:color w:val="auto"/>
              </w:rPr>
            </w:pPr>
            <w:r>
              <w:rPr>
                <w:rFonts w:ascii="Arial" w:cs="Arial" w:eastAsia="Arial" w:hAnsi="Arial"/>
                <w:sz w:val="18"/>
                <w:szCs w:val="18"/>
                <w:color w:val="auto"/>
                <w:w w:val="86"/>
              </w:rPr>
              <w:t>Fiscal 2009</w:t>
            </w:r>
          </w:p>
        </w:tc>
        <w:tc>
          <w:tcPr>
            <w:tcW w:w="3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3940" w:type="dxa"/>
            <w:vAlign w:val="bottom"/>
            <w:gridSpan w:val="2"/>
            <w:shd w:val="clear" w:color="auto" w:fill="CCEEFF"/>
          </w:tcPr>
          <w:p>
            <w:pPr>
              <w:jc w:val="center"/>
              <w:ind w:left="3352"/>
              <w:spacing w:after="0"/>
              <w:rPr>
                <w:sz w:val="20"/>
                <w:szCs w:val="20"/>
                <w:color w:val="auto"/>
              </w:rPr>
            </w:pPr>
            <w:r>
              <w:rPr>
                <w:rFonts w:ascii="Arial" w:cs="Arial" w:eastAsia="Arial" w:hAnsi="Arial"/>
                <w:sz w:val="18"/>
                <w:szCs w:val="18"/>
                <w:color w:val="auto"/>
                <w:w w:val="90"/>
              </w:rPr>
              <w:t>$41.96</w:t>
            </w:r>
          </w:p>
        </w:tc>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$29.90</w:t>
            </w: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3940" w:type="dxa"/>
            <w:vAlign w:val="bottom"/>
            <w:gridSpan w:val="2"/>
          </w:tcPr>
          <w:p>
            <w:pPr>
              <w:jc w:val="center"/>
              <w:ind w:left="3352"/>
              <w:spacing w:after="0"/>
              <w:rPr>
                <w:sz w:val="20"/>
                <w:szCs w:val="20"/>
                <w:color w:val="auto"/>
              </w:rPr>
            </w:pPr>
            <w:r>
              <w:rPr>
                <w:rFonts w:ascii="Arial" w:cs="Arial" w:eastAsia="Arial" w:hAnsi="Arial"/>
                <w:sz w:val="18"/>
                <w:szCs w:val="18"/>
                <w:color w:val="auto"/>
                <w:w w:val="90"/>
              </w:rPr>
              <w:t>$41.49</w:t>
            </w:r>
          </w:p>
        </w:tc>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0"/>
              </w:rPr>
              <w:t>$31.89</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3940" w:type="dxa"/>
            <w:vAlign w:val="bottom"/>
            <w:gridSpan w:val="2"/>
            <w:shd w:val="clear" w:color="auto" w:fill="CCEEFF"/>
          </w:tcPr>
          <w:p>
            <w:pPr>
              <w:jc w:val="center"/>
              <w:ind w:left="3352"/>
              <w:spacing w:after="0"/>
              <w:rPr>
                <w:sz w:val="20"/>
                <w:szCs w:val="20"/>
                <w:color w:val="auto"/>
              </w:rPr>
            </w:pPr>
            <w:r>
              <w:rPr>
                <w:rFonts w:ascii="Arial" w:cs="Arial" w:eastAsia="Arial" w:hAnsi="Arial"/>
                <w:sz w:val="18"/>
                <w:szCs w:val="18"/>
                <w:color w:val="auto"/>
                <w:w w:val="90"/>
              </w:rPr>
              <w:t>$38.37</w:t>
            </w:r>
          </w:p>
        </w:tc>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$20.68</w:t>
            </w:r>
          </w:p>
        </w:tc>
      </w:tr>
      <w:tr>
        <w:trPr>
          <w:trHeight w:val="222"/>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3940" w:type="dxa"/>
            <w:vAlign w:val="bottom"/>
            <w:gridSpan w:val="2"/>
          </w:tcPr>
          <w:p>
            <w:pPr>
              <w:jc w:val="center"/>
              <w:ind w:left="3352"/>
              <w:spacing w:after="0"/>
              <w:rPr>
                <w:sz w:val="20"/>
                <w:szCs w:val="20"/>
                <w:color w:val="auto"/>
              </w:rPr>
            </w:pPr>
            <w:r>
              <w:rPr>
                <w:rFonts w:ascii="Arial" w:cs="Arial" w:eastAsia="Arial" w:hAnsi="Arial"/>
                <w:sz w:val="18"/>
                <w:szCs w:val="18"/>
                <w:color w:val="auto"/>
                <w:w w:val="90"/>
              </w:rPr>
              <w:t>$22.88</w:t>
            </w:r>
          </w:p>
        </w:tc>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0"/>
              </w:rPr>
              <w:t>$14.37</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did not declare any cash or stock dividends in either fiscal 2010 or fiscal 2009. We anticipate that, for the foreseeable future, we will retain any earnings for use in the operation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As of January 31, 2010, the number of common stockholders of record was 627. Because many of our shares of common stock are held by brokers or other institutions on behalf of stockholders, we are unable to estimate the total number of stockholders represented by the record 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Autodesk’s stock repurchase program is largely to help offset the dilution to net income per share caused by the issuance of stock under our employee stock plans and has the effect of returning excess cash generated from our business to stockholders over time. The number of shares acquired and the timing of the purchases are based on several factors, including anticipated employee stock purchases during the period, the level of our cash balances, general business and market conditions, the market price of our stock, cash on hand and available in the U.S., company defined trading windows and other investment opportunities. In December 2007, the Board of Directors approved a plan which authorized the repurchase of 20.0 million shares. This plan does not have a fixed expiration date. During the three and twelve months ended January 31, 2010, we repurchased 1.0 million and 2.7 million shares of our common stock, respectively. At January 31, 2010, 13.5 million shares remained available for repurchase under the existing repurchase authorization. See Note 9, “Stockholders’ Equity,” in the Notes to Consolidated Financial Statements for further discussion.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provides information about the repurchase of our common stock under the stock repurchase plan in open-market transactions during the quarter ended January 31,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w:t>
            </w:r>
          </w:p>
        </w:tc>
        <w:tc>
          <w:tcPr>
            <w:tcW w:w="84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Maximum Number of</w:t>
            </w:r>
          </w:p>
        </w:tc>
      </w:tr>
      <w:tr>
        <w:trPr>
          <w:trHeight w:val="149"/>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840" w:type="dxa"/>
            <w:vAlign w:val="bottom"/>
          </w:tcPr>
          <w:p>
            <w:pPr>
              <w:spacing w:after="0"/>
              <w:rPr>
                <w:sz w:val="12"/>
                <w:szCs w:val="12"/>
                <w:color w:val="auto"/>
              </w:rPr>
            </w:pP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Shares that May Yet</w:t>
            </w:r>
          </w:p>
        </w:tc>
      </w:tr>
      <w:tr>
        <w:trPr>
          <w:trHeight w:val="149"/>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4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Average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840" w:type="dxa"/>
            <w:vAlign w:val="bottom"/>
          </w:tcPr>
          <w:p>
            <w:pPr>
              <w:spacing w:after="0"/>
              <w:rPr>
                <w:sz w:val="12"/>
                <w:szCs w:val="12"/>
                <w:color w:val="auto"/>
              </w:rPr>
            </w:pP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Be Purchased Under</w:t>
            </w:r>
          </w:p>
        </w:tc>
      </w:tr>
      <w:tr>
        <w:trPr>
          <w:trHeight w:val="149"/>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1"/>
              </w:rPr>
              <w:t>of Shares</w:t>
            </w:r>
          </w:p>
        </w:tc>
        <w:tc>
          <w:tcPr>
            <w:tcW w:w="1440" w:type="dxa"/>
            <w:vAlign w:val="bottom"/>
            <w:gridSpan w:val="3"/>
          </w:tcPr>
          <w:p>
            <w:pPr>
              <w:jc w:val="right"/>
              <w:ind w:right="820"/>
              <w:spacing w:after="0" w:line="149" w:lineRule="exact"/>
              <w:rPr>
                <w:sz w:val="20"/>
                <w:szCs w:val="20"/>
                <w:color w:val="auto"/>
              </w:rPr>
            </w:pPr>
            <w:r>
              <w:rPr>
                <w:rFonts w:ascii="Arial" w:cs="Arial" w:eastAsia="Arial" w:hAnsi="Arial"/>
                <w:sz w:val="14"/>
                <w:szCs w:val="14"/>
                <w:b w:val="1"/>
                <w:bCs w:val="1"/>
                <w:color w:val="auto"/>
                <w:w w:val="88"/>
              </w:rPr>
              <w:t>Price Paid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840" w:type="dxa"/>
            <w:vAlign w:val="bottom"/>
          </w:tcPr>
          <w:p>
            <w:pPr>
              <w:spacing w:after="0"/>
              <w:rPr>
                <w:sz w:val="12"/>
                <w:szCs w:val="12"/>
                <w:color w:val="auto"/>
              </w:rPr>
            </w:pP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the Plans or</w:t>
            </w:r>
          </w:p>
        </w:tc>
      </w:tr>
      <w:tr>
        <w:trPr>
          <w:trHeight w:val="161"/>
        </w:trPr>
        <w:tc>
          <w:tcPr>
            <w:tcW w:w="5200" w:type="dxa"/>
            <w:vAlign w:val="bottom"/>
            <w:gridSpan w:val="2"/>
          </w:tcPr>
          <w:p>
            <w:pPr>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82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per Share</w:t>
            </w:r>
          </w:p>
        </w:tc>
        <w:tc>
          <w:tcPr>
            <w:tcW w:w="8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or Programs(1)</w:t>
            </w:r>
          </w:p>
        </w:tc>
        <w:tc>
          <w:tcPr>
            <w:tcW w:w="8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Programs(2)</w:t>
            </w:r>
          </w:p>
        </w:tc>
        <w:tc>
          <w:tcPr>
            <w:tcW w:w="20" w:type="dxa"/>
            <w:vAlign w:val="bottom"/>
          </w:tcPr>
          <w:p>
            <w:pPr>
              <w:spacing w:after="0"/>
              <w:rPr>
                <w:sz w:val="14"/>
                <w:szCs w:val="14"/>
                <w:color w:val="auto"/>
              </w:rPr>
            </w:pPr>
          </w:p>
        </w:tc>
      </w:tr>
      <w:tr>
        <w:trPr>
          <w:trHeight w:val="21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 November 30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7"/>
              </w:rPr>
              <w:t>23.72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13,657</w:t>
            </w:r>
          </w:p>
        </w:tc>
        <w:tc>
          <w:tcPr>
            <w:tcW w:w="20" w:type="dxa"/>
            <w:vAlign w:val="bottom"/>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December 1 – December 31</w:t>
            </w:r>
          </w:p>
        </w:tc>
        <w:tc>
          <w:tcPr>
            <w:tcW w:w="800" w:type="dxa"/>
            <w:vAlign w:val="bottom"/>
          </w:tcPr>
          <w:p>
            <w:pPr>
              <w:jc w:val="right"/>
              <w:spacing w:after="0"/>
              <w:rPr>
                <w:sz w:val="20"/>
                <w:szCs w:val="20"/>
                <w:color w:val="auto"/>
              </w:rPr>
            </w:pPr>
            <w:r>
              <w:rPr>
                <w:rFonts w:ascii="Arial" w:cs="Arial" w:eastAsia="Arial" w:hAnsi="Arial"/>
                <w:sz w:val="18"/>
                <w:szCs w:val="18"/>
                <w:color w:val="auto"/>
              </w:rPr>
              <w:t>197</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w w:val="97"/>
              </w:rPr>
              <w:t>23.88</w:t>
            </w:r>
          </w:p>
        </w:tc>
        <w:tc>
          <w:tcPr>
            <w:tcW w:w="1060" w:type="dxa"/>
            <w:vAlign w:val="bottom"/>
          </w:tcPr>
          <w:p>
            <w:pPr>
              <w:jc w:val="right"/>
              <w:spacing w:after="0"/>
              <w:rPr>
                <w:sz w:val="20"/>
                <w:szCs w:val="20"/>
                <w:color w:val="auto"/>
              </w:rPr>
            </w:pPr>
            <w:r>
              <w:rPr>
                <w:rFonts w:ascii="Arial" w:cs="Arial" w:eastAsia="Arial" w:hAnsi="Arial"/>
                <w:sz w:val="18"/>
                <w:szCs w:val="18"/>
                <w:color w:val="auto"/>
              </w:rPr>
              <w:t>197</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13,460</w:t>
            </w:r>
          </w:p>
        </w:tc>
        <w:tc>
          <w:tcPr>
            <w:tcW w:w="2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 January 31</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13,460</w:t>
            </w:r>
          </w:p>
        </w:tc>
        <w:tc>
          <w:tcPr>
            <w:tcW w:w="20" w:type="dxa"/>
            <w:vAlign w:val="bottom"/>
          </w:tcPr>
          <w:p>
            <w:pPr>
              <w:spacing w:after="0"/>
              <w:rPr>
                <w:sz w:val="18"/>
                <w:szCs w:val="18"/>
                <w:color w:val="auto"/>
              </w:rPr>
            </w:pP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spacing w:after="0"/>
              <w:rPr>
                <w:sz w:val="20"/>
                <w:szCs w:val="20"/>
                <w:color w:val="auto"/>
              </w:rPr>
            </w:pPr>
            <w:r>
              <w:rPr>
                <w:rFonts w:ascii="Arial" w:cs="Arial" w:eastAsia="Arial" w:hAnsi="Arial"/>
                <w:sz w:val="18"/>
                <w:szCs w:val="18"/>
                <w:color w:val="auto"/>
              </w:rPr>
              <w:t>1,002</w:t>
            </w: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w w:val="97"/>
              </w:rPr>
              <w:t>23.75</w:t>
            </w:r>
          </w:p>
        </w:tc>
        <w:tc>
          <w:tcPr>
            <w:tcW w:w="1060" w:type="dxa"/>
            <w:vAlign w:val="bottom"/>
          </w:tcPr>
          <w:p>
            <w:pPr>
              <w:jc w:val="right"/>
              <w:spacing w:after="0"/>
              <w:rPr>
                <w:sz w:val="20"/>
                <w:szCs w:val="20"/>
                <w:color w:val="auto"/>
              </w:rPr>
            </w:pPr>
            <w:r>
              <w:rPr>
                <w:rFonts w:ascii="Arial" w:cs="Arial" w:eastAsia="Arial" w:hAnsi="Arial"/>
                <w:sz w:val="18"/>
                <w:szCs w:val="18"/>
                <w:color w:val="auto"/>
              </w:rPr>
              <w:t>1,002</w:t>
            </w:r>
          </w:p>
        </w:tc>
        <w:tc>
          <w:tcPr>
            <w:tcW w:w="2120" w:type="dxa"/>
            <w:vAlign w:val="bottom"/>
            <w:gridSpan w:val="3"/>
          </w:tcPr>
          <w:p>
            <w:pPr>
              <w:jc w:val="right"/>
              <w:ind w:right="20"/>
              <w:spacing w:after="0"/>
              <w:rPr>
                <w:sz w:val="20"/>
                <w:szCs w:val="20"/>
                <w:color w:val="auto"/>
              </w:rPr>
            </w:pPr>
            <w:r>
              <w:rPr>
                <w:rFonts w:ascii="Arial" w:cs="Arial" w:eastAsia="Arial" w:hAnsi="Arial"/>
                <w:sz w:val="18"/>
                <w:szCs w:val="18"/>
                <w:color w:val="auto"/>
              </w:rPr>
              <w:t>13,460</w:t>
            </w: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shares purchased in open-market transactions under the stock repurchase plan approved by the Board of Directors.</w:t>
      </w:r>
    </w:p>
    <w:p>
      <w:pPr>
        <w:spacing w:after="0" w:line="15"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amounts correspond to a plan approved by the Board of Directors in December 2007 that authorized the repurchase of 20.0 million shares. This plan does not have a fixed expiration date.</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There were no sales of unregistered securities during the three months ended January 31,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 Performance</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graph shows a five-year comparison of cumulative total return (equal to dividends plus stock appreciation) for our Common Stock, the Standard &amp; Poor’s 500 Stock Index and the Dow Jones U.S. Software Index.</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 Year Cumulative Total Stockholder Return(1)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986145" cy="2298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8614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0" w:right="22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Assumes $100 invested on January 31, 2005, in Autodesk’s stock, the Standard &amp; Poor’s 500 Stock Index, and the Dow Jones U.S. Software Index, with reinvestment of all dividends. Total stockholder returns for prior periods are not an indication of future investment returns.</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following selected consolidated financial data is not necessarily indicative of results of future operations, and should be read in conjunction with Item 7, “Management’s Discussion and Analysis of Financial Condition and Results of Operations,” and the consolidated financial statements and related notes thereto included in Item 8 of this Form 10-K to fully understand factors that may affect the comparability of the information presented below. The financial data for the years ended January 31, 2010, 2009 and 2008 are derived from, and are qualified by reference to, the audited consolidated financial statements that are included in this Form 10-K. The financial data for the years ended January 31, 2007 and 2006 are derived from audited, consolidated financial statements which are not included in this Form 10-K.</w:t>
      </w:r>
    </w:p>
    <w:p>
      <w:pPr>
        <w:spacing w:after="0" w:line="15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334"/>
              <w:spacing w:after="0"/>
              <w:rPr>
                <w:sz w:val="20"/>
                <w:szCs w:val="20"/>
                <w:color w:val="auto"/>
              </w:rPr>
            </w:pPr>
            <w:r>
              <w:rPr>
                <w:rFonts w:ascii="Arial" w:cs="Arial" w:eastAsia="Arial" w:hAnsi="Arial"/>
                <w:sz w:val="14"/>
                <w:szCs w:val="14"/>
                <w:b w:val="1"/>
                <w:bCs w:val="1"/>
                <w:color w:val="auto"/>
              </w:rPr>
              <w:t>Fiscal year ended January 31,</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7"/>
          </w:tcPr>
          <w:p>
            <w:pPr>
              <w:jc w:val="right"/>
              <w:ind w:right="194"/>
              <w:spacing w:after="0" w:line="142" w:lineRule="exact"/>
              <w:rPr>
                <w:sz w:val="20"/>
                <w:szCs w:val="20"/>
                <w:color w:val="auto"/>
              </w:rPr>
            </w:pPr>
            <w:r>
              <w:rPr>
                <w:rFonts w:ascii="Arial" w:cs="Arial" w:eastAsia="Arial" w:hAnsi="Arial"/>
                <w:sz w:val="14"/>
                <w:szCs w:val="14"/>
                <w:b w:val="1"/>
                <w:bCs w:val="1"/>
                <w:color w:val="auto"/>
                <w:w w:val="94"/>
              </w:rPr>
              <w:t>(In millions, except per share data)</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For the Fiscal Year</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Net revenue</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1,713.7</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2,315.2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2,171.9</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1,839.8</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1,537.2</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operations(1)</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w:t>
            </w: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Net income(1)</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183.6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289.7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333.6</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At Year End</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2,447.2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2,420.7</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2,212.2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1,797.5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1,355.8</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liabilities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Stockholders’ equity</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1,473.5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1,310.7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1,203.5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1,115.0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803.0</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Common Stock Data</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Basic net income per share</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0.81</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per share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2"/>
        </w:trPr>
        <w:tc>
          <w:tcPr>
            <w:tcW w:w="20" w:type="dxa"/>
            <w:vAlign w:val="bottom"/>
          </w:tcPr>
          <w:p>
            <w:pPr>
              <w:spacing w:after="0"/>
              <w:rPr>
                <w:sz w:val="19"/>
                <w:szCs w:val="19"/>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Dividends paid per share</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88"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Net income for fiscal 2010, 2009, 2008, 2007 and 2006 includes stock-based compensation expense of $93.6 million, $89.5 million, $99.3 million, $94.3 million and $5.3 million, respectively. Results for fiscal 2010, 2009, 2008, 2007 and 2006 include amortization of acquisition-related intangibles of $58.4 million, $46.6 million, $20.2 million, $14.4 million, and $0.7 million, respectively and results for fiscal 2009, 2008 and 2006 include in-process research and development from acquisitions of $26.9 million, $5.5 million and $7.9 million, respectively. Results for fiscal 2008 include $13.7 million for employee tax expenses related to our voluntary review of historical stock option grant practices. Results for fiscal 2007 include litigation expenses related to a patent infringement lawsuit of $5.0 million. Fiscal 2010 and 2009 results include restructuring charges of $48.2 million and $40.2 million, respectively. Results for fiscal 2010, 2009 and 2008 include asset impairment charges of $21.0 million, $128.9 million and $4.0 million, respectively. Autodesk also recognized a discrete non-cash tax charge of $21.0 million during the first quarter of fiscal 2010 related to a change in expected future tax rates and establishment of a valuation allowance against California deferred tax assets.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The discussion in our MD&amp;A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anticipated future operating results, the impact of our restructuring activities, the impact of acquisitions and investment activities, the effect of fluctuations in exchange rates on our financial results, the impact of economic volatility and geopolitical activities in certain countries, particularly emerging economy countries, and the resulting effect on our financial results, and our ability to successfully expand adoption of our horizontal design products, our vertical design products and model-based design products. In addition, forward-looking statements also consist of statements involving expectations regarding product acceptance, continuation of our stock repurchase program,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the factors set forth above in Item 1A, “Risk Factors,” and in our other reports filed with the U.S. Securities and Exchange Commission. We assume no obligation to update the forward-looking statements to reflect events that occur or circumstances that exist after the date on which they were made.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goal is to be the world’s leading design, engineering, and entertainment software and services company for the architecture, engineering and construction, manufacturing, and digital media and entertainment markets. Worldwide business trends such as globalization, sustainability, investment in infrastructure, and the increasing desire to keep data digital, are creating pressure on our customers to improve innovation while enhancing productivity. We enable customer innovation by delivering the broadest portfolio of products and services for the digital design, visualization, and simulation of real-world project performance. Our products help our customers increase efficiency and productivity while solving business challenges. Our customers are seeking differentiation through design, and we believe our products provide them with a competitive advantage to succeed in this environment.</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To achieve our goal, we believe that we can capitalize on our competitive advantages, including our ability to make technology available to mainstream markets. By innovating in existing technology categories, we bring powerful design products to volume markets. Our products are designed to be easy to learn and use and to provide customers low cost of deployment, low total cost of ownership and rapid return on their investment. In addition, our software architecture allows for extensibility and integration with other products. We believe that our technological leadership, brand recognition, breadth of product line and large installed base positions us well for longer-term growth.</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believe that our large global network of distributors and resellers, third-party developers, customers and students is also a competitive advantage. These relationships provide us with a broad reach into volume markets. Our distributor and reseller network is extensive and provides our customers with global resources for the purchase and support of our products as well as resources for effective and cost-efficient training services. We believe that our network of channel partners positions us well for longer-term growth. In addition, we have a significant number of registered third-party developers that create products that operate with our software products, further extending our reach into volume markets. Users trained on our products are broadly available from both educational institutions and the existing workforce providing us with a student community of next-generation professional users and reducing the cost of training for our customers. To train the next generation of users, we offer education programs, including classroom support, standardized curricula, instructor development, and specially priced software-purchasing options.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believe our competitive advantages will help us manage through the current challenging economic environment, and position us well as economies begin to recover.</w:t>
      </w:r>
    </w:p>
    <w:p>
      <w:pPr>
        <w:spacing w:after="0" w:line="13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Our strategy to grow over the long term derives from these core strengths. Our growth strategy includes continually increasing the business value of our design tools in a number of ways, and improving the performance and functionality of our existing products with each new release. Our most recent release began in March 2010. Beyond our non-industry or discipline specific horizontal design products, AutoCAD and AutoCAD LT, we develop products addressing industry or discipline-specific needs through our vertical design and model-based design product offerings. We continually strive to improve our product functionality and specialization by industry while increasing product interoperability and usability. We also strive to create innovative ways of delivering better user experiences to our customers. We believe this ultimately increases our customers’ satisfaction, the usefulness of our products to our customers and drives customer loyalty.</w:t>
      </w:r>
    </w:p>
    <w:p>
      <w:pPr>
        <w:spacing w:after="0" w:line="105"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We believe that expanding our horizontal design product customers’ portfolios to include our vertical design products and model-based design products presents a meaningful growth opportunity and is an important part of our overall strategy. For fiscal 2010, revenue from model-based design products decreased 19%, as compared to the prior fiscal year, but as a percentage of total revenue increased to 29% in fiscal 2010 compared to 27% in fiscal 2009. We believe that the adoption of vertical design products and model-based design products by our customers in all industries will increase their productivity, as well as result in richer design data. This migration also poses various risks to us. In particular, if we do not successfully expand our horizontal design customer base to our vertical design products and model-based design products as expected, then we would not realize the growth we expect and our business would be adversely affected.</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Expanding our geographic coverage is another key element of our growth strategy. We believe that emerging economies continue to present long-term growth opportunities for us, although revenue from emerging economies declined 37% during fiscal 2010 as compared to fiscal 2009. Revenue from emerging economies represented 15% of fiscal 2010 net revenue as compared to 18% of fiscal 2009 net revenue. While we believe there are long-term growth opportunities in emerging economies, conducting business in these countries presents significant challenges, including economic volatility, geopolitical risk, intellectual property protection and software piracy.</w:t>
      </w:r>
    </w:p>
    <w:p>
      <w:pPr>
        <w:spacing w:after="0" w:line="143"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integration challenges and may, in certain instances, negatively impact our operating margins. We continually review these trade-offs in making our decisions of whether to make acquisitions. The size and frequency of transactions to acquire products, technology and businesses decreased significantly during fiscal 2010 as compared to earlier periods. We currently anticipate that we will selectively acquire products, technology and businesses as compelling opportunities that promote our strategy become available, but the pace at which we make such investments will vary depending upon our business needs, the availability of suitable sellers and technology, and our own financial condition.</w:t>
      </w:r>
    </w:p>
    <w:p>
      <w:pPr>
        <w:spacing w:after="0" w:line="118"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Global economic conditions deteriorated significantly in fiscal 2010 as compared to the conditions that existed during most of fiscal 2009. Economic contraction in most countries and markets, and global financial market instability, including tighter credit, has impacted our business. We have seen demand for our products and services decline in each of our major geographies and all the industries we serve during fiscal 2010 as compared to fiscal 2009. This has negatively impacted our financial results. Our operating margins are very sensitive to changes in revenue, given the relatively fixed nature of most of our expenses, which consist primarily of employee-related expenditures, facilities costs, and depreciation and amortization expense. We have taken actions in response to these global economic changes that we believe will improve our financial condition in fiscal 2011 and beyond. We believe that by continuing to execute our strategy we can achieve our goal of being the world’s leading design and engineering software and services company for the architecture, engineering, and construction, manufacturing, geospatial mapping, and digital media and entertainment markets.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leverage our large global network of distributors and resellers, third-party developers, customers, and students; improve the performance and functionality of our products; and that we can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 Item 1A, “Risk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Our Consolidated Financial Statements are prepared in conformity with U.S. generally accepted accounting principles. In preparing our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We believe that of all our significant accounting policies, the following policies involve a higher degree of judgment and complexity. Accordingly, these are the policies we believe are the most critical to aid in fully understanding and evaluating our financial condition and results of operations.</w:t>
      </w:r>
    </w:p>
    <w:p>
      <w:pPr>
        <w:spacing w:after="0" w:line="118"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recognize revenue when persuasive evidence of an arrangement exists, delivery has occurred or services have been rendered,</w:t>
      </w:r>
      <w:r>
        <w:rPr>
          <w:rFonts w:ascii="Arial" w:cs="Arial" w:eastAsia="Arial" w:hAnsi="Arial"/>
          <w:sz w:val="16"/>
          <w:szCs w:val="16"/>
          <w:i w:val="1"/>
          <w:iCs w:val="1"/>
          <w:color w:val="auto"/>
        </w:rPr>
        <w:t xml:space="preserve"> </w:t>
      </w:r>
      <w:r>
        <w:rPr>
          <w:rFonts w:ascii="Arial" w:cs="Arial" w:eastAsia="Arial" w:hAnsi="Arial"/>
          <w:sz w:val="16"/>
          <w:szCs w:val="16"/>
          <w:color w:val="auto"/>
        </w:rPr>
        <w:t>the price is fixed or determinable and collection is probable. However, determining whether and when some of these criteria have been satisfied often involves assumptions and judgments that can have a significant impact on the timing and amount of revenue we report.</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multiple element arrangements that include software products, we allocate the sales price among each of the deliverables using the residual method, under which revenue is allocated to undelivered elements based on their vendor-specific objective evidence (“VSOE”) of fair value. VSOE is the price charged when an element is sold separately or a price set by management with the relevant authority. If we do not have VSOE of an undelivered software license, we defer revenue recognition on the entire sales arrangement until all elements for which we do not have VSOE are delivered. If we do not have VSOE for undelivered maintenance or services, the revenue for the arrangement is recognized over the longest contractual period in the arrangement. We are required to exercise judgment in determining whether VSOE exists for each undelivered element based on whether our pricing for these elements is sufficiently consistent.</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assessment of likelihood of collection is also a critical factor in determining the timing of revenue recognition. If we do not believe that collection is probable, the revenue will be deferred until the earlier of when collection is deemed probable or payment is received.</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indirect channel model includes both a two-tiered distribution structure, where distributors sell to resellers, and a one-tiered structure where Autodesk sells directly to resellers. Our product license revenue from distributors and resellers are generally recognized at the time title to our product passes to the distributor, in a two-tiered structure, or reseller, in a one-tiered structure, provided all other criteria for revenue recognition are met. This policy is predicated on our ability to estimate sales returns, among other criteria. We are also required to evaluate whether our distributors and resellers have the ability to honor their commitment to make fixed or determinable payments, regardless of whether they collect payment from their customers. Our policy also presumes that we have no significant performance obligations in connection with the sale of our product licenses by our distributors and resellers to their customers. If we were to change any of these assumptions or judgments, it could cause a material increase or decrease in the amount of revenue that we report in a particular period.</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 xml:space="preserve">Product Returns Reserves. </w:t>
      </w:r>
      <w:r>
        <w:rPr>
          <w:rFonts w:ascii="Arial" w:cs="Arial" w:eastAsia="Arial" w:hAnsi="Arial"/>
          <w:sz w:val="18"/>
          <w:szCs w:val="18"/>
          <w:color w:val="auto"/>
        </w:rPr>
        <w:t>We permit our distributors and resellers to return products up to a percentage of prior quarter purchases. The product returns</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is based on historical experience of actual product returns, estimated channel inventory levels, the timing of new product introductions and promotions, channel sell-in for applicable markets and other factors.</w:t>
      </w:r>
    </w:p>
    <w:p>
      <w:pPr>
        <w:spacing w:after="0" w:line="14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Our product returns reserves were $11.8 million at January 31, 2010 and $12.5 million at January 31, 2009. Product returns as a percentage of applicable revenue were 5.2% in fiscal 2010, 3.6% in fiscal 2009 and 3.5% in fiscal 2008. During fiscal year 2010 and 2009, we recorded additions to our product returns reserves of $42.9 million and $53.1 million, respectively, which reduced our revenue.</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Marketable Securities. </w:t>
      </w:r>
      <w:r>
        <w:rPr>
          <w:rFonts w:ascii="Arial" w:cs="Arial" w:eastAsia="Arial" w:hAnsi="Arial"/>
          <w:sz w:val="16"/>
          <w:szCs w:val="16"/>
          <w:color w:val="auto"/>
        </w:rPr>
        <w:t>At January 31, 2010 we had $287.5 million of short and long-term marketable securities. We review our investments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securities quarterly for indicators of other-than-temporary impairment. This determination requires significant judgment. In making this determination, we employ a systematic methodology that considers available quantitative and qualitative evidence. If the cost of an investment exceeds its fair value, we evaluate, among other factors, general market conditions, the duration and extent to which the fair value is less than cost, and our intent and ability to hold the investment. We also consider specific adverse conditions related to the financial health of, and business outlook for, the sponsor, including industry and sector performance, operational and financing cash flow factors, and rating agency actions. Once a decline in fair value is determined to be other-than-temporary, an impairment charge is recorded to our Consolidated Statements of Operations. This impairment results in a new cost basis in the investment recorded in our Consolidated Balance Sheets. If market, industry, and/or sponsor conditions deteriorate, we may incur future impairments.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Determining the fair value of marketable securities that are not actively traded requires significant judgment. At January 31, 2010 we had an investment in The Reserve International Liquidity Fund (the “International Fund”), a money market fund with an estimated fair value of $10.0 million. During the third quarter of fiscal 2009, the International Fund ceased redemptions after net asset values of the funds decreased below $1 per share. This occurred as a result of the International Fund revaluing its holdings of debt securities issued by Lehman Brothers, which filed for Chapter 11 bankruptcy on September 15, 2008, and the resulting unusually high redemption requests on the International Fund. A third party court appointed supervisor is overseeing, but not managing, the accounting and payment administration of the non U.S.-based International Fund. Our investment in the International Fund is not currently liquid, and in the event we need to access these funds, we will not be able to do so. However, based on currently available information, we expect to recover substantially all of our current holdings, net of reserves, from the International Fund within the next 12 months. Accordingly, the investment in the International Fund is classified in current “Marketable Securities” in the Consolidated Balance Sheets.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at January 31, 2010, we owned two auction rate securities with an estimated fair value of $7.6 million. Our auction rate securities are variable rate debt instruments that have underlying securities with contractual maturities greater than ten years and interest rates that were structured to reset at auction every 28 days. The securities, which met our investment guidelines at the time the investments were made, have failed to settle in auctions since August 2007 and have earned a premium interest rate since that time. While we expect to recover substantially all of our current holdings, net of reserves, in the auction rate securities, we cannot predict when this will occur or the amount we will receive. Due to the lack of liquidity of these investments, they are included in non-current “Marketable securities” in the Consolidated Balance Sheets.</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We test goodwill for impairment annually in our fourth fiscal quarter or sooner should events or changes in circumstances indicate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When assessing goodwill for impairment, we use discounted cash flow models which include assumptions regarding projected cash flows. Variances in these assumptions could have a significant impact on our conclusion as to whether goodwill is impaired, or the amount of any impairment charge. Impairment charges, if any, result from instances where the fair values of net assets associated with goodwill are less than their carrying values. As changes in business conditions and our assumptions occur, we may be required to record impairment charges.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recorded an impairment charge of $21.0 million during the first quarter of fiscal 2010 representing the entire goodwill balance of our M&amp;E segment as of April 30, 2009. This goodwill balance related to our M&amp;E segment’s fourth quarter fiscal 2009 acquisition of substantially all of the assets of Softimage. In May 2009, we concluded that an impairment of goodwill had occurred as of April 30, 2009, due to revisions to our revenue and cash flow projections in response to the significant and sustained revenue declines we were experiencing in all segments and geographies in the first quarter of fiscal 2010. The revenue and cash flow projections were substantially impacted for all segments, and our M&amp;E segment was the only segment which had a fair value of its future discounted cash flows that fell below the carrying value of its net assets.</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recorded an impairment charge of $128.2 million affecting the fourth quarter of fiscal 2009 representing the entire goodwill balance associated with our Media and Entertainment (“M&amp;E”) segment as of October 31, 2008. During the fourth quarter of fiscal 2009, revenue and cash flow projections for all segments were substantially impacted by the sharp downturn in the global economy and in our business. Our M&amp;E segment was the only segment which had a current fair value of its future discounted cash flows that fell below the carrying value of its assets. Should our revenue and cash flow projections decline significantly in the future, additional impairment charges may be recorded to goodwill.</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January 31, 2010, a hypothetical 10% decrease in the fair value of our reporting units would not have an impact on the carrying value of goodwill, nor result in impairment of goodwill. See further discussion of this impairment charge in Note 1, “Business and Summary of Significant Accounting Policies,” in the Notes to the Consolidated Financial Statements.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Realizability of Long-Lived Assets. </w:t>
      </w:r>
      <w:r>
        <w:rPr>
          <w:rFonts w:ascii="Arial" w:cs="Arial" w:eastAsia="Arial" w:hAnsi="Arial"/>
          <w:sz w:val="18"/>
          <w:szCs w:val="18"/>
          <w:color w:val="auto"/>
        </w:rPr>
        <w:t>We assess the realizability of our long-lived assets and related intangible assets, other than goodwill, annually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fourth fiscal quarter, or sooner should events or changes in circumstances indicate the carrying values of such assets may not be recoverable. We consider the following factors important in determining when to perform an impairment review: significant under-performance of a business or product line relative to budget; shifts in business strategies which affect the continued uses of the assets; significant negative industry or economic trends; and the results of past impairment reviews.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assessing the recoverability of these long-lived assets, we first determine their fair values, which are based on assumptions regarding the estimated future cash flows that could reasonably be generated by these assets. If impairment indicators were present based on our undiscounted cash flow models, which include assumptions regarding projected cash flows, we would discount the cash flows to assess impairments on long-lived assets. Variances in these assumptions could have a significant impact on our conclusion as to whether an asset is impaired or the amount of any impairment charge. Impairment charges, if any, result in situations where any fair values of these assets are less than their carrying values.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our recoverability assessments, we routinely review the remaining estimated useful lives of our long-lived assets. Any reduction in the useful life assumption will result in increased depreciation and amortization expense in the quarter when such determinations are made, as well as in subsequent quarters.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will continue to evaluate the values of our long-lived assets in accordance with applicable accounting rules. As changes in business conditions and our assumptions occur, we may be required to record impairment charges.</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currently have $146.1 million of net deferred tax assets, primarily a result of tax credits, net operating losses, and timing differences</w:t>
      </w:r>
      <w:r>
        <w:rPr>
          <w:rFonts w:ascii="Arial" w:cs="Arial" w:eastAsia="Arial" w:hAnsi="Arial"/>
          <w:sz w:val="18"/>
          <w:szCs w:val="18"/>
          <w:i w:val="1"/>
          <w:iCs w:val="1"/>
          <w:color w:val="auto"/>
        </w:rPr>
        <w:t xml:space="preserve"> </w:t>
      </w:r>
      <w:r>
        <w:rPr>
          <w:rFonts w:ascii="Arial" w:cs="Arial" w:eastAsia="Arial" w:hAnsi="Arial"/>
          <w:sz w:val="18"/>
          <w:szCs w:val="18"/>
          <w:color w:val="auto"/>
        </w:rPr>
        <w:t>for reserves, accrued liabilities, stock options, purchased technologies and capitalized software, partially offset by the establishment of U.S. deferred tax liabilities on unremitted earnings from certain foreign subsidiaries and acquired intangibles and valuation allowances against California and Canadian deferred tax assets. We perform a quarterly assessment of the recoverability of these net deferred tax assets and believe that we will generate sufficient future taxable income in appropriate tax</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jurisdictions to realize the net deferred tax assets. Our judgments regarding future profitability may change due to future market conditions and other factors. Any change in future profitability may require material adjustments to these net deferred tax assets, resulting in a reduction in net income in the period when such determination is made.</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measure stock-based compensation cost at the grant date fair value of the award, and recognize expense on a straight-line</w:t>
      </w:r>
      <w:r>
        <w:rPr>
          <w:rFonts w:ascii="Arial" w:cs="Arial" w:eastAsia="Arial" w:hAnsi="Arial"/>
          <w:sz w:val="16"/>
          <w:szCs w:val="16"/>
          <w:i w:val="1"/>
          <w:iCs w:val="1"/>
          <w:color w:val="auto"/>
        </w:rPr>
        <w:t xml:space="preserve"> </w:t>
      </w:r>
      <w:r>
        <w:rPr>
          <w:rFonts w:ascii="Arial" w:cs="Arial" w:eastAsia="Arial" w:hAnsi="Arial"/>
          <w:sz w:val="16"/>
          <w:szCs w:val="16"/>
          <w:color w:val="auto"/>
        </w:rPr>
        <w:t>basis over the requisite service period, which is generally the vesting period. We estimate the fair value of stock-based payment awards using the Black-Scholes-Merton option-pricing model. The determination of the fair value of a stock-based award on the date of grant using the Black-Scholes-Merton option-pricing model is affected by our stock price on the date of grant as well as assumptions regarding a number of complex and subjective variables. These variables include our expected stock price volatility over the expected term of the award, actual and projected employee stock option exercise behaviors, the risk-free interest rate for the expected term of the award and expected dividends. The variables used in the model are reviewed on a quarterly basis and adjusted, as needed. The value of the portion of the award that is ultimately expected to vest is recognized as expense in our Consolidated Statements of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Legal Contingencies</w:t>
      </w:r>
      <w:r>
        <w:rPr>
          <w:rFonts w:ascii="Arial" w:cs="Arial" w:eastAsia="Arial" w:hAnsi="Arial"/>
          <w:sz w:val="16"/>
          <w:szCs w:val="16"/>
          <w:color w:val="auto"/>
        </w:rPr>
        <w:t>. As described in Part I, Item 3, “Legal Proceedings” and Part II, Item 8, Note 8, “Commitments and Contingencies,” in the Notes to</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we are periodically involved in various legal claims and proceedings. We routinely review the status of each significant matter and assess our potential financial exposure. If the potential loss from any matter is considered probable and the amount can be reasonably estimated, we record a liability for the estimated loss. Because of inherent uncertainties related to these legal matters, we base our loss accruals on the best information available at the time. As additional information becomes available, we reassess our potential liability and may revise our estimates. Such revisions could have a material impact on future quarterly or annual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See Part II, Item 8, Note 1, “Business and Summary of Significant Accounting Policies,” in the Notes to Consolidated Financial Statements for a full description of recent accounting pronouncements, including the expected dates of adoption and estimated effects on results of operations and financial condition, which is incorporation herein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Fiscal 2010 Results of Operations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18"/>
              <w:spacing w:after="0"/>
              <w:rPr>
                <w:sz w:val="20"/>
                <w:szCs w:val="20"/>
                <w:color w:val="auto"/>
              </w:rPr>
            </w:pPr>
            <w:r>
              <w:rPr>
                <w:rFonts w:ascii="Arial" w:cs="Arial" w:eastAsia="Arial" w:hAnsi="Arial"/>
                <w:sz w:val="14"/>
                <w:szCs w:val="14"/>
                <w:b w:val="1"/>
                <w:bCs w:val="1"/>
                <w:color w:val="auto"/>
                <w:w w:val="89"/>
              </w:rPr>
              <w:t>Fiscal Year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98"/>
              <w:spacing w:after="0"/>
              <w:rPr>
                <w:sz w:val="20"/>
                <w:szCs w:val="20"/>
                <w:color w:val="auto"/>
              </w:rPr>
            </w:pPr>
            <w:r>
              <w:rPr>
                <w:rFonts w:ascii="Arial" w:cs="Arial" w:eastAsia="Arial" w:hAnsi="Arial"/>
                <w:sz w:val="14"/>
                <w:szCs w:val="14"/>
                <w:b w:val="1"/>
                <w:bCs w:val="1"/>
                <w:color w:val="auto"/>
                <w:w w:val="91"/>
              </w:rPr>
              <w:t>Fiscal Year</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38"/>
              <w:spacing w:after="0" w:line="149" w:lineRule="exact"/>
              <w:rPr>
                <w:sz w:val="20"/>
                <w:szCs w:val="20"/>
                <w:color w:val="auto"/>
              </w:rPr>
            </w:pPr>
            <w:r>
              <w:rPr>
                <w:rFonts w:ascii="Arial" w:cs="Arial" w:eastAsia="Arial" w:hAnsi="Arial"/>
                <w:sz w:val="14"/>
                <w:szCs w:val="14"/>
                <w:b w:val="1"/>
                <w:bCs w:val="1"/>
                <w:color w:val="auto"/>
              </w:rPr>
              <w:t>Ended</w:t>
            </w:r>
          </w:p>
        </w:tc>
        <w:tc>
          <w:tcPr>
            <w:tcW w:w="2220" w:type="dxa"/>
            <w:vAlign w:val="bottom"/>
            <w:gridSpan w:val="3"/>
          </w:tcPr>
          <w:p>
            <w:pPr>
              <w:jc w:val="right"/>
              <w:ind w:right="732"/>
              <w:spacing w:after="0" w:line="149" w:lineRule="exact"/>
              <w:rPr>
                <w:sz w:val="20"/>
                <w:szCs w:val="20"/>
                <w:color w:val="auto"/>
              </w:rPr>
            </w:pPr>
            <w:r>
              <w:rPr>
                <w:rFonts w:ascii="Arial" w:cs="Arial" w:eastAsia="Arial" w:hAnsi="Arial"/>
                <w:sz w:val="14"/>
                <w:szCs w:val="14"/>
                <w:b w:val="1"/>
                <w:bCs w:val="1"/>
                <w:color w:val="auto"/>
              </w:rPr>
              <w:t>As a % of Net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38"/>
              <w:spacing w:after="0" w:line="149" w:lineRule="exact"/>
              <w:rPr>
                <w:sz w:val="20"/>
                <w:szCs w:val="20"/>
                <w:color w:val="auto"/>
              </w:rPr>
            </w:pPr>
            <w:r>
              <w:rPr>
                <w:rFonts w:ascii="Arial" w:cs="Arial" w:eastAsia="Arial" w:hAnsi="Arial"/>
                <w:sz w:val="14"/>
                <w:szCs w:val="14"/>
                <w:b w:val="1"/>
                <w:bCs w:val="1"/>
                <w:color w:val="auto"/>
              </w:rPr>
              <w:t>Ended</w:t>
            </w:r>
          </w:p>
        </w:tc>
        <w:tc>
          <w:tcPr>
            <w:tcW w:w="16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As a % of Net</w:t>
            </w:r>
          </w:p>
        </w:tc>
      </w:t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0" w:type="dxa"/>
            <w:vAlign w:val="bottom"/>
            <w:gridSpan w:val="3"/>
          </w:tcPr>
          <w:p>
            <w:pPr>
              <w:ind w:left="1000"/>
              <w:spacing w:after="0"/>
              <w:rPr>
                <w:sz w:val="20"/>
                <w:szCs w:val="20"/>
                <w:color w:val="auto"/>
              </w:rPr>
            </w:pPr>
            <w:r>
              <w:rPr>
                <w:rFonts w:ascii="Arial" w:cs="Arial" w:eastAsia="Arial" w:hAnsi="Arial"/>
                <w:sz w:val="14"/>
                <w:szCs w:val="14"/>
                <w:b w:val="1"/>
                <w:bCs w:val="1"/>
                <w:color w:val="auto"/>
                <w:w w:val="87"/>
              </w:rPr>
              <w:t>January 31, 2010</w:t>
            </w:r>
          </w:p>
        </w:tc>
        <w:tc>
          <w:tcPr>
            <w:tcW w:w="620" w:type="dxa"/>
            <w:vAlign w:val="bottom"/>
          </w:tcPr>
          <w:p>
            <w:pPr>
              <w:spacing w:after="0"/>
              <w:rPr>
                <w:sz w:val="14"/>
                <w:szCs w:val="14"/>
                <w:color w:val="auto"/>
              </w:rPr>
            </w:pPr>
          </w:p>
        </w:tc>
        <w:tc>
          <w:tcPr>
            <w:tcW w:w="1600" w:type="dxa"/>
            <w:vAlign w:val="bottom"/>
            <w:gridSpan w:val="2"/>
          </w:tcPr>
          <w:p>
            <w:pPr>
              <w:jc w:val="right"/>
              <w:ind w:right="872"/>
              <w:spacing w:after="0"/>
              <w:rPr>
                <w:sz w:val="20"/>
                <w:szCs w:val="20"/>
                <w:color w:val="auto"/>
              </w:rPr>
            </w:pPr>
            <w:r>
              <w:rPr>
                <w:rFonts w:ascii="Arial" w:cs="Arial" w:eastAsia="Arial" w:hAnsi="Arial"/>
                <w:sz w:val="14"/>
                <w:szCs w:val="14"/>
                <w:b w:val="1"/>
                <w:bCs w:val="1"/>
                <w:color w:val="auto"/>
              </w:rPr>
              <w:t>Revenue</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w w:val="87"/>
              </w:rPr>
              <w:t>January 31, 2009</w:t>
            </w:r>
          </w:p>
        </w:tc>
        <w:tc>
          <w:tcPr>
            <w:tcW w:w="6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Revenue</w:t>
            </w: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(in millions)</w:t>
            </w: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1,713.7</w:t>
            </w:r>
          </w:p>
        </w:tc>
        <w:tc>
          <w:tcPr>
            <w:tcW w:w="2220" w:type="dxa"/>
            <w:vAlign w:val="bottom"/>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100%</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2,315.2</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1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2220" w:type="dxa"/>
            <w:vAlign w:val="bottom"/>
            <w:gridSpan w:val="3"/>
          </w:tcPr>
          <w:p>
            <w:pPr>
              <w:jc w:val="right"/>
              <w:ind w:right="572"/>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1,521.9</w:t>
            </w:r>
          </w:p>
        </w:tc>
        <w:tc>
          <w:tcPr>
            <w:tcW w:w="2220" w:type="dxa"/>
            <w:vAlign w:val="bottom"/>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89%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2,096.1</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r>
      <w:tr>
        <w:trPr>
          <w:trHeight w:val="223"/>
        </w:trPr>
        <w:tc>
          <w:tcPr>
            <w:tcW w:w="20" w:type="dxa"/>
            <w:vAlign w:val="bottom"/>
          </w:tcPr>
          <w:p>
            <w:pPr>
              <w:spacing w:after="0"/>
              <w:rPr>
                <w:sz w:val="19"/>
                <w:szCs w:val="19"/>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1,456.3</w:t>
            </w:r>
          </w:p>
        </w:tc>
        <w:tc>
          <w:tcPr>
            <w:tcW w:w="2220" w:type="dxa"/>
            <w:vAlign w:val="bottom"/>
            <w:gridSpan w:val="3"/>
          </w:tcPr>
          <w:p>
            <w:pPr>
              <w:jc w:val="right"/>
              <w:ind w:right="572"/>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1,851.6</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220" w:type="dxa"/>
            <w:vAlign w:val="bottom"/>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4%</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results for fiscal 2010 continue to reflect the recent global economic downturn, which has impacted our business on almost every front. While global macroeconomic indicators remain mixed, there were some slight signs of stabilization during the second half of fiscal 2010. Job losses and the availability of credit in the major industries we serve are important indicators for our business. There have been significant job losses around the world over the past two years, and unemployment remains high in several important geographies, including the U.S. Additionally, there are a number of mixed data points as to whether credit has become more readily available, and how this continues to impact our customers and partners. Our level of confidence in fiscal 2011 revenue forecasts is limited, and consequently we are not able to provide full year fiscal 2011 revenue guidance.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believe that the recent economic contraction, as well as the financial pressure on our customers, have decreased demand for our products as customers have reduced their work forces; this has resulted in fewer seats of our design software sold and fewer maintenance contracts being renewed. Consequently, we experienced revenue contraction in most products, all geographies and all reportable segments during fiscal 2010 as compared to fiscal 2009. However, our business appears to show some signs of stabilizing as evidenced by modest increases in revenue from commercial new seat licenses, revenue from every geographic region, revenue from each of our product types and revenue from most of our operating segments in the fourth quarter of fiscal 2010 as compared to the third quarter of fiscal 2010. In addition, we continued to make progress in reducing our operating costs, which led to an increase in operating margin in the fourth quarter of fiscal 2010 compared to each of the other quarters in fiscal 2010. Despite the small growth in these areas, it is not clear to us whether these increases represent sustainable trends.</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During fiscal 2010, as compared to fiscal 2009, net revenue decreased 26%, gross profit decreased 27%, operating expenses decreased 21% and income from operations decreased 73%. The 73% decrease in income from operations in fiscal 2010, as compared to fiscal 2009, was primarily due to the reduction in our net revenue without an equivalent reduction of our costs. The majority of our costs are relatively fixed in the short term as they relate primarily to our workforce. Marketing and sales, research and development and general and administrative expenses declined in total by 18% in fiscal 2010 compared to the prior fiscal year due to our cost containment efforts. Additionally, we recorded goodwill and intangible asset impairment charges of $21.0 million in fiscal 2010 compared to $128.9 million in the prior fiscal year. The unfavorable impacts of our revenue decline during fiscal 2010 were partially offset by lower operating costs resulting from our fiscal 2009 and fiscal 2010 restructuring plans and other cost containment efforts. Our spending decisions are based in part on our expectations for future revenue and are not directly variable with fluctuations in revenue. Accordingly, our inability to immediately adjust our operating costs for any revenue shortfall below expectations could have an immediate and significant adverse impact on our profitability.</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second quarter of fiscal 2010 we initiated the fiscal 2010 restructuring plan, which reduced headcount by approximately 430 positions globally and consolidated approximately 32 leased facilities around the world in order to reduce our operating expenses. We took these and other actions in an attempt to better align our cost structure with our recent and anticipated financial results. Other important actions include reductions in discretionary spending and contingent labor costs.</w:t>
      </w:r>
    </w:p>
    <w:p>
      <w:pPr>
        <w:spacing w:after="0" w:line="143"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generate a significant amount of our revenue in the U.S., Japan, Germany, the United Kingdom, France, Canada, Italy, South Korea, Australia and China. The stronger value of the U.S. dollar relative to most of the other currencies, except for the Japanese yen, against which the dollar weakened, had a negative effect on operating income during fiscal 2010 as compared to fiscal 2009. Had exchange rates from fiscal 2009 been in effect during fiscal 2010 (“on a constant currency basis”), net revenue would have decreased 23% compared to a 26% decrease as recorded, operating expenses would have decreased 20% compared to 21% as recorded, and income from operations would have decreased 59% compared to a 73% decrease as recorded during fiscal 2010 as compared to fiscal 2009. Changes in the value of the U.S. dollar may have a significant effect on net revenue, operating expenses and income from operations in future periods. We use foreign currency contracts to reduce the exchange rate effect on a portion of the net revenue of certain anticipated transactions, but cannot completely mitigate the impact of fluctuation of such foreign currency against the U.S. dollar.</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Net revenue for the fiscal year ended January 31, 2010 decreased 26% as compared to the same period in the prior fiscal year due to a 39% decrease in license and other revenue, which was partially offset by a 3% increase in maintenance revenue. We experienced decreases in net revenue in EMEA, APAC and the Americas during fiscal 2010 as compared to fiscal 2009.</w:t>
      </w:r>
    </w:p>
    <w:p>
      <w:pPr>
        <w:spacing w:after="0" w:line="14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Tech Data Corporation and its global affiliates (collectively, “Tech Data”). Tech Data accounted for 14% of our consolidated net revenue during both fiscal year 2010 and 2009.</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Our total spend, defined as cost of revenue plus operating expenses, decreased by $422.6 million, or 20%, in fiscal 2010 compared to fiscal 2009, exceeding our reduction of total spend goals. While the magnitude of the savings is significant, we also continued to invest throughout the year in areas important to the future success of Autodesk. Our total spend of $1,648.1 million for fiscal 2010 included $93.6 million of stock-based compensation expenses, $48.2 million for restructuring charges, $32.9 million attributable to amortization of developed technology for acquisitions subsequent to December 2005, $25.5 million attributable to amortization of customer relationships and trademarks for acquisitions subsequent to December 2005, and $21.0 for our goodwill impairment.</w:t>
      </w:r>
    </w:p>
    <w:p>
      <w:pPr>
        <w:spacing w:after="0" w:line="10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total operating margin decreased from 11% of revenue during fiscal 2009 to 4% of revenue during fiscal 2010. The decrease during fiscal 2010 was primarily due to the decrease in our net revenue without an equivalent decrease in costs, as well as an increase in costs associated with charges for stock-based compensation and restructuring charges. Our operating margin was reduced 2 percentage points for stock-based compensation expenses, 1 percentage point for amortization of developed technology, and 1 percentage point for restructuring charges. Offsetting these decreases to the operating margin were a 4 percentage point increase in operating margin attributable to lower impairment of goodwill and intangibles, and a 1 percentage point increase due to lower charges from acquisition-related in-process research and development expenses in fiscal 2010, as compared to fiscal 2009. Marketing and sales, research and development, and general and administrative expenses decreased during the fiscal 2010 as compared to fiscal 2009 as a result of our cost saving initiatives. The reduction in costs did not occur as rapidly as the decline in net revenue during fiscal 2010, and our operating margins suffered as a result.</w:t>
      </w:r>
    </w:p>
    <w:p>
      <w:pPr>
        <w:spacing w:after="0" w:line="118"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expect our operating margin percentage to increase during fiscal 2011, as compared to fiscal 2010 due to lower restructuring charges, goodwill impairment and stock-based compensation expenses. Excluding these items, our operating margin percentage is expected to increase 2 to 3 percentage points in fiscal 2011 compared to fiscal 2010. As compared to fiscal 2010, we expect fiscal 2011 operating expenses will decrease; however, there can be no assurance that our cost structure will not increase in the future or that we will be able to align our cost structure with our actual financial results. In addition, in taking actions to manage our cost structure, we may incur additional costs which could negatively impact our net income and cash flows from operating activities.</w:t>
      </w:r>
    </w:p>
    <w:p>
      <w:pPr>
        <w:spacing w:after="0" w:line="10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primary goals for fiscal 2011 are to continue delivering our market-leading products and solutions to our customers, stimulate revenue growth, manage operating margins and invest in product functionality and new product lines while minimizing the impact of these investments on gross profit, operating margins, operating cash flow and our worldwide operations.</w:t>
      </w:r>
    </w:p>
    <w:p>
      <w:pPr>
        <w:spacing w:after="0" w:line="14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At January 31, 2010, we had $1,126.2 million in cash and marketable securities. We completed fiscal 2010 with lower deferred revenue balance and a lower accounts receivable balance as compared to fiscal 2009. Our deferred revenue balance at January 31, 2010 included $464.4 million of customer maintenance contracts, which will be recognized as revenue ratably over the life of the contracts, which is predominantly one year. We repurchased 2.7 million shares of our common stock for $63.2 million during fiscal 2010. Comparatively, we repurchased 8.0 million shares of our common stock for $256.6 million during fiscal 2009.</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Fiscal Year</w:t>
            </w:r>
          </w:p>
        </w:tc>
        <w:tc>
          <w:tcPr>
            <w:tcW w:w="18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4"/>
              </w:rPr>
              <w:t>Increase (decrease)</w:t>
            </w:r>
          </w:p>
        </w:tc>
        <w:tc>
          <w:tcPr>
            <w:tcW w:w="2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320" w:type="dxa"/>
            <w:vAlign w:val="bottom"/>
          </w:tcPr>
          <w:p>
            <w:pPr>
              <w:spacing w:after="0"/>
              <w:rPr>
                <w:sz w:val="14"/>
                <w:szCs w:val="14"/>
                <w:color w:val="auto"/>
              </w:rPr>
            </w:pPr>
          </w:p>
        </w:tc>
        <w:tc>
          <w:tcPr>
            <w:tcW w:w="128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84"/>
              </w:rPr>
              <w:t>Increase (decrease)</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Fiscal Year</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1140" w:type="dxa"/>
            <w:vAlign w:val="bottom"/>
            <w:gridSpan w:val="3"/>
          </w:tcPr>
          <w:p>
            <w:pPr>
              <w:jc w:val="center"/>
              <w:ind w:left="297"/>
              <w:spacing w:after="0" w:line="149" w:lineRule="exact"/>
              <w:rPr>
                <w:sz w:val="20"/>
                <w:szCs w:val="20"/>
                <w:color w:val="auto"/>
              </w:rPr>
            </w:pPr>
            <w:r>
              <w:rPr>
                <w:rFonts w:ascii="Arial" w:cs="Arial" w:eastAsia="Arial" w:hAnsi="Arial"/>
                <w:sz w:val="14"/>
                <w:szCs w:val="14"/>
                <w:b w:val="1"/>
                <w:bCs w:val="1"/>
                <w:color w:val="auto"/>
                <w:w w:val="85"/>
              </w:rPr>
              <w:t>compared to</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1100" w:type="dxa"/>
            <w:vAlign w:val="bottom"/>
            <w:gridSpan w:val="3"/>
          </w:tcPr>
          <w:p>
            <w:pPr>
              <w:jc w:val="center"/>
              <w:ind w:left="268"/>
              <w:spacing w:after="0" w:line="149" w:lineRule="exact"/>
              <w:rPr>
                <w:sz w:val="20"/>
                <w:szCs w:val="20"/>
                <w:color w:val="auto"/>
              </w:rPr>
            </w:pPr>
            <w:r>
              <w:rPr>
                <w:rFonts w:ascii="Arial" w:cs="Arial" w:eastAsia="Arial" w:hAnsi="Arial"/>
                <w:sz w:val="14"/>
                <w:szCs w:val="14"/>
                <w:b w:val="1"/>
                <w:bCs w:val="1"/>
                <w:color w:val="auto"/>
                <w:w w:val="85"/>
              </w:rPr>
              <w:t>compared to</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31,</w:t>
            </w: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prior fiscal year</w:t>
            </w:r>
          </w:p>
        </w:tc>
        <w:tc>
          <w:tcPr>
            <w:tcW w:w="2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January 31,</w:t>
            </w:r>
          </w:p>
        </w:tc>
        <w:tc>
          <w:tcPr>
            <w:tcW w:w="320" w:type="dxa"/>
            <w:vAlign w:val="bottom"/>
          </w:tcPr>
          <w:p>
            <w:pPr>
              <w:spacing w:after="0"/>
              <w:rPr>
                <w:sz w:val="14"/>
                <w:szCs w:val="14"/>
                <w:color w:val="auto"/>
              </w:rPr>
            </w:pPr>
          </w:p>
        </w:tc>
        <w:tc>
          <w:tcPr>
            <w:tcW w:w="1280" w:type="dxa"/>
            <w:vAlign w:val="bottom"/>
            <w:gridSpan w:val="4"/>
          </w:tcPr>
          <w:p>
            <w:pPr>
              <w:jc w:val="center"/>
              <w:ind w:left="88"/>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(in millions)</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980.7</w:t>
            </w:r>
          </w:p>
        </w:tc>
        <w:tc>
          <w:tcPr>
            <w:tcW w:w="3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$(622.7)</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1,603.4</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 (15.2)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1,618.6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3"/>
              </w:rPr>
              <w:t>29%</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1,713.7</w:t>
            </w:r>
          </w:p>
        </w:tc>
        <w:tc>
          <w:tcPr>
            <w:tcW w:w="3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(601.5)</w:t>
            </w:r>
          </w:p>
        </w:tc>
        <w:tc>
          <w:tcPr>
            <w:tcW w:w="1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2,315.2</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2,171.9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Revenue by Geographic Area:</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Americas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654.4</w:t>
            </w:r>
          </w:p>
        </w:tc>
        <w:tc>
          <w:tcPr>
            <w:tcW w:w="3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$(127.9)</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782.3</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 (21.2)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 Middle East and Africa</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(332.3)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1,003.4</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3"/>
              </w:rPr>
              <w:t>15%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Asia Pacific</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388.2</w:t>
            </w:r>
          </w:p>
        </w:tc>
        <w:tc>
          <w:tcPr>
            <w:tcW w:w="3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(141.3)</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529.5</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1,713.7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(601.5)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2,315.2</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Net Revenue by Operating Segment: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$(276.8)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513.3</w:t>
            </w:r>
          </w:p>
        </w:tc>
        <w:tc>
          <w:tcPr>
            <w:tcW w:w="3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(128.1)</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641.4</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55.3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70.5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3"/>
              </w:rPr>
              <w:t>17%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Media and Entertainment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189.1</w:t>
            </w:r>
          </w:p>
        </w:tc>
        <w:tc>
          <w:tcPr>
            <w:tcW w:w="3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(73.0)</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262.1</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3"/>
              </w:rPr>
              <w:t>24%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1,713.7</w:t>
            </w:r>
          </w:p>
        </w:tc>
        <w:tc>
          <w:tcPr>
            <w:tcW w:w="3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(601.5)</w:t>
            </w:r>
          </w:p>
        </w:tc>
        <w:tc>
          <w:tcPr>
            <w:tcW w:w="18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2,315.2</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2,171.9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2010 Net Revenue Compared to Fiscal 2009 Net Revenue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License and Other Revenue</w:t>
      </w:r>
    </w:p>
    <w:p>
      <w:pPr>
        <w:spacing w:after="0" w:line="90" w:lineRule="exact"/>
        <w:rPr>
          <w:sz w:val="20"/>
          <w:szCs w:val="20"/>
          <w:color w:val="auto"/>
        </w:rPr>
      </w:pPr>
    </w:p>
    <w:p>
      <w:pPr>
        <w:ind w:right="420" w:firstLine="456"/>
        <w:spacing w:after="0" w:line="335" w:lineRule="auto"/>
        <w:rPr>
          <w:sz w:val="20"/>
          <w:szCs w:val="20"/>
          <w:color w:val="auto"/>
        </w:rPr>
      </w:pPr>
      <w:r>
        <w:rPr>
          <w:rFonts w:ascii="Arial" w:cs="Arial" w:eastAsia="Arial" w:hAnsi="Arial"/>
          <w:sz w:val="15"/>
          <w:szCs w:val="15"/>
          <w:color w:val="auto"/>
        </w:rPr>
        <w:t>License and other revenue is comprised of two components: all forms of product license revenue and other revenue. Product license revenue includes revenue from the sale of new seat licenses, upgrades and crossgrades. Other revenue consists of revenue from Advanced Systems, consulting and training services, Autodesk Collaborative Solution hosting, and our former Location Services division. We divested the Location Services division in February 2009.</w:t>
      </w:r>
    </w:p>
    <w:p>
      <w:pPr>
        <w:spacing w:after="0" w:line="8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Total license and other revenue decreased 39% during fiscal 2010 as compared to fiscal 2009. License and other revenue from horizontal design and vertical design products decreased 33% and license and other revenue from model-based design products decreased 19%, each as compared to the prior fiscal year. These decreases were primarily due to the 44% decrease in commercial new seat revenue during fiscal 2010 as compared to fiscal 2009. During fiscal 2010, 29 percentage points of the 44% decrease was due to decreases in the number of seats sold, and 15 percentage points was due to lower average net revenue per seat. As a percentage of total net revenue, license and other revenue was 57% and 69% for fiscal 2010 and 2009, respectively. Commercial new seat revenue, as a percentage of license and other revenue, was 61% and 67% for fiscal 2010 and 2009, respectively.</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Also contributing to the decrease in license and other revenue during fiscal 2010, as compared to fiscal 2009, was the 32% decrease in upgrade revenue, which includes crossgrade revenue. The decrease in upgrade revenue was driven primarily by the recent global economic contraction. Additionally, upgrade revenue was</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lower during fiscal 2010 because of the relatively smaller size of the upgradeable base of our AutoCAD-based products, as compared to the upgradeable base of our AutoCAD-based products during fiscal 2009, due to a higher percentage of customers on our maintenance program, which includes unspecified upgrades when and if available. Over the long term, we expect revenue from upgrades to decrease as we continue to move customers onto our maintenance program.</w:t>
      </w:r>
    </w:p>
    <w:p>
      <w:pPr>
        <w:spacing w:after="0" w:line="8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Revenue from the sales of our services, training and support, included in “License and other revenue,” represented less than 4% of net revenue for all periods presented.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Maintenance Revenue</w:t>
      </w:r>
    </w:p>
    <w:p>
      <w:pPr>
        <w:spacing w:after="0" w:line="90"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Our maintenance revenue relates to a program known by our user community as the Subscription Program. Our maintenance program provides our commercial and educational customers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maintenance contract periods.</w:t>
      </w:r>
    </w:p>
    <w:p>
      <w:pPr>
        <w:spacing w:after="0" w:line="9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Maintenance revenue increased 3% during fiscal 2010, as compared to fiscal 2009, primarily due to a 3% increase in commercial maintenance revenue. The increase in commercial maintenance revenue is due to 8 percentage points from higher net revenue per maintenance seat, partially offset by 5 percentage points from lower program enrollment due to the economic downturn. Commercial maintenance revenue represented 98% of maintenance revenue for both fiscal 2010 and 2009. Changes in maintenance revenue lag changes in maintenance billings because we recognize the revenue ratably over the life of the maintenance contracts, which is predominantly one year. Our 3% increase in maintenance revenue in fiscal 2010, as compared to fiscal 2009, reflects an 18% increase in maintenance billings in fiscal 2009 as compared to fiscal 2008, partially offset by a 7% decline in maintenance billings in fiscal 2010 as compared to fiscal 2009. As a percentage of total net revenue, maintenance revenue was 43% and 31% for fiscal 2010 and 2009, respectively. Total program enrollment at January 31, 2010 consisted of about 2.2 million users. The number of users increased from 1.7 million at January 31, 2009 to 2.2 million at January 31, 2010 primarily due to a one-time adjustment of 0.6 million educational seats for users who were migrated to a standard educational maintenance plan during the second fiscal quarter ended July 31, 2009. These users were not previously captured in our maintenance installed base prior to the second quarter of fiscal 2010. We do not believe these additional seats will have a material impact on our future maintenance revenue.</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Maintenance billings declined 7% in fiscal 2010, as compared to fiscal 2009. This decrease was due to fewer new seats sold and a decrease in renewal rates as customers have reduced their work force. The year over year growth in billings for maintenance contracts began to slow in the second quarter of fiscal 2009, although maintenance billings increased slightly in the fourth quarter of fiscal 2010 as compared to the fourth quarter of fiscal 2009. We recognize the revenue ratably over the life of the maintenance contracts, which is predominantly one year, but may also be two or three year terms. This year-over-year decrease in maintenance billings will cause downward pressure on future maintenance revenue, however future maintenance revenue will also be impacted by other factors such as the amount, timing and mix of contract terms of future maintenance billings.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Aggregate backlog at January 31, 2010 and January 31, 2009 was $542.5 million and $569.5 million, respectively, of which $516.5 million and $552.1 million, respectively, represented deferred revenue. Backlog related to current software license product orders that had not shipped at the end of the quarter increased by $8.6 million during fiscal 2010 from $17.4 million at January 31, 2009 to $26.0 million at January 31, 2010. Deferred revenue consists primarily of deferred maintenance revenue. To a lesser extent, deferred revenue consists of deferred license and other revenue derived from collaborative project management services, consulting services and deferred license sales. 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Geographic Area</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Net revenue in the Americas geography decreased by 16% both as reported and on a constant currency basis, during fiscal 2010, as compared to fiscal 2009. This decrease was primarily due to a 27% decrease in revenue from new seats, partially offset by a 5% increase in upgrade revenue in the Americas during fiscal 2010 as compared to fiscal 2009. Maintenance revenue growth was flat in fiscal 2010 as compared to fiscal 2009. Growth in the Americas continues to be affected by a economic volatility that impacted growth rates for all of our products during fiscal 2010.</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revenue in the EMEA geography decreased by 33%, or 26% on a constant currency basis, during fiscal 2010 as compared to fiscal 2009. The decrease was primarily due to a 50% decrease in new seat revenue and a 49% decrease in revenue from upgrades. These decreases were partially offset by a 2% increase in maintenance revenue in EMEA during fiscal 2010 as compared to fiscal 2009. The EMEA geography’s decline in revenue during fiscal 2010 was primarily due to economic contraction in virtually all countries in that geography. The decrease in our revenue in that geography was led by emerging economy countries followed by Germany, France, Italy and the United Kingdom. The negative effect of the stronger value of the U.S. dollar relative to the euro, the British pound and other European currencies also contributed to the decrease in net revenue in EMEA.</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Net revenue in the APAC geography decreased by 27%, or 28% on a constant currency basis, during fiscal 2010, as compared to fiscal 2009, primarily due to a 38% decrease in new seat revenue and a 42% decrease in upgrade revenue. These decreases were partially offset by a 13% increase in maintenance revenue. Net revenue contraction in the APAC geography during fiscal 2010 occurred in virtually all countries, led by Japan and followed by China, South Korea, India and Australia.</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Revenue from emerging economies decreased 37% during fiscal 2010 as compared to fiscal 2009. Revenue from emerging economies represented 15% and 18% of net revenue during fiscal 2010 and 2009, respectively. This decrease contributed to our international sales contraction during fiscal 2010.</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believe that international net revenue will continue to comprise a majority of our total net revenue. The recent economic contractions in the countries that contribute a significant portion of our net revenue had, and may continue to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International net revenue represented 69% of our net revenue in fiscal 2010 and 72% of our net revenue in fiscal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Operating Segment</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have four reportable segments: Platform Solutions and Emerging Business (“PSEB”), Architecture, Engineering and Construction (“AEC”), Manufacturing (“MFG”) and Media and Entertainment (“M&amp;E”). Location Services (“LBS”), which we disposed of in February 2009, is not included in any of the above reportable segments and is reflected as Other. In the first quarter of fiscal 2010, we reorganized our business to better align with our customers and accelerate product innovation. As part of this change there has been some product movement between business segments, including the movement of Geospatial and Process and Power design market products from PSEB to AEC. Certain reclassifications to segment revenue and gross profit have been made to prior year amounts to conform to the current presentation. We have no material inter-segment revenue.</w:t>
      </w:r>
    </w:p>
    <w:p>
      <w:pPr>
        <w:spacing w:after="0" w:line="12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Net revenue for PSEB decreased 31% during fiscal 2010, as compared to fiscal 2009, primarily due to a 38% decrease in revenue from our AutoCAD LT products and a 31% decrease in revenue from our AutoCAD products, offset by a net 12% increase in revenue from all other PSEB products and services.</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Net revenue for AEC decreased 20% during fiscal 2010, as compared to fiscal 2009, primarily due to a 24% decrease in revenue from our Revit products, a 32% decrease in revenue from our AutoCAD Architecture products, a 15% decrease in revenue from our AutoCAD Civil 3D products and a net 13% decrease in revenue from all other AEC products and services.</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Net revenue for MFG decreased 21% during fiscal 2010, as compared to fiscal 2009, primarily due to a 25% decrease in revenue from our Autodesk Inventor products and a 34% decrease in revenue from our Autodesk Mechanical products, offset by a net 2% increase in revenue from all other MFG products and services.</w:t>
      </w:r>
    </w:p>
    <w:p>
      <w:pPr>
        <w:spacing w:after="0" w:line="14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Net revenue for M&amp;E decreased 28% during fiscal 2010, as compared to fiscal 2009, primarily due to a 42% decrease in revenue from Advanced Systems and an 18% decrease in revenue from our Animation product group. The decrease in Animation revenue was primarily due to a 33% decrease in revenue from Autodesk 3ds Max and a 17% decrease in revenue from Maya, offset by a net 32% increase in revenue from all other M&amp;E products and services.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2009 Net Revenue Compared to Fiscal 2008 Net Revenue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fiscal 2009, as compared to fiscal 2008, net revenue increased 7%. During the third and fourth quarters of fiscal 2009 we experienced a dramatic change in the economic conditions of our markets globally. The first two quarters of fiscal 2009 were characterized by net revenue growth of 18% over the same period in the prior fiscal year. Due to the deteriorating global economic conditions during our third and fourth fiscal quarters of fiscal 2009, our results for the second half of fiscal 2009 were a stark contrast to the first half of the fiscal year. Revenue for the second half of fiscal 2009 declined by 4% compared to the same period in the prior fiscal year; revenue decreased sequentially 2% and 19% during our third and fourth quarters of fiscal 2009, respectively.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License and Other Revenue</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Total license and other revenue decreased 1% during fiscal 2009, as compared to fiscal 2008. Commercial new seat revenue from our model-based, horizontal and vertical design products for fiscal 2009 was flat compared to fiscal 2008. During fiscal 2009, we experienced a decrease of approximately 13 percentage points due to lower number of seat licenses sold, offset by an increase of approximately 13 percentage points due to higher average net revenue per seat. During fiscal 2009, there was less correlation between revenue growth and seat license growth due to changes in our mix of geographies and products, proportion of maintenance in the user base, currency exchange rates, and average selling prices, and we expect this trend to continue. As a percentage of total net revenue, license and other revenue was 69% for fiscal 2009 and 75% for fiscal 2008.</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Upgrade revenue, which includes crossgrade revenue, decreased by 8% during fiscal 2009 as compared to fiscal 2008, as expected. The decrease in upgrade revenue was driven primarily by the relatively smaller size of the upgradeable base of our AutoCAD-based products in fiscal 2009 as compared to the upgradeable base of our AutoCAD-based products in fiscal 2008, due to more customers on our maintenance program.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Maintenance Revenue</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Maintenance revenue increased 29% for fiscal 2009 as compared to fiscal 2008. Approximately 20 percentage points of the 29% increase was due to increases in program enrollment and approximately 9 percentage points of the increase was due to higher net revenue per maintenance seat for fiscal 2009 as compared to the same period of the prior fiscal year. As a percentage of total net revenue, maintenance revenue was 31% for fiscal 2009 and 25% for fiscal 2008. At January 31, 2009 our maintenance program enrollment consisted of about 1.7 million users.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Geographic Area</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Net revenue in the Americas geography decreased by 3% both as reported and on a constant currency basis during fiscal 2009 as compared to fiscal 2008, as a result of a 15% decrease in revenue from new seats in the Americas geography and a 19% decrease in revenue from upgrades, offset in part by a 16% increase in maintenance revenue. Growth in the Americas geography was affected by a slowing economy that impacted growth rates for all of our products in fiscal 2009.</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Net revenue in EMEA geography increased by 15%, or 9% on a constant currency basis, during fiscal 2009, as compared to fiscal 2008, primarily due to a 39% increase in maintenance revenue and a 6% increase in new seat revenue, slightly offset by a 1% decrease in revenue from upgrades. The EMEA geography’s growth during fiscal 2009 was primarily due to growth in the EMEA emerging economies, as well as in Germany, France, Switzerland, Italy, Belgium and Sweden. The positive effect of the weaker value of the U.S. dollar relative to the euro, the British pound and other European currencies also contributed to the increase in net revenue in the EMEA geography.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revenue in the APAC geography increased by 7%, or 2% on a constant currency basis, during fiscal 2009, as compared to fiscal 2008, primarily due to a 36% increase in maintenance revenue and a 3% increase in new seat revenue, partially offset by a 4% decrease in revenue from upgrades. Net revenue growth in the APAC geography during fiscal 2009 occurred primarily due to growth in Japan and Australia; net revenue from the APAC geography emerging economies in fiscal 2009 was flat compared to the prior fiscal year.</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International net revenue represented 72% of our net revenue in fiscal 2009 and 69% of our net revenue in fiscal 2008. We started to experience some economic difficulty in international sales in the third quarter of fiscal 2009. Global conditions worsened, and the economic downturn significantly impacted our international sales during the fourth quarter of fiscal 2009, particularly the robust business we had been seeing in emerging economies. Net revenue in emerging economies grew by 14% from fiscal 2008 to fiscal 2009, primarily due to revenue from the Russian Federation, other EMEA emerging economies and India. This growth was a significant factor in our international sales growth during fiscal 2009. In contrast, fourth quarter fiscal 2009 net revenue in the EMEA and APAC geographies decreased 16% and 25%, respectively, compared to the fourth quarter of fiscal 2008, and net revenue from emerging economies declined 31% for the fourth quarter of fiscal 2009 as compared to the same period of the prior fiscal year.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Operating Segment</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Net revenue for PSEB increased 1% during fiscal 2009, as compared to fiscal 2008, primarily due to a 3% increase in revenue from AutoCAD LT, partially offset by a 1% decrease in revenue from AutoCAD.</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Net revenue for AEC increased 9% during fiscal 2009, as compared to fiscal 2008, primarily due to a 22% increase in revenue from Autodesk Revit. This increase was partially offset by a 13% decrease in revenue from AutoCAD Architecture. Also contributing to the increase in AEC’s net revenue during fiscal 2009 was an increase in revenue from the Autodesk Robot Structural Analysis (Robobat) and Autodesk Navisworks products.</w:t>
      </w:r>
    </w:p>
    <w:p>
      <w:pPr>
        <w:spacing w:after="0" w:line="10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Net revenue for MFG increased 17% during fiscal 2009, as compared to fiscal 2008, primarily due to an 8% increase in revenue from Autodesk Inventor products and a 12% increase in revenue from AutoCAD Mechanical. Contributing 7 percentage points of the 17% increase in MFG’s net revenue for fiscal 2009 was revenue from the Autodesk Moldflow products of $30.8 million.</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revenue for M&amp;E increased 1% during fiscal 2009, as compared to fiscal 2008, primarily due to a 9% increase in net revenue from our Animation product group. The increase in Animation revenue was primarily due to a 25% increase in revenue from Autodesk 3ds Max. Net revenue from Advanced Systems decreased 8% during fiscal 2009, as compared to fiscal 2008.</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41</w:t>
      </w:r>
    </w:p>
    <w:p>
      <w:pPr>
        <w:sectPr>
          <w:pgSz w:w="11900" w:h="16838" w:orient="portrait"/>
          <w:cols w:equalWidth="0" w:num="1">
            <w:col w:w="11420"/>
          </w:cols>
          <w:pgMar w:left="240" w:top="459"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1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532"/>
        </w:trPr>
        <w:tc>
          <w:tcPr>
            <w:tcW w:w="3260" w:type="dxa"/>
            <w:vAlign w:val="bottom"/>
            <w:gridSpan w:val="2"/>
          </w:tcPr>
          <w:p>
            <w:pPr>
              <w:ind w:left="240"/>
              <w:spacing w:after="0"/>
              <w:rPr>
                <w:sz w:val="20"/>
                <w:szCs w:val="20"/>
                <w:color w:val="auto"/>
              </w:rPr>
            </w:pPr>
            <w:r>
              <w:rPr>
                <w:rFonts w:ascii="Arial" w:cs="Arial" w:eastAsia="Arial" w:hAnsi="Arial"/>
                <w:sz w:val="18"/>
                <w:szCs w:val="18"/>
                <w:i w:val="1"/>
                <w:iCs w:val="1"/>
                <w:color w:val="auto"/>
              </w:rPr>
              <w:t>Cost of Revenue</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0"/>
        </w:trPr>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6"/>
              </w:rPr>
              <w:t>Fiscal Year</w:t>
            </w:r>
          </w:p>
        </w:tc>
        <w:tc>
          <w:tcPr>
            <w:tcW w:w="17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4"/>
              </w:rPr>
              <w:t>Increase (decrease)</w:t>
            </w:r>
          </w:p>
        </w:tc>
        <w:tc>
          <w:tcPr>
            <w:tcW w:w="180" w:type="dxa"/>
            <w:vAlign w:val="bottom"/>
          </w:tcPr>
          <w:p>
            <w:pPr>
              <w:spacing w:after="0"/>
              <w:rPr>
                <w:sz w:val="24"/>
                <w:szCs w:val="2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Fiscal Year</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Increase (decrease)</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Fiscal Year</w:t>
            </w:r>
          </w:p>
        </w:tc>
      </w:tr>
      <w:tr>
        <w:trPr>
          <w:trHeight w:val="149"/>
        </w:trPr>
        <w:tc>
          <w:tcPr>
            <w:tcW w:w="1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Ended</w:t>
            </w:r>
          </w:p>
        </w:tc>
        <w:tc>
          <w:tcPr>
            <w:tcW w:w="172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compared to prior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compared to</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1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January 31,</w:t>
            </w:r>
          </w:p>
        </w:tc>
        <w:tc>
          <w:tcPr>
            <w:tcW w:w="1040" w:type="dxa"/>
            <w:vAlign w:val="bottom"/>
            <w:tcBorders>
              <w:bottom w:val="single" w:sz="8" w:color="auto"/>
            </w:tcBorders>
            <w:gridSpan w:val="3"/>
          </w:tcPr>
          <w:p>
            <w:pPr>
              <w:jc w:val="center"/>
              <w:ind w:left="264"/>
              <w:spacing w:after="0"/>
              <w:rPr>
                <w:sz w:val="20"/>
                <w:szCs w:val="20"/>
                <w:color w:val="auto"/>
              </w:rPr>
            </w:pPr>
            <w:r>
              <w:rPr>
                <w:rFonts w:ascii="Arial" w:cs="Arial" w:eastAsia="Arial" w:hAnsi="Arial"/>
                <w:sz w:val="14"/>
                <w:szCs w:val="14"/>
                <w:b w:val="1"/>
                <w:bCs w:val="1"/>
                <w:color w:val="auto"/>
                <w:w w:val="84"/>
              </w:rPr>
              <w:t>fiscal year</w:t>
            </w:r>
          </w:p>
        </w:tc>
        <w:tc>
          <w:tcPr>
            <w:tcW w:w="3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January 31,</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prior fiscal year</w:t>
            </w:r>
          </w:p>
        </w:tc>
        <w:tc>
          <w:tcPr>
            <w:tcW w:w="1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January 31,</w:t>
            </w:r>
          </w:p>
        </w:tc>
      </w:tr>
      <w:tr>
        <w:trPr>
          <w:trHeight w:val="142"/>
        </w:trPr>
        <w:tc>
          <w:tcPr>
            <w:tcW w:w="1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39"/>
              <w:spacing w:after="0" w:line="142" w:lineRule="exact"/>
              <w:rPr>
                <w:sz w:val="20"/>
                <w:szCs w:val="20"/>
                <w:color w:val="auto"/>
              </w:rPr>
            </w:pPr>
            <w:r>
              <w:rPr>
                <w:rFonts w:ascii="Arial" w:cs="Arial" w:eastAsia="Arial" w:hAnsi="Arial"/>
                <w:sz w:val="14"/>
                <w:szCs w:val="14"/>
                <w:b w:val="1"/>
                <w:bCs w:val="1"/>
                <w:color w:val="auto"/>
                <w:w w:val="83"/>
              </w:rPr>
              <w:t>2010</w:t>
            </w:r>
          </w:p>
        </w:tc>
        <w:tc>
          <w:tcPr>
            <w:tcW w:w="500" w:type="dxa"/>
            <w:vAlign w:val="bottom"/>
          </w:tcPr>
          <w:p>
            <w:pPr>
              <w:spacing w:after="0"/>
              <w:rPr>
                <w:sz w:val="12"/>
                <w:szCs w:val="12"/>
                <w:color w:val="auto"/>
              </w:rPr>
            </w:pPr>
          </w:p>
        </w:tc>
        <w:tc>
          <w:tcPr>
            <w:tcW w:w="500" w:type="dxa"/>
            <w:vAlign w:val="bottom"/>
            <w:tcBorders>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9"/>
              <w:spacing w:after="0" w:line="142" w:lineRule="exact"/>
              <w:rPr>
                <w:sz w:val="20"/>
                <w:szCs w:val="20"/>
                <w:color w:val="auto"/>
              </w:rPr>
            </w:pPr>
            <w:r>
              <w:rPr>
                <w:rFonts w:ascii="Arial" w:cs="Arial" w:eastAsia="Arial" w:hAnsi="Arial"/>
                <w:sz w:val="14"/>
                <w:szCs w:val="14"/>
                <w:b w:val="1"/>
                <w:bCs w:val="1"/>
                <w:color w:val="auto"/>
                <w:w w:val="89"/>
              </w:rPr>
              <w:t>2009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4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59"/>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r>
      <w:tr>
        <w:trPr>
          <w:trHeight w:val="142"/>
        </w:trPr>
        <w:tc>
          <w:tcPr>
            <w:tcW w:w="1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ind w:left="440"/>
              <w:spacing w:after="0"/>
              <w:rPr>
                <w:sz w:val="20"/>
                <w:szCs w:val="20"/>
                <w:color w:val="auto"/>
              </w:rPr>
            </w:pPr>
            <w:r>
              <w:rPr>
                <w:rFonts w:ascii="Arial" w:cs="Arial" w:eastAsia="Arial" w:hAnsi="Arial"/>
                <w:sz w:val="18"/>
                <w:szCs w:val="18"/>
                <w:color w:val="auto"/>
              </w:rPr>
              <w:t>License and other</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179.9</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 (30.3)</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210.2</w:t>
            </w:r>
          </w:p>
        </w:tc>
        <w:tc>
          <w:tcPr>
            <w:tcW w:w="3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11.1</w:t>
            </w:r>
          </w:p>
        </w:tc>
        <w:tc>
          <w:tcPr>
            <w:tcW w:w="4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199.1</w:t>
            </w:r>
          </w:p>
        </w:tc>
      </w:tr>
      <w:tr>
        <w:trPr>
          <w:trHeight w:val="216"/>
        </w:trPr>
        <w:tc>
          <w:tcPr>
            <w:tcW w:w="3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r>
      <w:tr>
        <w:trPr>
          <w:trHeight w:val="222"/>
        </w:trPr>
        <w:tc>
          <w:tcPr>
            <w:tcW w:w="1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191.8</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 (27.3)</w:t>
            </w:r>
          </w:p>
        </w:tc>
        <w:tc>
          <w:tcPr>
            <w:tcW w:w="12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219.1</w:t>
            </w:r>
          </w:p>
        </w:tc>
        <w:tc>
          <w:tcPr>
            <w:tcW w:w="3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207.7</w:t>
            </w:r>
          </w:p>
        </w:tc>
      </w:tr>
      <w:tr>
        <w:trPr>
          <w:trHeight w:val="20"/>
        </w:trPr>
        <w:tc>
          <w:tcPr>
            <w:tcW w:w="1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a percentage of net revenue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00" w:firstLine="456"/>
        <w:spacing w:after="0" w:line="298" w:lineRule="auto"/>
        <w:rPr>
          <w:sz w:val="20"/>
          <w:szCs w:val="20"/>
          <w:color w:val="auto"/>
        </w:rPr>
      </w:pPr>
      <w:r>
        <w:rPr>
          <w:rFonts w:ascii="Arial" w:cs="Arial" w:eastAsia="Arial" w:hAnsi="Arial"/>
          <w:sz w:val="16"/>
          <w:szCs w:val="16"/>
          <w:color w:val="auto"/>
        </w:rPr>
        <w:t>Cost of license and other revenue includes labor costs of fulfilling service contracts and order fulfillment, including stock-based compensation expense for those employees, direct material and overhead charges, amortization of purchased technology, professional services fees and royalties. Direct material and overhead charges include the cost of hardware sold (mainly PC-based workstations for Advanced Systems in our M&amp;E segment), costs associated with transferring our software to electronic media, printing of user manuals and packaging materials and shipping and handling costs.</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Cost of license and other revenue decreased 14% during fiscal 2010, as compared to fiscal 2009 primarily due to the 39% decrease in license and other revenue. Cost of license and other revenue did not decline as rapidly as the associated net revenue in fiscal 2010 as compared to fiscal 2009 because of increased amortization of purchased technology related to fiscal years 2010 and 2009 acquisitions, costs associated with redundant services as we migrated a portion of our IT systems onto a new platform, and higher costs associated with the implementation of our electronic fulfillment system. Cost of license and other revenue increased 6% during fiscal 2009, as compared to fiscal 2008 even though license and other revenue decreased by 1%. Cost of license and other revenue increased in fiscal 2009 due to an increase in amortization of purchased technology due to the number of acquisitions completed during fiscal years 2009 and 2008, slightly offset by decreases in employee-related expenses. Since many of these costs are headcount-related expenses, they do not vary proportionally with changes in revenue.</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Cost of maintenance revenue includes labor costs of providing product support to our maintenance customers, including stock-based compensation expense for these employees, rent and occupancy, and professional services fees. Cost of maintenance revenue increased 34% during fiscal 2010 as compared to fiscal 2009 due to an increase in product support headcount due to the acquisition of Moldflow Corporation in the second quarter of fiscal 2009. Costs of maintenance revenue remained relatively consistent in both relative dollars and as a percentage of net revenue during fiscal 2009 as compared to fiscal 2008.</w:t>
      </w:r>
    </w:p>
    <w:p>
      <w:pPr>
        <w:spacing w:after="0" w:line="113"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Cost of revenue, at least over the near term, is affected by the volume and mix of product sales, fluctuations in consulting costs, amortization of purchased technology, new customer support offerings, royalty rates for licensed technology embedded in our products, and employee stock-based compensation expense.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Marketing and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Fiscal year</w:t>
            </w:r>
          </w:p>
        </w:tc>
        <w:tc>
          <w:tcPr>
            <w:tcW w:w="200" w:type="dxa"/>
            <w:vAlign w:val="bottom"/>
          </w:tcPr>
          <w:p>
            <w:pPr>
              <w:spacing w:after="0"/>
              <w:rPr>
                <w:sz w:val="14"/>
                <w:szCs w:val="14"/>
                <w:color w:val="auto"/>
              </w:rPr>
            </w:pPr>
          </w:p>
        </w:tc>
        <w:tc>
          <w:tcPr>
            <w:tcW w:w="1100" w:type="dxa"/>
            <w:vAlign w:val="bottom"/>
            <w:gridSpan w:val="3"/>
          </w:tcPr>
          <w:p>
            <w:pPr>
              <w:jc w:val="center"/>
              <w:ind w:left="232"/>
              <w:spacing w:after="0"/>
              <w:rPr>
                <w:sz w:val="20"/>
                <w:szCs w:val="20"/>
                <w:color w:val="auto"/>
              </w:rPr>
            </w:pPr>
            <w:r>
              <w:rPr>
                <w:rFonts w:ascii="Arial" w:cs="Arial" w:eastAsia="Arial" w:hAnsi="Arial"/>
                <w:sz w:val="14"/>
                <w:szCs w:val="14"/>
                <w:b w:val="1"/>
                <w:bCs w:val="1"/>
                <w:color w:val="auto"/>
                <w:w w:val="83"/>
              </w:rPr>
              <w:t>Decrease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Fiscal year</w:t>
            </w:r>
          </w:p>
        </w:tc>
        <w:tc>
          <w:tcPr>
            <w:tcW w:w="86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87"/>
              </w:rPr>
              <w:t>Increase</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Fiscal year</w:t>
            </w:r>
          </w:p>
        </w:tc>
      </w:tr>
      <w:tr>
        <w:trPr>
          <w:trHeight w:val="149"/>
        </w:trPr>
        <w:tc>
          <w:tcPr>
            <w:tcW w:w="3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100" w:type="dxa"/>
            <w:vAlign w:val="bottom"/>
            <w:gridSpan w:val="3"/>
          </w:tcPr>
          <w:p>
            <w:pPr>
              <w:jc w:val="center"/>
              <w:ind w:left="232"/>
              <w:spacing w:after="0" w:line="149" w:lineRule="exact"/>
              <w:rPr>
                <w:sz w:val="20"/>
                <w:szCs w:val="20"/>
                <w:color w:val="auto"/>
              </w:rPr>
            </w:pPr>
            <w:r>
              <w:rPr>
                <w:rFonts w:ascii="Arial" w:cs="Arial" w:eastAsia="Arial" w:hAnsi="Arial"/>
                <w:sz w:val="14"/>
                <w:szCs w:val="14"/>
                <w:b w:val="1"/>
                <w:bCs w:val="1"/>
                <w:color w:val="auto"/>
                <w:w w:val="85"/>
              </w:rPr>
              <w:t>compared to</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152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1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3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January 31,</w:t>
            </w:r>
          </w:p>
        </w:tc>
        <w:tc>
          <w:tcPr>
            <w:tcW w:w="200" w:type="dxa"/>
            <w:vAlign w:val="bottom"/>
          </w:tcPr>
          <w:p>
            <w:pPr>
              <w:spacing w:after="0"/>
              <w:rPr>
                <w:sz w:val="14"/>
                <w:szCs w:val="14"/>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prior fiscal year</w:t>
            </w:r>
          </w:p>
        </w:tc>
        <w:tc>
          <w:tcPr>
            <w:tcW w:w="26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January 31,</w:t>
            </w:r>
          </w:p>
        </w:tc>
        <w:tc>
          <w:tcPr>
            <w:tcW w:w="15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January 31,</w:t>
            </w:r>
          </w:p>
        </w:tc>
      </w:tr>
      <w:tr>
        <w:trPr>
          <w:trHeight w:val="142"/>
        </w:trPr>
        <w:tc>
          <w:tcPr>
            <w:tcW w:w="3300" w:type="dxa"/>
            <w:vAlign w:val="bottom"/>
          </w:tcPr>
          <w:p>
            <w:pPr>
              <w:spacing w:after="0"/>
              <w:rPr>
                <w:sz w:val="12"/>
                <w:szCs w:val="12"/>
                <w:color w:val="auto"/>
              </w:rPr>
            </w:pPr>
          </w:p>
        </w:tc>
        <w:tc>
          <w:tcPr>
            <w:tcW w:w="1820" w:type="dxa"/>
            <w:vAlign w:val="bottom"/>
            <w:gridSpan w:val="2"/>
          </w:tcPr>
          <w:p>
            <w:pPr>
              <w:jc w:val="center"/>
              <w:ind w:left="1039"/>
              <w:spacing w:after="0" w:line="142" w:lineRule="exact"/>
              <w:rPr>
                <w:sz w:val="20"/>
                <w:szCs w:val="20"/>
                <w:color w:val="auto"/>
              </w:rPr>
            </w:pPr>
            <w:r>
              <w:rPr>
                <w:rFonts w:ascii="Arial" w:cs="Arial" w:eastAsia="Arial" w:hAnsi="Arial"/>
                <w:sz w:val="14"/>
                <w:szCs w:val="14"/>
                <w:b w:val="1"/>
                <w:bCs w:val="1"/>
                <w:color w:val="auto"/>
                <w:w w:val="83"/>
              </w:rPr>
              <w:t>2010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940" w:type="dxa"/>
            <w:vAlign w:val="bottom"/>
            <w:gridSpan w:val="2"/>
          </w:tcPr>
          <w:p>
            <w:pPr>
              <w:jc w:val="center"/>
              <w:ind w:left="185"/>
              <w:spacing w:after="0" w:line="142" w:lineRule="exact"/>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2"/>
                <w:szCs w:val="12"/>
                <w:color w:val="auto"/>
              </w:rPr>
            </w:pPr>
          </w:p>
        </w:tc>
        <w:tc>
          <w:tcPr>
            <w:tcW w:w="42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880" w:type="dxa"/>
            <w:vAlign w:val="bottom"/>
            <w:gridSpan w:val="2"/>
          </w:tcPr>
          <w:p>
            <w:pPr>
              <w:jc w:val="center"/>
              <w:ind w:left="99"/>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ind w:left="140"/>
              <w:spacing w:after="0"/>
              <w:rPr>
                <w:sz w:val="20"/>
                <w:szCs w:val="20"/>
                <w:color w:val="auto"/>
              </w:rPr>
            </w:pPr>
            <w:r>
              <w:rPr>
                <w:rFonts w:ascii="Arial" w:cs="Arial" w:eastAsia="Arial" w:hAnsi="Arial"/>
                <w:sz w:val="11"/>
                <w:szCs w:val="11"/>
                <w:b w:val="1"/>
                <w:bCs w:val="1"/>
                <w:color w:val="auto"/>
                <w:w w:val="74"/>
              </w:rPr>
              <w:t>(in</w:t>
            </w:r>
          </w:p>
        </w:tc>
        <w:tc>
          <w:tcPr>
            <w:tcW w:w="6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millions)</w:t>
            </w:r>
          </w:p>
        </w:tc>
        <w:tc>
          <w:tcPr>
            <w:tcW w:w="5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731.9</w:t>
            </w:r>
          </w:p>
        </w:tc>
        <w:tc>
          <w:tcPr>
            <w:tcW w:w="3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-19%</w:t>
            </w:r>
          </w:p>
        </w:tc>
        <w:tc>
          <w:tcPr>
            <w:tcW w:w="14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900.7</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$53.0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847.7</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2160" w:type="dxa"/>
            <w:vAlign w:val="bottom"/>
            <w:gridSpan w:val="3"/>
          </w:tcPr>
          <w:p>
            <w:pPr>
              <w:jc w:val="right"/>
              <w:ind w:right="20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r>
      <w:tr>
        <w:trPr>
          <w:trHeight w:val="304"/>
        </w:trPr>
        <w:tc>
          <w:tcPr>
            <w:tcW w:w="3300" w:type="dxa"/>
            <w:vAlign w:val="bottom"/>
          </w:tcPr>
          <w:p>
            <w:pPr>
              <w:spacing w:after="0"/>
              <w:rPr>
                <w:sz w:val="20"/>
                <w:szCs w:val="20"/>
                <w:color w:val="auto"/>
              </w:rPr>
            </w:pPr>
            <w:r>
              <w:rPr>
                <w:rFonts w:ascii="Arial" w:cs="Arial" w:eastAsia="Arial" w:hAnsi="Arial"/>
                <w:sz w:val="14"/>
                <w:szCs w:val="14"/>
                <w:b w:val="1"/>
                <w:bCs w:val="1"/>
                <w:color w:val="auto"/>
              </w:rPr>
              <w:t>42</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46"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Marketing and sales expenses include salaries, benefits, bonuses and stock-based compensation expense for our marketing and sales employees, costs of programs aimed at increasing revenue, such as advertising, trade shows and expositions, and various sales and promotional programs. Marketing and sales expenses also include labor costs of sales and order processing, rent and occupancy, sales and dealer commissions, and the cost of supplies and equipment. Marketing and sales expenses decreased 19% during fiscal 2010, as compared to fiscal 2009, primarily due to lower employee-related costs, driven by decreased marketing and sales headcount and decreased travel expenditures and reduced advertising and promotional expenses. Marketing and sales expense increased 6% during fiscal 2009, as compared to fiscal 2008, primarily due to higher employee-related costs driven by increased marketing and sales headcount in fiscal 2009 as compared to fiscal 2008. We expect to balance our need to invest in the marketing and sales of our products with our need to reduce our operating expenses to align with our financial condition.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Fiscal year</w:t>
            </w:r>
          </w:p>
        </w:tc>
        <w:tc>
          <w:tcPr>
            <w:tcW w:w="200" w:type="dxa"/>
            <w:vAlign w:val="bottom"/>
          </w:tcPr>
          <w:p>
            <w:pPr>
              <w:spacing w:after="0"/>
              <w:rPr>
                <w:sz w:val="14"/>
                <w:szCs w:val="14"/>
                <w:color w:val="auto"/>
              </w:rPr>
            </w:pPr>
          </w:p>
        </w:tc>
        <w:tc>
          <w:tcPr>
            <w:tcW w:w="1100" w:type="dxa"/>
            <w:vAlign w:val="bottom"/>
            <w:gridSpan w:val="3"/>
          </w:tcPr>
          <w:p>
            <w:pPr>
              <w:jc w:val="center"/>
              <w:ind w:left="232"/>
              <w:spacing w:after="0"/>
              <w:rPr>
                <w:sz w:val="20"/>
                <w:szCs w:val="20"/>
                <w:color w:val="auto"/>
              </w:rPr>
            </w:pPr>
            <w:r>
              <w:rPr>
                <w:rFonts w:ascii="Arial" w:cs="Arial" w:eastAsia="Arial" w:hAnsi="Arial"/>
                <w:sz w:val="14"/>
                <w:szCs w:val="14"/>
                <w:b w:val="1"/>
                <w:bCs w:val="1"/>
                <w:color w:val="auto"/>
                <w:w w:val="83"/>
              </w:rPr>
              <w:t>Decrease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Fiscal year</w:t>
            </w:r>
          </w:p>
        </w:tc>
        <w:tc>
          <w:tcPr>
            <w:tcW w:w="86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87"/>
              </w:rPr>
              <w:t>Increase</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Fiscal year</w:t>
            </w:r>
          </w:p>
        </w:tc>
      </w:tr>
      <w:tr>
        <w:trPr>
          <w:trHeight w:val="149"/>
        </w:trPr>
        <w:tc>
          <w:tcPr>
            <w:tcW w:w="3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100" w:type="dxa"/>
            <w:vAlign w:val="bottom"/>
            <w:gridSpan w:val="3"/>
          </w:tcPr>
          <w:p>
            <w:pPr>
              <w:jc w:val="center"/>
              <w:ind w:left="232"/>
              <w:spacing w:after="0" w:line="149" w:lineRule="exact"/>
              <w:rPr>
                <w:sz w:val="20"/>
                <w:szCs w:val="20"/>
                <w:color w:val="auto"/>
              </w:rPr>
            </w:pPr>
            <w:r>
              <w:rPr>
                <w:rFonts w:ascii="Arial" w:cs="Arial" w:eastAsia="Arial" w:hAnsi="Arial"/>
                <w:sz w:val="14"/>
                <w:szCs w:val="14"/>
                <w:b w:val="1"/>
                <w:bCs w:val="1"/>
                <w:color w:val="auto"/>
                <w:w w:val="85"/>
              </w:rPr>
              <w:t>compared to</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152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1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3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January 31,</w:t>
            </w:r>
          </w:p>
        </w:tc>
        <w:tc>
          <w:tcPr>
            <w:tcW w:w="200" w:type="dxa"/>
            <w:vAlign w:val="bottom"/>
          </w:tcPr>
          <w:p>
            <w:pPr>
              <w:spacing w:after="0"/>
              <w:rPr>
                <w:sz w:val="14"/>
                <w:szCs w:val="14"/>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prior fiscal year</w:t>
            </w:r>
          </w:p>
        </w:tc>
        <w:tc>
          <w:tcPr>
            <w:tcW w:w="26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January 31,</w:t>
            </w:r>
          </w:p>
        </w:tc>
        <w:tc>
          <w:tcPr>
            <w:tcW w:w="15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January 31,</w:t>
            </w:r>
          </w:p>
        </w:tc>
      </w:tr>
      <w:tr>
        <w:trPr>
          <w:trHeight w:val="142"/>
        </w:trPr>
        <w:tc>
          <w:tcPr>
            <w:tcW w:w="3300" w:type="dxa"/>
            <w:vAlign w:val="bottom"/>
          </w:tcPr>
          <w:p>
            <w:pPr>
              <w:spacing w:after="0"/>
              <w:rPr>
                <w:sz w:val="12"/>
                <w:szCs w:val="12"/>
                <w:color w:val="auto"/>
              </w:rPr>
            </w:pPr>
          </w:p>
        </w:tc>
        <w:tc>
          <w:tcPr>
            <w:tcW w:w="1820" w:type="dxa"/>
            <w:vAlign w:val="bottom"/>
            <w:gridSpan w:val="2"/>
          </w:tcPr>
          <w:p>
            <w:pPr>
              <w:jc w:val="center"/>
              <w:ind w:left="1039"/>
              <w:spacing w:after="0" w:line="142" w:lineRule="exact"/>
              <w:rPr>
                <w:sz w:val="20"/>
                <w:szCs w:val="20"/>
                <w:color w:val="auto"/>
              </w:rPr>
            </w:pPr>
            <w:r>
              <w:rPr>
                <w:rFonts w:ascii="Arial" w:cs="Arial" w:eastAsia="Arial" w:hAnsi="Arial"/>
                <w:sz w:val="14"/>
                <w:szCs w:val="14"/>
                <w:b w:val="1"/>
                <w:bCs w:val="1"/>
                <w:color w:val="auto"/>
                <w:w w:val="83"/>
              </w:rPr>
              <w:t>2010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940" w:type="dxa"/>
            <w:vAlign w:val="bottom"/>
            <w:gridSpan w:val="2"/>
          </w:tcPr>
          <w:p>
            <w:pPr>
              <w:jc w:val="center"/>
              <w:ind w:left="185"/>
              <w:spacing w:after="0" w:line="142" w:lineRule="exact"/>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2"/>
                <w:szCs w:val="12"/>
                <w:color w:val="auto"/>
              </w:rPr>
            </w:pPr>
          </w:p>
        </w:tc>
        <w:tc>
          <w:tcPr>
            <w:tcW w:w="42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880" w:type="dxa"/>
            <w:vAlign w:val="bottom"/>
            <w:gridSpan w:val="2"/>
          </w:tcPr>
          <w:p>
            <w:pPr>
              <w:jc w:val="center"/>
              <w:ind w:left="99"/>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ind w:left="140"/>
              <w:spacing w:after="0"/>
              <w:rPr>
                <w:sz w:val="20"/>
                <w:szCs w:val="20"/>
                <w:color w:val="auto"/>
              </w:rPr>
            </w:pPr>
            <w:r>
              <w:rPr>
                <w:rFonts w:ascii="Arial" w:cs="Arial" w:eastAsia="Arial" w:hAnsi="Arial"/>
                <w:sz w:val="11"/>
                <w:szCs w:val="11"/>
                <w:b w:val="1"/>
                <w:bCs w:val="1"/>
                <w:color w:val="auto"/>
                <w:w w:val="74"/>
              </w:rPr>
              <w:t>(in</w:t>
            </w:r>
          </w:p>
        </w:tc>
        <w:tc>
          <w:tcPr>
            <w:tcW w:w="6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millions)</w:t>
            </w:r>
          </w:p>
        </w:tc>
        <w:tc>
          <w:tcPr>
            <w:tcW w:w="5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457.5</w:t>
            </w:r>
          </w:p>
        </w:tc>
        <w:tc>
          <w:tcPr>
            <w:tcW w:w="3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(118.6)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-21%</w:t>
            </w:r>
          </w:p>
        </w:tc>
        <w:tc>
          <w:tcPr>
            <w:tcW w:w="14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576.1</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$85.6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490.5</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2160" w:type="dxa"/>
            <w:vAlign w:val="bottom"/>
            <w:gridSpan w:val="3"/>
          </w:tcPr>
          <w:p>
            <w:pPr>
              <w:jc w:val="right"/>
              <w:ind w:right="20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r>
    </w:tbl>
    <w:p>
      <w:pPr>
        <w:spacing w:after="0" w:line="147"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Research and development expenses, which are expensed as incurred, consist primarily of salaries, benefits, bonuses and stock-based compensation expense for research and development employees, rent and occupancy, professional services such as fees paid to software development firms and independent contractors, and the expense of travel, entertainment and training for such personnel. Research and development expenses decreased 21% during fiscal 2010, as compared to fiscal 2009, primarily due to decreases in employee-related costs driven by decreased research and development headcount. Also contributing to the decline was a decrease in acquisition related in-process research and development charges from fiscal 2009 to fiscal 2010. Research and development expenses increased 17% during fiscal 2009, as compared to fiscal 2008, primarily due to an increase in employee related costs driven by increased research and development headcount. Also contributing to the increase in research and development expenses was in-process research and development from acquisitions during fiscal 2009. These increases were partially offset by a reduction in stock-based compensation expense for our research and development employees.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Fiscal year</w:t>
            </w:r>
          </w:p>
        </w:tc>
        <w:tc>
          <w:tcPr>
            <w:tcW w:w="92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83"/>
              </w:rPr>
              <w:t>Decrease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Fiscal year</w:t>
            </w:r>
          </w:p>
        </w:tc>
        <w:tc>
          <w:tcPr>
            <w:tcW w:w="86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87"/>
              </w:rPr>
              <w:t>Increase</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Fiscal year</w:t>
            </w:r>
          </w:p>
        </w:tc>
      </w:tr>
      <w:tr>
        <w:trPr>
          <w:trHeight w:val="149"/>
        </w:trPr>
        <w:tc>
          <w:tcPr>
            <w:tcW w:w="3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15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2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152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1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3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January 31,</w:t>
            </w:r>
          </w:p>
        </w:tc>
        <w:tc>
          <w:tcPr>
            <w:tcW w:w="15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prior fiscal year</w:t>
            </w:r>
          </w:p>
        </w:tc>
        <w:tc>
          <w:tcPr>
            <w:tcW w:w="22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January 31,</w:t>
            </w:r>
          </w:p>
        </w:tc>
        <w:tc>
          <w:tcPr>
            <w:tcW w:w="15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January 31,</w:t>
            </w:r>
          </w:p>
        </w:tc>
      </w:tr>
      <w:tr>
        <w:trPr>
          <w:trHeight w:val="142"/>
        </w:trPr>
        <w:tc>
          <w:tcPr>
            <w:tcW w:w="3380" w:type="dxa"/>
            <w:vAlign w:val="bottom"/>
          </w:tcPr>
          <w:p>
            <w:pPr>
              <w:spacing w:after="0"/>
              <w:rPr>
                <w:sz w:val="12"/>
                <w:szCs w:val="12"/>
                <w:color w:val="auto"/>
              </w:rPr>
            </w:pPr>
          </w:p>
        </w:tc>
        <w:tc>
          <w:tcPr>
            <w:tcW w:w="1900" w:type="dxa"/>
            <w:vAlign w:val="bottom"/>
            <w:gridSpan w:val="2"/>
          </w:tcPr>
          <w:p>
            <w:pPr>
              <w:jc w:val="center"/>
              <w:ind w:left="1139"/>
              <w:spacing w:after="0" w:line="142" w:lineRule="exact"/>
              <w:rPr>
                <w:sz w:val="20"/>
                <w:szCs w:val="20"/>
                <w:color w:val="auto"/>
              </w:rPr>
            </w:pPr>
            <w:r>
              <w:rPr>
                <w:rFonts w:ascii="Arial" w:cs="Arial" w:eastAsia="Arial" w:hAnsi="Arial"/>
                <w:sz w:val="14"/>
                <w:szCs w:val="14"/>
                <w:b w:val="1"/>
                <w:bCs w:val="1"/>
                <w:color w:val="auto"/>
                <w:w w:val="89"/>
              </w:rPr>
              <w:t>2010</w:t>
            </w:r>
          </w:p>
        </w:tc>
        <w:tc>
          <w:tcPr>
            <w:tcW w:w="540" w:type="dxa"/>
            <w:vAlign w:val="bottom"/>
          </w:tcPr>
          <w:p>
            <w:pPr>
              <w:spacing w:after="0"/>
              <w:rPr>
                <w:sz w:val="12"/>
                <w:szCs w:val="12"/>
                <w:color w:val="auto"/>
              </w:rPr>
            </w:pPr>
          </w:p>
        </w:tc>
        <w:tc>
          <w:tcPr>
            <w:tcW w:w="38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900" w:type="dxa"/>
            <w:vAlign w:val="bottom"/>
            <w:gridSpan w:val="2"/>
          </w:tcPr>
          <w:p>
            <w:pPr>
              <w:jc w:val="center"/>
              <w:ind w:left="139"/>
              <w:spacing w:after="0" w:line="142" w:lineRule="exact"/>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2"/>
                <w:szCs w:val="12"/>
                <w:color w:val="auto"/>
              </w:rPr>
            </w:pPr>
          </w:p>
        </w:tc>
        <w:tc>
          <w:tcPr>
            <w:tcW w:w="42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880" w:type="dxa"/>
            <w:vAlign w:val="bottom"/>
            <w:gridSpan w:val="2"/>
          </w:tcPr>
          <w:p>
            <w:pPr>
              <w:jc w:val="center"/>
              <w:ind w:left="99"/>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(in millions)</w:t>
            </w:r>
          </w:p>
        </w:tc>
        <w:tc>
          <w:tcPr>
            <w:tcW w:w="5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197.7</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$(8.0)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205.7</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$25.3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180.4</w:t>
            </w: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2440" w:type="dxa"/>
            <w:vAlign w:val="bottom"/>
            <w:gridSpan w:val="3"/>
          </w:tcPr>
          <w:p>
            <w:pPr>
              <w:jc w:val="right"/>
              <w:ind w:right="38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3"/>
          </w:tcPr>
          <w:p>
            <w:pPr>
              <w:jc w:val="right"/>
              <w:ind w:right="380"/>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r>
    </w:tbl>
    <w:p>
      <w:pPr>
        <w:spacing w:after="0" w:line="14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General and administrative expenses include salaries, benefits, bonuses and stock-based compensation expense for our finance, human resources and legal personnel, as well as professional fees for legal and accounting services, cost of supplies and equipment, amortization of acquisition related customer relationships and trade names, and expense of communication. General and administrative expenses decreased 4% from fiscal 2009 to fiscal 2010 primarily due to decreases in employee-related costs driven by decreased general and administrative headcount and reduced rent and occupancy costs due to the consolidation of facilities. This decrease was partially offset by higher depreciation and amortization related to capital expenditures from fiscal 2009 and 2010. General and administrative expenses increased 14% from fiscal 2008 to fiscal 2009 primarily due to increases in employee-related costs, due to an increase in general and administrative headcount, and an increase in amortization of acquired intangible assets during fiscal 2009.</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Restructuring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Fiscal year</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4"/>
              </w:rPr>
              <w:t>Increase</w:t>
            </w:r>
          </w:p>
        </w:tc>
        <w:tc>
          <w:tcPr>
            <w:tcW w:w="300" w:type="dxa"/>
            <w:vAlign w:val="bottom"/>
          </w:tcPr>
          <w:p>
            <w:pPr>
              <w:spacing w:after="0"/>
              <w:rPr>
                <w:sz w:val="14"/>
                <w:szCs w:val="14"/>
                <w:color w:val="auto"/>
              </w:rPr>
            </w:pPr>
          </w:p>
        </w:tc>
        <w:tc>
          <w:tcPr>
            <w:tcW w:w="13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5"/>
              </w:rPr>
              <w:t>Fiscal year</w:t>
            </w:r>
          </w:p>
        </w:tc>
        <w:tc>
          <w:tcPr>
            <w:tcW w:w="92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84"/>
              </w:rPr>
              <w:t>Increase</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Fiscal year</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Ended</w:t>
            </w:r>
          </w:p>
        </w:tc>
        <w:tc>
          <w:tcPr>
            <w:tcW w:w="240" w:type="dxa"/>
            <w:vAlign w:val="bottom"/>
          </w:tcPr>
          <w:p>
            <w:pPr>
              <w:spacing w:after="0"/>
              <w:rPr>
                <w:sz w:val="12"/>
                <w:szCs w:val="12"/>
                <w:color w:val="auto"/>
              </w:rPr>
            </w:pPr>
          </w:p>
        </w:tc>
        <w:tc>
          <w:tcPr>
            <w:tcW w:w="162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Ended</w:t>
            </w:r>
          </w:p>
        </w:tc>
        <w:tc>
          <w:tcPr>
            <w:tcW w:w="12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compared to</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January 31,</w:t>
            </w:r>
          </w:p>
        </w:tc>
        <w:tc>
          <w:tcPr>
            <w:tcW w:w="240" w:type="dxa"/>
            <w:vAlign w:val="bottom"/>
          </w:tcPr>
          <w:p>
            <w:pPr>
              <w:spacing w:after="0"/>
              <w:rPr>
                <w:sz w:val="14"/>
                <w:szCs w:val="14"/>
                <w:color w:val="auto"/>
              </w:rPr>
            </w:pPr>
          </w:p>
        </w:tc>
        <w:tc>
          <w:tcPr>
            <w:tcW w:w="1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prior fiscal year</w:t>
            </w:r>
          </w:p>
        </w:tc>
        <w:tc>
          <w:tcPr>
            <w:tcW w:w="300" w:type="dxa"/>
            <w:vAlign w:val="bottom"/>
          </w:tcPr>
          <w:p>
            <w:pPr>
              <w:spacing w:after="0"/>
              <w:rPr>
                <w:sz w:val="14"/>
                <w:szCs w:val="14"/>
                <w:color w:val="auto"/>
              </w:rPr>
            </w:pPr>
          </w:p>
        </w:tc>
        <w:tc>
          <w:tcPr>
            <w:tcW w:w="13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8"/>
              </w:rPr>
              <w:t>January 31,</w:t>
            </w: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prior fiscal year</w:t>
            </w:r>
          </w:p>
        </w:tc>
        <w:tc>
          <w:tcPr>
            <w:tcW w:w="42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89"/>
              </w:rPr>
              <w:t>2010</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300" w:type="dxa"/>
            <w:vAlign w:val="bottom"/>
            <w:vMerge w:val="restart"/>
          </w:tcPr>
          <w:p>
            <w:pPr>
              <w:ind w:left="180"/>
              <w:spacing w:after="0"/>
              <w:rPr>
                <w:sz w:val="20"/>
                <w:szCs w:val="20"/>
                <w:color w:val="auto"/>
              </w:rPr>
            </w:pPr>
            <w:r>
              <w:rPr>
                <w:rFonts w:ascii="Arial" w:cs="Arial" w:eastAsia="Arial" w:hAnsi="Arial"/>
                <w:sz w:val="11"/>
                <w:szCs w:val="11"/>
                <w:b w:val="1"/>
                <w:bCs w:val="1"/>
                <w:color w:val="auto"/>
                <w:w w:val="74"/>
              </w:rPr>
              <w:t>(in</w:t>
            </w:r>
          </w:p>
        </w:tc>
        <w:tc>
          <w:tcPr>
            <w:tcW w:w="120" w:type="dxa"/>
            <w:vAlign w:val="bottom"/>
          </w:tcPr>
          <w:p>
            <w:pPr>
              <w:spacing w:after="0"/>
              <w:rPr>
                <w:sz w:val="12"/>
                <w:szCs w:val="12"/>
                <w:color w:val="auto"/>
              </w:rPr>
            </w:pPr>
          </w:p>
        </w:tc>
        <w:tc>
          <w:tcPr>
            <w:tcW w:w="58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83"/>
              </w:rPr>
              <w:t>2009</w:t>
            </w:r>
          </w:p>
        </w:tc>
        <w:tc>
          <w:tcPr>
            <w:tcW w:w="620" w:type="dxa"/>
            <w:vAlign w:val="bottom"/>
          </w:tcPr>
          <w:p>
            <w:pPr>
              <w:spacing w:after="0"/>
              <w:rPr>
                <w:sz w:val="12"/>
                <w:szCs w:val="12"/>
                <w:color w:val="auto"/>
              </w:rPr>
            </w:pPr>
          </w:p>
        </w:tc>
        <w:tc>
          <w:tcPr>
            <w:tcW w:w="40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ind w:right="62"/>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tcBorders>
              <w:top w:val="single" w:sz="8" w:color="auto"/>
            </w:tcBorders>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w w:val="97"/>
              </w:rPr>
              <w:t>millions)</w:t>
            </w:r>
          </w:p>
        </w:tc>
        <w:tc>
          <w:tcPr>
            <w:tcW w:w="6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48.2</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$ 8.0</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40.2</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$40.2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Percentage is not meaningful</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fourth quarter of fiscal 2009, we initiated a restructuring program in order to reduce our operating costs. This program reduced the number of employees by a total of approximately 700 positions globally and resulted in the consolidation of approximately 27 leased facilities. In the second quarter of fiscal 2010, we initiated an additional restructuring program, which resulted in headcount reduction of approximately 430 positions globally and resulted in the consolidation of approximately 32 leased facilities around the world in order to further reduce our operating expenses. In connection with these restructuring programs, we recorded restructuring and impairment charges of $48.2 million and $40.2 million during fiscal 2010 and 2009. Of these amounts, $24.3 million and $36.7 million were recorded for one-time termination benefits and other costs during fiscal 2010 and 2009, respectively, and $23.9 million and $3.5 million were recorded for facilities-related costs during fiscal 2010 and 2009, respectively. The one-time termination benefits for these two restructuring programs have been substantially paid as of January 31, 2010. We expect to pay the facility-related liabilities through fiscal 2018. See Note 16, “Restructuring Reserve,” in Notes to Consolidated Financial Statements for further discussion.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Goodwill and Intangibles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Fiscal year</w:t>
            </w:r>
          </w:p>
        </w:tc>
        <w:tc>
          <w:tcPr>
            <w:tcW w:w="240" w:type="dxa"/>
            <w:vAlign w:val="bottom"/>
          </w:tcPr>
          <w:p>
            <w:pPr>
              <w:spacing w:after="0"/>
              <w:rPr>
                <w:sz w:val="14"/>
                <w:szCs w:val="14"/>
                <w:color w:val="auto"/>
              </w:rPr>
            </w:pPr>
          </w:p>
        </w:tc>
        <w:tc>
          <w:tcPr>
            <w:tcW w:w="1220" w:type="dxa"/>
            <w:vAlign w:val="bottom"/>
            <w:gridSpan w:val="3"/>
          </w:tcPr>
          <w:p>
            <w:pPr>
              <w:jc w:val="center"/>
              <w:ind w:left="212"/>
              <w:spacing w:after="0"/>
              <w:rPr>
                <w:sz w:val="20"/>
                <w:szCs w:val="20"/>
                <w:color w:val="auto"/>
              </w:rPr>
            </w:pPr>
            <w:r>
              <w:rPr>
                <w:rFonts w:ascii="Arial" w:cs="Arial" w:eastAsia="Arial" w:hAnsi="Arial"/>
                <w:sz w:val="14"/>
                <w:szCs w:val="14"/>
                <w:b w:val="1"/>
                <w:bCs w:val="1"/>
                <w:color w:val="auto"/>
                <w:w w:val="80"/>
              </w:rPr>
              <w:t>Decrease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Fiscal year</w:t>
            </w:r>
          </w:p>
        </w:tc>
        <w:tc>
          <w:tcPr>
            <w:tcW w:w="240" w:type="dxa"/>
            <w:vAlign w:val="bottom"/>
          </w:tcPr>
          <w:p>
            <w:pPr>
              <w:spacing w:after="0"/>
              <w:rPr>
                <w:sz w:val="14"/>
                <w:szCs w:val="14"/>
                <w:color w:val="auto"/>
              </w:rPr>
            </w:pPr>
          </w:p>
        </w:tc>
        <w:tc>
          <w:tcPr>
            <w:tcW w:w="1040" w:type="dxa"/>
            <w:vAlign w:val="bottom"/>
            <w:gridSpan w:val="3"/>
          </w:tcPr>
          <w:p>
            <w:pPr>
              <w:jc w:val="center"/>
              <w:ind w:left="232"/>
              <w:spacing w:after="0"/>
              <w:rPr>
                <w:sz w:val="20"/>
                <w:szCs w:val="20"/>
                <w:color w:val="auto"/>
              </w:rPr>
            </w:pPr>
            <w:r>
              <w:rPr>
                <w:rFonts w:ascii="Arial" w:cs="Arial" w:eastAsia="Arial" w:hAnsi="Arial"/>
                <w:sz w:val="14"/>
                <w:szCs w:val="14"/>
                <w:b w:val="1"/>
                <w:bCs w:val="1"/>
                <w:color w:val="auto"/>
                <w:w w:val="87"/>
              </w:rPr>
              <w:t>Increase</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Fiscal year</w:t>
            </w:r>
          </w:p>
        </w:tc>
      </w:tr>
      <w:tr>
        <w:trPr>
          <w:trHeight w:val="149"/>
        </w:trPr>
        <w:tc>
          <w:tcPr>
            <w:tcW w:w="3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2"/>
                <w:szCs w:val="12"/>
                <w:color w:val="auto"/>
              </w:rPr>
            </w:pPr>
          </w:p>
        </w:tc>
        <w:tc>
          <w:tcPr>
            <w:tcW w:w="1220" w:type="dxa"/>
            <w:vAlign w:val="bottom"/>
            <w:gridSpan w:val="3"/>
          </w:tcPr>
          <w:p>
            <w:pPr>
              <w:jc w:val="center"/>
              <w:ind w:left="232"/>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Ended</w:t>
            </w:r>
          </w:p>
        </w:tc>
        <w:tc>
          <w:tcPr>
            <w:tcW w:w="240" w:type="dxa"/>
            <w:vAlign w:val="bottom"/>
          </w:tcPr>
          <w:p>
            <w:pPr>
              <w:spacing w:after="0"/>
              <w:rPr>
                <w:sz w:val="12"/>
                <w:szCs w:val="12"/>
                <w:color w:val="auto"/>
              </w:rPr>
            </w:pPr>
          </w:p>
        </w:tc>
        <w:tc>
          <w:tcPr>
            <w:tcW w:w="1040" w:type="dxa"/>
            <w:vAlign w:val="bottom"/>
            <w:gridSpan w:val="3"/>
          </w:tcPr>
          <w:p>
            <w:pPr>
              <w:jc w:val="center"/>
              <w:ind w:left="212"/>
              <w:spacing w:after="0" w:line="149" w:lineRule="exact"/>
              <w:rPr>
                <w:sz w:val="20"/>
                <w:szCs w:val="20"/>
                <w:color w:val="auto"/>
              </w:rPr>
            </w:pPr>
            <w:r>
              <w:rPr>
                <w:rFonts w:ascii="Arial" w:cs="Arial" w:eastAsia="Arial" w:hAnsi="Arial"/>
                <w:sz w:val="14"/>
                <w:szCs w:val="14"/>
                <w:b w:val="1"/>
                <w:bCs w:val="1"/>
                <w:color w:val="auto"/>
                <w:w w:val="85"/>
              </w:rPr>
              <w:t>compared to</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January 31,</w:t>
            </w:r>
          </w:p>
        </w:tc>
        <w:tc>
          <w:tcPr>
            <w:tcW w:w="240" w:type="dxa"/>
            <w:vAlign w:val="bottom"/>
          </w:tcPr>
          <w:p>
            <w:pPr>
              <w:spacing w:after="0"/>
              <w:rPr>
                <w:sz w:val="14"/>
                <w:szCs w:val="14"/>
                <w:color w:val="auto"/>
              </w:rPr>
            </w:pPr>
          </w:p>
        </w:tc>
        <w:tc>
          <w:tcPr>
            <w:tcW w:w="1220" w:type="dxa"/>
            <w:vAlign w:val="bottom"/>
            <w:tcBorders>
              <w:bottom w:val="single" w:sz="8" w:color="auto"/>
            </w:tcBorders>
            <w:gridSpan w:val="3"/>
          </w:tcPr>
          <w:p>
            <w:pPr>
              <w:jc w:val="center"/>
              <w:ind w:left="232"/>
              <w:spacing w:after="0"/>
              <w:rPr>
                <w:sz w:val="20"/>
                <w:szCs w:val="20"/>
                <w:color w:val="auto"/>
              </w:rPr>
            </w:pPr>
            <w:r>
              <w:rPr>
                <w:rFonts w:ascii="Arial" w:cs="Arial" w:eastAsia="Arial" w:hAnsi="Arial"/>
                <w:sz w:val="14"/>
                <w:szCs w:val="14"/>
                <w:b w:val="1"/>
                <w:bCs w:val="1"/>
                <w:color w:val="auto"/>
                <w:w w:val="88"/>
              </w:rPr>
              <w:t>prior fiscal year</w:t>
            </w:r>
          </w:p>
        </w:tc>
        <w:tc>
          <w:tcPr>
            <w:tcW w:w="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January 31,</w:t>
            </w:r>
          </w:p>
        </w:tc>
        <w:tc>
          <w:tcPr>
            <w:tcW w:w="240" w:type="dxa"/>
            <w:vAlign w:val="bottom"/>
          </w:tcPr>
          <w:p>
            <w:pPr>
              <w:spacing w:after="0"/>
              <w:rPr>
                <w:sz w:val="14"/>
                <w:szCs w:val="1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prior fiscal year</w:t>
            </w:r>
          </w:p>
        </w:tc>
        <w:tc>
          <w:tcPr>
            <w:tcW w:w="42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January 31,</w:t>
            </w:r>
          </w:p>
        </w:tc>
      </w:tr>
      <w:tr>
        <w:trPr>
          <w:trHeight w:val="142"/>
        </w:trPr>
        <w:tc>
          <w:tcPr>
            <w:tcW w:w="3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89"/>
              </w:rPr>
              <w:t>2010</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w w:val="96"/>
              </w:rPr>
              <w:t>%</w:t>
            </w:r>
          </w:p>
        </w:tc>
        <w:tc>
          <w:tcPr>
            <w:tcW w:w="300" w:type="dxa"/>
            <w:vAlign w:val="bottom"/>
          </w:tcPr>
          <w:p>
            <w:pPr>
              <w:spacing w:after="0"/>
              <w:rPr>
                <w:sz w:val="12"/>
                <w:szCs w:val="12"/>
                <w:color w:val="auto"/>
              </w:rPr>
            </w:pPr>
          </w:p>
        </w:tc>
        <w:tc>
          <w:tcPr>
            <w:tcW w:w="1020" w:type="dxa"/>
            <w:vAlign w:val="bottom"/>
            <w:gridSpan w:val="2"/>
          </w:tcPr>
          <w:p>
            <w:pPr>
              <w:jc w:val="center"/>
              <w:ind w:left="262"/>
              <w:spacing w:after="0" w:line="142" w:lineRule="exact"/>
              <w:rPr>
                <w:sz w:val="20"/>
                <w:szCs w:val="20"/>
                <w:color w:val="auto"/>
              </w:rPr>
            </w:pPr>
            <w:r>
              <w:rPr>
                <w:rFonts w:ascii="Arial" w:cs="Arial" w:eastAsia="Arial" w:hAnsi="Arial"/>
                <w:sz w:val="14"/>
                <w:szCs w:val="14"/>
                <w:b w:val="1"/>
                <w:bCs w:val="1"/>
                <w:color w:val="auto"/>
                <w:w w:val="89"/>
              </w:rPr>
              <w:t>2009</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ind w:right="62"/>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r>
      <w:tr>
        <w:trPr>
          <w:trHeight w:val="142"/>
        </w:trPr>
        <w:tc>
          <w:tcPr>
            <w:tcW w:w="3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ind w:left="160"/>
              <w:spacing w:after="0" w:line="142" w:lineRule="exact"/>
              <w:rPr>
                <w:sz w:val="20"/>
                <w:szCs w:val="20"/>
                <w:color w:val="auto"/>
              </w:rPr>
            </w:pPr>
            <w:r>
              <w:rPr>
                <w:rFonts w:ascii="Arial" w:cs="Arial" w:eastAsia="Arial" w:hAnsi="Arial"/>
                <w:sz w:val="14"/>
                <w:szCs w:val="14"/>
                <w:b w:val="1"/>
                <w:bCs w:val="1"/>
                <w:color w:val="auto"/>
                <w:w w:val="93"/>
              </w:rPr>
              <w:t>(in</w:t>
            </w:r>
          </w:p>
        </w:tc>
        <w:tc>
          <w:tcPr>
            <w:tcW w:w="6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6"/>
              </w:rPr>
              <w:t>millions)</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 and intangibles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128.9</w:t>
            </w:r>
          </w:p>
        </w:tc>
        <w:tc>
          <w:tcPr>
            <w:tcW w:w="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Percentage is not meaningful</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recorded an impairment charge of $21.0 million during the first quarter of fiscal 2010 representing the entire goodwill balance of our M&amp;E segment as of April 30, 2009. This goodwill balance related to our M&amp;E segment’s fourth quarter fiscal 2009 acquisition of substantially all of the assets of Softimage. In May 2009, we concluded that an impairment of goodwill had occurred as of April 30, 2009 due to revisions to our revenue and cash flow projections in response to the significant and sustained revenue declines we were experiencing in all segments and geographies in the first quarter of fiscal 2010. The revenue and cash flow projections were substantially impacted for all segments, and our M&amp;E segment was the only segment which had a fair value of its future discounted cash flows that fell below the carrying value of its net assets.</w:t>
      </w:r>
    </w:p>
    <w:p>
      <w:pPr>
        <w:spacing w:after="0" w:line="12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During fiscal 2009 we recorded a $128.9 million impairment charge affecting the fourth quarter of fiscal 2009, primarily related to impairment of goodwill associated with our M&amp;E segment. During the three months ended January 31, 2009, revenue and cash flow projections for all segments decreased substantially as the economy worsened. Our M&amp;E segment was the only segment which had a fair value that fell below the carrying value of its net assets.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Should our revenue and cash flow projections decline significantly in the future, additional impairment charges may be recorded to goodwill. As of January 31, 2010, a hypothetical 10% decrease in the fair value of our reporting units would not have an impact on the carrying value of goodwill, nor result in impairment of goodwill. See Note 1, “Business and Summary of Significant Accounting Policies,” in Notes to Consolidated Financial Statements for further discussion.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and Other Income,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interest and other income,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1"/>
              </w:rPr>
              <w:t>Fiscal Year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9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January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3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9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investment income, net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13.6</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$33.4</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Investment impairment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(5.9)</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Gain (loss) foreign currency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Gain (loss) on cost method investment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Loss from unconsolidated subsidiary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r>
        <w:trPr>
          <w:trHeight w:val="216"/>
        </w:trPr>
        <w:tc>
          <w:tcPr>
            <w:tcW w:w="9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19.1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24.4</w:t>
            </w:r>
          </w:p>
        </w:tc>
      </w:tr>
      <w:tr>
        <w:trPr>
          <w:trHeight w:val="20"/>
        </w:trPr>
        <w:tc>
          <w:tcPr>
            <w:tcW w:w="9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Interest and investment income, net fluctuates based on average cash and marketable securities balances, average maturities and interest rates. The increase in interest and other income, net during fiscal 2010, as compared to fiscal 2009, is primarily due to gains on marketable securities, gains on foreign currency transactions, a gain on the sale of an investment, and the impairment of an investment during fiscal 2009. These increases were partially offset by lower interest rate yields on investments during fiscal 2010 as compared to fiscal 2009. The decrease in interest and investment income, net, during fiscal 2009, as compared to fiscal 2008, is primarily due to lower interest rate yields.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effective tax rate was 32% and 27% during fiscal 2010 and 2009, respectively. Our effective tax rate increased 5% from fiscal 2009 to fiscal 2010 primarily due to a change in expected future tax rates and the establishment of the California valuation allowance in fiscal 2010 offset by non-deductible goodwill impairment and in-process research and development expenses in fiscal 2009. During the first quarter of fiscal 2010, the State of California enacted legislation significantly altering California tax law. As a result of the newly enacted legislation, we expect that in fiscal years 2012 and beyond, income subject to tax in California will be less than under prior tax law and accordingly, deferred tax assets are less likely to be realized.</w:t>
      </w:r>
    </w:p>
    <w:p>
      <w:pPr>
        <w:spacing w:after="0" w:line="1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effective tax rate was 27% and 24% during fiscal 2009 and 2008, respectively. Our effective tax rate increased 3% from fiscal 2008 to fiscal 2009 primarily due to non-deductible goodwill impairment and in-process research and development expenses.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January 31, 2010, we had net deferred tax assets of $146.1 million. We believe that we will generate sufficient future taxable income in appropriate tax jurisdictions to realize these assets.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additional information regarding our income tax provision, see Note 5, “Income Taxes,” in the Notes to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At January 31, 2010, our principal sources of liquidity were cash, cash equivalents and marketable securities totaling $1,126.2 million and net accounts receivable of $277.4. In addition, we have a U.S. line of credit facility that permits unsecured short-term borrowings of up to $250.0 million and a China line of credit that permits unsecured short-term borrowings of up to $5.0 million. These line of credit agreements contain customary covenants that could restrict the imposition of liens on our assets, and restrict our ability to incur additional indebtedness or make dispositions of assets if we fail to maintain their financial covenants. These credit facilities are available for working capital and other business needs. At January 31, 2010, we had no borrowings outstanding on the U.S. or China line of credit. The U.S. facility expires in August 2012 and the China facility has no contractual expiration. As of March 19, 2010, no amounts were outstanding on the U.S. and China line of credit facilities.</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Citibank and its global affiliates (“Citibank”). In addition, Citicorp USA, Inc., an affiliate of Citibank, is the lead lender and agent in the syndicate of our $250.0 million U.S. line of credit.</w:t>
      </w:r>
    </w:p>
    <w:p>
      <w:pPr>
        <w:spacing w:after="0" w:line="14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increase in our cash, cash equivalents and marketable securities from $988.7 million at January 31, 2009 to $1,126.2 million at January 31, 2010 is principally the result of cash generated from operations and the proceeds from the issuance of common stock. These increases to cash, cash equivalents and marketable securities were partially offset by cash used for repurchases of our common stock, repayment of our lines of credit, capital expenditures, the acquisition of PlanPlatform and equity investments. Cash generated from operations was negatively impacted by lower net revenue and the payment of restructuring charges.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January 31, 2010, our short-term investment portfolio had an estimated fair value of $161.9 million and a cost basis of $169.1 million. The portfolio fair value consisted of $89.0 million invested in commercial paper and corporate securities, $26.3 million invested in mutual funds, $24.6 million invested in certificates of deposit and time deposits with remaining maturities at the date of purchase greater than 90 days and less than one year, $10.0 million invested in money market funds, $8.8 million invested in U.S. government agency securities and $3.2 million invested in municipal securities and other securities.</w:t>
      </w:r>
    </w:p>
    <w:p>
      <w:pPr>
        <w:spacing w:after="0" w:line="11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At January 31, 2010, we had an investment in The Reserve International Liquidity Fund (the “International Fund”), a market fund with an estimated fair value of $10.0 million. During the third quarter of fiscal 2009, the International Fund ceased redemptions after net asset values of the funds decreased below $1 per share. This occurred as a result of the International Fund revaluing its holdings of debt securities issued by Lehman Brothers, which filed for Chapter 11 bankruptcy on September 15, 2008, and the resulting unusually high redemption requests on the International Fund. Our investment in the International Fund is unrelated to the assets of our Deferred Compensation Plan.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46</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A third party court appointed supervisor is overseeing, but not managing, the accounting and payment administration of the non U.S.-based International Fund. Our investment in the International Fund is not currently liquid, and in the event we need to access these funds, we will not be able to do so. However, based on currently available information, we expect to recover substantially all of our current holdings, net of reserves, from the International Fund within the next 12 months. Accordingly, the investment in the International Fund is classified in current “Marketable Securities” in the Consolidated Balance Sheets.</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At January 31, 2010, we owned two auction rate securities with an estimated fair value of $7.6 million. Our auction rate securities are variable rate debt instruments that have underlying securities with contractual maturities greater than ten years and interest rates that were structured to reset at auction every 28 days. The securities, which met our investment guidelines at the time the investments were made, have failed to settle in auctions since August 2007 and have earned a premium interest rate since that time. While we expect to recover substantially all of our current holdings, net of reserves, in the auction rate securities, we cannot predict when this will occur or the amount we will receive. Due to the lack of liquidity of these investments, they are included in non-current “Marketable securities” in the Consolidated Balance Sheets. See Note 2, “Financial Instruments and Hedging Activities,” in the Notes to Consolidated Financial Statements for further discussion of our financial instruments.</w:t>
      </w:r>
    </w:p>
    <w:p>
      <w:pPr>
        <w:spacing w:after="0" w:line="118"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At January 31, 2010, $26.3 million of trading securities were invested in a defined set of mutual funds as directed by the participants in our Deferred Compensation Plan (see Note 6, “Deferred Compensation,” in the Notes to Consolidated Financial Statements for further discussion).</w:t>
      </w:r>
    </w:p>
    <w:p>
      <w:pPr>
        <w:spacing w:after="0" w:line="8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primary source for net cash provided by operating activities of $246.8 million for fiscal 2010 was net income increased by the effect of non-cash expenses associated with depreciation and amortization, stock-based compensation, and impairment of goodwill. The primary working capital source of cash was a decrease in accounts receivable. The decrease in accounts receivable relates primarily to the increase in collections during the fourth quarter of fiscal 2010 as compared to the fourth quarter of fiscal 2009. Our days sales outstanding in trade receivables was 55 days at January 31, 2010. The primary working capital uses of cash were for payment of restructuring-related costs, the reduction of deferred revenue due to lower maintenance billings for fiscal 2010 compared to fiscal 2009 and reductions of accrued expenses primarily related to our fiscal 2010 employee bonus accrual and fourth quarter fiscal 2010 commissions. We expect net cash flows provided by operating activities to be higher in fiscal 2011 than in fiscal 2010 due to improved operating margins.</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stock repurchases; the acquisition of businesses, software products, or technologies complementary to our business; capital expenditures, including the purchase and implementation of internal-use software applications; and funding restructuring costs.</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existing cash, cash equivalents and investment balances may decline in fiscal 2011 in the event of a further weakening of the economy or changes in our planned cash outlay. Cash from operations could also be affected by various risks and uncertainties, including, but not limited to the risks detailed in Part 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the next 12 months. Our existing U.S. credit facility is currently $250.0 million of which we have no amounts outstanding. This credit facility is available for working capital and other business needs.</w:t>
      </w:r>
    </w:p>
    <w:p>
      <w:pPr>
        <w:spacing w:after="0" w:line="144"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Our revenue, earnings and cash flows are subject to fluctuations due to changes in foreign currency exchange rates. Our risk management strategy utilizes derivative instruments to hedge a majority of our foreign currency transaction exposures that exist as part of our ongoing business operations. As of January 31, 2010, we have open contracts to hedge expected cash flows for one to twelve months in the future. Contracts are primarily denominated in euros, Japanese yen, Swiss francs, British pounds and Canadian dollars. We do not enter into any</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derivative instruments for trading or speculative purposes. The notional amount of our option and forward contracts was $239.1 million and $276.7 million at January 31, 2010 and January 31, 2009,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summarizes our significant financial contractual obligations at January 31, 2010 and the effect such obligations are expected to have on our liquidity and cash flows in future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3"/>
          </w:tcPr>
          <w:p>
            <w:pPr>
              <w:ind w:left="420"/>
              <w:spacing w:after="0"/>
              <w:rPr>
                <w:sz w:val="20"/>
                <w:szCs w:val="20"/>
                <w:color w:val="auto"/>
              </w:rPr>
            </w:pPr>
            <w:r>
              <w:rPr>
                <w:rFonts w:ascii="Arial" w:cs="Arial" w:eastAsia="Arial" w:hAnsi="Arial"/>
                <w:sz w:val="14"/>
                <w:szCs w:val="14"/>
                <w:b w:val="1"/>
                <w:bCs w:val="1"/>
                <w:color w:val="auto"/>
                <w:w w:val="83"/>
              </w:rPr>
              <w:t>Fiscal Year</w:t>
            </w:r>
          </w:p>
        </w:tc>
        <w:tc>
          <w:tcPr>
            <w:tcW w:w="1380" w:type="dxa"/>
            <w:vAlign w:val="bottom"/>
            <w:gridSpan w:val="4"/>
          </w:tcPr>
          <w:p>
            <w:pPr>
              <w:ind w:left="420"/>
              <w:spacing w:after="0"/>
              <w:rPr>
                <w:sz w:val="20"/>
                <w:szCs w:val="20"/>
                <w:color w:val="auto"/>
              </w:rPr>
            </w:pPr>
            <w:r>
              <w:rPr>
                <w:rFonts w:ascii="Arial" w:cs="Arial" w:eastAsia="Arial" w:hAnsi="Arial"/>
                <w:sz w:val="14"/>
                <w:szCs w:val="14"/>
                <w:b w:val="1"/>
                <w:bCs w:val="1"/>
                <w:color w:val="auto"/>
              </w:rPr>
              <w:t>Fiscal Years</w:t>
            </w:r>
          </w:p>
        </w:tc>
        <w:tc>
          <w:tcPr>
            <w:tcW w:w="1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3"/>
              </w:rPr>
              <w:t>Fiscal Years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1"/>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115"/>
              <w:spacing w:after="0"/>
              <w:rPr>
                <w:sz w:val="20"/>
                <w:szCs w:val="20"/>
                <w:color w:val="auto"/>
              </w:rPr>
            </w:pPr>
            <w:r>
              <w:rPr>
                <w:rFonts w:ascii="Arial" w:cs="Arial" w:eastAsia="Arial" w:hAnsi="Arial"/>
                <w:sz w:val="14"/>
                <w:szCs w:val="14"/>
                <w:b w:val="1"/>
                <w:bCs w:val="1"/>
                <w:color w:val="auto"/>
                <w:w w:val="89"/>
              </w:rPr>
              <w:t>2011</w:t>
            </w: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2012-2013</w:t>
            </w:r>
          </w:p>
        </w:tc>
        <w:tc>
          <w:tcPr>
            <w:tcW w:w="26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2014-2015</w:t>
            </w:r>
          </w:p>
        </w:tc>
        <w:tc>
          <w:tcPr>
            <w:tcW w:w="1040" w:type="dxa"/>
            <w:vAlign w:val="bottom"/>
            <w:gridSpan w:val="3"/>
          </w:tcPr>
          <w:p>
            <w:pPr>
              <w:ind w:left="420"/>
              <w:spacing w:after="0"/>
              <w:rPr>
                <w:sz w:val="20"/>
                <w:szCs w:val="20"/>
                <w:color w:val="auto"/>
              </w:rPr>
            </w:pPr>
            <w:r>
              <w:rPr>
                <w:rFonts w:ascii="Arial" w:cs="Arial" w:eastAsia="Arial" w:hAnsi="Arial"/>
                <w:sz w:val="14"/>
                <w:szCs w:val="14"/>
                <w:b w:val="1"/>
                <w:bCs w:val="1"/>
                <w:color w:val="auto"/>
                <w:w w:val="87"/>
              </w:rPr>
              <w:t>Thereafter</w:t>
            </w:r>
          </w:p>
        </w:tc>
      </w:tr>
      <w:tr>
        <w:trPr>
          <w:trHeight w:val="142"/>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(in millions)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r>
      <w:tr>
        <w:trPr>
          <w:trHeight w:val="216"/>
        </w:trPr>
        <w:tc>
          <w:tcPr>
            <w:tcW w:w="88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16"/>
        </w:trPr>
        <w:tc>
          <w:tcPr>
            <w:tcW w:w="88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58.3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obligations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88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Pension obligations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88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obligations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8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Other obligations(1)</w:t>
            </w:r>
          </w:p>
        </w:tc>
        <w:tc>
          <w:tcPr>
            <w:tcW w:w="1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372.0</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obligations include future sabbatical obligations and asset retirement obligations.</w:t>
      </w:r>
    </w:p>
    <w:p>
      <w:pPr>
        <w:spacing w:after="0" w:line="15" w:lineRule="exact"/>
        <w:rPr>
          <w:rFonts w:ascii="Arial" w:cs="Arial" w:eastAsia="Arial" w:hAnsi="Arial"/>
          <w:sz w:val="18"/>
          <w:szCs w:val="18"/>
          <w:color w:val="auto"/>
        </w:rPr>
      </w:pPr>
    </w:p>
    <w:p>
      <w:pPr>
        <w:ind w:left="460" w:hanging="452"/>
        <w:spacing w:after="0" w:line="30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table generally excludes amounts already recorded on the balance sheet as current liabilities, certain purchase obligations as discussed below, long term deferred revenue and amounts related to income tax liabilities for uncertain tax positions, since we cannot predict with reasonable reliability the timing of cash settlements to the respective taxing authorities (see Note 5 “Income Taxes” to the Notes to Consolidated Financial Statements).</w:t>
      </w:r>
    </w:p>
    <w:p>
      <w:pPr>
        <w:spacing w:after="0" w:line="10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Operating lease obligations consist primarily of obligations for facilities, net of sublease income, computer equipment and other equipment leases.</w:t>
      </w:r>
    </w:p>
    <w:p>
      <w:pPr>
        <w:spacing w:after="0" w:line="194"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Purchase obligations are contractual obligations for purchase of goods or services are defined as agreements that are enforceable and legally binding on Autodesk and that specify all significant terms, including: fixed or minimum quantities to be purchased; fixed, minimum or variable price provisions; and the approximate timing of the transaction. Purchase obligations relate primarily to hosting services agreements, IT infrastructure costs, marketing costs and contractual software development services.</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Deferred compensation obligations relate to amounts held in a rabbi trust under our non-qualified deferred compensation plan. See Note 6 “Deferred Compensation,” in our Notes to Consolidated Financial Statements for further information regarding this plan.</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Pension obligations relate to our obligations for pension plans outside of the U.S. See Note 15, “Retirement Benefit Plans,” in our Notes to Consolidated Financial Statements for further information regarding these obligations.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Restructuring obligations relate to our fiscal 2010, 2009 and other restructuring plans. See Note 16, “Restructuring Reserves,” in our Notes to Consolidated Financial Statements for further information regarding our restructuring plans.</w:t>
      </w:r>
    </w:p>
    <w:p>
      <w:pPr>
        <w:spacing w:after="0" w:line="132"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Purchase orders or contracts for the purchase of supplies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 procurement or development needs and are fulfilled by our vendors within short time horizons. We do not have significant agreements for the purchase of supplies or</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other goods specifying minimum quantities or set prices that exceed our expected requirements for three months. In addition, we have certain software royalty commitments associated with the shipment and licensing of certain products. Royalty expense is generally based on the number of units shipped or a percentage of the underlying revenue. Royalty expense, included in cost of license and other revenue, was $16.5 million in fiscal 2010, $17.1 million in fiscal 2009 and $14.9 million in fiscal 2008.</w:t>
      </w:r>
    </w:p>
    <w:p>
      <w:pPr>
        <w:spacing w:after="0" w:line="14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expected timing of payment of the obligations discussed above is estimated based on current information. Timing of payments and actual amounts paid may be different depending on the time of receipt of goods or services or changes to agreed-upon amounts for some obligations.</w:t>
      </w:r>
    </w:p>
    <w:p>
      <w:pPr>
        <w:spacing w:after="0" w:line="8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provide indemnifications of varying scopes and certain guarantees, including limited product warranties. Historically, costs related to these warranties and indemnifications have not been significant, but because potential future costs are highly variable, we are unable to estimate the maximum potential impact of these guarantees on our future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Board of Directors approved a stock repurchase program authorizing the cumulative repurchase of up to 164.0 million shares. The purpose of the stock repurchase program is to help offset the dilution to net income per share caused by the issuance of stock under our employee stock plans and has the effect of returning excess cash generated from our business to stockholders. The number of shares acquired and the timing of the purchases are based on several factors, including general market conditions, the volume of employee stock option exercises, the trading price of our common stock, cash on hand and available in the U.S., and company defined trading windows. There were 1.0 million repurchases of our common stock during the three months ended January 31, 2010; during the year ended January 31, 2010 we repurchased 2.7 million shares of our common stock. At January 31, 2010, 13.5 million shares remained available for repurchase under the existing repurchase authorization. This program does not have a fixed expiration date. See Note 9, “Stockholder’ Equity,” in the Notes to Consolidated Financial Statements for further discussion.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Other than operating leases, we do not engage in off-balance sheet financing arrangements or have any variable-interest entities. As of January 31, 2010 we did not have any off-balance sheet arrangements as defined in Item 303(a)(4)(ii) of SEC Regulation S-K.</w:t>
      </w:r>
    </w:p>
    <w:p>
      <w:pPr>
        <w:spacing w:after="0" w:line="248" w:lineRule="exact"/>
        <w:rPr>
          <w:sz w:val="20"/>
          <w:szCs w:val="20"/>
          <w:color w:val="auto"/>
        </w:rPr>
      </w:pPr>
    </w:p>
    <w:p>
      <w:pPr>
        <w:ind w:right="3980"/>
        <w:spacing w:after="0" w:line="347" w:lineRule="auto"/>
        <w:rPr>
          <w:sz w:val="20"/>
          <w:szCs w:val="20"/>
          <w:color w:val="auto"/>
        </w:rPr>
      </w:pPr>
      <w:r>
        <w:rPr>
          <w:rFonts w:ascii="Arial" w:cs="Arial" w:eastAsia="Arial" w:hAnsi="Arial"/>
          <w:sz w:val="18"/>
          <w:szCs w:val="18"/>
          <w:b w:val="1"/>
          <w:bCs w:val="1"/>
          <w:color w:val="auto"/>
        </w:rPr>
        <w:t>ITEM 7A. QUANTITATIVE AND QUALITATIVE DISCLOSURES ABOUT MARKET RISK Foreign currency exchange risk</w:t>
      </w:r>
    </w:p>
    <w:p>
      <w:pPr>
        <w:spacing w:after="0" w:line="2"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Our revenue, earnings and cash flows are subject to fluctuations due to changes in foreign currency exchange rates. Our risk management strategy utilizes foreign currency contracts to manage our foreign currency exposures that exist as part of our ongoing business operations. As of January 31, 2010 and 2009, we had open contracts to hedge expected cash flows for one to 12 months in the future in order to reduce our exposure to foreign currency volatility. Contracts were primarily denominated in euros, Japanese yen, Swiss francs, British pounds and Canadian dollars. We do not enter into any foreign exchange derivative instruments for trading or speculative purposes. The notional amount of our option and forward contracts was $239.1 million and $276.7 million at January 31, 2010 and 2009, respectively.</w:t>
      </w:r>
    </w:p>
    <w:p>
      <w:pPr>
        <w:spacing w:after="0" w:line="144"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utilize foreign currency contracts to reduce the exchange rate impact on the net revenue and operating expenses of certain anticipated transactions. A sensitivity analysis performed on our hedging portfolio as of January 31, 2010 indicated that a hypothetical 10% appreciation of the U.S. dollar from its value at January 31, 2010 would increase the fair value of our contracts by $24.2 million. A hypothetical 10% depreciation of the</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dollar from its value at January 31, 2010 would decrease the fair value of our contracts by $13.1 million. We do not anticipate any material adverse impact to our consolidated financial position, results of operations or cash flows as a result of these foreign currency contracts.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Interest rate movements affect both the interest income we earn on our short term investments and, to a lesser extent, the market value of certain longer term securities. At January 31, 2010, we had $910.0 million of cash equivalents and marketable securities. With an average investment balance for the quarter of approximately $742.8 million, if interest rates were to increase (decrease) by 10%, this would result in a $0.1 million increase (decrease) in annual interest income. Further, at January 31, 2010, we had approximately $125.6 million invested in a longer term portfolio which, with 50 and 100 basis point moves, would result in market value changes (gains or losses) of $0.2 million over both six and 12 month periods. We do not use derivative financial instruments in our investment portfolio to manage interest rate risk.</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50</w:t>
      </w:r>
    </w:p>
    <w:p>
      <w:pPr>
        <w:sectPr>
          <w:pgSz w:w="11900" w:h="16838" w:orient="portrait"/>
          <w:cols w:equalWidth="0" w:num="1">
            <w:col w:w="11320"/>
          </w:cols>
          <w:pgMar w:left="24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750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 AND SUPPLEMENTARY DATA</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500" w:type="dxa"/>
            <w:vAlign w:val="bottom"/>
          </w:tcPr>
          <w:p>
            <w:pPr>
              <w:jc w:val="center"/>
              <w:ind w:left="2132"/>
              <w:spacing w:after="0"/>
              <w:rPr>
                <w:sz w:val="20"/>
                <w:szCs w:val="20"/>
                <w:color w:val="auto"/>
              </w:rPr>
            </w:pPr>
            <w:r>
              <w:rPr>
                <w:rFonts w:ascii="Arial" w:cs="Arial" w:eastAsia="Arial" w:hAnsi="Arial"/>
                <w:sz w:val="18"/>
                <w:szCs w:val="18"/>
                <w:b w:val="1"/>
                <w:bCs w:val="1"/>
                <w:color w:val="auto"/>
                <w:w w:val="97"/>
              </w:rPr>
              <w:t>AUTODESK, INC.</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500" w:type="dxa"/>
            <w:vAlign w:val="bottom"/>
          </w:tcPr>
          <w:p>
            <w:pPr>
              <w:jc w:val="center"/>
              <w:ind w:left="2112"/>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center"/>
              <w:ind w:left="355"/>
              <w:spacing w:after="0"/>
              <w:rPr>
                <w:sz w:val="20"/>
                <w:szCs w:val="20"/>
                <w:color w:val="auto"/>
              </w:rPr>
            </w:pPr>
            <w:r>
              <w:rPr>
                <w:rFonts w:ascii="Arial" w:cs="Arial" w:eastAsia="Arial" w:hAnsi="Arial"/>
                <w:sz w:val="14"/>
                <w:szCs w:val="14"/>
                <w:b w:val="1"/>
                <w:bCs w:val="1"/>
                <w:color w:val="auto"/>
                <w:w w:val="86"/>
              </w:rPr>
              <w:t>Fiscal year ended January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80"/>
              </w:rPr>
              <w:t>millions,</w:t>
            </w:r>
          </w:p>
        </w:tc>
        <w:tc>
          <w:tcPr>
            <w:tcW w:w="6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except per</w:t>
            </w:r>
          </w:p>
        </w:tc>
        <w:tc>
          <w:tcPr>
            <w:tcW w:w="1160" w:type="dxa"/>
            <w:vAlign w:val="bottom"/>
            <w:gridSpan w:val="4"/>
          </w:tcPr>
          <w:p>
            <w:pPr>
              <w:jc w:val="right"/>
              <w:ind w:right="393"/>
              <w:spacing w:after="0" w:line="142" w:lineRule="exact"/>
              <w:rPr>
                <w:sz w:val="20"/>
                <w:szCs w:val="20"/>
                <w:color w:val="auto"/>
              </w:rPr>
            </w:pPr>
            <w:r>
              <w:rPr>
                <w:rFonts w:ascii="Arial" w:cs="Arial" w:eastAsia="Arial" w:hAnsi="Arial"/>
                <w:sz w:val="14"/>
                <w:szCs w:val="14"/>
                <w:b w:val="1"/>
                <w:bCs w:val="1"/>
                <w:color w:val="auto"/>
                <w:w w:val="88"/>
              </w:rPr>
              <w:t>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License and other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980.7</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1,603.4</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Maintenance</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Total net revenue</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1,713.7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2,315.2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Cost of license and other revenue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maintenance revenue</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8"/>
              </w:rPr>
              <w:t>Gross profit</w:t>
            </w:r>
          </w:p>
        </w:tc>
        <w:tc>
          <w:tcPr>
            <w:tcW w:w="7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1,521.9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2,096.1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576.1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Impairment of goodwill and intangibles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128.9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1,456.3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1,851.6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820" w:type="dxa"/>
            <w:vAlign w:val="bottom"/>
            <w:gridSpan w:val="2"/>
          </w:tcPr>
          <w:p>
            <w:pPr>
              <w:jc w:val="right"/>
              <w:ind w:right="172"/>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72"/>
              <w:spacing w:after="0"/>
              <w:rPr>
                <w:sz w:val="20"/>
                <w:szCs w:val="20"/>
                <w:color w:val="auto"/>
              </w:rPr>
            </w:pPr>
            <w:r>
              <w:rPr>
                <w:rFonts w:ascii="Arial" w:cs="Arial" w:eastAsia="Arial" w:hAnsi="Arial"/>
                <w:sz w:val="18"/>
                <w:szCs w:val="18"/>
                <w:color w:val="auto"/>
              </w:rPr>
              <w:t>(68.9)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90"/>
              </w:rPr>
              <w:t>Net income</w:t>
            </w:r>
          </w:p>
        </w:tc>
        <w:tc>
          <w:tcPr>
            <w:tcW w:w="7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spacing w:after="0"/>
              <w:rPr>
                <w:sz w:val="20"/>
                <w:szCs w:val="20"/>
                <w:color w:val="auto"/>
              </w:rPr>
            </w:pPr>
            <w:r>
              <w:rPr>
                <w:rFonts w:ascii="Arial" w:cs="Arial" w:eastAsia="Arial" w:hAnsi="Arial"/>
                <w:sz w:val="18"/>
                <w:szCs w:val="18"/>
                <w:color w:val="auto"/>
              </w:rPr>
              <w:t>Basic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6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0.25</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0.81</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spacing w:after="0"/>
              <w:rPr>
                <w:sz w:val="20"/>
                <w:szCs w:val="20"/>
                <w:color w:val="auto"/>
              </w:rPr>
            </w:pPr>
            <w:r>
              <w:rPr>
                <w:rFonts w:ascii="Arial" w:cs="Arial" w:eastAsia="Arial" w:hAnsi="Arial"/>
                <w:sz w:val="18"/>
                <w:szCs w:val="18"/>
                <w:color w:val="auto"/>
              </w:rPr>
              <w:t>Shares used in computing basic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225.5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ind w:left="50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161.9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1,379.6</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1,388.0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Computer equipment, software, furniture and leasehold improvements, net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542.9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2,447.2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vMerge w:val="restart"/>
          </w:tcPr>
          <w:p>
            <w:pPr>
              <w:ind w:left="254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67.8</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Accrued income taxes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Borrowings under line of credit</w:t>
            </w: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704.0</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Long term income taxes payable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Long term deferred income taxes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Preferred stock, $0.01 par value; 2.0 million shares authorized; none issued or outstanding at January 31, 2010 and 2009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w w:val="97"/>
              </w:rPr>
              <w:t>Common stock and additional paid-in capital, $0.01 par value; 750.0 million shares authorized; 228.9 million shares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tcPr>
          <w:p>
            <w:pPr>
              <w:ind w:left="640"/>
              <w:spacing w:after="0"/>
              <w:rPr>
                <w:sz w:val="20"/>
                <w:szCs w:val="20"/>
                <w:color w:val="auto"/>
              </w:rPr>
            </w:pPr>
            <w:r>
              <w:rPr>
                <w:rFonts w:ascii="Arial" w:cs="Arial" w:eastAsia="Arial" w:hAnsi="Arial"/>
                <w:sz w:val="18"/>
                <w:szCs w:val="18"/>
                <w:color w:val="auto"/>
              </w:rPr>
              <w:t>outstanding at January 31, 2010 and 226.4 million shares outstanding at January 31, 2009</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1,204.3</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1,080.4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1,473.5</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2,447.2</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2,420.7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Fiscal year ended January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58.0</w:t>
            </w:r>
          </w:p>
        </w:tc>
        <w:tc>
          <w:tcPr>
            <w:tcW w:w="2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183.6</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Charge for acquired in-process research and development</w:t>
            </w:r>
          </w:p>
        </w:tc>
        <w:tc>
          <w:tcPr>
            <w:tcW w:w="10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goodwill and intangibles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Restructuring charges,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246.8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593.9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(568.9)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(727.0)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marketable securities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Maturities of marketable securities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328.7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Business combinations, net of cash acquired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(364.5)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equity investment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(283.0)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(478.1)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Proceeds from issuance of common stock, net of issuance costs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(256.6)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Draws on line of credit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912.4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line of credit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(860.3)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(114.4)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(375.7)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(78.9)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252.0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fiscal year</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917.6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917.9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fiscal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838.7</w:t>
            </w:r>
          </w:p>
        </w:tc>
        <w:tc>
          <w:tcPr>
            <w:tcW w:w="24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917.6</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Net cash paid during the period for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42.1</w:t>
            </w:r>
          </w:p>
        </w:tc>
        <w:tc>
          <w:tcPr>
            <w:tcW w:w="2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Supplemental non-cash investing activity:</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w w:val="99"/>
              </w:rPr>
              <w:t>Increase in goodwill and corresponding change in other accrued liabilities resulting from adjustments to</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auto"/>
              </w:rPr>
              <w:t>purchase accounting estimates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AUTODESK, INC.</w:t>
      </w:r>
    </w:p>
    <w:p>
      <w:pPr>
        <w:spacing w:after="0" w:line="63" w:lineRule="exact"/>
        <w:rPr>
          <w:sz w:val="20"/>
          <w:szCs w:val="20"/>
          <w:color w:val="auto"/>
        </w:rPr>
      </w:pPr>
    </w:p>
    <w:p>
      <w:pPr>
        <w:jc w:val="right"/>
        <w:ind w:right="30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380"/>
          </w:cols>
          <w:pgMar w:left="240" w:top="459" w:right="279" w:bottom="144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3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380" w:type="dxa"/>
            <w:vAlign w:val="bottom"/>
            <w:gridSpan w:val="6"/>
          </w:tcPr>
          <w:p>
            <w:pPr>
              <w:jc w:val="right"/>
              <w:ind w:right="300"/>
              <w:spacing w:after="0" w:line="149" w:lineRule="exact"/>
              <w:rPr>
                <w:sz w:val="20"/>
                <w:szCs w:val="20"/>
                <w:color w:val="auto"/>
              </w:rPr>
            </w:pPr>
            <w:r>
              <w:rPr>
                <w:rFonts w:ascii="Arial" w:cs="Arial" w:eastAsia="Arial" w:hAnsi="Arial"/>
                <w:sz w:val="14"/>
                <w:szCs w:val="14"/>
                <w:b w:val="1"/>
                <w:bCs w:val="1"/>
                <w:color w:val="auto"/>
              </w:rPr>
              <w:t>and additional</w:t>
            </w: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4"/>
                <w:szCs w:val="14"/>
                <w:color w:val="auto"/>
              </w:rPr>
            </w:pPr>
          </w:p>
        </w:tc>
        <w:tc>
          <w:tcPr>
            <w:tcW w:w="13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paid-in capital</w:t>
            </w:r>
          </w:p>
        </w:tc>
        <w:tc>
          <w:tcPr>
            <w:tcW w:w="0" w:type="dxa"/>
            <w:vAlign w:val="bottom"/>
          </w:tcPr>
          <w:p>
            <w:pPr>
              <w:spacing w:after="0"/>
              <w:rPr>
                <w:sz w:val="1"/>
                <w:szCs w:val="1"/>
                <w:color w:val="auto"/>
              </w:rPr>
            </w:pPr>
          </w:p>
        </w:tc>
      </w:tr>
      <w:tr>
        <w:trPr>
          <w:trHeight w:val="142"/>
        </w:trPr>
        <w:tc>
          <w:tcPr>
            <w:tcW w:w="5100" w:type="dxa"/>
            <w:vAlign w:val="bottom"/>
            <w:vMerge w:val="restart"/>
          </w:tcPr>
          <w:p>
            <w:pPr>
              <w:spacing w:after="0"/>
              <w:rPr>
                <w:sz w:val="20"/>
                <w:szCs w:val="20"/>
                <w:color w:val="auto"/>
              </w:rPr>
            </w:pPr>
            <w:r>
              <w:rPr>
                <w:rFonts w:ascii="Arial" w:cs="Arial" w:eastAsia="Arial" w:hAnsi="Arial"/>
                <w:sz w:val="14"/>
                <w:szCs w:val="14"/>
                <w:color w:val="auto"/>
              </w:rPr>
              <w:t>Balances, January 31, 2007</w:t>
            </w:r>
          </w:p>
        </w:tc>
        <w:tc>
          <w:tcPr>
            <w:tcW w:w="860" w:type="dxa"/>
            <w:vAlign w:val="bottom"/>
            <w:tcBorders>
              <w:top w:val="single" w:sz="8" w:color="auto"/>
            </w:tcBorders>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w w:val="76"/>
              </w:rPr>
              <w:t>Shares</w:t>
            </w: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100" w:type="dxa"/>
            <w:vAlign w:val="bottom"/>
            <w:vMerge w:val="continue"/>
          </w:tcPr>
          <w:p>
            <w:pPr>
              <w:spacing w:after="0"/>
              <w:rPr>
                <w:sz w:val="11"/>
                <w:szCs w:val="11"/>
                <w:color w:val="auto"/>
              </w:rPr>
            </w:pPr>
          </w:p>
        </w:tc>
        <w:tc>
          <w:tcPr>
            <w:tcW w:w="4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231.1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908.3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Cumulative effect of the adoption of FIN 48</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Common shares issued under stock award and stock purchase plans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11.0</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187.3</w:t>
            </w: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Compensation expense related to stock options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Tender offer</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Tax benefits from employee stock plans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Other comprehensive income, net of tax:</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ind w:left="440"/>
              <w:spacing w:after="0" w:line="149" w:lineRule="exact"/>
              <w:rPr>
                <w:sz w:val="20"/>
                <w:szCs w:val="20"/>
                <w:color w:val="auto"/>
              </w:rPr>
            </w:pPr>
            <w:r>
              <w:rPr>
                <w:rFonts w:ascii="Arial" w:cs="Arial" w:eastAsia="Arial" w:hAnsi="Arial"/>
                <w:sz w:val="14"/>
                <w:szCs w:val="14"/>
                <w:color w:val="auto"/>
              </w:rPr>
              <w:t>Change in net unrealized gain (loss) on marketable securities, net of tax</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100" w:type="dxa"/>
            <w:vAlign w:val="bottom"/>
          </w:tcPr>
          <w:p>
            <w:pPr>
              <w:ind w:left="440"/>
              <w:spacing w:after="0"/>
              <w:rPr>
                <w:sz w:val="20"/>
                <w:szCs w:val="20"/>
                <w:color w:val="auto"/>
              </w:rPr>
            </w:pPr>
            <w:r>
              <w:rPr>
                <w:rFonts w:ascii="Arial" w:cs="Arial" w:eastAsia="Arial" w:hAnsi="Arial"/>
                <w:sz w:val="14"/>
                <w:szCs w:val="14"/>
                <w:color w:val="auto"/>
              </w:rPr>
              <w:t>Net change in cumulative foreign currency translation gain (loss)</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440"/>
              <w:spacing w:after="0"/>
              <w:rPr>
                <w:sz w:val="20"/>
                <w:szCs w:val="20"/>
                <w:color w:val="auto"/>
              </w:rPr>
            </w:pPr>
            <w:r>
              <w:rPr>
                <w:rFonts w:ascii="Arial" w:cs="Arial" w:eastAsia="Arial" w:hAnsi="Arial"/>
                <w:sz w:val="14"/>
                <w:szCs w:val="14"/>
                <w:color w:val="auto"/>
              </w:rPr>
              <w:t>Other comprehensive income</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880"/>
              <w:spacing w:after="0"/>
              <w:rPr>
                <w:sz w:val="20"/>
                <w:szCs w:val="20"/>
                <w:color w:val="auto"/>
              </w:rPr>
            </w:pPr>
            <w:r>
              <w:rPr>
                <w:rFonts w:ascii="Arial" w:cs="Arial" w:eastAsia="Arial" w:hAnsi="Arial"/>
                <w:sz w:val="14"/>
                <w:szCs w:val="14"/>
                <w:color w:val="auto"/>
              </w:rPr>
              <w:t>Comprehensive income</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00" w:type="dxa"/>
            <w:vAlign w:val="bottom"/>
          </w:tcPr>
          <w:p>
            <w:pPr>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gridSpan w:val="3"/>
          </w:tcPr>
          <w:p>
            <w:pPr>
              <w:jc w:val="right"/>
              <w:ind w:right="420"/>
              <w:spacing w:after="0"/>
              <w:rPr>
                <w:sz w:val="20"/>
                <w:szCs w:val="20"/>
                <w:color w:val="auto"/>
              </w:rPr>
            </w:pPr>
            <w:r>
              <w:rPr>
                <w:rFonts w:ascii="Arial" w:cs="Arial" w:eastAsia="Arial" w:hAnsi="Arial"/>
                <w:sz w:val="14"/>
                <w:szCs w:val="14"/>
                <w:color w:val="auto"/>
              </w:rPr>
              <w:t>(12.1)</w:t>
            </w:r>
          </w:p>
        </w:tc>
        <w:tc>
          <w:tcPr>
            <w:tcW w:w="6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w w:val="99"/>
              </w:rPr>
              <w:t>(188.5)</w:t>
            </w:r>
          </w:p>
        </w:tc>
        <w:tc>
          <w:tcPr>
            <w:tcW w:w="0" w:type="dxa"/>
            <w:vAlign w:val="bottom"/>
          </w:tcPr>
          <w:p>
            <w:pPr>
              <w:spacing w:after="0"/>
              <w:rPr>
                <w:sz w:val="1"/>
                <w:szCs w:val="1"/>
                <w:color w:val="auto"/>
              </w:rPr>
            </w:pPr>
          </w:p>
        </w:tc>
      </w:tr>
      <w:tr>
        <w:trPr>
          <w:trHeight w:val="145"/>
        </w:trPr>
        <w:tc>
          <w:tcPr>
            <w:tcW w:w="5100" w:type="dxa"/>
            <w:vAlign w:val="bottom"/>
          </w:tcPr>
          <w:p>
            <w:pPr>
              <w:spacing w:after="0" w:line="145" w:lineRule="exact"/>
              <w:rPr>
                <w:sz w:val="20"/>
                <w:szCs w:val="20"/>
                <w:color w:val="auto"/>
              </w:rPr>
            </w:pPr>
            <w:r>
              <w:rPr>
                <w:rFonts w:ascii="Arial" w:cs="Arial" w:eastAsia="Arial" w:hAnsi="Arial"/>
                <w:sz w:val="14"/>
                <w:szCs w:val="14"/>
                <w:color w:val="auto"/>
              </w:rPr>
              <w:t>Balances, January 31, 2008</w:t>
            </w:r>
          </w:p>
        </w:tc>
        <w:tc>
          <w:tcPr>
            <w:tcW w:w="420" w:type="dxa"/>
            <w:vAlign w:val="bottom"/>
            <w:tcBorders>
              <w:top w:val="single" w:sz="8" w:color="auto"/>
            </w:tcBorders>
            <w:gridSpan w:val="2"/>
          </w:tcPr>
          <w:p>
            <w:pPr>
              <w:jc w:val="right"/>
              <w:ind w:right="20"/>
              <w:spacing w:after="0" w:line="145" w:lineRule="exact"/>
              <w:rPr>
                <w:sz w:val="20"/>
                <w:szCs w:val="20"/>
                <w:color w:val="auto"/>
              </w:rPr>
            </w:pPr>
            <w:r>
              <w:rPr>
                <w:rFonts w:ascii="Arial" w:cs="Arial" w:eastAsia="Arial" w:hAnsi="Arial"/>
                <w:sz w:val="14"/>
                <w:szCs w:val="14"/>
                <w:color w:val="auto"/>
              </w:rPr>
              <w:t>230.0</w:t>
            </w:r>
          </w:p>
        </w:tc>
        <w:tc>
          <w:tcPr>
            <w:tcW w:w="4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998.3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Common shares issued under stock award and stock purchase plans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Compensation expense related to stock options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Tax benefits from employee stock plans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Other comprehensive income, net of tax:</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ind w:left="440"/>
              <w:spacing w:after="0" w:line="149" w:lineRule="exact"/>
              <w:rPr>
                <w:sz w:val="20"/>
                <w:szCs w:val="20"/>
                <w:color w:val="auto"/>
              </w:rPr>
            </w:pPr>
            <w:r>
              <w:rPr>
                <w:rFonts w:ascii="Arial" w:cs="Arial" w:eastAsia="Arial" w:hAnsi="Arial"/>
                <w:sz w:val="14"/>
                <w:szCs w:val="14"/>
                <w:color w:val="auto"/>
              </w:rPr>
              <w:t>Net gain (loss) on derivative instruments, net of tax</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ind w:left="440"/>
              <w:spacing w:after="0" w:line="149" w:lineRule="exact"/>
              <w:rPr>
                <w:sz w:val="20"/>
                <w:szCs w:val="20"/>
                <w:color w:val="auto"/>
              </w:rPr>
            </w:pPr>
            <w:r>
              <w:rPr>
                <w:rFonts w:ascii="Arial" w:cs="Arial" w:eastAsia="Arial" w:hAnsi="Arial"/>
                <w:sz w:val="14"/>
                <w:szCs w:val="14"/>
                <w:color w:val="auto"/>
              </w:rPr>
              <w:t>Change in net unrealized gain (loss) on marketable securities, net of tax</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100" w:type="dxa"/>
            <w:vAlign w:val="bottom"/>
          </w:tcPr>
          <w:p>
            <w:pPr>
              <w:ind w:left="440"/>
              <w:spacing w:after="0"/>
              <w:rPr>
                <w:sz w:val="20"/>
                <w:szCs w:val="20"/>
                <w:color w:val="auto"/>
              </w:rPr>
            </w:pPr>
            <w:r>
              <w:rPr>
                <w:rFonts w:ascii="Arial" w:cs="Arial" w:eastAsia="Arial" w:hAnsi="Arial"/>
                <w:sz w:val="14"/>
                <w:szCs w:val="14"/>
                <w:color w:val="auto"/>
              </w:rPr>
              <w:t>Net change in cumulative foreign currency translation gain (loss)</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440"/>
              <w:spacing w:after="0"/>
              <w:rPr>
                <w:sz w:val="20"/>
                <w:szCs w:val="20"/>
                <w:color w:val="auto"/>
              </w:rPr>
            </w:pPr>
            <w:r>
              <w:rPr>
                <w:rFonts w:ascii="Arial" w:cs="Arial" w:eastAsia="Arial" w:hAnsi="Arial"/>
                <w:sz w:val="14"/>
                <w:szCs w:val="14"/>
                <w:color w:val="auto"/>
              </w:rPr>
              <w:t>Other comprehensive income</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880"/>
              <w:spacing w:after="0"/>
              <w:rPr>
                <w:sz w:val="20"/>
                <w:szCs w:val="20"/>
                <w:color w:val="auto"/>
              </w:rPr>
            </w:pPr>
            <w:r>
              <w:rPr>
                <w:rFonts w:ascii="Arial" w:cs="Arial" w:eastAsia="Arial" w:hAnsi="Arial"/>
                <w:sz w:val="14"/>
                <w:szCs w:val="14"/>
                <w:color w:val="auto"/>
              </w:rPr>
              <w:t>Comprehensive income</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00" w:type="dxa"/>
            <w:vAlign w:val="bottom"/>
          </w:tcPr>
          <w:p>
            <w:pPr>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gridSpan w:val="3"/>
          </w:tcPr>
          <w:p>
            <w:pPr>
              <w:jc w:val="right"/>
              <w:ind w:right="420"/>
              <w:spacing w:after="0"/>
              <w:rPr>
                <w:sz w:val="20"/>
                <w:szCs w:val="20"/>
                <w:color w:val="auto"/>
              </w:rPr>
            </w:pPr>
            <w:r>
              <w:rPr>
                <w:rFonts w:ascii="Arial" w:cs="Arial" w:eastAsia="Arial" w:hAnsi="Arial"/>
                <w:sz w:val="14"/>
                <w:szCs w:val="14"/>
                <w:color w:val="auto"/>
              </w:rPr>
              <w:t>(8.0)</w:t>
            </w:r>
          </w:p>
        </w:tc>
        <w:tc>
          <w:tcPr>
            <w:tcW w:w="6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145"/>
        </w:trPr>
        <w:tc>
          <w:tcPr>
            <w:tcW w:w="5100" w:type="dxa"/>
            <w:vAlign w:val="bottom"/>
          </w:tcPr>
          <w:p>
            <w:pPr>
              <w:spacing w:after="0" w:line="145" w:lineRule="exact"/>
              <w:rPr>
                <w:sz w:val="20"/>
                <w:szCs w:val="20"/>
                <w:color w:val="auto"/>
              </w:rPr>
            </w:pPr>
            <w:r>
              <w:rPr>
                <w:rFonts w:ascii="Arial" w:cs="Arial" w:eastAsia="Arial" w:hAnsi="Arial"/>
                <w:sz w:val="14"/>
                <w:szCs w:val="14"/>
                <w:color w:val="auto"/>
              </w:rPr>
              <w:t>Balances, January 31, 2009</w:t>
            </w:r>
          </w:p>
        </w:tc>
        <w:tc>
          <w:tcPr>
            <w:tcW w:w="420" w:type="dxa"/>
            <w:vAlign w:val="bottom"/>
            <w:tcBorders>
              <w:top w:val="single" w:sz="8" w:color="auto"/>
            </w:tcBorders>
            <w:gridSpan w:val="2"/>
          </w:tcPr>
          <w:p>
            <w:pPr>
              <w:jc w:val="right"/>
              <w:ind w:right="20"/>
              <w:spacing w:after="0" w:line="145" w:lineRule="exact"/>
              <w:rPr>
                <w:sz w:val="20"/>
                <w:szCs w:val="20"/>
                <w:color w:val="auto"/>
              </w:rPr>
            </w:pPr>
            <w:r>
              <w:rPr>
                <w:rFonts w:ascii="Arial" w:cs="Arial" w:eastAsia="Arial" w:hAnsi="Arial"/>
                <w:sz w:val="14"/>
                <w:szCs w:val="14"/>
                <w:color w:val="auto"/>
              </w:rPr>
              <w:t>226.4</w:t>
            </w:r>
          </w:p>
        </w:tc>
        <w:tc>
          <w:tcPr>
            <w:tcW w:w="4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w w:val="85"/>
              </w:rPr>
              <w:t>1,080.4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Common shares issued under stock award and stock purchase plans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Compensation expense related to stock options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Tax benefits from employee stock plans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Other comprehensive income, net of tax:</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ind w:left="440"/>
              <w:spacing w:after="0" w:line="149" w:lineRule="exact"/>
              <w:rPr>
                <w:sz w:val="20"/>
                <w:szCs w:val="20"/>
                <w:color w:val="auto"/>
              </w:rPr>
            </w:pPr>
            <w:r>
              <w:rPr>
                <w:rFonts w:ascii="Arial" w:cs="Arial" w:eastAsia="Arial" w:hAnsi="Arial"/>
                <w:sz w:val="14"/>
                <w:szCs w:val="14"/>
                <w:color w:val="auto"/>
              </w:rPr>
              <w:t>Net gain (loss) on derivative instruments, net of tax</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ind w:left="440"/>
              <w:spacing w:after="0" w:line="149" w:lineRule="exact"/>
              <w:rPr>
                <w:sz w:val="20"/>
                <w:szCs w:val="20"/>
                <w:color w:val="auto"/>
              </w:rPr>
            </w:pPr>
            <w:r>
              <w:rPr>
                <w:rFonts w:ascii="Arial" w:cs="Arial" w:eastAsia="Arial" w:hAnsi="Arial"/>
                <w:sz w:val="14"/>
                <w:szCs w:val="14"/>
                <w:color w:val="auto"/>
              </w:rPr>
              <w:t>Change in net unrealized gain (loss) on marketable securities, net of tax</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ind w:left="440"/>
              <w:spacing w:after="0" w:line="149" w:lineRule="exact"/>
              <w:rPr>
                <w:sz w:val="20"/>
                <w:szCs w:val="20"/>
                <w:color w:val="auto"/>
              </w:rPr>
            </w:pPr>
            <w:r>
              <w:rPr>
                <w:rFonts w:ascii="Arial" w:cs="Arial" w:eastAsia="Arial" w:hAnsi="Arial"/>
                <w:sz w:val="14"/>
                <w:szCs w:val="14"/>
                <w:color w:val="auto"/>
              </w:rPr>
              <w:t>Change in unfunded portion of pension plans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100" w:type="dxa"/>
            <w:vAlign w:val="bottom"/>
          </w:tcPr>
          <w:p>
            <w:pPr>
              <w:ind w:left="440"/>
              <w:spacing w:after="0"/>
              <w:rPr>
                <w:sz w:val="20"/>
                <w:szCs w:val="20"/>
                <w:color w:val="auto"/>
              </w:rPr>
            </w:pPr>
            <w:r>
              <w:rPr>
                <w:rFonts w:ascii="Arial" w:cs="Arial" w:eastAsia="Arial" w:hAnsi="Arial"/>
                <w:sz w:val="14"/>
                <w:szCs w:val="14"/>
                <w:color w:val="auto"/>
              </w:rPr>
              <w:t>Net change in cumulative foreign currency translation gain (loss)</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440"/>
              <w:spacing w:after="0"/>
              <w:rPr>
                <w:sz w:val="20"/>
                <w:szCs w:val="20"/>
                <w:color w:val="auto"/>
              </w:rPr>
            </w:pPr>
            <w:r>
              <w:rPr>
                <w:rFonts w:ascii="Arial" w:cs="Arial" w:eastAsia="Arial" w:hAnsi="Arial"/>
                <w:sz w:val="14"/>
                <w:szCs w:val="14"/>
                <w:color w:val="auto"/>
              </w:rPr>
              <w:t>Other comprehensive income (loss)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880"/>
              <w:spacing w:after="0"/>
              <w:rPr>
                <w:sz w:val="20"/>
                <w:szCs w:val="20"/>
                <w:color w:val="auto"/>
              </w:rPr>
            </w:pPr>
            <w:r>
              <w:rPr>
                <w:rFonts w:ascii="Arial" w:cs="Arial" w:eastAsia="Arial" w:hAnsi="Arial"/>
                <w:sz w:val="14"/>
                <w:szCs w:val="14"/>
                <w:color w:val="auto"/>
              </w:rPr>
              <w:t>Comprehensive income (loss)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00" w:type="dxa"/>
            <w:vAlign w:val="bottom"/>
          </w:tcPr>
          <w:p>
            <w:pPr>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gridSpan w:val="3"/>
          </w:tcPr>
          <w:p>
            <w:pPr>
              <w:jc w:val="right"/>
              <w:ind w:right="420"/>
              <w:spacing w:after="0"/>
              <w:rPr>
                <w:sz w:val="20"/>
                <w:szCs w:val="20"/>
                <w:color w:val="auto"/>
              </w:rPr>
            </w:pPr>
            <w:r>
              <w:rPr>
                <w:rFonts w:ascii="Arial" w:cs="Arial" w:eastAsia="Arial" w:hAnsi="Arial"/>
                <w:sz w:val="14"/>
                <w:szCs w:val="14"/>
                <w:color w:val="auto"/>
              </w:rPr>
              <w:t>(2.7)</w:t>
            </w:r>
          </w:p>
        </w:tc>
        <w:tc>
          <w:tcPr>
            <w:tcW w:w="6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56"/>
        </w:trPr>
        <w:tc>
          <w:tcPr>
            <w:tcW w:w="5100" w:type="dxa"/>
            <w:vAlign w:val="bottom"/>
          </w:tcPr>
          <w:p>
            <w:pPr>
              <w:spacing w:after="0" w:line="155" w:lineRule="exact"/>
              <w:rPr>
                <w:sz w:val="20"/>
                <w:szCs w:val="20"/>
                <w:color w:val="auto"/>
              </w:rPr>
            </w:pPr>
            <w:r>
              <w:rPr>
                <w:rFonts w:ascii="Arial" w:cs="Arial" w:eastAsia="Arial" w:hAnsi="Arial"/>
                <w:sz w:val="14"/>
                <w:szCs w:val="14"/>
                <w:color w:val="auto"/>
              </w:rPr>
              <w:t>Balances, January 31, 2010</w:t>
            </w:r>
          </w:p>
        </w:tc>
        <w:tc>
          <w:tcPr>
            <w:tcW w:w="42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228.9</w:t>
            </w:r>
          </w:p>
        </w:tc>
        <w:tc>
          <w:tcPr>
            <w:tcW w:w="4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1,204.3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-4244340</wp:posOffset>
            </wp:positionV>
            <wp:extent cx="7246620" cy="94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-4055745</wp:posOffset>
            </wp:positionV>
            <wp:extent cx="7246620" cy="94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-3867150</wp:posOffset>
            </wp:positionV>
            <wp:extent cx="7246620" cy="94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-3678555</wp:posOffset>
            </wp:positionV>
            <wp:extent cx="7246620" cy="94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-3489960</wp:posOffset>
            </wp:positionV>
            <wp:extent cx="7246620" cy="946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-3301365</wp:posOffset>
            </wp:positionV>
            <wp:extent cx="7246620" cy="94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-3077845</wp:posOffset>
            </wp:positionV>
            <wp:extent cx="7246620" cy="94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-2837815</wp:posOffset>
            </wp:positionV>
            <wp:extent cx="7246620" cy="94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-2649220</wp:posOffset>
            </wp:positionV>
            <wp:extent cx="7246620" cy="94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-2460625</wp:posOffset>
            </wp:positionV>
            <wp:extent cx="7246620"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-2272030</wp:posOffset>
            </wp:positionV>
            <wp:extent cx="7246620" cy="946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-2083435</wp:posOffset>
            </wp:positionV>
            <wp:extent cx="7246620" cy="94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246620"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-1637030</wp:posOffset>
            </wp:positionV>
            <wp:extent cx="7246620" cy="94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-1431290</wp:posOffset>
            </wp:positionV>
            <wp:extent cx="7246620" cy="94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7246620" cy="94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-1054100</wp:posOffset>
            </wp:positionV>
            <wp:extent cx="7246620"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246620"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24662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246620"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4"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other</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20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4"/>
              </w:rPr>
              <w:t>Retained</w:t>
            </w: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stockholders'</w:t>
            </w:r>
          </w:p>
        </w:tc>
      </w:tr>
      <w:tr>
        <w:trPr>
          <w:trHeight w:val="161"/>
        </w:trPr>
        <w:tc>
          <w:tcPr>
            <w:tcW w:w="140" w:type="dxa"/>
            <w:vAlign w:val="bottom"/>
          </w:tcPr>
          <w:p>
            <w:pPr>
              <w:spacing w:after="0"/>
              <w:rPr>
                <w:sz w:val="14"/>
                <w:szCs w:val="1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Income</w:t>
            </w: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1"/>
              </w:rPr>
              <w:t>income (loss)</w:t>
            </w:r>
          </w:p>
        </w:tc>
        <w:tc>
          <w:tcPr>
            <w:tcW w:w="20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earnings</w:t>
            </w:r>
          </w:p>
        </w:tc>
        <w:tc>
          <w:tcPr>
            <w:tcW w:w="14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equity</w:t>
            </w:r>
          </w:p>
        </w:tc>
      </w:tr>
      <w:tr>
        <w:trPr>
          <w:trHeight w:val="131"/>
        </w:trPr>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Borders>
              <w:top w:val="single" w:sz="8" w:color="auto"/>
            </w:tcBorders>
          </w:tcPr>
          <w:p>
            <w:pPr>
              <w:jc w:val="right"/>
              <w:ind w:right="57"/>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(3.6)</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91"/>
              </w:rPr>
              <w:t>$   210.3</w:t>
            </w:r>
          </w:p>
        </w:tc>
        <w:tc>
          <w:tcPr>
            <w:tcW w:w="460" w:type="dxa"/>
            <w:vAlign w:val="bottom"/>
          </w:tcPr>
          <w:p>
            <w:pPr>
              <w:spacing w:after="0"/>
              <w:rPr>
                <w:sz w:val="11"/>
                <w:szCs w:val="11"/>
                <w:color w:val="auto"/>
              </w:rPr>
            </w:pPr>
          </w:p>
        </w:tc>
        <w:tc>
          <w:tcPr>
            <w:tcW w:w="1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1,115.0</w:t>
            </w:r>
          </w:p>
        </w:tc>
        <w:tc>
          <w:tcPr>
            <w:tcW w:w="40" w:type="dxa"/>
            <w:vAlign w:val="bottom"/>
          </w:tcPr>
          <w:p>
            <w:pPr>
              <w:spacing w:after="0"/>
              <w:rPr>
                <w:sz w:val="11"/>
                <w:szCs w:val="11"/>
                <w:color w:val="auto"/>
              </w:rPr>
            </w:pPr>
          </w:p>
        </w:tc>
      </w:tr>
      <w:tr>
        <w:trPr>
          <w:trHeight w:val="149"/>
        </w:trPr>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26.4</w:t>
            </w: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25.0</w:t>
            </w:r>
          </w:p>
        </w:tc>
      </w:tr>
      <w:tr>
        <w:trPr>
          <w:trHeight w:val="149"/>
        </w:trPr>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187.3</w:t>
            </w:r>
          </w:p>
        </w:tc>
      </w:tr>
      <w:tr>
        <w:trPr>
          <w:trHeight w:val="149"/>
        </w:trPr>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99.3</w:t>
            </w:r>
          </w:p>
        </w:tc>
      </w:tr>
      <w:tr>
        <w:trPr>
          <w:trHeight w:val="149"/>
        </w:trPr>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w:t>
            </w:r>
          </w:p>
        </w:tc>
      </w:tr>
      <w:tr>
        <w:trPr>
          <w:trHeight w:val="172"/>
        </w:trPr>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(2.3)</w:t>
            </w:r>
          </w:p>
        </w:tc>
      </w:tr>
      <w:tr>
        <w:trPr>
          <w:trHeight w:val="297"/>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356.2</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4"/>
                <w:szCs w:val="14"/>
                <w:color w:val="auto"/>
              </w:rPr>
              <w:t>356.2</w:t>
            </w:r>
          </w:p>
        </w:tc>
        <w:tc>
          <w:tcPr>
            <w:tcW w:w="14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356.2</w:t>
            </w:r>
          </w:p>
        </w:tc>
      </w:tr>
      <w:tr>
        <w:trPr>
          <w:trHeight w:val="273"/>
        </w:trPr>
        <w:tc>
          <w:tcPr>
            <w:tcW w:w="140" w:type="dxa"/>
            <w:vAlign w:val="bottom"/>
          </w:tcPr>
          <w:p>
            <w:pPr>
              <w:spacing w:after="0"/>
              <w:rPr>
                <w:sz w:val="23"/>
                <w:szCs w:val="23"/>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color w:val="auto"/>
              </w:rPr>
              <w:t>(0.4)</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59"/>
        </w:trPr>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17.8</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17.4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17.4</w:t>
            </w:r>
          </w:p>
        </w:tc>
      </w:tr>
    </w:tbl>
    <w:p>
      <w:pPr>
        <w:spacing w:after="0" w:line="1" w:lineRule="exact"/>
        <w:rPr>
          <w:sz w:val="20"/>
          <w:szCs w:val="20"/>
          <w:color w:val="auto"/>
        </w:rPr>
      </w:pPr>
    </w:p>
    <w:p>
      <w:pPr>
        <w:ind w:left="604" w:hanging="604"/>
        <w:spacing w:after="0"/>
        <w:tabs>
          <w:tab w:leader="none" w:pos="604" w:val="left"/>
        </w:tabs>
        <w:numPr>
          <w:ilvl w:val="0"/>
          <w:numId w:val="13"/>
        </w:numPr>
        <w:rPr>
          <w:rFonts w:ascii="Arial" w:cs="Arial" w:eastAsia="Arial" w:hAnsi="Arial"/>
          <w:sz w:val="14"/>
          <w:szCs w:val="14"/>
          <w:color w:val="auto"/>
        </w:rPr>
      </w:pPr>
      <w:r>
        <w:rPr>
          <w:rFonts w:ascii="Arial" w:cs="Arial" w:eastAsia="Arial" w:hAnsi="Arial"/>
          <w:sz w:val="14"/>
          <w:szCs w:val="14"/>
          <w:color w:val="auto"/>
        </w:rPr>
        <w:t>373.6</w:t>
      </w:r>
    </w:p>
    <w:tbl>
      <w:tblPr>
        <w:tblLayout w:type="fixed"/>
        <w:tblInd w:w="4" w:type="dxa"/>
        <w:tblCellMar>
          <w:top w:w="0" w:type="dxa"/>
          <w:left w:w="0" w:type="dxa"/>
          <w:bottom w:w="0" w:type="dxa"/>
          <w:right w:w="0" w:type="dxa"/>
        </w:tblCellMar>
      </w:tblPr>
      <w:tr>
        <w:trPr>
          <w:trHeight w:val="183"/>
        </w:trPr>
        <w:tc>
          <w:tcPr>
            <w:tcW w:w="3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(374.5)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(563.0)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Arial" w:cs="Arial" w:eastAsia="Arial" w:hAnsi="Arial"/>
                <w:sz w:val="14"/>
                <w:szCs w:val="14"/>
                <w:color w:val="auto"/>
              </w:rPr>
              <w:t>13.8</w:t>
            </w:r>
          </w:p>
        </w:tc>
        <w:tc>
          <w:tcPr>
            <w:tcW w:w="460" w:type="dxa"/>
            <w:vAlign w:val="bottom"/>
          </w:tcPr>
          <w:p>
            <w:pPr>
              <w:spacing w:after="0"/>
              <w:rPr>
                <w:sz w:val="12"/>
                <w:szCs w:val="12"/>
                <w:color w:val="auto"/>
              </w:rPr>
            </w:pPr>
          </w:p>
        </w:tc>
        <w:tc>
          <w:tcPr>
            <w:tcW w:w="98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218.4</w:t>
            </w:r>
          </w:p>
        </w:tc>
        <w:tc>
          <w:tcPr>
            <w:tcW w:w="82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1,230.5</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97"/>
        </w:trPr>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183.6</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183.6</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183.6</w:t>
            </w:r>
          </w:p>
        </w:tc>
        <w:tc>
          <w:tcPr>
            <w:tcW w:w="0" w:type="dxa"/>
            <w:vAlign w:val="bottom"/>
          </w:tcPr>
          <w:p>
            <w:pPr>
              <w:spacing w:after="0"/>
              <w:rPr>
                <w:sz w:val="1"/>
                <w:szCs w:val="1"/>
                <w:color w:val="auto"/>
              </w:rPr>
            </w:pPr>
          </w:p>
        </w:tc>
      </w:tr>
      <w:tr>
        <w:trPr>
          <w:trHeight w:val="273"/>
        </w:trPr>
        <w:tc>
          <w:tcPr>
            <w:tcW w:w="320" w:type="dxa"/>
            <w:vAlign w:val="bottom"/>
          </w:tcPr>
          <w:p>
            <w:pPr>
              <w:spacing w:after="0"/>
              <w:rPr>
                <w:sz w:val="23"/>
                <w:szCs w:val="2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(0.2)</w:t>
            </w: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0.4</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10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(25.2)</w:t>
            </w: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(25.0)</w:t>
            </w: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104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(25.0)</w:t>
            </w:r>
          </w:p>
        </w:tc>
        <w:tc>
          <w:tcPr>
            <w:tcW w:w="132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left="604" w:hanging="604"/>
        <w:spacing w:after="0"/>
        <w:tabs>
          <w:tab w:leader="none" w:pos="604" w:val="left"/>
        </w:tabs>
        <w:numPr>
          <w:ilvl w:val="0"/>
          <w:numId w:val="14"/>
        </w:numPr>
        <w:rPr>
          <w:rFonts w:ascii="Arial" w:cs="Arial" w:eastAsia="Arial" w:hAnsi="Arial"/>
          <w:sz w:val="14"/>
          <w:szCs w:val="14"/>
          <w:color w:val="auto"/>
        </w:rPr>
      </w:pPr>
      <w:r>
        <w:rPr>
          <w:rFonts w:ascii="Arial" w:cs="Arial" w:eastAsia="Arial" w:hAnsi="Arial"/>
          <w:sz w:val="14"/>
          <w:szCs w:val="14"/>
          <w:color w:val="auto"/>
        </w:rPr>
        <w:t>158.6</w:t>
      </w:r>
    </w:p>
    <w:tbl>
      <w:tblPr>
        <w:tblLayout w:type="fixed"/>
        <w:tblInd w:w="4" w:type="dxa"/>
        <w:tblCellMar>
          <w:top w:w="0" w:type="dxa"/>
          <w:left w:w="0" w:type="dxa"/>
          <w:bottom w:w="0" w:type="dxa"/>
          <w:right w:w="0" w:type="dxa"/>
        </w:tblCellMar>
      </w:tblPr>
      <w:tr>
        <w:trPr>
          <w:trHeight w:val="183"/>
        </w:trPr>
        <w:tc>
          <w:tcPr>
            <w:tcW w:w="3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(160.5)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(256.6)</w:t>
            </w:r>
          </w:p>
        </w:tc>
      </w:tr>
      <w:tr>
        <w:trPr>
          <w:trHeight w:val="20"/>
        </w:trPr>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5"/>
        </w:trPr>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(11.2)</w:t>
            </w:r>
          </w:p>
        </w:tc>
        <w:tc>
          <w:tcPr>
            <w:tcW w:w="98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241.5</w:t>
            </w:r>
          </w:p>
        </w:tc>
        <w:tc>
          <w:tcPr>
            <w:tcW w:w="82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1,310.7</w:t>
            </w:r>
          </w:p>
        </w:tc>
      </w:tr>
      <w:tr>
        <w:trPr>
          <w:trHeight w:val="149"/>
        </w:trPr>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70.4</w:t>
            </w:r>
          </w:p>
        </w:tc>
      </w:tr>
      <w:tr>
        <w:trPr>
          <w:trHeight w:val="149"/>
        </w:trPr>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93.6</w:t>
            </w:r>
          </w:p>
        </w:tc>
      </w:tr>
      <w:tr>
        <w:trPr>
          <w:trHeight w:val="172"/>
        </w:trPr>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(3.7)</w:t>
            </w:r>
          </w:p>
        </w:tc>
      </w:tr>
      <w:tr>
        <w:trPr>
          <w:trHeight w:val="297"/>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58.0</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58.0</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58.0</w:t>
            </w:r>
          </w:p>
        </w:tc>
      </w:tr>
      <w:tr>
        <w:trPr>
          <w:trHeight w:val="273"/>
        </w:trPr>
        <w:tc>
          <w:tcPr>
            <w:tcW w:w="3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w:t>
            </w: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49"/>
        </w:trPr>
        <w:tc>
          <w:tcPr>
            <w:tcW w:w="3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6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(5.9)</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9"/>
        </w:trPr>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9.6</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w:t>
            </w:r>
          </w:p>
        </w:tc>
        <w:tc>
          <w:tcPr>
            <w:tcW w:w="4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7.7</w:t>
            </w: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7.7</w:t>
            </w:r>
          </w:p>
        </w:tc>
      </w:tr>
    </w:tbl>
    <w:p>
      <w:pPr>
        <w:spacing w:after="0" w:line="3" w:lineRule="exact"/>
        <w:rPr>
          <w:sz w:val="20"/>
          <w:szCs w:val="20"/>
          <w:color w:val="auto"/>
        </w:rPr>
      </w:pPr>
    </w:p>
    <w:p>
      <w:pPr>
        <w:ind w:left="664" w:hanging="664"/>
        <w:spacing w:after="0"/>
        <w:tabs>
          <w:tab w:leader="none" w:pos="664" w:val="left"/>
        </w:tabs>
        <w:numPr>
          <w:ilvl w:val="0"/>
          <w:numId w:val="15"/>
        </w:numPr>
        <w:rPr>
          <w:rFonts w:ascii="Arial" w:cs="Arial" w:eastAsia="Arial" w:hAnsi="Arial"/>
          <w:sz w:val="14"/>
          <w:szCs w:val="14"/>
          <w:color w:val="auto"/>
        </w:rPr>
      </w:pPr>
      <w:r>
        <w:rPr>
          <w:rFonts w:ascii="Arial" w:cs="Arial" w:eastAsia="Arial" w:hAnsi="Arial"/>
          <w:sz w:val="14"/>
          <w:szCs w:val="14"/>
          <w:color w:val="auto"/>
        </w:rPr>
        <w:t>65.7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5746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15875</wp:posOffset>
            </wp:positionV>
            <wp:extent cx="5746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 w:lineRule="exact"/>
        <w:rPr>
          <w:sz w:val="20"/>
          <w:szCs w:val="20"/>
          <w:color w:val="auto"/>
        </w:rPr>
      </w:pPr>
    </w:p>
    <w:tbl>
      <w:tblPr>
        <w:tblLayout w:type="fixed"/>
        <w:tblInd w:w="1364"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(26.8)</w:t>
            </w:r>
          </w:p>
        </w:tc>
        <w:tc>
          <w:tcPr>
            <w:tcW w:w="2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(63.2)</w:t>
            </w:r>
          </w:p>
        </w:tc>
      </w:tr>
      <w:tr>
        <w:trPr>
          <w:trHeight w:val="20"/>
        </w:trPr>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(3.5)</w:t>
            </w:r>
          </w:p>
        </w:tc>
        <w:tc>
          <w:tcPr>
            <w:tcW w:w="1180" w:type="dxa"/>
            <w:vAlign w:val="bottom"/>
            <w:gridSpan w:val="3"/>
          </w:tcPr>
          <w:p>
            <w:pPr>
              <w:jc w:val="right"/>
              <w:ind w:right="440"/>
              <w:spacing w:after="0" w:line="155" w:lineRule="exact"/>
              <w:rPr>
                <w:sz w:val="20"/>
                <w:szCs w:val="20"/>
                <w:color w:val="auto"/>
              </w:rPr>
            </w:pPr>
            <w:r>
              <w:rPr>
                <w:rFonts w:ascii="Arial" w:cs="Arial" w:eastAsia="Arial" w:hAnsi="Arial"/>
                <w:sz w:val="14"/>
                <w:szCs w:val="14"/>
                <w:color w:val="auto"/>
              </w:rPr>
              <w:t>$   272.7</w:t>
            </w:r>
          </w:p>
        </w:tc>
        <w:tc>
          <w:tcPr>
            <w:tcW w:w="220" w:type="dxa"/>
            <w:vAlign w:val="bottom"/>
          </w:tcPr>
          <w:p>
            <w:pPr>
              <w:jc w:val="right"/>
              <w:ind w:right="72"/>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1,473.5</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6480" w:space="416"/>
            <w:col w:w="4484"/>
          </w:cols>
          <w:pgMar w:left="240" w:top="459" w:right="279" w:bottom="1440" w:gutter="0" w:footer="0" w:header="0"/>
          <w:type w:val="continuous"/>
        </w:sect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54</w:t>
      </w:r>
    </w:p>
    <w:p>
      <w:pPr>
        <w:sectPr>
          <w:pgSz w:w="11900" w:h="16838" w:orient="portrait"/>
          <w:cols w:equalWidth="0" w:num="1">
            <w:col w:w="11380"/>
          </w:cols>
          <w:pgMar w:left="240" w:top="459" w:right="27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January 31, 2010</w:t>
      </w:r>
    </w:p>
    <w:p>
      <w:pPr>
        <w:spacing w:after="0" w:line="21"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(Tables in millions of dollars, except share and per share data, unless otherwise indicated)</w:t>
      </w:r>
    </w:p>
    <w:p>
      <w:pPr>
        <w:spacing w:after="0" w:line="15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Business and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Autodesk, Inc. (“Autodesk” or the “Company”) is a world leading design software and services companies, offering customers progressive business solutions through powerful technology products and services. The Company serves customers in the architectural, engineering and construction, manufacturing, geospatial mapping, digital media and entertainment markets. The Company’s sophisticated software products enable its customers to experience their ideas before they are real by allowing them to create and document their designs and to visualize, simulate and analyze real-world performance early in the design process by creating digital prototypes. These capabilities give Autodesk’s customers the flexibility to optimize and improve their designs before they actually begin the building process, helping save time and money, improving quality and fostering innovation. Autodesk software products are sold globally, both directly to customers and through a network of resellers and distributors.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Autodesk and its wholly-owned and majority-owned subsidiaries. All significant intercompany accounts and transactions have been eliminated.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Autodesk’s consolidated financial statements and notes thereto. These estimates are based on information available as of the date of the consolidated financial statements. On a regular basis, management evaluates these estimates and assumptions. Actual results may differ materially from these estimates.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Examples of significant estimates and assumptions made by management involve the determination of the fair value of goodwill, financial instruments, long-lived assets and other intangible assets the realizability of deferred tax assets and the fair value of stock awards(see “Stock-Based Compensation Expense” within this Note 1 and Note 4, “Employee and Director Stock Plans,” for further discussion). We also make assumptions, judgments and estimates in determining the accruals for uncertain tax positions, partner incentive programs, product returns reserves, allowances for doubtful accounts, asset retirement obligations and legal contingencies.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Translation</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assets and liabilities of Autodesk’s foreign subsidiaries are translated from their respective functional currencies into U.S. dollars at the rates in effect at the balance sheet date, and revenue and expense amounts are translated at weighted average rates during the period. Foreign currency translation adjustments are recorded as other comprehensive income.</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Gains and losses realized from foreign currency transactions, those transactions denominated in currencies other than the foreign subsidiary’s functional currency, are included in interest and other income, net.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its risk management strategy, Autodesk uses derivative instruments to manage its short-term exposures to fluctuations in foreign currency exchange rates which exist as part of ongoing business operations. Autodesk’s general practice is to hedge a majority of transaction exposures denominated in euros, Japanese yen, Swiss francs, British pounds and Canadian dollars. These instruments have maturities between one to 12 months in the future. Autodesk does not enter into any derivative instruments for trading or speculative purposes.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Autodesk utilizes foreign currency contracts to reduce the exchange rate impact on a portion of the net revenue or operating expense of certain anticipated transactions. These contracts, which are designated and documented as cash flow hedges, qualify for hedge accounting treatment. The effectiveness of the cash flow hedge contracts is assessed quarterly using regression analysis as well as other timing and probability criteria. To receive special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income/(loss)”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income/(loss)” to “Interest and other income, net” in the Company’s Consolidated Financial Statements at that time.</w:t>
      </w:r>
    </w:p>
    <w:p>
      <w:pPr>
        <w:spacing w:after="0" w:line="118"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addition to the cash flow hedges described above, contracts which are not designated as hedging instruments are marked-to-market at the end of each fiscal quarter, with gains and losses recognized as other income or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Autodesk considers all highly liquid investments with insignificant interest rate risk and remaining maturities of three months or less at the date of purchase to be cash equivalents. Cash equivalents are recorded at cost, which approximates fair value.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Marketable securities are stated at fair value. Marketable securities maturing within one year that are not restricted, are classified as current assets. Auction rate securities with an estimated fair value of $7.6 million at January 31, 2010 are classified as non-current marketable securities; for additional information see Note 2, “Financial Instruments and Hedging Activities.”</w:t>
      </w:r>
    </w:p>
    <w:p>
      <w:pPr>
        <w:spacing w:after="0" w:line="14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Autodesk determines the appropriate classification of its marketable securities at the time of purchase and re-evaluates such classification as of each balance sheet date. Autodesk carries all marketable securities at fair value, with unrealized gains and losses, net of tax, reported in stockholders’ equity until disposition or maturity.</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All of Autodesk’s marketable securities are subject to a periodic impairment review. The Company recognizes an impairment charge when a decline in the fair value of its investments below the cost basis is judged to be other-than-temporary. Autodesk considers various factors in determining whether to recognize an impairment charge, including the length of time and extent to which the fair value has been less than Autodesk’s cost basis, the financial condition and near-term prospects of the investee, and Autodesk’s intent and ability to hold the investment for a period of time sufficient to allow for any anticipated recovery in the market value. Autodesk did not record any other-than temporary impairment charges during fiscal 2010, however, $5.9 million of other-than-temporary impairment charges were recorded through interest and other income, net during fiscal year 2009. For additional information, see “Concentration of Credit Risk” within this Note 1, and Note 2, “Financial Instruments and Hedging Activities.”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net consisted of the following as of January 31:</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$316.5</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$351.7</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760" w:type="dxa"/>
            <w:vAlign w:val="bottom"/>
            <w:gridSpan w:val="3"/>
          </w:tcPr>
          <w:p>
            <w:pPr>
              <w:jc w:val="right"/>
              <w:ind w:right="200"/>
              <w:spacing w:after="0"/>
              <w:rPr>
                <w:sz w:val="20"/>
                <w:szCs w:val="20"/>
                <w:color w:val="auto"/>
              </w:rPr>
            </w:pPr>
            <w:r>
              <w:rPr>
                <w:rFonts w:ascii="Arial" w:cs="Arial" w:eastAsia="Arial" w:hAnsi="Arial"/>
                <w:sz w:val="18"/>
                <w:szCs w:val="18"/>
                <w:color w:val="auto"/>
              </w:rPr>
              <w:t>(4.6)</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(8.6)</w:t>
            </w:r>
          </w:p>
        </w:tc>
      </w:tr>
      <w:tr>
        <w:trPr>
          <w:trHeight w:val="216"/>
        </w:trPr>
        <w:tc>
          <w:tcPr>
            <w:tcW w:w="5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Product returns reserve</w:t>
            </w:r>
          </w:p>
        </w:tc>
        <w:tc>
          <w:tcPr>
            <w:tcW w:w="2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r>
      <w:tr>
        <w:trPr>
          <w:trHeight w:val="216"/>
        </w:trPr>
        <w:tc>
          <w:tcPr>
            <w:tcW w:w="5000" w:type="dxa"/>
            <w:vAlign w:val="bottom"/>
          </w:tcPr>
          <w:p>
            <w:pPr>
              <w:ind w:left="480"/>
              <w:spacing w:after="0"/>
              <w:rPr>
                <w:sz w:val="20"/>
                <w:szCs w:val="20"/>
                <w:color w:val="auto"/>
              </w:rPr>
            </w:pPr>
            <w:r>
              <w:rPr>
                <w:rFonts w:ascii="Arial" w:cs="Arial" w:eastAsia="Arial" w:hAnsi="Arial"/>
                <w:sz w:val="18"/>
                <w:szCs w:val="18"/>
                <w:color w:val="auto"/>
              </w:rPr>
              <w:t>Partner programs and other reserves</w:t>
            </w:r>
          </w:p>
        </w:tc>
        <w:tc>
          <w:tcPr>
            <w:tcW w:w="20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(22.7)</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(14.1)</w:t>
            </w:r>
          </w:p>
        </w:tc>
      </w:tr>
      <w:tr>
        <w:trPr>
          <w:trHeight w:val="27"/>
        </w:trPr>
        <w:tc>
          <w:tcPr>
            <w:tcW w:w="50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277.4</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316.5</w:t>
            </w:r>
          </w:p>
        </w:tc>
      </w:tr>
      <w:tr>
        <w:trPr>
          <w:trHeight w:val="20"/>
        </w:trPr>
        <w:tc>
          <w:tcPr>
            <w:tcW w:w="5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Allowances for uncollectible trade receivables are based upon historical loss patterns, the number of days that billings are past due and an evaluation of the potential risk of loss associated with problem accounts.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product returns and other reserves are based on historical experience of actual product returns, estimated channel inventory levels, the timing of new product introductions, channel sell-in for applicable markets and other factors.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Partner program and other reserves are primarily related to partner incentives that use quarterly attainment monetary rewards to motivate distributors and resellers to achieve mutually agreed upon business goals in a specified time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Concentration of Credit Risk</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financial institutions with high credit ratings and limits the amounts invested with any one institution, type of security and issuer.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Geographical concentrations of consolidated cash, cash equivalents and marketable securities held by Autodesk as of January 31:</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2010</w:t>
            </w:r>
          </w:p>
        </w:tc>
        <w:tc>
          <w:tcPr>
            <w:tcW w:w="60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2009</w:t>
            </w:r>
          </w:p>
        </w:tc>
        <w:tc>
          <w:tcPr>
            <w:tcW w:w="200" w:type="dxa"/>
            <w:vAlign w:val="bottom"/>
          </w:tcPr>
          <w:p>
            <w:pPr>
              <w:spacing w:after="0"/>
              <w:rPr>
                <w:sz w:val="14"/>
                <w:szCs w:val="14"/>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Other Americas</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Europe, Middle East and Africa (“EMEA”)</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r>
      <w:tr>
        <w:trPr>
          <w:trHeight w:val="222"/>
        </w:trPr>
        <w:tc>
          <w:tcPr>
            <w:tcW w:w="7220" w:type="dxa"/>
            <w:vAlign w:val="bottom"/>
          </w:tcPr>
          <w:p>
            <w:pPr>
              <w:spacing w:after="0"/>
              <w:rPr>
                <w:sz w:val="20"/>
                <w:szCs w:val="20"/>
                <w:color w:val="auto"/>
              </w:rPr>
            </w:pPr>
            <w:r>
              <w:rPr>
                <w:rFonts w:ascii="Arial" w:cs="Arial" w:eastAsia="Arial" w:hAnsi="Arial"/>
                <w:sz w:val="18"/>
                <w:szCs w:val="18"/>
                <w:color w:val="auto"/>
              </w:rPr>
              <w:t>Asia Pacific (“APAC”)</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38%</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bl>
    <w:p>
      <w:pPr>
        <w:spacing w:after="0" w:line="12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Autodesk’s primary commercial banking relationship is with Citibank and its global affiliates (“Citibank”). The Company’s cash and cash equivalents are held by diversified financial institutions globally. Citicorp USA, Inc., an affiliate of Citibank, is the lead lender and agent in the syndicate of Autodesk’s $250.0 million U.S. line of credit facility.</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January 31, 2010, Autodesk’s investment portfolio included money market funds with an estimated fair value of $10.0 million, and auction rate securities with an estimated fair value of $7.6 million. See Note 2, “Financial Instruments and Hedging Activities,” for further discussion of Autodesk’s financial instruments including its auction rate securities.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Autodesk’s accounts receivable are derived from sales to a large number of resellers, distributors and direct customers in the Americas; EMEA; and APAC geographies. Autodesk performs ongoing evaluations of its customers’ financial condition and limits the amount of credit extended when deemed necessary, but generally requires no collateral. Total sales to Tech Data Corporation, including its affiliates (“Tech Data”), accounted for 14% of Autodesk’s consolidated net revenue in each of the fiscal years ended 2010, 2009 and 2008. The majority of the net revenue from sales to Tech Data relates to Autodesk’s Platform Solutions and Emerging Business segment and is for sales made outside of the United States. In addition, Tech Data accounted for 15% and 12% of trade accounts receivable at January 31, 2010 and 2009, respectively.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Computer Equipment, Software, Furniture and Leasehold Improvements, Net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Computer equipment, software and furniture are depreciated using the straight-line method over the estimated useful lives of the assets, which range from two to five years. Leasehold improvements are amortized on a straight-line basis over the shorter of their estimated useful lives or the lease term. Depreciation expense was $50.4 million in fiscal 2010, $46.2 million in fiscal 2009 and $38.9 million in fiscal 2008.</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Computer equipment, software, furniture, leasehold improvements and the related accumulated depreciation at January 31 were as follows:</w:t>
      </w:r>
    </w:p>
    <w:p>
      <w:pPr>
        <w:spacing w:after="0" w:line="2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at cost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$ 127.3</w:t>
            </w: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$ 135.0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Computer hardware, at cost</w:t>
            </w:r>
          </w:p>
        </w:tc>
        <w:tc>
          <w:tcPr>
            <w:tcW w:w="560" w:type="dxa"/>
            <w:vAlign w:val="bottom"/>
          </w:tcPr>
          <w:p>
            <w:pPr>
              <w:jc w:val="right"/>
              <w:spacing w:after="0"/>
              <w:rPr>
                <w:sz w:val="20"/>
                <w:szCs w:val="20"/>
                <w:color w:val="auto"/>
              </w:rPr>
            </w:pPr>
            <w:r>
              <w:rPr>
                <w:rFonts w:ascii="Arial" w:cs="Arial" w:eastAsia="Arial" w:hAnsi="Arial"/>
                <w:sz w:val="18"/>
                <w:szCs w:val="18"/>
                <w:color w:val="auto"/>
              </w:rPr>
              <w:t>108.5</w:t>
            </w:r>
          </w:p>
        </w:tc>
        <w:tc>
          <w:tcPr>
            <w:tcW w:w="2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103.1</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land and buildings, at cost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Furniture and equipment, at cost</w:t>
            </w:r>
          </w:p>
        </w:tc>
        <w:tc>
          <w:tcPr>
            <w:tcW w:w="560" w:type="dxa"/>
            <w:vAlign w:val="bottom"/>
          </w:tcPr>
          <w:p>
            <w:pPr>
              <w:jc w:val="right"/>
              <w:spacing w:after="0"/>
              <w:rPr>
                <w:sz w:val="20"/>
                <w:szCs w:val="20"/>
                <w:color w:val="auto"/>
              </w:rPr>
            </w:pPr>
            <w:r>
              <w:rPr>
                <w:rFonts w:ascii="Arial" w:cs="Arial" w:eastAsia="Arial" w:hAnsi="Arial"/>
                <w:sz w:val="18"/>
                <w:szCs w:val="18"/>
                <w:color w:val="auto"/>
              </w:rPr>
              <w:t>42.9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r>
      <w:tr>
        <w:trPr>
          <w:trHeight w:val="27"/>
        </w:trPr>
        <w:tc>
          <w:tcPr>
            <w:tcW w:w="68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394.7</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(290.8)</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(274.1)</w:t>
            </w:r>
          </w:p>
        </w:tc>
      </w:tr>
      <w:tr>
        <w:trPr>
          <w:trHeight w:val="27"/>
        </w:trPr>
        <w:tc>
          <w:tcPr>
            <w:tcW w:w="68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hardware, leasehold improvements, furniture and equipment,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$ 120.6</w:t>
            </w:r>
          </w:p>
        </w:tc>
      </w:tr>
      <w:tr>
        <w:trPr>
          <w:trHeight w:val="20"/>
        </w:trPr>
        <w:tc>
          <w:tcPr>
            <w:tcW w:w="68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Costs incurred for computer software developed or obtained for internal use are capitalized for application development activities, if material, and immediately expensed for preliminary project activities and post-implementation activities. These capitalized costs are amortized over the expected useful life of the software, which is generally three years.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Software Development Costs</w:t>
      </w:r>
    </w:p>
    <w:p>
      <w:pPr>
        <w:spacing w:after="0" w:line="9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Software development costs incurred prior to the establishment of technological feasibility are included in research and development expenses. Autodesk defines establishment of technological feasibility as the completion of a working model. Software development costs incurred subsequent to the establishment of</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58</w:t>
      </w:r>
    </w:p>
    <w:p>
      <w:pPr>
        <w:sectPr>
          <w:pgSz w:w="11900" w:h="16838" w:orient="portrait"/>
          <w:cols w:equalWidth="0" w:num="1">
            <w:col w:w="11340"/>
          </w:cols>
          <w:pgMar w:left="240" w:top="459" w:right="3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technological feasibility through the period of general market availability of the products are capitalized and generally amortized over a one year period, if material. Autodesk had no capitalized software development costs at January 31, 2010 and January 31,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Purchased Technologies, Net</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majority of Autodesk’s purchased technologies are amortized over the estimated economic life of the product, which ranges from two to seven years. Amortization expense, which is included as a component of cost of revenue, was $34.4 million in fiscal 2010, $26.3 million in fiscal 2009 and $15.9 million in fiscal 2008.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Purchased technologies and related accumulated amortization at January 31 were as follows:</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2010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311.5</w:t>
            </w: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$ 302.4</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(223.5)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(189.1)</w:t>
            </w: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$ 113.3</w:t>
            </w: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addition, purchased technologies include $4.3 million of in-process research and development technology as of January 31, 2010. In-process research and development technology is an indefinite lived asset that is held and tested at least annually for impairment until such time that technological feasibility is achieved. Once technological feasibility is achieved, the technology will be amortized to expense over an applicable useful life. Prior to February 1, 2009, Autodesk expensed in-process research and development to research and development expense in the period it was acquired.</w:t>
      </w:r>
    </w:p>
    <w:p>
      <w:pPr>
        <w:spacing w:after="0" w:line="11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weighted average amortization period for purchased technologies acquired during fiscal 2010 was 3.0 years. Expected future amortization expense for purchased technologies, excluding indefinitely-lived in-process research and development, for each of the fiscal years ended thereafter is as follows:</w:t>
      </w:r>
    </w:p>
    <w:p>
      <w:pPr>
        <w:spacing w:after="0" w:line="10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4840" w:type="dxa"/>
            <w:vAlign w:val="bottom"/>
            <w:gridSpan w:val="3"/>
          </w:tcPr>
          <w:p>
            <w:pPr>
              <w:ind w:left="4140"/>
              <w:spacing w:after="0"/>
              <w:rPr>
                <w:sz w:val="20"/>
                <w:szCs w:val="20"/>
                <w:color w:val="auto"/>
              </w:rPr>
            </w:pPr>
            <w:r>
              <w:rPr>
                <w:rFonts w:ascii="Arial" w:cs="Arial" w:eastAsia="Arial" w:hAnsi="Arial"/>
                <w:sz w:val="14"/>
                <w:szCs w:val="14"/>
                <w:b w:val="1"/>
                <w:bCs w:val="1"/>
                <w:color w:val="auto"/>
                <w:w w:val="84"/>
              </w:rPr>
              <w:t>Year ending</w:t>
            </w: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January 31,</w:t>
            </w: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38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2012</w:t>
            </w: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2014</w:t>
            </w: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Thereafter</w:t>
            </w:r>
          </w:p>
        </w:tc>
        <w:tc>
          <w:tcPr>
            <w:tcW w:w="4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38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Goodwill consists of the excess of cost over the fair value of net assets acquired in business combinations. Autodesk assigns goodwill to the reportable segment associated with each business combination, and tests goodwill for impairment annually in its fourth fiscal quarter or more often if and when circumstances indicate potential impairment. When assessing goodwill for impairment, Autodesk uses discounted cash flow models that include assumptions regarding reportable segments’ projected cash flows (“Income Approach”) and corroborates it with the estimated consideration that the Company would receive if there were to be a sale of the reporting segment (“Market Approach”). Variances in these assumptions could have a significant impact on Autodesk’s</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conclusion as to whether goodwill is impaired, or the amount of any impairment charge. Impairment charges, if any, result from instances where the fair values of net assets associated with goodwill are less than their carrying values. The process of evaluating the potential impairment of goodwill is subjective and requires significant judgment at many points during the analysis. The value of Autodesk’s goodwill could also be impacted by future adverse changes such as: (i) declines in Autodesk’s actual operating results, (ii) a sustained decline in Autodesk’s market capitalization, (iii) further significant slowdown in the worldwide economy or the industries Autodesk serves, or (iv) changes in Autodesk’s business strategy or internal operating results forecasts.</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the first quarter of fiscal 2010, Autodesk recorded an impairment charge of $21.0 million, representing the entire goodwill balance of the Media and Entertainment (“M&amp;E”) segment as of April 30, 2009. This goodwill balance related to our M&amp;E segment’s fourth quarter fiscal 2009 acquisition of substantially all of the assets of Softimage. In May 2009, the Company concluded that an impairment of goodwill had occurred as of April 30, 2009, due to revisions to the Company’s revenue and cash flow projections prepared in the second half of the first quarter of fiscal 2010 in response to the significant and sustained revenue declines it was experiencing in all segments and geographies in the first quarter of fiscal 2010. The revenue and cash flow projections were substantially impacted for all segments; our M&amp;E segment was the only segment that had a current fair value of its future discounted cash flows that fell below the carrying value of its net assets.</w:t>
      </w:r>
    </w:p>
    <w:p>
      <w:pPr>
        <w:spacing w:after="0" w:line="14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During the fiscal year ended January 31, 2009, the carrying value of the M&amp;E segment goodwill was deemed to exceed the allocated fair value and Autodesk recorded a $128.2 million goodwill impairment charge. Should our revenue and cash flow projections decline significantly in the future, additional impairment charges may be recorded to goodwill.</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 of goodwill during the years ended January 31, 2010 and 2009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Platform</w:t>
            </w:r>
          </w:p>
        </w:tc>
        <w:tc>
          <w:tcPr>
            <w:tcW w:w="3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Architecture,</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Solutions and</w:t>
            </w:r>
          </w:p>
        </w:tc>
        <w:tc>
          <w:tcPr>
            <w:tcW w:w="320" w:type="dxa"/>
            <w:vAlign w:val="bottom"/>
          </w:tcPr>
          <w:p>
            <w:pPr>
              <w:spacing w:after="0"/>
              <w:rPr>
                <w:sz w:val="12"/>
                <w:szCs w:val="12"/>
                <w:color w:val="auto"/>
              </w:rPr>
            </w:pPr>
          </w:p>
        </w:tc>
        <w:tc>
          <w:tcPr>
            <w:tcW w:w="14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Engineering</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Emerging</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rPr>
              <w:t>and</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Media and</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4"/>
              </w:rPr>
              <w:t>Construction</w:t>
            </w:r>
          </w:p>
        </w:tc>
        <w:tc>
          <w:tcPr>
            <w:tcW w:w="7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Manufacturing</w:t>
            </w:r>
          </w:p>
        </w:tc>
        <w:tc>
          <w:tcPr>
            <w:tcW w:w="3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Entertainment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$ 443.4</w:t>
            </w: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Addition arising from Moldflow acquisition</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 arising from Softimage acquisition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Addition arising from ALGOR acquisition</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Additions arising from other acquisitions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Impairment</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(128.2)</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08"/>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foreign currency translation, purchase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accounting adjustments and other</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Balance as of January 31, 2009</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7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 arising from PlanPlatform acquisition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Additions arising from other acquisitions</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Transfer of assets between segments</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foreign currency translation, purchase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accounting adjustments and other</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Balance as of January 31, 2010</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40.2</w:t>
            </w:r>
          </w:p>
        </w:tc>
        <w:tc>
          <w:tcPr>
            <w:tcW w:w="38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224.</w:t>
            </w:r>
            <w:r>
              <w:rPr>
                <w:rFonts w:ascii="Arial" w:cs="Arial" w:eastAsia="Arial" w:hAnsi="Arial"/>
                <w:sz w:val="18"/>
                <w:szCs w:val="18"/>
                <w:u w:val="single" w:color="auto"/>
                <w:color w:val="auto"/>
              </w:rPr>
              <w:t>8</w:t>
            </w:r>
          </w:p>
        </w:tc>
        <w:tc>
          <w:tcPr>
            <w:tcW w:w="7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277.9</w:t>
            </w:r>
          </w:p>
        </w:tc>
        <w:tc>
          <w:tcPr>
            <w:tcW w:w="38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$ 542.9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Purchase accounting adjustments reflect revisions made to the Company’s preliminary purchase price allocation during fiscal 2010 and 2009.</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least annually or more frequently as circumstances dictate, Autodesk assesses the recoverability of its long-lived assets by comparing the undiscounted net cash flows associated with such assets against their respective carrying values. Impairment, if any, is based on the excess of the carrying value over the fair value. Autodesk recorded a $0.7 million impairment of long-lived assets associated with its Architecture, Engineering and Construction (“AEC”) segment during fiscal 2009 and $0.9 million of fixed assets impairment due to the restructuring of certain leased facilities in fiscal 2009. See Note 16, “Restructuring Reserves,” for further information regarding the long-lived assets impairment recorded as part of Autodesk’s restructuring plan. There was no impairment of long-lived assets during the years ended January 31, 2010 and 2008.</w:t>
      </w:r>
    </w:p>
    <w:p>
      <w:pPr>
        <w:spacing w:after="0" w:line="12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addition to the recoverability assessments, Autodesk routinely reviews the remaining estimated useful lives of its long-lived assets. Any reduction in the useful life assumption will result in increased depreciation and amortization expense in the quarter when such determinations are made, as well as in subsequent quarters.</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Tax Assets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Deferred tax assets arise primarily from tax credits, net operating losses, and timing differences for reserves, accrued liabilities, stock options, purchased technologies and capitalized software, partially offset by the establishment of U.S. deferred tax liabilities on unremitted earnings from certain foreign subsidiaries and a valuation allowance against California and Canadian deferred tax assets. They are measured using enacted tax rates expected to apply to taxable income in the years in which those temporary differences are expected to reverse. Valuation allowances are established when necessary to reduce gross deferred tax assets to the amount “more likely than not” expected to be realized.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Subsequent to the issuance of its July 31, 2009 unaudited Condensed Consolidated Financial Statements, Autodesk was notified by the Company’s third party software provider that it had made certain changes to how its software program calculates stock-based compensation expense. Specifically, the prior version of this software that the Company had been using calculated stock-based compensation expense by incorrectly applying a weighted average forfeiture rate to the vested portion of stock option awards until the grant’s final vest date, rather than calculating stock-based compensation expense based upon the actual vested portion of the grant date fair value, resulting in an understatement of stock-based compensation expense in certain periods prior to the grant’s final vest date. Consequently, the Company identified errors in the calculation of stock-based compensation expense for fiscal years ended January 31, 2009, 2008 and 2007, for the three months ended April 30, 2009, and for the three and six months ended July 31, 2009. The errors identified relate only to the timing of stock-based compensation expense recognition.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Autodesk determined that the cumulative error from the understatement of stock-based compensation expense related to the periods discussed above totaled $7.9 million, net of tax effects through July 31, 2009. The impact of the errors on the fiscal years ended January 31, 2009, 2008 and 2007, is to decrease net income by $1.5 million, $3.5 million and $1.8 million, respectively. For the three months ended April 30, 2009, and three months ended July 31, 2009, the impact of the errors was to increase net loss by $0.6 million and decrease net income by $0.5 million,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Management has determined that the impact of this error is not material to the previously issued annual and interim financial statements using the guidance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SEC Staff Accounting Bulletin (“SAB”) No. 99 (“SAB 99”) and SAB No. 108. Accordingly, Autodesk’s Consolidated Statements of Financial Operations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fiscal year ended January 31, 2010 include the cumulative adjustment to increase stock-based compensation expense by $6.8 million net of tax effects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$0.03 per share) to correct these errors. Autodesk does not believe the correction of these errors is material to the Consolidated Financial Statements for the fiscal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year ending January 31, 2010.</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Autodesk measures all stock-based payments to employees and directors, including grants of stock options, employee stock purchases related to the employee stock purchase plan (“ESP Plan”), and restricted stock, using a fair-value based method, and records the expense in Autodesk’s Consolidated Statements of Operations. The estimated fair value of stock-based awards is amortized to expense on a straight-line basis over the awards’ vesting period. The following table summarizes stock-based compensation expense for fiscal 2010, 2009 and 2008, respectively,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7"/>
              </w:rPr>
              <w:t>Fiscal Year Ended January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2010</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2009</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Cost of license and other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Marketing and sales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Tax benefit</w:t>
            </w:r>
          </w:p>
        </w:tc>
        <w:tc>
          <w:tcPr>
            <w:tcW w:w="120" w:type="dxa"/>
            <w:vAlign w:val="bottom"/>
          </w:tcPr>
          <w:p>
            <w:pPr>
              <w:spacing w:after="0"/>
              <w:rPr>
                <w:sz w:val="19"/>
                <w:szCs w:val="19"/>
                <w:color w:val="auto"/>
              </w:rPr>
            </w:pPr>
          </w:p>
        </w:tc>
        <w:tc>
          <w:tcPr>
            <w:tcW w:w="1060" w:type="dxa"/>
            <w:vAlign w:val="bottom"/>
            <w:gridSpan w:val="2"/>
          </w:tcPr>
          <w:p>
            <w:pPr>
              <w:jc w:val="right"/>
              <w:ind w:right="512"/>
              <w:spacing w:after="0"/>
              <w:rPr>
                <w:sz w:val="20"/>
                <w:szCs w:val="20"/>
                <w:color w:val="auto"/>
              </w:rPr>
            </w:pPr>
            <w:r>
              <w:rPr>
                <w:rFonts w:ascii="Arial" w:cs="Arial" w:eastAsia="Arial" w:hAnsi="Arial"/>
                <w:sz w:val="18"/>
                <w:szCs w:val="18"/>
                <w:color w:val="auto"/>
                <w:w w:val="97"/>
              </w:rPr>
              <w:t>(22.2)</w:t>
            </w:r>
          </w:p>
        </w:tc>
        <w:tc>
          <w:tcPr>
            <w:tcW w:w="100" w:type="dxa"/>
            <w:vAlign w:val="bottom"/>
          </w:tcPr>
          <w:p>
            <w:pPr>
              <w:spacing w:after="0"/>
              <w:rPr>
                <w:sz w:val="19"/>
                <w:szCs w:val="19"/>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discussed above, Autodesk determined that the cumulative error from the understatement of stock-based compensation expense related to the periods prior to fiscal 2010 totaled $6.8 million, net of tax effects. Accordingly, additional expenses of $0.4 million for Cost of license and other revenue, $4.4 million for Marketing and sales, $2.9 million for Research and development, $2.1 million for General and Administrative and $3.0 million for additional Tax benefit are included in the stock-based compensation expenses in the table above for the fiscal year ended January 31, 2010.</w:t>
      </w:r>
    </w:p>
    <w:p>
      <w:pPr>
        <w:spacing w:after="0" w:line="113"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Autodesk uses the Black-Scholes-Merton option-pricing model to estimate the fair value of stock-based awards and the fair value of awards under the ESP Plan based on the following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Fiscal Year Ended</w:t>
            </w:r>
          </w:p>
        </w:tc>
        <w:tc>
          <w:tcPr>
            <w:tcW w:w="220" w:type="dxa"/>
            <w:vAlign w:val="bottom"/>
          </w:tcPr>
          <w:p>
            <w:pPr>
              <w:spacing w:after="0"/>
              <w:rPr>
                <w:sz w:val="13"/>
                <w:szCs w:val="13"/>
                <w:color w:val="auto"/>
              </w:rPr>
            </w:pP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Fiscal Year Ended</w:t>
            </w:r>
          </w:p>
        </w:tc>
        <w:tc>
          <w:tcPr>
            <w:tcW w:w="220" w:type="dxa"/>
            <w:vAlign w:val="bottom"/>
          </w:tcPr>
          <w:p>
            <w:pPr>
              <w:spacing w:after="0"/>
              <w:rPr>
                <w:sz w:val="13"/>
                <w:szCs w:val="13"/>
                <w:color w:val="auto"/>
              </w:rPr>
            </w:pPr>
          </w:p>
        </w:tc>
        <w:tc>
          <w:tcPr>
            <w:tcW w:w="2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Fiscal Year Ended</w:t>
            </w:r>
          </w:p>
        </w:tc>
      </w:tr>
      <w:tr>
        <w:trPr>
          <w:trHeight w:val="161"/>
        </w:trPr>
        <w:tc>
          <w:tcPr>
            <w:tcW w:w="4100" w:type="dxa"/>
            <w:vAlign w:val="bottom"/>
          </w:tcPr>
          <w:p>
            <w:pPr>
              <w:spacing w:after="0"/>
              <w:rPr>
                <w:sz w:val="14"/>
                <w:szCs w:val="14"/>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January 31, 2010</w:t>
            </w:r>
          </w:p>
        </w:tc>
        <w:tc>
          <w:tcPr>
            <w:tcW w:w="220" w:type="dxa"/>
            <w:vAlign w:val="bottom"/>
          </w:tcPr>
          <w:p>
            <w:pPr>
              <w:spacing w:after="0"/>
              <w:rPr>
                <w:sz w:val="14"/>
                <w:szCs w:val="14"/>
                <w:color w:val="auto"/>
              </w:rPr>
            </w:pP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January 31, 2009</w:t>
            </w:r>
          </w:p>
        </w:tc>
        <w:tc>
          <w:tcPr>
            <w:tcW w:w="220" w:type="dxa"/>
            <w:vAlign w:val="bottom"/>
          </w:tcPr>
          <w:p>
            <w:pPr>
              <w:spacing w:after="0"/>
              <w:rPr>
                <w:sz w:val="14"/>
                <w:szCs w:val="14"/>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January 31, 2008</w:t>
            </w:r>
          </w:p>
        </w:tc>
      </w:tr>
      <w:tr>
        <w:trPr>
          <w:trHeight w:val="129"/>
        </w:trPr>
        <w:tc>
          <w:tcPr>
            <w:tcW w:w="410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61"/>
        </w:trPr>
        <w:tc>
          <w:tcPr>
            <w:tcW w:w="4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Plans</w:t>
            </w:r>
          </w:p>
        </w:tc>
        <w:tc>
          <w:tcPr>
            <w:tcW w:w="220" w:type="dxa"/>
            <w:vAlign w:val="bottom"/>
          </w:tcPr>
          <w:p>
            <w:pPr>
              <w:spacing w:after="0"/>
              <w:rPr>
                <w:sz w:val="14"/>
                <w:szCs w:val="14"/>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ESP Plan</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Plans</w:t>
            </w:r>
          </w:p>
        </w:tc>
        <w:tc>
          <w:tcPr>
            <w:tcW w:w="200" w:type="dxa"/>
            <w:vAlign w:val="bottom"/>
          </w:tcPr>
          <w:p>
            <w:pPr>
              <w:spacing w:after="0"/>
              <w:rPr>
                <w:sz w:val="14"/>
                <w:szCs w:val="14"/>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ESP Plan</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Pr>
          <w:p>
            <w:pPr>
              <w:spacing w:after="0"/>
              <w:rPr>
                <w:sz w:val="14"/>
                <w:szCs w:val="14"/>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ESP Plan</w:t>
            </w:r>
          </w:p>
        </w:tc>
      </w:tr>
      <w:tr>
        <w:trPr>
          <w:trHeight w:val="201"/>
        </w:trPr>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Range of expected</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4"/>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volatilities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0.43 – 0.55</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0.43 – 0.73</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0.37 – 0.55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0.36 – 0.41</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0.33 – 0.36</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0.29 – 0.34</w:t>
            </w:r>
          </w:p>
        </w:tc>
      </w:tr>
      <w:tr>
        <w:trPr>
          <w:trHeight w:val="208"/>
        </w:trPr>
        <w:tc>
          <w:tcPr>
            <w:tcW w:w="4100" w:type="dxa"/>
            <w:vAlign w:val="bottom"/>
          </w:tcPr>
          <w:p>
            <w:pPr>
              <w:spacing w:after="0"/>
              <w:rPr>
                <w:sz w:val="20"/>
                <w:szCs w:val="20"/>
                <w:color w:val="auto"/>
              </w:rPr>
            </w:pPr>
            <w:r>
              <w:rPr>
                <w:rFonts w:ascii="Arial" w:cs="Arial" w:eastAsia="Arial" w:hAnsi="Arial"/>
                <w:sz w:val="18"/>
                <w:szCs w:val="18"/>
                <w:color w:val="auto"/>
              </w:rPr>
              <w:t>Range of expected</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4100" w:type="dxa"/>
            <w:vAlign w:val="bottom"/>
          </w:tcPr>
          <w:p>
            <w:pPr>
              <w:ind w:left="220"/>
              <w:spacing w:after="0"/>
              <w:rPr>
                <w:sz w:val="20"/>
                <w:szCs w:val="20"/>
                <w:color w:val="auto"/>
              </w:rPr>
            </w:pPr>
            <w:r>
              <w:rPr>
                <w:rFonts w:ascii="Arial" w:cs="Arial" w:eastAsia="Arial" w:hAnsi="Arial"/>
                <w:sz w:val="18"/>
                <w:szCs w:val="18"/>
                <w:color w:val="auto"/>
              </w:rPr>
              <w:t>lives (in years)</w:t>
            </w: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2.7 – 4.0</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0.5 – 2.0</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2.6 – 4.0</w:t>
            </w: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0.5 – 2.0</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2.6 – 4.2</w:t>
            </w:r>
          </w:p>
        </w:tc>
        <w:tc>
          <w:tcPr>
            <w:tcW w:w="2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0.3 – 2.0</w:t>
            </w:r>
          </w:p>
        </w:tc>
      </w:tr>
      <w:tr>
        <w:trPr>
          <w:trHeight w:val="218"/>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2"/>
              </w:rPr>
              <w:t>0%</w:t>
            </w:r>
          </w:p>
        </w:tc>
        <w:tc>
          <w:tcPr>
            <w:tcW w:w="12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4"/>
              </w:rPr>
              <w:t>0%</w:t>
            </w:r>
          </w:p>
        </w:tc>
        <w:tc>
          <w:tcPr>
            <w:tcW w:w="12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0%</w:t>
            </w:r>
          </w:p>
        </w:tc>
        <w:tc>
          <w:tcPr>
            <w:tcW w:w="12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2"/>
              </w:rPr>
              <w:t>0%</w:t>
            </w:r>
          </w:p>
        </w:tc>
        <w:tc>
          <w:tcPr>
            <w:tcW w:w="12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2"/>
              </w:rPr>
              <w:t>0%</w:t>
            </w:r>
          </w:p>
        </w:tc>
      </w:tr>
      <w:tr>
        <w:trPr>
          <w:trHeight w:val="208"/>
        </w:trPr>
        <w:tc>
          <w:tcPr>
            <w:tcW w:w="4100" w:type="dxa"/>
            <w:vAlign w:val="bottom"/>
          </w:tcPr>
          <w:p>
            <w:pPr>
              <w:spacing w:after="0"/>
              <w:rPr>
                <w:sz w:val="20"/>
                <w:szCs w:val="20"/>
                <w:color w:val="auto"/>
              </w:rPr>
            </w:pPr>
            <w:r>
              <w:rPr>
                <w:rFonts w:ascii="Arial" w:cs="Arial" w:eastAsia="Arial" w:hAnsi="Arial"/>
                <w:sz w:val="18"/>
                <w:szCs w:val="18"/>
                <w:color w:val="auto"/>
              </w:rPr>
              <w:t>Range of risk-free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4100" w:type="dxa"/>
            <w:vAlign w:val="bottom"/>
          </w:tcPr>
          <w:p>
            <w:pPr>
              <w:ind w:left="220"/>
              <w:spacing w:after="0"/>
              <w:rPr>
                <w:sz w:val="20"/>
                <w:szCs w:val="20"/>
                <w:color w:val="auto"/>
              </w:rPr>
            </w:pPr>
            <w:r>
              <w:rPr>
                <w:rFonts w:ascii="Arial" w:cs="Arial" w:eastAsia="Arial" w:hAnsi="Arial"/>
                <w:sz w:val="18"/>
                <w:szCs w:val="18"/>
                <w:color w:val="auto"/>
              </w:rPr>
              <w:t>interest rates</w:t>
            </w: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1.02 – 2.42%</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0.20 – 0.98%</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1.01 – 3.40%</w:t>
            </w: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1.29 – 1.85%</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3.07 – 5.11%</w:t>
            </w:r>
          </w:p>
        </w:tc>
        <w:tc>
          <w:tcPr>
            <w:tcW w:w="2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3.98 – 5.06%</w:t>
            </w:r>
          </w:p>
        </w:tc>
      </w:tr>
      <w:tr>
        <w:trPr>
          <w:trHeight w:val="218"/>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13.5%</w:t>
            </w:r>
          </w:p>
        </w:tc>
        <w:tc>
          <w:tcPr>
            <w:tcW w:w="12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0"/>
              </w:rPr>
              <w:t>13.5%</w:t>
            </w:r>
          </w:p>
        </w:tc>
        <w:tc>
          <w:tcPr>
            <w:tcW w:w="12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0"/>
              </w:rPr>
              <w:t>13.6%</w:t>
            </w:r>
          </w:p>
        </w:tc>
        <w:tc>
          <w:tcPr>
            <w:tcW w:w="12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13.6%</w:t>
            </w:r>
          </w:p>
        </w:tc>
        <w:tc>
          <w:tcPr>
            <w:tcW w:w="12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6"/>
              </w:rPr>
              <w:t>13.0%</w:t>
            </w:r>
          </w:p>
        </w:tc>
        <w:tc>
          <w:tcPr>
            <w:tcW w:w="12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0"/>
              </w:rPr>
              <w:t>13.0%</w:t>
            </w:r>
          </w:p>
        </w:tc>
      </w:tr>
    </w:tbl>
    <w:p>
      <w:pPr>
        <w:spacing w:after="0" w:line="15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Autodesk estimates expected volatility for options granted under the Company’s stock option plans and ESP Plan awards based on two measures. The first is a measure of historical volatility in the trading market for the Company’s common stock, and the second is the implied volatility of traded forward call options to purchase shares of the Company’s common stock.</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Autodesk estimates the expected life of stock-based awards granted under the Company’s stock plans using both exercise behavior and post-vesting termination behavior, as well as consideration of outstanding options.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Autodesk did not pay cash dividends in fiscal 2010, 2009 or 2008, and does not anticipate paying any cash dividends in the foreseeable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Consequently, an expected dividend yield of zero is used in the Black-Scholes-Merton option pricing model.</w:t>
      </w:r>
    </w:p>
    <w:p>
      <w:pPr>
        <w:spacing w:after="0" w:line="16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risk-free interest rate used in the Black-Scholes-Merton option pricing model for stock-based awards granted under the Company’s stock option plans and ESP Plan awards is the historical yield on U.S. Treasury securities with equivalent remaining lives.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Autodesk recognizes revenue when persuasive evidence of an arrangement exists, delivery has occurred or services have been rendered, the price is fixed or determinable, and collection is probable. For multiple element arrangements that include software products, Autodesk allocates the sales price among each of the deliverables using the residual method, under which revenue is allocated to undelivered elements based on their vendor-specific objective evidence (“VSOE”) of fair value. VSOE is the price charged when an element is sold separately or a price set by management with the relevant authority. If Autodesk does not have VSOE of the undelivered element, revenue recognition is deferred on the entire sales arrangement until all elements for which we do not have VSOE are delivered. Revenue recognition for significant lines of business is discussed further below.</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Autodesk’s assessment of likelihood of collection is also a critical element in determining the timing of revenue recognition. If collection is not probable, the revenue will be deferred until the earlier of when collection is deemed probable or cash is received.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License and other revenue are comprised of two components: (1) all forms of product license revenue and (2) other revenue: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All Forms of Product License Revenue</w:t>
      </w:r>
    </w:p>
    <w:p>
      <w:pPr>
        <w:spacing w:after="0" w:line="90" w:lineRule="exact"/>
        <w:rPr>
          <w:sz w:val="20"/>
          <w:szCs w:val="20"/>
          <w:color w:val="auto"/>
        </w:rPr>
      </w:pPr>
    </w:p>
    <w:p>
      <w:pPr>
        <w:ind w:left="920" w:right="100" w:firstLine="420"/>
        <w:spacing w:after="0" w:line="294" w:lineRule="auto"/>
        <w:rPr>
          <w:sz w:val="20"/>
          <w:szCs w:val="20"/>
          <w:color w:val="auto"/>
        </w:rPr>
      </w:pPr>
      <w:r>
        <w:rPr>
          <w:rFonts w:ascii="Arial" w:cs="Arial" w:eastAsia="Arial" w:hAnsi="Arial"/>
          <w:sz w:val="16"/>
          <w:szCs w:val="16"/>
          <w:color w:val="auto"/>
        </w:rPr>
        <w:t>Product license revenue includes: software license revenue from the sale of new seat licenses, upgrades and crossgrades, product revenue for Advanced Systems sales wherein software is bundled with hardware components, and revenue from on-demand collaboration software and service. Autodesk’s existing customers who are using a currently supported version of a product can upgrade to the latest release of the product by paying a separate fee at current available prices. An existing customer also has the option to upgrade to a vertical design or model-based design product, which generally has a higher price, for a premium fee; this is referred to as a crossgrade.</w:t>
      </w:r>
    </w:p>
    <w:p>
      <w:pPr>
        <w:spacing w:after="0" w:line="35" w:lineRule="exact"/>
        <w:rPr>
          <w:sz w:val="20"/>
          <w:szCs w:val="20"/>
          <w:color w:val="auto"/>
        </w:rPr>
      </w:pPr>
    </w:p>
    <w:p>
      <w:pPr>
        <w:ind w:left="920" w:right="80" w:firstLine="420"/>
        <w:spacing w:after="0" w:line="268" w:lineRule="auto"/>
        <w:rPr>
          <w:sz w:val="20"/>
          <w:szCs w:val="20"/>
          <w:color w:val="auto"/>
        </w:rPr>
      </w:pPr>
      <w:r>
        <w:rPr>
          <w:rFonts w:ascii="Arial" w:cs="Arial" w:eastAsia="Arial" w:hAnsi="Arial"/>
          <w:sz w:val="18"/>
          <w:szCs w:val="18"/>
          <w:color w:val="auto"/>
        </w:rPr>
        <w:t>Autodesk’s product license revenue from distributors and resellers is generally recognized at the time title to Autodesk’s product passes to the distributor or reseller, provided all other criteria for revenue recognition are met.</w:t>
      </w:r>
    </w:p>
    <w:p>
      <w:pPr>
        <w:spacing w:after="0" w:line="51" w:lineRule="exact"/>
        <w:rPr>
          <w:sz w:val="20"/>
          <w:szCs w:val="20"/>
          <w:color w:val="auto"/>
        </w:rPr>
      </w:pPr>
    </w:p>
    <w:p>
      <w:pPr>
        <w:jc w:val="both"/>
        <w:ind w:left="920" w:right="20" w:firstLine="420"/>
        <w:spacing w:after="0" w:line="259" w:lineRule="auto"/>
        <w:rPr>
          <w:sz w:val="20"/>
          <w:szCs w:val="20"/>
          <w:color w:val="auto"/>
        </w:rPr>
      </w:pPr>
      <w:r>
        <w:rPr>
          <w:rFonts w:ascii="Arial" w:cs="Arial" w:eastAsia="Arial" w:hAnsi="Arial"/>
          <w:sz w:val="18"/>
          <w:szCs w:val="18"/>
          <w:color w:val="auto"/>
        </w:rPr>
        <w:t>Autodesk establishes reserves for product returns based on historical experience of actual product returns, estimated channel inventory levels, the timing of new product introductions, channel sell-in for applicable markets and other factors. These reserves are recorded as a direct reduction of revenue and accounts receivable at the time the related revenue is recognized.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64</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Revenue</w:t>
      </w:r>
    </w:p>
    <w:p>
      <w:pPr>
        <w:spacing w:after="0" w:line="90" w:lineRule="exact"/>
        <w:rPr>
          <w:sz w:val="20"/>
          <w:szCs w:val="20"/>
          <w:color w:val="auto"/>
        </w:rPr>
      </w:pPr>
    </w:p>
    <w:p>
      <w:pPr>
        <w:ind w:left="920" w:right="360" w:firstLine="420"/>
        <w:spacing w:after="0" w:line="268" w:lineRule="auto"/>
        <w:rPr>
          <w:sz w:val="20"/>
          <w:szCs w:val="20"/>
          <w:color w:val="auto"/>
        </w:rPr>
      </w:pPr>
      <w:r>
        <w:rPr>
          <w:rFonts w:ascii="Arial" w:cs="Arial" w:eastAsia="Arial" w:hAnsi="Arial"/>
          <w:sz w:val="18"/>
          <w:szCs w:val="18"/>
          <w:color w:val="auto"/>
        </w:rPr>
        <w:t>Other revenue includes revenue from consulting, training, Autodesk Developers Network and Advanced Systems customer support, and is recognized over time, as the services are performed.</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Maintenance Revenue</w:t>
      </w:r>
    </w:p>
    <w:p>
      <w:pPr>
        <w:spacing w:after="0" w:line="90" w:lineRule="exact"/>
        <w:rPr>
          <w:sz w:val="20"/>
          <w:szCs w:val="20"/>
          <w:color w:val="auto"/>
        </w:rPr>
      </w:pPr>
    </w:p>
    <w:p>
      <w:pPr>
        <w:ind w:left="920" w:right="100" w:firstLine="420"/>
        <w:spacing w:after="0" w:line="259" w:lineRule="auto"/>
        <w:rPr>
          <w:sz w:val="20"/>
          <w:szCs w:val="20"/>
          <w:color w:val="auto"/>
        </w:rPr>
      </w:pPr>
      <w:r>
        <w:rPr>
          <w:rFonts w:ascii="Arial" w:cs="Arial" w:eastAsia="Arial" w:hAnsi="Arial"/>
          <w:sz w:val="18"/>
          <w:szCs w:val="18"/>
          <w:color w:val="auto"/>
        </w:rPr>
        <w:t>Maintenance revenue consists of revenue from the Company’s maintenance program. Under this program, customers are eligible to receive unspecified upgrades when-and-if-available, downloadable training courses and on-line support. Autodesk recognizes maintenance revenue from its maintenance program ratably over the maintenance service contract periods.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Taxes Collected from Customers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Autodesk nets taxes collected from customers against those remitted to government authorities in our financial statements. Accordingly, taxes collected from customers are not reported as revenue.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Shipping and Handling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and handling costs are included in cost of revenue for all periods presented.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Expenses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Advertising costs are expensed as incurred. Total advertising expenses incurred were $18.4 million in fiscal 2010, $16.4 million in fiscal 2009 and $27.6 million in fiscal 2008.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Per Share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Basic net income per share is computed based on the weighted average number of shares of common stock outstanding for the period, including restricted stock awards and excluding stock options and restricted stock units. Diluted net income per share is computed based upon the weighted average shares of common shares outstanding for the period and potentially dilutive common shares, including the effect of stock options and restricted stock units under the treasury stock method.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Standards Adopted in Fiscal 2010</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With the exception of those discussed below, there have been no recent accounting pronouncements or changes in accounting pronouncements during the fiscal year ended January 31, 2010 that are of significance, or potential significance to the Company.</w:t>
      </w:r>
    </w:p>
    <w:p>
      <w:pPr>
        <w:spacing w:after="0" w:line="132"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June 2009, the Financial Accounting Standards Board (“FASB”) issued The FASB Accounting Standards Codification and the Hierarchy of Generally Accepted Accounting Principles. This statement, which became effective on July 1, 2009, established the Accounting Standards Codification (“ASC”) as the source of authoritative GAAP recognized by the FASB to be applied by nongovernmental entities, and is codified in ASC Topic 105, “Generally Accepted Accounting Principles.” The ASC did not change GAAP, but instead reorganizes the U.S. GAAP pronouncements into accounting Topics. As the ASC did not change GAAP, the adoption of ASC Topic 105 did not have a material effect on Autodesk’s consolidated financial position, results of operations or cash flows.</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February 2010, the FASB issued Accounting Standards Update (“ASU”) 2010-09 regarding ASC Topic 855 “Subsequent Events.” This ASU removes the requirement for SEC filers to disclose the date through which management evaluated subsequent events in the financial statements, and was effective upon its issuance. Autodesk adopted the ASU upon issuance. The adoption did not have an impact on Autodesk’s consolidated financial position, results of operations or cash flows.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August 2009, the FASB issued ASU 2009-05 regarding ASC Topic 820, “Fair Value Measurements and Disclosures.” This ASU provides guidance on how to measure liabilities at fair value within the scope of ASC Topic 820. This Update provides clarification that in circumstances in which a quoted price in an active market for the identical liability is not available, a reporting entity is required to measure fair value using one or more of the following techniques: 1) A valuation technique that uses: a. The quoted price of the identical liability when traded as an asset, or b. Quoted prices for similar liabilities or similar liabilities when traded as assets, or 2) Another valuation technique that is consistent with the principles of ASC Topic 820. Two examples would be an income approach or a market approach. Autodesk adopted the changes represented by this ASU during Autodesk’s fiscal quarter ended October 31, 2009. The adoption of ASU 2009-05 did not have a material impact on Autodesk’s consolidated financial position, results of operations or cash flows.</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April 2009, the FASB issued three related FASB Staff Positions (“FSP”): (i) FSP 157-4, “Determining Fair Value When the Volume and Level of Activity for the Asset or Liability have Significantly Decreased and Identifying Transactions That Are Not Orderly” (“FSP 157-4”), (ii) FSP Statement of Financial Accounting Standard (“SFAS”) 115-2 and SFAS 124-2, “Recognition and Presentation of Other-Than-Temporary Impairments” (“FSP SFAS 115-2” and “SFAS 124-2”), and (iii) FSP SFAS 107-1 and Accounting Principles Board (“APB”) 28-1, “Interim Disclosures about Fair Value of Financial Instruments” (“FSP SFAS 107” and “APB 28-1”). FSP 157-4 provides guidance on how to determine the fair value of assets and liabilities under SFAS 157, “Fair Value Measurements” (“SFAS 157”) in the current economic environment and reemphasizes that the objective of a fair value measurement remains the determination of an exit price. If Autodesk were to conclude that there has been a significant decrease in the volume and level of activity of the asset or liability in relation to normal market activities, quoted market values may not be representative of fair value and the Company may conclude that a change in valuation technique or the use of multiple valuation techniques may be appropriate. FSP SFAS 115-2 and SFAS 124-2 modify the requirements for recognizing other-than-temporarily impaired debt securities and revise the existing impairment model for such securities by modifying the current intent and ability indicator in determining whether a debt security is other-than-temporarily impaired. FSP SFAS 107 and APB 28-1 enhance the disclosure of instruments under the scope of SFAS 157 for both interim and annual periods. Autodesk adopted these FSPs during the quarter ended July 31, 2009. The adoption did not have a material effect on the Company’s consolidated financial position, results of operations or cash flows.</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April 2009, the FASB issued FSP 141R-1, “Accounting for Assets Acquired and Liabilities Assumed in a Business Combination That Arise from Contingencies” (“FSP 141R-1”). FSP 141R-1 amends the provisions in Statement of Financial Accounting Standards No. 141 (revised 2007) “Business Combinations” (“SFAS 141R”) for the initial recognition and measurement, subsequent measurement and accounting, and disclosures for assets and liabilities arising from contingencies in business combinations. FSP 141R-1 eliminates the distinction between contractual and non-contractual contingencies, including the initial recognition and measurement criteria in SFAS 141R and instead carries forward most of the provisions in SFAS 141 for acquired contingencies. FSP 141R-1 was effective for Autodesk for contingent assets and contingent liabilities acquired in business combinations for which the acquisition date was on or after February 1, 2009. The adoption of FSP 141R-1 did not have a material effect on the Company’s consolidated financial position,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January 2010, the FASB issued ASU 2010-06 regarding ASC Topic 820 “Fair Value Measurements and Disclosures.” This ASU requires additional disclosure regarding significant transfers in and out of Levels 1 and 2 fair value measurements and the reasons for the transfers. In addition, this ASU requires the Company to present separately information about purchases, sales, issuances, and settlements, (on a gross basis rather than as one net number), in the reconciliation for fair value measurements using significant unobservable inputs (Level 3). ASU 2010-06 clarifies existing disclosures regarding fair value measurement for each class of assets and liabilities and the valuation techniques and inputs used to measure fair value for recurring and nonrecurring fair value measurements that fall in either Level 2 or Level 3. This update also includes conforming amendments to the guidance on employers’ disclosures about postretirement benefit plan asset (Subtopic 715-20). The changes under ASU 2010-06 will be effective for Autodesk’s fiscal year beginning February 1, 2010, except for the disclosures about purchases, sales, issuances and settlements in the roll forward of activity in Level 3 fair value measurements, which are effective for Autodesk’s fiscal year beginning February 1, 2011. Autodesk believes that the adoption of these new accounting pronouncements will not have a material impact on its consolidated financial position, results of operations or cash flows.</w:t>
      </w:r>
    </w:p>
    <w:p>
      <w:pPr>
        <w:spacing w:after="0" w:line="1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October 2009, the FASB issued ASU 2009-13 regarding ASC Subtopic 605-25 “Revenue Recognition—Multiple-element Arrangements.” This ASU addresses criteria for separating the consideration in multiple-element arrangements. ASU 2009-13 will require companies to allocate the overall consideration to each deliverable by using a best estimate of the selling price of individual deliverables in the arrangement in the absence of vendor-specific objective evidence or other third-party evidence of the selling price. In October 2009, the FASB also issued ASU 2009-14 regarding ASC Topic 985 “Software: Certain Revenue Arrangements That Include Software Elements.” This ASU modifies the scope of ASC Subtopic 965-605, “Software Revenue Recognition,” to exclude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 The changes under ASU 2009-13 and 2009-14 will be effective prospectively for revenue arrangements entered into or materially modified in fiscal years beginning on or after June 15, 2010, and early adoption is permitted. Autodesk currently plans to adopt the changes under ASU 2009-13 and 2009-14 effective February 1, 2011. Autodesk is currently assessing the impact that the adoption of these new accounting pronouncements will have on its consolidated financial position, results of operations or cash flows.</w:t>
      </w:r>
    </w:p>
    <w:p>
      <w:pPr>
        <w:spacing w:after="0" w:line="12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June 2009, the FASB issued SFAS 166, “Accounting for Transfers of Financial Assets-an amendment of FASB Statement No. 140” and SFAS 167, “Amendments to FASB Interpretation No. 46(R),” which update accounting for securitizations and special-purpose entities. SFAS 166 eliminates the concept of a “qualifying special-purpose entity,” changes the requirements for derecognizing financial assets and requires additional disclosures. SFAS 167 amends the evaluation criteria to identify the primary beneficiary of a variable interest entity provided by FASB Interpretation No. 46(R), “Consolidation of Variable Interest Entities—An Interpretation of ARB No. 51.” This statement also amends the consolidation guidance applicable to variable interest entities. Additionally, SFAS 167 requires ongoing reassessments of whether an enterprise is the primary beneficiary of the variable interest entity. These statements will be effective for Autodesk’s fiscal year beginning February 1, 2010. Autodesk believes that the adoption of SFAS 166 or 167 will not have a material effect on its consolidated financial position, results of operations and cash flows.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Financial Instruments and Hedging Activities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Instruments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Market values were determined for each individual security in the investment portfolio. The cost and fair value of Autodesk’s financial instruments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2320" w:type="dxa"/>
            <w:vAlign w:val="bottom"/>
            <w:gridSpan w:val="4"/>
          </w:tcPr>
          <w:p>
            <w:pPr>
              <w:ind w:left="400"/>
              <w:spacing w:after="0"/>
              <w:rPr>
                <w:sz w:val="20"/>
                <w:szCs w:val="20"/>
                <w:color w:val="auto"/>
              </w:rPr>
            </w:pPr>
            <w:r>
              <w:rPr>
                <w:rFonts w:ascii="Arial" w:cs="Arial" w:eastAsia="Arial" w:hAnsi="Arial"/>
                <w:sz w:val="14"/>
                <w:szCs w:val="14"/>
                <w:b w:val="1"/>
                <w:bCs w:val="1"/>
                <w:color w:val="auto"/>
              </w:rPr>
              <w:t>January 31, 2010</w:t>
            </w:r>
          </w:p>
        </w:tc>
        <w:tc>
          <w:tcPr>
            <w:tcW w:w="1780" w:type="dxa"/>
            <w:vAlign w:val="bottom"/>
            <w:gridSpan w:val="4"/>
          </w:tcPr>
          <w:p>
            <w:pPr>
              <w:ind w:left="380"/>
              <w:spacing w:after="0"/>
              <w:rPr>
                <w:sz w:val="20"/>
                <w:szCs w:val="20"/>
                <w:color w:val="auto"/>
              </w:rPr>
            </w:pPr>
            <w:r>
              <w:rPr>
                <w:rFonts w:ascii="Arial" w:cs="Arial" w:eastAsia="Arial" w:hAnsi="Arial"/>
                <w:sz w:val="14"/>
                <w:szCs w:val="14"/>
                <w:b w:val="1"/>
                <w:bCs w:val="1"/>
                <w:color w:val="auto"/>
              </w:rPr>
              <w:t>January 31, 2009</w:t>
            </w:r>
          </w:p>
        </w:tc>
      </w:tr>
      <w:tr>
        <w:trPr>
          <w:trHeight w:val="129"/>
        </w:trPr>
        <w:tc>
          <w:tcPr>
            <w:tcW w:w="734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Amortized</w:t>
            </w:r>
          </w:p>
        </w:tc>
        <w:tc>
          <w:tcPr>
            <w:tcW w:w="5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Amortized</w:t>
            </w:r>
          </w:p>
        </w:tc>
        <w:tc>
          <w:tcPr>
            <w:tcW w:w="5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7340" w:type="dxa"/>
            <w:vAlign w:val="bottom"/>
          </w:tcPr>
          <w:p>
            <w:pPr>
              <w:spacing w:after="0"/>
              <w:rPr>
                <w:sz w:val="14"/>
                <w:szCs w:val="14"/>
                <w:color w:val="auto"/>
              </w:rPr>
            </w:pP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540" w:type="dxa"/>
            <w:vAlign w:val="bottom"/>
          </w:tcPr>
          <w:p>
            <w:pPr>
              <w:spacing w:after="0"/>
              <w:rPr>
                <w:sz w:val="14"/>
                <w:szCs w:val="14"/>
                <w:color w:val="auto"/>
              </w:rPr>
            </w:pP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20" w:type="dxa"/>
            <w:vAlign w:val="bottom"/>
          </w:tcPr>
          <w:p>
            <w:pPr>
              <w:spacing w:after="0"/>
              <w:rPr>
                <w:sz w:val="14"/>
                <w:szCs w:val="14"/>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838.7</w:t>
            </w: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838.7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917.6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917.6</w:t>
            </w:r>
          </w:p>
        </w:tc>
        <w:tc>
          <w:tcPr>
            <w:tcW w:w="20" w:type="dxa"/>
            <w:vAlign w:val="bottom"/>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Marketable securities—short-term</w:t>
            </w:r>
          </w:p>
        </w:tc>
        <w:tc>
          <w:tcPr>
            <w:tcW w:w="620" w:type="dxa"/>
            <w:vAlign w:val="bottom"/>
          </w:tcPr>
          <w:p>
            <w:pPr>
              <w:jc w:val="right"/>
              <w:spacing w:after="0"/>
              <w:rPr>
                <w:sz w:val="20"/>
                <w:szCs w:val="20"/>
                <w:color w:val="auto"/>
              </w:rPr>
            </w:pPr>
            <w:r>
              <w:rPr>
                <w:rFonts w:ascii="Arial" w:cs="Arial" w:eastAsia="Arial" w:hAnsi="Arial"/>
                <w:sz w:val="18"/>
                <w:szCs w:val="18"/>
                <w:color w:val="auto"/>
              </w:rPr>
              <w:t>164.8</w:t>
            </w:r>
          </w:p>
        </w:tc>
        <w:tc>
          <w:tcPr>
            <w:tcW w:w="1700" w:type="dxa"/>
            <w:vAlign w:val="bottom"/>
            <w:gridSpan w:val="3"/>
          </w:tcPr>
          <w:p>
            <w:pPr>
              <w:jc w:val="right"/>
              <w:ind w:right="540"/>
              <w:spacing w:after="0"/>
              <w:rPr>
                <w:sz w:val="20"/>
                <w:szCs w:val="20"/>
                <w:color w:val="auto"/>
              </w:rPr>
            </w:pPr>
            <w:r>
              <w:rPr>
                <w:rFonts w:ascii="Arial" w:cs="Arial" w:eastAsia="Arial" w:hAnsi="Arial"/>
                <w:sz w:val="18"/>
                <w:szCs w:val="18"/>
                <w:color w:val="auto"/>
              </w:rPr>
              <w:t>161.9</w:t>
            </w:r>
          </w:p>
        </w:tc>
        <w:tc>
          <w:tcPr>
            <w:tcW w:w="620" w:type="dxa"/>
            <w:vAlign w:val="bottom"/>
          </w:tcPr>
          <w:p>
            <w:pPr>
              <w:jc w:val="right"/>
              <w:spacing w:after="0"/>
              <w:rPr>
                <w:sz w:val="20"/>
                <w:szCs w:val="20"/>
                <w:color w:val="auto"/>
              </w:rPr>
            </w:pPr>
            <w:r>
              <w:rPr>
                <w:rFonts w:ascii="Arial" w:cs="Arial" w:eastAsia="Arial" w:hAnsi="Arial"/>
                <w:sz w:val="18"/>
                <w:szCs w:val="18"/>
                <w:color w:val="auto"/>
              </w:rPr>
              <w:t>63.5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securities—long-term</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125.6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Foreign currency forward and option contracts</w:t>
            </w: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1700" w:type="dxa"/>
            <w:vAlign w:val="bottom"/>
            <w:gridSpan w:val="3"/>
          </w:tcPr>
          <w:p>
            <w:pPr>
              <w:jc w:val="right"/>
              <w:ind w:right="540"/>
              <w:spacing w:after="0"/>
              <w:rPr>
                <w:sz w:val="20"/>
                <w:szCs w:val="20"/>
                <w:color w:val="auto"/>
              </w:rPr>
            </w:pPr>
            <w:r>
              <w:rPr>
                <w:rFonts w:ascii="Arial" w:cs="Arial" w:eastAsia="Arial" w:hAnsi="Arial"/>
                <w:sz w:val="18"/>
                <w:szCs w:val="18"/>
                <w:color w:val="auto"/>
              </w:rPr>
              <w:t>3.9</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Autodesk classifies its marketable securities as either short-term or long-term based on each instrument’s underlying contractual maturity date. Marketable securities with maturities of less than 12 months are classified as short-term and marketable securities with maturities greater than 12 months are classified as long-term. Autodesk may sell certain of its marketable securities prior to their stated maturities for strategic purposes and in anticipation of credit deterioration. Foreign currency forward and options contracts are included in “Prepaid expenses and other current assets” in the Consolidated Balance Sheets.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marketable securities include the following securities at January 31, 2010 and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January 31, 2010</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Estimated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6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unrealized</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5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Cost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losses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 securities:</w:t>
            </w:r>
          </w:p>
        </w:tc>
        <w:tc>
          <w:tcPr>
            <w:tcW w:w="18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200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88.8</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Certificates of deposit and time deposits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tcPr>
          <w:p>
            <w:pPr>
              <w:spacing w:after="0"/>
              <w:rPr>
                <w:sz w:val="19"/>
                <w:szCs w:val="19"/>
                <w:color w:val="auto"/>
              </w:rPr>
            </w:pPr>
          </w:p>
        </w:tc>
        <w:tc>
          <w:tcPr>
            <w:tcW w:w="200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135.4</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0.2</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Long-term available-for-sale securities: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Corporate securities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94.9</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Taxable auction-rate securities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440"/>
              <w:spacing w:after="0"/>
              <w:rPr>
                <w:sz w:val="20"/>
                <w:szCs w:val="20"/>
                <w:color w:val="auto"/>
              </w:rPr>
            </w:pPr>
            <w:r>
              <w:rPr>
                <w:rFonts w:ascii="Arial" w:cs="Arial" w:eastAsia="Arial" w:hAnsi="Arial"/>
                <w:sz w:val="18"/>
                <w:szCs w:val="18"/>
                <w:color w:val="auto"/>
              </w:rPr>
              <w:t>U.S. treasury securities</w:t>
            </w:r>
          </w:p>
        </w:tc>
        <w:tc>
          <w:tcPr>
            <w:tcW w:w="1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68</w:t>
            </w:r>
          </w:p>
        </w:tc>
        <w:tc>
          <w:tcPr>
            <w:tcW w:w="1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30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January 31, 2009</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Estimated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6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unrealized</w:t>
            </w:r>
          </w:p>
        </w:tc>
        <w:tc>
          <w:tcPr>
            <w:tcW w:w="6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unrealized</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6"/>
              <w:spacing w:after="0"/>
              <w:rPr>
                <w:sz w:val="20"/>
                <w:szCs w:val="20"/>
                <w:color w:val="auto"/>
              </w:rPr>
            </w:pPr>
            <w:r>
              <w:rPr>
                <w:rFonts w:ascii="Arial" w:cs="Arial" w:eastAsia="Arial" w:hAnsi="Arial"/>
                <w:sz w:val="14"/>
                <w:szCs w:val="14"/>
                <w:b w:val="1"/>
                <w:bCs w:val="1"/>
                <w:color w:val="auto"/>
                <w:w w:val="89"/>
              </w:rPr>
              <w:t>Cost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losses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 securities:</w:t>
            </w:r>
          </w:p>
        </w:tc>
        <w:tc>
          <w:tcPr>
            <w:tcW w:w="2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Money market funds and mutual funds</w:t>
            </w:r>
          </w:p>
        </w:tc>
        <w:tc>
          <w:tcPr>
            <w:tcW w:w="214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53.2</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time deposits</w:t>
            </w:r>
          </w:p>
        </w:tc>
        <w:tc>
          <w:tcPr>
            <w:tcW w:w="2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spacing w:after="0"/>
              <w:rPr>
                <w:sz w:val="19"/>
                <w:szCs w:val="19"/>
                <w:color w:val="auto"/>
              </w:rPr>
            </w:pPr>
          </w:p>
        </w:tc>
        <w:tc>
          <w:tcPr>
            <w:tcW w:w="214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Long-term available-for-sale securities: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Taxable auction-rate securities</w:t>
            </w:r>
          </w:p>
        </w:tc>
        <w:tc>
          <w:tcPr>
            <w:tcW w:w="20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sales of available-for-sale securities in fiscal 2010, 2009 and 2008 resulted in no gross gains or losses. The cost of securities sold is based on the specific identification method. Proceeds from the sale and maturity of marketable securities were $355.1 million in fiscal 2010, $83.4 million in fiscal 2009 and $799.1 million in fiscal 2008.</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January 31, 2010, Autodesk was invested in The Reserve International Liquidity Fund (the “International Fund”) with an estimated fair value of $10.0 million. At January 31, 2009, Autodesk was invested in the International Fund and The Reserve Primary Fund (the “Primary Fund,” and together with the International Fund, “Reserve Funds”). In mid-September of 2008, the Reserve Funds ceased redemptions after net asset values of the fund decreased below $1 per share. This occurred as a result of the Reserve Funds revaluing their holdings of debt securities issued by Lehman Brothers Holdings, Inc. (“Lehman Brothers”), which filed for Chapter 11 bankruptcy on September 15, 2008, and the resulting unusually high redemption requests on the Reserve Funds. During fiscal 2010, Autodesk received $23.3 million in redemption proceeds from the Reserve Funds. This reduced the fair value of Autodesk’s investments in the Primary Fund to zero and the International Fund to $10.0 million as of January 31, 2010.</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 third party court appointed supervisor is overseeing, but not managing, the accounting and payment administration of the International Fund. At this time, the investment is currently not liquid, and in the event Autodesk needs to access these funds, the Company will not be able to do so. However, based on currently available information, Autodesk expects to recover substantially all of its current holdings, net of reserves, from the International Fund within the next 12 months. Accordingly, the International Fund is classified in current “Marketable Securities” on the Company’s Consolidated Balance Sheets.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January 31, 2010, Autodesk owned two auction rate securities with an estimated fair value of $7.6 million. Autodesk’s auction rate securities are variable rate debt instruments that have underlying securities with contractual maturities greater than ten years and interest rates that were structured to reset at auction every 28 days. The securities, which met Autodesk’s investment guidelines at the time the investments were made, have failed to settle in auctions since August 2007 and have earned a premium interest rate since that time. While Autodesk expects to recover substantially all of its current holdings, net of reserves, in the auction rate securities, it cannot predict when this will occur or the amount the Company will receive. Due to the lack of liquidity of these investments in an active market, they are included in non-current “Marketable securities” on the accompanying Consolidated Balance Sheets. The Company will continue to evaluate its accounting for these investments quarterly.</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At January 31, 2010, Autodesk’s short-term investment portfolio included $26.3 million of trading securities invested in a defined set of mutual funds as directed by the participants in the Company’s Deferred Compensation Plan. At January 1, 2010, these securities had unrealized losses of $3.1 million and a cost basis of $29.4 million, (see Note 6, “Deferred Compensation”).</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summarizes the estimated fair value of our available-for-sale marketable securities, classified by the contractual maturity date of the security:</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52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rPr>
              <w:t>January 31, 2010</w:t>
            </w:r>
          </w:p>
        </w:tc>
      </w:tr>
      <w:tr>
        <w:trPr>
          <w:trHeight w:val="142"/>
        </w:trPr>
        <w:tc>
          <w:tcPr>
            <w:tcW w:w="7020" w:type="dxa"/>
            <w:vAlign w:val="bottom"/>
          </w:tcPr>
          <w:p>
            <w:pPr>
              <w:spacing w:after="0"/>
              <w:rPr>
                <w:sz w:val="12"/>
                <w:szCs w:val="12"/>
                <w:color w:val="auto"/>
              </w:rPr>
            </w:pPr>
          </w:p>
        </w:tc>
        <w:tc>
          <w:tcPr>
            <w:tcW w:w="50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Due in 1 year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$135.4</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135.6</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Due in 1 year through 5 years</w:t>
            </w:r>
          </w:p>
        </w:tc>
        <w:tc>
          <w:tcPr>
            <w:tcW w:w="500" w:type="dxa"/>
            <w:vAlign w:val="bottom"/>
          </w:tcPr>
          <w:p>
            <w:pPr>
              <w:jc w:val="right"/>
              <w:spacing w:after="0"/>
              <w:rPr>
                <w:sz w:val="20"/>
                <w:szCs w:val="20"/>
                <w:color w:val="auto"/>
              </w:rPr>
            </w:pPr>
            <w:r>
              <w:rPr>
                <w:rFonts w:ascii="Arial" w:cs="Arial" w:eastAsia="Arial" w:hAnsi="Arial"/>
                <w:sz w:val="18"/>
                <w:szCs w:val="18"/>
                <w:color w:val="auto"/>
              </w:rPr>
              <w:t>116.8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118.0</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Due in 5 years through 10 years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Due after 10 years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259.8</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261.2</w:t>
            </w:r>
          </w:p>
        </w:tc>
      </w:tr>
      <w:tr>
        <w:trPr>
          <w:trHeight w:val="20"/>
        </w:trPr>
        <w:tc>
          <w:tcPr>
            <w:tcW w:w="7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January 31, 2010 and 2009, Autodesk did not have any securities in a continuous unrealized loss position.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its risk management strategy, Autodesk uses derivative instruments to manage its short-term exposures to fluctuations in foreign currency exchange rates which exist as part of ongoing business operations. Autodesk’s general practice is to hedge a majority of transaction exposures denominated in euros, Japanese yen, Swiss francs, British pounds and Canadian dollars. These instruments have maturities between one to 12 months in the future. Autodesk does not enter into any derivative instruments for trading or speculative purposes.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 Hedges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Autodesk utilizes foreign currency contracts to reduce the exchange rate impact on a portion of the net revenue or operating expense of certain anticipated transactions. These contracts, which are designated and documented as cash flow hedges, qualify for hedge accounting treatment. The effectiveness of the cash flow hedge contracts is assessed quarterly using regression analysis as well as other timing and probability criteria. To receive special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income/(loss)” and are reclassified into earnings at the time the forecasted revenue or expense is recognized. In the event the underlying forecasted transaction does not occur, or it becomes probably that it will not occur, Autodesk reclassifies the gain or loss on the related cash flow hedge from “Accumulated other comprehensive income/(loss)” to “Interest and other income, net” in the Company’s Consolidated Financial Statements at that time.</w:t>
      </w:r>
    </w:p>
    <w:p>
      <w:pPr>
        <w:spacing w:after="0" w:line="118"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notional amount of these contracts was $239.1 million at January 31, 2010 and $276.7 million at January 31, 2009. Outstanding contracts are recognized as either assets or liabilities on the balance sheet at fair value. The entire net gain of $2.3 million remaining in Accumulated Other Comprehensive Income (Loss) as of January 31, 2010 is expected to be recognized into earnings within the next 12 months.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Balance Sheet Hedges</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addition to the cash flow hedges described above, contracts which are not designated as hedging instruments are used to reduce the exchange rate risk associated primarily with receivables and payables. Forward contracts are marked-to-market at the end of each fiscal quarter, with gains and losses recognized as other income or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notional amounts of foreign currency contracts were $19.6 million at January 31, 2010 and $28.3 million at January 31, 2009.</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effects of derivative instruments on Autodesk’s consolidated financial statements were as follows as of January 31, 2010 and for the fiscal year then ended (amounts presented include any income tax effects):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Derivative Instruments in Consolidated Balance Sheet as of January 31, 2010: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Derivative Assets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gridSpan w:val="5"/>
          </w:tcPr>
          <w:p>
            <w:pPr>
              <w:ind w:left="200"/>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tcBorders>
              <w:top w:val="single" w:sz="8" w:color="auto"/>
            </w:tcBorders>
            <w:gridSpan w:val="2"/>
          </w:tcPr>
          <w:p>
            <w:pPr>
              <w:jc w:val="center"/>
              <w:ind w:right="360"/>
              <w:spacing w:after="0" w:line="130" w:lineRule="exact"/>
              <w:rPr>
                <w:sz w:val="20"/>
                <w:szCs w:val="20"/>
                <w:color w:val="auto"/>
              </w:rPr>
            </w:pPr>
            <w:r>
              <w:rPr>
                <w:rFonts w:ascii="Arial" w:cs="Arial" w:eastAsia="Arial" w:hAnsi="Arial"/>
                <w:sz w:val="14"/>
                <w:szCs w:val="14"/>
                <w:b w:val="1"/>
                <w:bCs w:val="1"/>
                <w:color w:val="auto"/>
                <w:w w:val="81"/>
              </w:rPr>
              <w:t>Balance</w:t>
            </w: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10"/>
              <w:spacing w:after="0" w:line="130" w:lineRule="exact"/>
              <w:rPr>
                <w:sz w:val="20"/>
                <w:szCs w:val="20"/>
                <w:color w:val="auto"/>
              </w:rPr>
            </w:pPr>
            <w:r>
              <w:rPr>
                <w:rFonts w:ascii="Arial" w:cs="Arial" w:eastAsia="Arial" w:hAnsi="Arial"/>
                <w:sz w:val="14"/>
                <w:szCs w:val="14"/>
                <w:b w:val="1"/>
                <w:bCs w:val="1"/>
                <w:color w:val="auto"/>
                <w:w w:val="85"/>
              </w:rPr>
              <w:t>Balance</w:t>
            </w: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Sheet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30"/>
              <w:spacing w:after="0" w:line="149" w:lineRule="exact"/>
              <w:rPr>
                <w:sz w:val="20"/>
                <w:szCs w:val="20"/>
                <w:color w:val="auto"/>
              </w:rPr>
            </w:pPr>
            <w:r>
              <w:rPr>
                <w:rFonts w:ascii="Arial" w:cs="Arial" w:eastAsia="Arial" w:hAnsi="Arial"/>
                <w:sz w:val="14"/>
                <w:szCs w:val="14"/>
                <w:b w:val="1"/>
                <w:bCs w:val="1"/>
                <w:color w:val="auto"/>
                <w:w w:val="83"/>
              </w:rPr>
              <w:t>Sheet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340" w:type="dxa"/>
            <w:vAlign w:val="bottom"/>
          </w:tcPr>
          <w:p>
            <w:pPr>
              <w:spacing w:after="0"/>
              <w:rPr>
                <w:sz w:val="15"/>
                <w:szCs w:val="15"/>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ind w:right="30"/>
              <w:spacing w:after="0"/>
              <w:rPr>
                <w:sz w:val="20"/>
                <w:szCs w:val="20"/>
                <w:color w:val="auto"/>
              </w:rPr>
            </w:pPr>
            <w:r>
              <w:rPr>
                <w:rFonts w:ascii="Arial" w:cs="Arial" w:eastAsia="Arial" w:hAnsi="Arial"/>
                <w:sz w:val="14"/>
                <w:szCs w:val="14"/>
                <w:b w:val="1"/>
                <w:bCs w:val="1"/>
                <w:color w:val="auto"/>
                <w:w w:val="89"/>
              </w:rPr>
              <w:t>Location</w:t>
            </w:r>
          </w:p>
        </w:tc>
        <w:tc>
          <w:tcPr>
            <w:tcW w:w="19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89"/>
              </w:rPr>
              <w:t>Foreign currency contracts designated as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3"/>
            <w:vMerge w:val="restart"/>
            <w:shd w:val="clear" w:color="auto" w:fill="CCEEFF"/>
          </w:tcPr>
          <w:p>
            <w:pPr>
              <w:ind w:left="40"/>
              <w:spacing w:after="0"/>
              <w:rPr>
                <w:sz w:val="20"/>
                <w:szCs w:val="20"/>
                <w:color w:val="auto"/>
              </w:rPr>
            </w:pPr>
            <w:r>
              <w:rPr>
                <w:rFonts w:ascii="Arial" w:cs="Arial" w:eastAsia="Arial" w:hAnsi="Arial"/>
                <w:sz w:val="18"/>
                <w:szCs w:val="18"/>
                <w:color w:val="auto"/>
              </w:rPr>
              <w:t>Prepaid</w:t>
            </w:r>
          </w:p>
        </w:tc>
        <w:tc>
          <w:tcPr>
            <w:tcW w:w="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7"/>
                <w:szCs w:val="17"/>
                <w:color w:val="auto"/>
              </w:rPr>
            </w:pPr>
          </w:p>
        </w:tc>
        <w:tc>
          <w:tcPr>
            <w:tcW w:w="980" w:type="dxa"/>
            <w:vAlign w:val="bottom"/>
            <w:gridSpan w:val="3"/>
            <w:vMerge w:val="restart"/>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gridSpan w:val="2"/>
            <w:vMerge w:val="restart"/>
            <w:shd w:val="clear" w:color="auto" w:fill="CCEEFF"/>
          </w:tcPr>
          <w:p>
            <w:pPr>
              <w:jc w:val="center"/>
              <w:ind w:left="339"/>
              <w:spacing w:after="0"/>
              <w:rPr>
                <w:sz w:val="20"/>
                <w:szCs w:val="20"/>
                <w:color w:val="auto"/>
              </w:rPr>
            </w:pPr>
            <w:r>
              <w:rPr>
                <w:rFonts w:ascii="Arial" w:cs="Arial" w:eastAsia="Arial" w:hAnsi="Arial"/>
                <w:sz w:val="18"/>
                <w:szCs w:val="18"/>
                <w:color w:val="auto"/>
                <w:w w:val="7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cash flow hedges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3"/>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expenses and</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accrued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current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700" w:type="dxa"/>
            <w:vAlign w:val="bottom"/>
            <w:gridSpan w:val="7"/>
          </w:tcPr>
          <w:p>
            <w:pPr>
              <w:spacing w:after="0"/>
              <w:rPr>
                <w:sz w:val="20"/>
                <w:szCs w:val="20"/>
                <w:color w:val="auto"/>
              </w:rPr>
            </w:pPr>
            <w:r>
              <w:rPr>
                <w:rFonts w:ascii="Arial" w:cs="Arial" w:eastAsia="Arial" w:hAnsi="Arial"/>
                <w:sz w:val="18"/>
                <w:szCs w:val="18"/>
                <w:color w:val="auto"/>
              </w:rPr>
              <w:t>Derivatives not designated as hedging instruments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77"/>
              <w:spacing w:after="0"/>
              <w:rPr>
                <w:sz w:val="20"/>
                <w:szCs w:val="20"/>
                <w:color w:val="auto"/>
              </w:rPr>
            </w:pPr>
            <w:r>
              <w:rPr>
                <w:rFonts w:ascii="Arial" w:cs="Arial" w:eastAsia="Arial" w:hAnsi="Arial"/>
                <w:sz w:val="18"/>
                <w:szCs w:val="18"/>
                <w:color w:val="auto"/>
                <w:w w:val="99"/>
              </w:rPr>
              <w:t>—</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derivatives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left="33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11400" w:type="dxa"/>
            <w:vAlign w:val="bottom"/>
            <w:gridSpan w:val="25"/>
          </w:tcPr>
          <w:p>
            <w:pPr>
              <w:ind w:left="440"/>
              <w:spacing w:after="0"/>
              <w:rPr>
                <w:sz w:val="20"/>
                <w:szCs w:val="20"/>
                <w:color w:val="auto"/>
              </w:rPr>
            </w:pPr>
            <w:r>
              <w:rPr>
                <w:rFonts w:ascii="Arial" w:cs="Arial" w:eastAsia="Arial" w:hAnsi="Arial"/>
                <w:sz w:val="18"/>
                <w:szCs w:val="18"/>
                <w:b w:val="1"/>
                <w:bCs w:val="1"/>
                <w:color w:val="auto"/>
                <w:w w:val="96"/>
              </w:rPr>
              <w:t>Effects of Derivative Instruments on Income and Other Comprehensive Income (OCI) Derivatives Designated as Hedging Instruments</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Amount of Gain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Amount and Location of Gain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460" w:type="dxa"/>
            <w:vAlign w:val="bottom"/>
          </w:tcPr>
          <w:p>
            <w:pPr>
              <w:spacing w:after="0"/>
              <w:rPr>
                <w:sz w:val="12"/>
                <w:szCs w:val="12"/>
                <w:color w:val="auto"/>
              </w:rPr>
            </w:pPr>
          </w:p>
        </w:tc>
        <w:tc>
          <w:tcPr>
            <w:tcW w:w="190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Amount and Location of Gain</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Recognized in Income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Accumulated OCI on</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Derivatives (Ineffective Portion and</w:t>
            </w:r>
          </w:p>
        </w:tc>
        <w:tc>
          <w:tcPr>
            <w:tcW w:w="0" w:type="dxa"/>
            <w:vAlign w:val="bottom"/>
          </w:tcPr>
          <w:p>
            <w:pPr>
              <w:spacing w:after="0"/>
              <w:rPr>
                <w:sz w:val="1"/>
                <w:szCs w:val="1"/>
                <w:color w:val="auto"/>
              </w:rPr>
            </w:pPr>
          </w:p>
        </w:tc>
      </w:tr>
      <w:tr>
        <w:trPr>
          <w:trHeight w:val="149"/>
        </w:trPr>
        <w:tc>
          <w:tcPr>
            <w:tcW w:w="38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For the Fiscal Year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Derivatives</w:t>
            </w:r>
          </w:p>
        </w:tc>
        <w:tc>
          <w:tcPr>
            <w:tcW w:w="2360" w:type="dxa"/>
            <w:vAlign w:val="bottom"/>
            <w:gridSpan w:val="7"/>
          </w:tcPr>
          <w:p>
            <w:pPr>
              <w:jc w:val="center"/>
              <w:ind w:left="217"/>
              <w:spacing w:after="0" w:line="149" w:lineRule="exact"/>
              <w:rPr>
                <w:sz w:val="20"/>
                <w:szCs w:val="20"/>
                <w:color w:val="auto"/>
              </w:rPr>
            </w:pPr>
            <w:r>
              <w:rPr>
                <w:rFonts w:ascii="Arial" w:cs="Arial" w:eastAsia="Arial" w:hAnsi="Arial"/>
                <w:sz w:val="14"/>
                <w:szCs w:val="14"/>
                <w:b w:val="1"/>
                <w:bCs w:val="1"/>
                <w:color w:val="auto"/>
                <w:w w:val="89"/>
              </w:rPr>
              <w:t>Accumulated OCI into Income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Amount Excluded from</w:t>
            </w:r>
          </w:p>
        </w:tc>
        <w:tc>
          <w:tcPr>
            <w:tcW w:w="0" w:type="dxa"/>
            <w:vAlign w:val="bottom"/>
          </w:tcPr>
          <w:p>
            <w:pPr>
              <w:spacing w:after="0"/>
              <w:rPr>
                <w:sz w:val="1"/>
                <w:szCs w:val="1"/>
                <w:color w:val="auto"/>
              </w:rPr>
            </w:pPr>
          </w:p>
        </w:tc>
      </w:tr>
      <w:tr>
        <w:trPr>
          <w:trHeight w:val="161"/>
        </w:trPr>
        <w:tc>
          <w:tcPr>
            <w:tcW w:w="3840" w:type="dxa"/>
            <w:vAlign w:val="bottom"/>
            <w:gridSpan w:val="5"/>
          </w:tcPr>
          <w:p>
            <w:pPr>
              <w:spacing w:after="0"/>
              <w:rPr>
                <w:sz w:val="20"/>
                <w:szCs w:val="20"/>
                <w:color w:val="auto"/>
              </w:rPr>
            </w:pPr>
            <w:r>
              <w:rPr>
                <w:rFonts w:ascii="Arial" w:cs="Arial" w:eastAsia="Arial" w:hAnsi="Arial"/>
                <w:sz w:val="14"/>
                <w:szCs w:val="14"/>
                <w:b w:val="1"/>
                <w:bCs w:val="1"/>
                <w:color w:val="auto"/>
              </w:rPr>
              <w:t>January 31, 2010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(Effective Portion)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(Effective Portion)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ind w:left="400"/>
              <w:spacing w:after="0"/>
              <w:rPr>
                <w:sz w:val="20"/>
                <w:szCs w:val="20"/>
                <w:color w:val="auto"/>
              </w:rPr>
            </w:pPr>
            <w:r>
              <w:rPr>
                <w:rFonts w:ascii="Arial" w:cs="Arial" w:eastAsia="Arial" w:hAnsi="Arial"/>
                <w:sz w:val="14"/>
                <w:szCs w:val="14"/>
                <w:b w:val="1"/>
                <w:bCs w:val="1"/>
                <w:color w:val="auto"/>
                <w:w w:val="86"/>
              </w:rPr>
              <w:t>Effectiveness</w:t>
            </w:r>
          </w:p>
        </w:tc>
        <w:tc>
          <w:tcPr>
            <w:tcW w:w="13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6"/>
              </w:rPr>
              <w:t>Testing)(1)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0"/>
              </w:rPr>
              <w:t>$ (10.9)</w:t>
            </w:r>
          </w:p>
        </w:tc>
        <w:tc>
          <w:tcPr>
            <w:tcW w:w="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560" w:type="dxa"/>
            <w:vAlign w:val="bottom"/>
            <w:gridSpan w:val="5"/>
            <w:shd w:val="clear" w:color="auto" w:fill="CCEEFF"/>
          </w:tcPr>
          <w:p>
            <w:pPr>
              <w:ind w:left="300"/>
              <w:spacing w:after="0"/>
              <w:rPr>
                <w:sz w:val="20"/>
                <w:szCs w:val="20"/>
                <w:color w:val="auto"/>
              </w:rPr>
            </w:pPr>
            <w:r>
              <w:rPr>
                <w:rFonts w:ascii="Arial" w:cs="Arial" w:eastAsia="Arial" w:hAnsi="Arial"/>
                <w:sz w:val="18"/>
                <w:szCs w:val="18"/>
                <w:color w:val="auto"/>
                <w:w w:val="93"/>
              </w:rPr>
              <w:t>Interest and other income, net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60" w:type="dxa"/>
            <w:vAlign w:val="bottom"/>
            <w:gridSpan w:val="4"/>
          </w:tcPr>
          <w:p>
            <w:pPr>
              <w:jc w:val="right"/>
              <w:ind w:right="1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(6.3)</w:t>
            </w: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$1.0 million net gain recognized for the fiscal year ended January 31, 2010 due to previously forecasted transactions that did not occur within the originally specified time period or the additional period of time allowed.</w:t>
      </w:r>
    </w:p>
    <w:p>
      <w:pPr>
        <w:spacing w:after="0" w:line="114"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960" w:type="dxa"/>
            <w:vAlign w:val="bottom"/>
          </w:tcPr>
          <w:p>
            <w:pPr>
              <w:jc w:val="center"/>
              <w:ind w:right="292"/>
              <w:spacing w:after="0"/>
              <w:rPr>
                <w:sz w:val="20"/>
                <w:szCs w:val="20"/>
                <w:color w:val="auto"/>
              </w:rPr>
            </w:pPr>
            <w:r>
              <w:rPr>
                <w:rFonts w:ascii="Arial" w:cs="Arial" w:eastAsia="Arial" w:hAnsi="Arial"/>
                <w:sz w:val="14"/>
                <w:szCs w:val="14"/>
                <w:b w:val="1"/>
                <w:bCs w:val="1"/>
                <w:color w:val="auto"/>
                <w:w w:val="86"/>
              </w:rPr>
              <w:t>Amount and Location of Gain (Loss) Recognized in</w:t>
            </w:r>
          </w:p>
        </w:tc>
      </w:tr>
      <w:tr>
        <w:trPr>
          <w:trHeight w:val="161"/>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w w:val="91"/>
              </w:rPr>
              <w:t>Derivatives Not Designated as Hedging Instruments</w:t>
            </w:r>
          </w:p>
        </w:tc>
        <w:tc>
          <w:tcPr>
            <w:tcW w:w="3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960" w:type="dxa"/>
            <w:vAlign w:val="bottom"/>
          </w:tcPr>
          <w:p>
            <w:pPr>
              <w:jc w:val="center"/>
              <w:ind w:right="292"/>
              <w:spacing w:after="0"/>
              <w:rPr>
                <w:sz w:val="20"/>
                <w:szCs w:val="20"/>
                <w:color w:val="auto"/>
              </w:rPr>
            </w:pPr>
            <w:r>
              <w:rPr>
                <w:rFonts w:ascii="Arial" w:cs="Arial" w:eastAsia="Arial" w:hAnsi="Arial"/>
                <w:sz w:val="14"/>
                <w:szCs w:val="14"/>
                <w:b w:val="1"/>
                <w:bCs w:val="1"/>
                <w:color w:val="auto"/>
                <w:w w:val="88"/>
              </w:rPr>
              <w:t>Income on Derivative</w:t>
            </w:r>
          </w:p>
        </w:tc>
      </w:tr>
      <w:tr>
        <w:trPr>
          <w:trHeight w:val="201"/>
        </w:trPr>
        <w:tc>
          <w:tcPr>
            <w:tcW w:w="20" w:type="dxa"/>
            <w:vAlign w:val="bottom"/>
          </w:tcPr>
          <w:p>
            <w:pPr>
              <w:spacing w:after="0"/>
              <w:rPr>
                <w:sz w:val="17"/>
                <w:szCs w:val="17"/>
                <w:color w:val="auto"/>
              </w:rPr>
            </w:pPr>
          </w:p>
        </w:tc>
        <w:tc>
          <w:tcPr>
            <w:tcW w:w="31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1"/>
              </w:rPr>
              <w:t>For the fiscal year ended January 31, 2010</w:t>
            </w:r>
          </w:p>
        </w:tc>
        <w:tc>
          <w:tcPr>
            <w:tcW w:w="39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960" w:type="dxa"/>
            <w:vAlign w:val="bottom"/>
            <w:tcBorders>
              <w:top w:val="single" w:sz="8" w:color="auto"/>
            </w:tcBorders>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contracts</w:t>
            </w:r>
          </w:p>
        </w:tc>
        <w:tc>
          <w:tcPr>
            <w:tcW w:w="390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$ 0.9   Interest and other income, net</w:t>
            </w: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Fair Value Measurements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Fair value is an exit price, representing the amount that would be received upon the sale of an asset, or the amount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Autodesk uses a three-tier value hierarchy, which prioritizes the inputs used in measuring fair value as follows: (Level 1) observable inputs such as quoted prices in active markets; (Level 2) inputs other than the quoted prices in active markets that are observable either directly or indirectly in active markets; and (Level 3) unobservable inputs in which there is little or no market data, which require Autodesk to develop its own assumptions. Whenever possible, Autodesk uses observable market data, and relies on unobservable inputs only when observable market data is not available, when determining fair value. On a recurring basis, Autodesk measures at fair value certain financial assets and liabilities, which consist of cash equivalents, marketable securities and foreign currency contracts.</w:t>
      </w:r>
    </w:p>
    <w:p>
      <w:pPr>
        <w:spacing w:after="0" w:line="11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Autodesk’s cash equivalents and marketable securities are primarily classified within Level 1 or Level 2 of the fair value hierarchy because they are valued primarily using quoted market prices, or alternative pricing sources and models utilizing market observable inputs with reasonable levels of price transparency.</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Company’s investments held in the International Fund at January 31, 2010 are designated as Level 3 securities. The Company conducted its fair value assessment of the International Fund using Level 2 and Level 3 inputs. Management has reviewed the International Funds’ underlying securities portfolio which is substantially comprised of term deposits, money market funds, U.S. treasury bills and commercial paper. These securities are issued by highly-rated institutions. Normally, the Company would classify such investments within Level 2 of the fair value hierarchy. Management evaluated the fair value of its unit interest in the International Funds, considering risk of collection, timing and other factors. As a result of such evaluation, the Company has classified its holdings in the International Fund within Level 3 of the fair value hierarchy. These assumptions are inherently subjective and involve significant management judgment. Autodesk’s investments in auction rate securities are classified within Level 3 because they are valued using a pricing model, and some of the inputs to this model are unobservable in the market.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January 31,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gridSpan w:val="9"/>
          </w:tcPr>
          <w:p>
            <w:pPr>
              <w:ind w:left="700"/>
              <w:spacing w:after="0"/>
              <w:rPr>
                <w:sz w:val="20"/>
                <w:szCs w:val="20"/>
                <w:color w:val="auto"/>
              </w:rPr>
            </w:pPr>
            <w:r>
              <w:rPr>
                <w:rFonts w:ascii="Arial" w:cs="Arial" w:eastAsia="Arial" w:hAnsi="Arial"/>
                <w:sz w:val="14"/>
                <w:szCs w:val="14"/>
                <w:b w:val="1"/>
                <w:bCs w:val="1"/>
                <w:color w:val="auto"/>
                <w:w w:val="91"/>
              </w:rPr>
              <w:t>Fair Value Measurements at January 31, 2010 Using</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0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in Active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Markets for</w:t>
            </w:r>
          </w:p>
        </w:tc>
        <w:tc>
          <w:tcPr>
            <w:tcW w:w="6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Identical Assets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Inputs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7"/>
              </w:rPr>
              <w:t>(Level 1)</w:t>
            </w:r>
          </w:p>
        </w:tc>
        <w:tc>
          <w:tcPr>
            <w:tcW w:w="60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(Level 3)</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440"/>
              <w:spacing w:after="0"/>
              <w:rPr>
                <w:sz w:val="20"/>
                <w:szCs w:val="20"/>
                <w:color w:val="auto"/>
              </w:rPr>
            </w:pPr>
            <w:r>
              <w:rPr>
                <w:rFonts w:ascii="Arial" w:cs="Arial" w:eastAsia="Arial" w:hAnsi="Arial"/>
                <w:sz w:val="18"/>
                <w:szCs w:val="18"/>
                <w:color w:val="auto"/>
              </w:rPr>
              <w:t>Cash equivalents(1)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88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299.5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880"/>
              <w:spacing w:after="0"/>
              <w:rPr>
                <w:sz w:val="20"/>
                <w:szCs w:val="20"/>
                <w:color w:val="auto"/>
              </w:rPr>
            </w:pPr>
            <w:r>
              <w:rPr>
                <w:rFonts w:ascii="Arial" w:cs="Arial" w:eastAsia="Arial" w:hAnsi="Arial"/>
                <w:sz w:val="18"/>
                <w:szCs w:val="18"/>
                <w:color w:val="auto"/>
              </w:rPr>
              <w:t>Commercial paper and corporate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88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U.S. treasury securities and sovereign debt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8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Foreign currency derivative contracts(2)</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gridSpan w:val="2"/>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261.1</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635.6</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17.6</w:t>
            </w:r>
          </w:p>
        </w:tc>
        <w:tc>
          <w:tcPr>
            <w:tcW w:w="44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914.3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ind w:left="440"/>
              <w:spacing w:after="0"/>
              <w:rPr>
                <w:sz w:val="20"/>
                <w:szCs w:val="20"/>
                <w:color w:val="auto"/>
              </w:rPr>
            </w:pPr>
            <w:r>
              <w:rPr>
                <w:rFonts w:ascii="Arial" w:cs="Arial" w:eastAsia="Arial" w:hAnsi="Arial"/>
                <w:sz w:val="18"/>
                <w:szCs w:val="18"/>
                <w:color w:val="auto"/>
              </w:rPr>
              <w:t>Foreign currency derivative contracts(3)</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Included in “Cash and cash equivalents” in the accompanying Consolidated Balance Sheets.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Included in “Prepaid expenses and other current assets” in the accompanying Consolidated Balance Sheets.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Included in “Other accrued liabilities” in the accompanying Consolidated Balance Sheets.</w:t>
      </w:r>
    </w:p>
    <w:p>
      <w:pPr>
        <w:spacing w:after="0" w:line="147"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January 31, 2009: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3"/>
              </w:rPr>
              <w:t>Fair Value Measurements at January 31, 2009 Using</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Significant</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in Active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0"/>
              </w:rPr>
              <w:t>Other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Markets for</w:t>
            </w:r>
          </w:p>
        </w:tc>
        <w:tc>
          <w:tcPr>
            <w:tcW w:w="6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68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Identical Assets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Inputs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4"/>
                <w:szCs w:val="14"/>
                <w:color w:val="auto"/>
              </w:rPr>
            </w:pPr>
          </w:p>
        </w:tc>
        <w:tc>
          <w:tcPr>
            <w:tcW w:w="5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7"/>
              </w:rPr>
              <w:t>(Level 1)</w:t>
            </w:r>
          </w:p>
        </w:tc>
        <w:tc>
          <w:tcPr>
            <w:tcW w:w="68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6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4"/>
              </w:rPr>
              <w:t>(Level 3)</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440"/>
              <w:spacing w:after="0"/>
              <w:rPr>
                <w:sz w:val="20"/>
                <w:szCs w:val="20"/>
                <w:color w:val="auto"/>
              </w:rPr>
            </w:pPr>
            <w:r>
              <w:rPr>
                <w:rFonts w:ascii="Arial" w:cs="Arial" w:eastAsia="Arial" w:hAnsi="Arial"/>
                <w:sz w:val="18"/>
                <w:szCs w:val="18"/>
                <w:color w:val="auto"/>
              </w:rPr>
              <w:t>Cash equivalents(1)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6520" w:type="dxa"/>
            <w:vAlign w:val="bottom"/>
            <w:gridSpan w:val="2"/>
          </w:tcPr>
          <w:p>
            <w:pPr>
              <w:ind w:left="88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800" w:type="dxa"/>
            <w:vAlign w:val="bottom"/>
          </w:tcPr>
          <w:p>
            <w:pPr>
              <w:jc w:val="center"/>
              <w:ind w:left="377"/>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206.1</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417"/>
              <w:spacing w:after="0"/>
              <w:rPr>
                <w:sz w:val="20"/>
                <w:szCs w:val="20"/>
                <w:color w:val="auto"/>
              </w:rPr>
            </w:pPr>
            <w:r>
              <w:rPr>
                <w:rFonts w:ascii="Arial" w:cs="Arial" w:eastAsia="Arial" w:hAnsi="Arial"/>
                <w:sz w:val="18"/>
                <w:szCs w:val="18"/>
                <w:color w:val="auto"/>
                <w:w w:val="85"/>
              </w:rPr>
              <w:t>25.0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6520" w:type="dxa"/>
            <w:vAlign w:val="bottom"/>
            <w:gridSpan w:val="2"/>
          </w:tcPr>
          <w:p>
            <w:pPr>
              <w:ind w:left="88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800" w:type="dxa"/>
            <w:vAlign w:val="bottom"/>
          </w:tcPr>
          <w:p>
            <w:pPr>
              <w:jc w:val="center"/>
              <w:ind w:left="417"/>
              <w:spacing w:after="0"/>
              <w:rPr>
                <w:sz w:val="20"/>
                <w:szCs w:val="20"/>
                <w:color w:val="auto"/>
              </w:rPr>
            </w:pPr>
            <w:r>
              <w:rPr>
                <w:rFonts w:ascii="Arial" w:cs="Arial" w:eastAsia="Arial" w:hAnsi="Arial"/>
                <w:sz w:val="18"/>
                <w:szCs w:val="18"/>
                <w:color w:val="auto"/>
                <w:w w:val="85"/>
              </w:rPr>
              <w:t>55.0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6520" w:type="dxa"/>
            <w:vAlign w:val="bottom"/>
            <w:gridSpan w:val="2"/>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6520" w:type="dxa"/>
            <w:vAlign w:val="bottom"/>
            <w:gridSpan w:val="2"/>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800" w:type="dxa"/>
            <w:vAlign w:val="bottom"/>
          </w:tcPr>
          <w:p>
            <w:pPr>
              <w:jc w:val="center"/>
              <w:ind w:left="417"/>
              <w:spacing w:after="0"/>
              <w:rPr>
                <w:sz w:val="20"/>
                <w:szCs w:val="20"/>
                <w:color w:val="auto"/>
              </w:rPr>
            </w:pPr>
            <w:r>
              <w:rPr>
                <w:rFonts w:ascii="Arial" w:cs="Arial" w:eastAsia="Arial" w:hAnsi="Arial"/>
                <w:sz w:val="18"/>
                <w:szCs w:val="18"/>
                <w:color w:val="auto"/>
                <w:w w:val="85"/>
              </w:rPr>
              <w:t>19.9</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6520" w:type="dxa"/>
            <w:vAlign w:val="bottom"/>
            <w:gridSpan w:val="2"/>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tcPr>
          <w:p>
            <w:pPr>
              <w:spacing w:after="0"/>
              <w:rPr>
                <w:sz w:val="18"/>
                <w:szCs w:val="18"/>
                <w:color w:val="auto"/>
              </w:rPr>
            </w:pPr>
          </w:p>
        </w:tc>
        <w:tc>
          <w:tcPr>
            <w:tcW w:w="800" w:type="dxa"/>
            <w:vAlign w:val="bottom"/>
          </w:tcPr>
          <w:p>
            <w:pPr>
              <w:jc w:val="center"/>
              <w:ind w:left="377"/>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Foreign currency derivative contracts(2)</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ind w:left="37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6520" w:type="dxa"/>
            <w:vAlign w:val="bottom"/>
            <w:gridSpan w:val="2"/>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center"/>
              <w:ind w:left="417"/>
              <w:spacing w:after="0"/>
              <w:rPr>
                <w:sz w:val="20"/>
                <w:szCs w:val="20"/>
                <w:color w:val="auto"/>
              </w:rPr>
            </w:pPr>
            <w:r>
              <w:rPr>
                <w:rFonts w:ascii="Arial" w:cs="Arial" w:eastAsia="Arial" w:hAnsi="Arial"/>
                <w:sz w:val="18"/>
                <w:szCs w:val="18"/>
                <w:color w:val="auto"/>
                <w:w w:val="85"/>
              </w:rPr>
              <w:t>99.9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622.0</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40.9</w:t>
            </w:r>
          </w:p>
        </w:tc>
        <w:tc>
          <w:tcPr>
            <w:tcW w:w="4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Included in “Cash and cash equivalents” in the accompanying Consolidated Balance Sheets.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Included in “Prepaid expenses and other current assets” in the accompanying Consolidated Balance Sheets.</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 reconciliation of the change in Autodesk’s Level 3 items for the fiscal year ended January 31, 2010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6"/>
          </w:tcPr>
          <w:p>
            <w:pPr>
              <w:jc w:val="center"/>
              <w:ind w:left="382"/>
              <w:spacing w:after="0"/>
              <w:rPr>
                <w:sz w:val="20"/>
                <w:szCs w:val="20"/>
                <w:color w:val="auto"/>
              </w:rPr>
            </w:pPr>
            <w:r>
              <w:rPr>
                <w:rFonts w:ascii="Arial" w:cs="Arial" w:eastAsia="Arial" w:hAnsi="Arial"/>
                <w:sz w:val="14"/>
                <w:szCs w:val="14"/>
                <w:b w:val="1"/>
                <w:bCs w:val="1"/>
                <w:color w:val="auto"/>
                <w:w w:val="86"/>
              </w:rPr>
              <w:t>Fair Value Measurements Using</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left="362"/>
              <w:spacing w:after="0"/>
              <w:rPr>
                <w:sz w:val="20"/>
                <w:szCs w:val="20"/>
                <w:color w:val="auto"/>
              </w:rPr>
            </w:pPr>
            <w:r>
              <w:rPr>
                <w:rFonts w:ascii="Arial" w:cs="Arial" w:eastAsia="Arial" w:hAnsi="Arial"/>
                <w:sz w:val="14"/>
                <w:szCs w:val="14"/>
                <w:b w:val="1"/>
                <w:bCs w:val="1"/>
                <w:color w:val="auto"/>
                <w:w w:val="86"/>
              </w:rPr>
              <w:t>Significant Unobservable Inputs</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center"/>
              <w:ind w:right="580"/>
              <w:spacing w:after="0" w:line="142" w:lineRule="exact"/>
              <w:rPr>
                <w:sz w:val="20"/>
                <w:szCs w:val="20"/>
                <w:color w:val="auto"/>
              </w:rPr>
            </w:pPr>
            <w:r>
              <w:rPr>
                <w:rFonts w:ascii="Arial" w:cs="Arial" w:eastAsia="Arial" w:hAnsi="Arial"/>
                <w:sz w:val="14"/>
                <w:szCs w:val="14"/>
                <w:b w:val="1"/>
                <w:bCs w:val="1"/>
                <w:color w:val="auto"/>
                <w:w w:val="87"/>
              </w:rPr>
              <w:t>(Level 3)</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3"/>
          </w:tcPr>
          <w:p>
            <w:pPr>
              <w:jc w:val="center"/>
              <w:ind w:right="540"/>
              <w:spacing w:after="0" w:line="129" w:lineRule="exact"/>
              <w:rPr>
                <w:sz w:val="20"/>
                <w:szCs w:val="20"/>
                <w:color w:val="auto"/>
              </w:rPr>
            </w:pPr>
            <w:r>
              <w:rPr>
                <w:rFonts w:ascii="Arial" w:cs="Arial" w:eastAsia="Arial" w:hAnsi="Arial"/>
                <w:sz w:val="14"/>
                <w:szCs w:val="14"/>
                <w:b w:val="1"/>
                <w:bCs w:val="1"/>
                <w:color w:val="auto"/>
                <w:w w:val="88"/>
              </w:rPr>
              <w:t>Taxable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Auction-</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Money Market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Rate</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9"/>
              </w:rPr>
              <w:t>Funds</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gridSpan w:val="2"/>
            <w:shd w:val="clear" w:color="auto" w:fill="CCEEFF"/>
          </w:tcPr>
          <w:p>
            <w:pPr>
              <w:jc w:val="center"/>
              <w:ind w:right="5880"/>
              <w:spacing w:after="0"/>
              <w:rPr>
                <w:sz w:val="20"/>
                <w:szCs w:val="20"/>
                <w:color w:val="auto"/>
              </w:rPr>
            </w:pPr>
            <w:r>
              <w:rPr>
                <w:rFonts w:ascii="Arial" w:cs="Arial" w:eastAsia="Arial" w:hAnsi="Arial"/>
                <w:sz w:val="18"/>
                <w:szCs w:val="18"/>
                <w:color w:val="auto"/>
                <w:w w:val="86"/>
              </w:rPr>
              <w:t>Balance at January 31, 2009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382"/>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7.6</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jc w:val="center"/>
              <w:ind w:right="5880"/>
              <w:spacing w:after="0"/>
              <w:rPr>
                <w:sz w:val="20"/>
                <w:szCs w:val="20"/>
                <w:color w:val="auto"/>
              </w:rPr>
            </w:pPr>
            <w:r>
              <w:rPr>
                <w:rFonts w:ascii="Arial" w:cs="Arial" w:eastAsia="Arial" w:hAnsi="Arial"/>
                <w:sz w:val="18"/>
                <w:szCs w:val="18"/>
                <w:color w:val="auto"/>
                <w:w w:val="88"/>
              </w:rPr>
              <w:t>Redemptions(1)</w:t>
            </w: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(23.3)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shd w:val="clear" w:color="auto" w:fill="CCEEFF"/>
          </w:tcPr>
          <w:p>
            <w:pPr>
              <w:jc w:val="center"/>
              <w:ind w:right="5880"/>
              <w:spacing w:after="0"/>
              <w:rPr>
                <w:sz w:val="20"/>
                <w:szCs w:val="20"/>
                <w:color w:val="auto"/>
              </w:rPr>
            </w:pPr>
            <w:r>
              <w:rPr>
                <w:rFonts w:ascii="Arial" w:cs="Arial" w:eastAsia="Arial" w:hAnsi="Arial"/>
                <w:sz w:val="18"/>
                <w:szCs w:val="18"/>
                <w:color w:val="auto"/>
                <w:w w:val="86"/>
              </w:rPr>
              <w:t>Balance at January 31, 2010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Redemptions of $23.3 million from the Reserve Funds.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Employee and Director Stock Plans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Plans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January 31, 2010, Autodesk maintained two active stock option plans for the purpose of granting stock awards to employees and to non-employee members of Autodesk’s Board of Directors, the 2008 Employee Stock Plan (“2008 Plan”), which is available only to employees, and the 2000 Directors’ Option Plan, as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amended (“2000 Plan”), which is available only to non-employee directors. Additionally, there are six expired or terminated plans with options outstanding, including the 2006 Stock Plan (“2006 Plan”), which was replaced by the 2008 Plan in March 2008.</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2008 Plan was approved by Autodesk’s stockholders in November 2007 and became effective in March 2008. Under this plan, 16.5 million shares of Autodesk common stock, and 0.48 million shares that remained available for issuance under the 2006 Stock Plan upon its expiration, were reserved for issuance. The 2008 Plan permits the grant of stock options, restricted stock and restricted stock units; however, no more than 2.5 million of the shares reserved for issuance under the 2008 Plan may be issued pursuant to awards of restricted stock and restricted stock units. At January 31, 2010, 6.7 million shares were available for future issuance under the 2008 Plan. The 2008 Plan will expire in March 2011. The 2000 Plan, which was approved by the stockholders in June 2000, allows for an automatic annual grant of stock awards to non-employee members of Autodesk’s Board of Directors. At January 31, 2010, 0.6 million shares were available for future issuance. The 2000 Plan expired on March 15, 2010.</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Options granted under the 2008 Plan and the 2000 Plan vest over periods ranging from one to four years and generally expire within four to seven years from the date of grant. During fiscal 2010 and 2009, the exercise price of all stock options granted under these plans is equal to the fair market value of the stock on the grant date.</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June 11, 2009, Autodesk’s stockholders approved the 2010 Outside Directors’ Stock Plan (“2010 Plan”), which became effective March 16, 2010. The 2010 Plan reserves 2.5 million shares of Autodesk common stock, plus up to 0.5 million shares available, but not previously granted, under the 2000 Plan. The 2010 Plan permits the grant of stock options and restricted stock awards to non-employee members of Autodesk’s Board of Directors. The 2010 Plan will expire in March 2020.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fiscal year ended January 31, 2010 is as follows:</w:t>
      </w:r>
    </w:p>
    <w:p>
      <w:pPr>
        <w:spacing w:after="0" w:line="19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Number of</w:t>
            </w:r>
          </w:p>
        </w:tc>
        <w:tc>
          <w:tcPr>
            <w:tcW w:w="1120" w:type="dxa"/>
            <w:vAlign w:val="bottom"/>
            <w:gridSpan w:val="3"/>
          </w:tcPr>
          <w:p>
            <w:pPr>
              <w:ind w:left="340"/>
              <w:spacing w:after="0" w:line="149" w:lineRule="exact"/>
              <w:rPr>
                <w:sz w:val="20"/>
                <w:szCs w:val="20"/>
                <w:color w:val="auto"/>
              </w:rPr>
            </w:pPr>
            <w:r>
              <w:rPr>
                <w:rFonts w:ascii="Arial" w:cs="Arial" w:eastAsia="Arial" w:hAnsi="Arial"/>
                <w:sz w:val="14"/>
                <w:szCs w:val="14"/>
                <w:b w:val="1"/>
                <w:bCs w:val="1"/>
                <w:color w:val="auto"/>
                <w:w w:val="84"/>
              </w:rPr>
              <w:t>average price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31, 2009</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26,818</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Granted</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6,766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(2,036)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204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(2,465)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31, 2010</w:t>
            </w:r>
          </w:p>
        </w:tc>
        <w:tc>
          <w:tcPr>
            <w:tcW w:w="204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29,083</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January 31, 2010</w:t>
            </w:r>
          </w:p>
        </w:tc>
        <w:tc>
          <w:tcPr>
            <w:tcW w:w="2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vMerge w:val="restart"/>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line="20" w:lineRule="exact"/>
              <w:rPr>
                <w:sz w:val="1"/>
                <w:szCs w:val="1"/>
                <w:color w:val="auto"/>
              </w:rPr>
            </w:pPr>
          </w:p>
        </w:tc>
      </w:tr>
      <w:tr>
        <w:trPr>
          <w:trHeight w:val="209"/>
        </w:trPr>
        <w:tc>
          <w:tcPr>
            <w:tcW w:w="5340" w:type="dxa"/>
            <w:vAlign w:val="bottom"/>
            <w:gridSpan w:val="2"/>
            <w:vMerge w:val="continue"/>
          </w:tcPr>
          <w:p>
            <w:pPr>
              <w:spacing w:after="0"/>
              <w:rPr>
                <w:sz w:val="18"/>
                <w:szCs w:val="18"/>
                <w:color w:val="auto"/>
              </w:rPr>
            </w:pP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17,027</w:t>
            </w:r>
          </w:p>
        </w:tc>
        <w:tc>
          <w:tcPr>
            <w:tcW w:w="3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grant at January 31, 2010</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total pre-tax intrinsic value of options exercised was $18.8 million in fiscal 2010, $46.7 million in fiscal 2009 and $308.5 million in fiscal 2008. The intrinsic value of options exercised is calculated as the difference between the exercise price of the option and the market value of the stock on the date of exercise. The weighted average grant date fair value of stock options granted during fiscal 2010, 2009 and 2008, calculated as of the</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stock option grant date using the Black-Scholes-Merton option pricing model, was $6.13, $9.82 and $14.41 per share, respectively. As of January 31, 2010, total compensation cost related to non-vested options not yet recognized of $53.1 million is expected to be recognized over a weighted average period of 1.9 years.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options outstanding and exercisable at January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w w:val="95"/>
              </w:rPr>
              <w:t>Options Exercisable</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6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360" w:type="dxa"/>
            <w:vAlign w:val="bottom"/>
          </w:tcPr>
          <w:p>
            <w:pPr>
              <w:spacing w:after="0"/>
              <w:rPr>
                <w:sz w:val="12"/>
                <w:szCs w:val="12"/>
                <w:color w:val="auto"/>
              </w:rPr>
            </w:pPr>
          </w:p>
        </w:tc>
        <w:tc>
          <w:tcPr>
            <w:tcW w:w="10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Aggregate</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36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intrinsic</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3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c>
          <w:tcPr>
            <w:tcW w:w="36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value(1)</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c>
          <w:tcPr>
            <w:tcW w:w="38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exercise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value(1)</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3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price</w:t>
            </w:r>
          </w:p>
        </w:tc>
        <w:tc>
          <w:tcPr>
            <w:tcW w:w="360" w:type="dxa"/>
            <w:vAlign w:val="bottom"/>
          </w:tcPr>
          <w:p>
            <w:pPr>
              <w:spacing w:after="0"/>
              <w:rPr>
                <w:sz w:val="14"/>
                <w:szCs w:val="14"/>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(in millions)</w:t>
            </w: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(in thousands)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38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price</w:t>
            </w:r>
          </w:p>
        </w:tc>
        <w:tc>
          <w:tcPr>
            <w:tcW w:w="200" w:type="dxa"/>
            <w:vAlign w:val="bottom"/>
          </w:tcPr>
          <w:p>
            <w:pPr>
              <w:spacing w:after="0"/>
              <w:rPr>
                <w:sz w:val="14"/>
                <w:szCs w:val="14"/>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Range of per-share exercise prices:</w:t>
            </w: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$0.61 – $13.84</w:t>
            </w:r>
          </w:p>
        </w:tc>
        <w:tc>
          <w:tcPr>
            <w:tcW w:w="820" w:type="dxa"/>
            <w:vAlign w:val="bottom"/>
          </w:tcPr>
          <w:p>
            <w:pPr>
              <w:jc w:val="right"/>
              <w:spacing w:after="0"/>
              <w:rPr>
                <w:sz w:val="20"/>
                <w:szCs w:val="20"/>
                <w:color w:val="auto"/>
              </w:rPr>
            </w:pPr>
            <w:r>
              <w:rPr>
                <w:rFonts w:ascii="Arial" w:cs="Arial" w:eastAsia="Arial" w:hAnsi="Arial"/>
                <w:sz w:val="18"/>
                <w:szCs w:val="18"/>
                <w:color w:val="auto"/>
              </w:rPr>
              <w:t>3,458</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6,165</w:t>
            </w:r>
          </w:p>
        </w:tc>
        <w:tc>
          <w:tcPr>
            <w:tcW w:w="66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$ 10.56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$14.15 – $22.40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5,985</w:t>
            </w:r>
          </w:p>
        </w:tc>
        <w:tc>
          <w:tcPr>
            <w:tcW w:w="6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$23.56 – $32.90</w:t>
            </w:r>
          </w:p>
        </w:tc>
        <w:tc>
          <w:tcPr>
            <w:tcW w:w="820" w:type="dxa"/>
            <w:vAlign w:val="bottom"/>
          </w:tcPr>
          <w:p>
            <w:pPr>
              <w:jc w:val="right"/>
              <w:spacing w:after="0"/>
              <w:rPr>
                <w:sz w:val="20"/>
                <w:szCs w:val="20"/>
                <w:color w:val="auto"/>
              </w:rPr>
            </w:pPr>
            <w:r>
              <w:rPr>
                <w:rFonts w:ascii="Arial" w:cs="Arial" w:eastAsia="Arial" w:hAnsi="Arial"/>
                <w:sz w:val="18"/>
                <w:szCs w:val="18"/>
                <w:color w:val="auto"/>
              </w:rPr>
              <w:t>3,942</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30.57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6,815</w:t>
            </w:r>
          </w:p>
        </w:tc>
        <w:tc>
          <w:tcPr>
            <w:tcW w:w="66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31.02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$33.16 – $45.29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40.58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9,271</w:t>
            </w:r>
          </w:p>
        </w:tc>
        <w:tc>
          <w:tcPr>
            <w:tcW w:w="6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$47.24 – $49.80</w:t>
            </w:r>
          </w:p>
        </w:tc>
        <w:tc>
          <w:tcPr>
            <w:tcW w:w="820" w:type="dxa"/>
            <w:vAlign w:val="bottom"/>
          </w:tcPr>
          <w:p>
            <w:pPr>
              <w:jc w:val="right"/>
              <w:spacing w:after="0"/>
              <w:rPr>
                <w:sz w:val="20"/>
                <w:szCs w:val="20"/>
                <w:color w:val="auto"/>
              </w:rPr>
            </w:pPr>
            <w:r>
              <w:rPr>
                <w:rFonts w:ascii="Arial" w:cs="Arial" w:eastAsia="Arial" w:hAnsi="Arial"/>
                <w:sz w:val="18"/>
                <w:szCs w:val="18"/>
                <w:color w:val="auto"/>
              </w:rPr>
              <w:t>657</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48.43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847</w:t>
            </w:r>
          </w:p>
        </w:tc>
        <w:tc>
          <w:tcPr>
            <w:tcW w:w="66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48.59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29.44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62.0</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29,083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$ 27.56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2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total pre-tax intrinsic value, based on Autodesk’s closing stock price of $23.79 per share as of January 31, 2010, which would have been received by the option holders had all option holders exercised their options as of that date.</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These options will expire if not exercised at specific dates ranging through December 2016.</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award and restricted stock unit activity for the fiscal year ended January 31, 2010 is as follows:</w:t>
      </w:r>
    </w:p>
    <w:p>
      <w:pPr>
        <w:spacing w:after="0" w:line="19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Non-vested</w:t>
            </w:r>
          </w:p>
        </w:tc>
        <w:tc>
          <w:tcPr>
            <w:tcW w:w="4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average grant</w:t>
            </w: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Stock</w:t>
            </w: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date fair value</w:t>
            </w: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jc w:val="right"/>
              <w:ind w:right="1832"/>
              <w:spacing w:after="0"/>
              <w:rPr>
                <w:sz w:val="20"/>
                <w:szCs w:val="20"/>
                <w:color w:val="auto"/>
              </w:rPr>
            </w:pPr>
            <w:r>
              <w:rPr>
                <w:rFonts w:ascii="Arial" w:cs="Arial" w:eastAsia="Arial" w:hAnsi="Arial"/>
                <w:sz w:val="18"/>
                <w:szCs w:val="18"/>
                <w:color w:val="auto"/>
                <w:w w:val="86"/>
              </w:rPr>
              <w:t>Non-vested restricted stock at January 31, 2009</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w:t>
            </w: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Awarded</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744</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22.71</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9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r>
      <w:tr>
        <w:trPr>
          <w:trHeight w:val="222"/>
        </w:trPr>
        <w:tc>
          <w:tcPr>
            <w:tcW w:w="5260" w:type="dxa"/>
            <w:vAlign w:val="bottom"/>
            <w:gridSpan w:val="2"/>
          </w:tcPr>
          <w:p>
            <w:pPr>
              <w:jc w:val="right"/>
              <w:ind w:right="1832"/>
              <w:spacing w:after="0"/>
              <w:rPr>
                <w:sz w:val="20"/>
                <w:szCs w:val="20"/>
                <w:color w:val="auto"/>
              </w:rPr>
            </w:pPr>
            <w:r>
              <w:rPr>
                <w:rFonts w:ascii="Arial" w:cs="Arial" w:eastAsia="Arial" w:hAnsi="Arial"/>
                <w:sz w:val="18"/>
                <w:szCs w:val="18"/>
                <w:color w:val="auto"/>
                <w:w w:val="86"/>
              </w:rPr>
              <w:t>Non-vested restricted stock at January 31, 2010</w:t>
            </w:r>
          </w:p>
        </w:tc>
        <w:tc>
          <w:tcPr>
            <w:tcW w:w="19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the fiscal year ended January 31, 2010, Autodesk granted 713,822 restricted stock units under the 2008 Plan. The restricted stock units vest over periods ranging from immediately upon grant to the third anniversary of the date of grant. Restricted stock units are not considered outstanding stock at the time of grant, as the holders of these units are not entitled to any of the rights of a stockholder, including voting rights, until the units have vested. The fair value of the restricted stock is expensed ratably over the vesting period. Autodesk recorded share-based compensation expense related to restricted stock units of $1.9 million and $0.6 million during fiscal years ended January 31, 2010 and 2009, respectively. As of January 31, 2010, total compensation cost related to non-vested awards not yet recognized of $12.1 million is expected to be recognized over a weighted average period of 1.8 years. At January 31, 2010, the number of units granted but unvested was 824,694.</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fiscal year ended January 31, 2010, Autodesk issued 30,001 restricted stock awards under the 2000 Plan. The restricted stock awards vest on the first anniversary of the date of grant. Restricted stock awards are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considered outstanding at the time of grant, as the stock award holders are entitled to many of the rights of a stockholder, including voting rights. The fair value of the restricted stock is expensed ratably over the vesting period. Autodesk recorded share-based compensation expense related to restricted stock awards of $0.7 million and $0.4 million during fiscal years ended January 31, 2010 and 2009, respectively. As of January 31, 2010, total compensation cost related to non-vested awards not yet recognized of $0.2 million is expected to be recognized over a weighted average period of 0.4 years. At January 31, 2010, the number of awards granted but unvested was 30,001.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Autodesk’s ESP Plan, which was approved by stockholders in 1998, eligible employees may purchase shares of Autodesk’s common stock at their discretion using up to 15% of their compensation subject to certain limitations, at not less than 85% of fair market value as defined in the ESP Plan (“ESP Plan fair market value”). At January 31, 2010, a total of 26.4 million shares were available for future issuance. This amount will automatically be increased on the first trading day of each fiscal year by an amount equal to the lesser of 10.0 million shares or 2.0% of the total of (1) outstanding shares plus (2) any shares repurchased by Autodesk during the prior fiscal year. Under the ESP Plan, the Company issues shares on the first trading day following March 31 and September 30 of each fiscal year. The ESP Plan expires during fiscal 2018. Autodesk recorded $26.6 million, $23.1 million and $31.2 million of compensation expense associated with the ESP Plan in fiscal 2010, 2009 and 2008,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ESP Plan, Autodesk issued 3.1 million shares at an average price of $14.41 per share in fiscal 2010, 2.1 million shares at an average price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$27.32 per share in fiscal 2009, and 0.8 million shares at an average price of $28.96 per share in fiscal 2008. The weighted average grant date fair value of awards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granted under the ESP Plan during fiscal 2010, 2009 and 2008, calculated as of the award grant date using the Black-Scholes-Merton option pricing model,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$7.19, $10.40 and $16.77 per share, respectively.</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At January 31, 2010, a total of 33.7 million shares of Autodesk’s common stock have been reserved for future issuance under existing stock option and stock purchase plans.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Compensation Plan Information</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number of outstanding options granted to employees and directors, as well as the number of securities remaining available for future issuance under these plans as of January 31, 2010 (number of securities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3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4"/>
                <w:szCs w:val="14"/>
                <w:color w:val="auto"/>
              </w:rPr>
            </w:pPr>
          </w:p>
        </w:tc>
        <w:tc>
          <w:tcPr>
            <w:tcW w:w="174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9"/>
              </w:rPr>
              <w:t>(b)</w:t>
            </w:r>
          </w:p>
        </w:tc>
        <w:tc>
          <w:tcPr>
            <w:tcW w:w="2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gridSpan w:val="3"/>
          </w:tcPr>
          <w:p>
            <w:pPr>
              <w:jc w:val="center"/>
              <w:ind w:right="1140"/>
              <w:spacing w:after="0" w:line="149" w:lineRule="exact"/>
              <w:rPr>
                <w:sz w:val="20"/>
                <w:szCs w:val="20"/>
                <w:color w:val="auto"/>
              </w:rPr>
            </w:pPr>
            <w:r>
              <w:rPr>
                <w:rFonts w:ascii="Arial" w:cs="Arial" w:eastAsia="Arial" w:hAnsi="Arial"/>
                <w:sz w:val="14"/>
                <w:szCs w:val="14"/>
                <w:b w:val="1"/>
                <w:bCs w:val="1"/>
                <w:color w:val="auto"/>
                <w:w w:val="88"/>
              </w:rPr>
              <w:t>Weighted-</w:t>
            </w:r>
          </w:p>
        </w:tc>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6"/>
              </w:rPr>
              <w:t>average</w:t>
            </w:r>
          </w:p>
        </w:tc>
        <w:tc>
          <w:tcPr>
            <w:tcW w:w="2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3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20" w:type="dxa"/>
            <w:vAlign w:val="bottom"/>
          </w:tcPr>
          <w:p>
            <w:pPr>
              <w:spacing w:after="0"/>
              <w:rPr>
                <w:sz w:val="12"/>
                <w:szCs w:val="12"/>
                <w:color w:val="auto"/>
              </w:rPr>
            </w:pPr>
          </w:p>
        </w:tc>
        <w:tc>
          <w:tcPr>
            <w:tcW w:w="174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1"/>
              </w:rPr>
              <w:t>exercise</w:t>
            </w:r>
          </w:p>
        </w:tc>
        <w:tc>
          <w:tcPr>
            <w:tcW w:w="2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available 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3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120" w:type="dxa"/>
            <w:vAlign w:val="bottom"/>
          </w:tcPr>
          <w:p>
            <w:pPr>
              <w:spacing w:after="0"/>
              <w:rPr>
                <w:sz w:val="12"/>
                <w:szCs w:val="12"/>
                <w:color w:val="auto"/>
              </w:rPr>
            </w:pPr>
          </w:p>
        </w:tc>
        <w:tc>
          <w:tcPr>
            <w:tcW w:w="174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price of</w:t>
            </w:r>
          </w:p>
        </w:tc>
        <w:tc>
          <w:tcPr>
            <w:tcW w:w="2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under 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3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860" w:type="dxa"/>
            <w:vAlign w:val="bottom"/>
            <w:gridSpan w:val="3"/>
          </w:tcPr>
          <w:p>
            <w:pPr>
              <w:jc w:val="center"/>
              <w:ind w:right="114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plans (excluding securities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Plan category</w:t>
            </w:r>
          </w:p>
        </w:tc>
        <w:tc>
          <w:tcPr>
            <w:tcW w:w="27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outstanding options</w:t>
            </w:r>
          </w:p>
        </w:tc>
        <w:tc>
          <w:tcPr>
            <w:tcW w:w="1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2"/>
              </w:rPr>
              <w:t>options</w:t>
            </w:r>
          </w:p>
        </w:tc>
        <w:tc>
          <w:tcPr>
            <w:tcW w:w="116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reflected in column (a))</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3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28,724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27.50</w:t>
            </w:r>
          </w:p>
        </w:tc>
        <w:tc>
          <w:tcPr>
            <w:tcW w:w="20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93"/>
              </w:rPr>
              <w:t>33,690(1)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20" w:type="dxa"/>
            <w:vAlign w:val="bottom"/>
            <w:gridSpan w:val="4"/>
          </w:tcPr>
          <w:p>
            <w:pPr>
              <w:spacing w:after="0"/>
              <w:rPr>
                <w:sz w:val="20"/>
                <w:szCs w:val="20"/>
                <w:color w:val="auto"/>
              </w:rPr>
            </w:pPr>
            <w:r>
              <w:rPr>
                <w:rFonts w:ascii="Arial" w:cs="Arial" w:eastAsia="Arial" w:hAnsi="Arial"/>
                <w:sz w:val="18"/>
                <w:szCs w:val="18"/>
                <w:color w:val="auto"/>
              </w:rPr>
              <w:t>Equity compensation plans not approved by security</w:t>
            </w: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gridSpan w:val="4"/>
          </w:tcPr>
          <w:p>
            <w:pPr>
              <w:ind w:left="200"/>
              <w:spacing w:after="0"/>
              <w:rPr>
                <w:sz w:val="20"/>
                <w:szCs w:val="20"/>
                <w:color w:val="auto"/>
              </w:rPr>
            </w:pPr>
            <w:r>
              <w:rPr>
                <w:rFonts w:ascii="Arial" w:cs="Arial" w:eastAsia="Arial" w:hAnsi="Arial"/>
                <w:sz w:val="18"/>
                <w:szCs w:val="18"/>
                <w:color w:val="auto"/>
              </w:rPr>
              <w:t>holders(2)</w:t>
            </w:r>
          </w:p>
        </w:tc>
        <w:tc>
          <w:tcPr>
            <w:tcW w:w="2340" w:type="dxa"/>
            <w:vAlign w:val="bottom"/>
            <w:gridSpan w:val="2"/>
          </w:tcPr>
          <w:p>
            <w:pPr>
              <w:jc w:val="right"/>
              <w:ind w:right="1140"/>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19"/>
                <w:szCs w:val="19"/>
                <w:color w:val="auto"/>
              </w:rPr>
            </w:pPr>
          </w:p>
        </w:tc>
        <w:tc>
          <w:tcPr>
            <w:tcW w:w="1740" w:type="dxa"/>
            <w:vAlign w:val="bottom"/>
            <w:gridSpan w:val="2"/>
          </w:tcPr>
          <w:p>
            <w:pPr>
              <w:jc w:val="right"/>
              <w:ind w:right="1160"/>
              <w:spacing w:after="0"/>
              <w:rPr>
                <w:sz w:val="20"/>
                <w:szCs w:val="20"/>
                <w:color w:val="auto"/>
              </w:rPr>
            </w:pPr>
            <w:r>
              <w:rPr>
                <w:rFonts w:ascii="Arial" w:cs="Arial" w:eastAsia="Arial" w:hAnsi="Arial"/>
                <w:sz w:val="18"/>
                <w:szCs w:val="18"/>
                <w:color w:val="auto"/>
              </w:rPr>
              <w:t>9.95</w:t>
            </w:r>
          </w:p>
        </w:tc>
        <w:tc>
          <w:tcPr>
            <w:tcW w:w="208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29,907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26.80</w:t>
            </w:r>
          </w:p>
        </w:tc>
        <w:tc>
          <w:tcPr>
            <w:tcW w:w="20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33,690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Included in this amount are 26.4 million securities available for future issuance under Autodesk’s ESP Plan.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correspond to Autodesk’s Nonstatutory Stock Option Plan, which was terminated by the Board of Directors in December 2004.</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7"/>
              </w:rPr>
              <w:t>Fiscal year ended January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2010</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2009</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Current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12.3</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20.9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97"/>
              </w:rPr>
              <w:t>(33.0)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r>
      <w:tr>
        <w:trPr>
          <w:trHeight w:val="222"/>
        </w:trPr>
        <w:tc>
          <w:tcPr>
            <w:tcW w:w="8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113.8</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During fiscal year 2009, the Company reduced its current Federal and state taxes payable by $2.7 million primarily related to excess tax benefits from non-qualified stock options, offsetting additional paid-in capital. Pursuant to accounting standards related to stock-based compensation, the Company has unrecorded excess stock option tax benefits of $143.6 million as of January 31, 2010. These amounts will be credited to additional paid-in-capital when such amounts reduce cash taxes payable. Foreign pretax income was $253.9 million in fiscal 2010, $298.5 million in fiscal 2009, and $425.3 million in fiscal 2008.</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differences between the U.S. statutory rate and the aggregate income tax provision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7"/>
              </w:rPr>
              <w:t>Fiscal year ended January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2010</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2009</w:t>
            </w:r>
          </w:p>
        </w:tc>
        <w:tc>
          <w:tcPr>
            <w:tcW w:w="640" w:type="dxa"/>
            <w:vAlign w:val="bottom"/>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at U.S. Federal statutory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$ 164.5</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State income tax expense (benefit), net of the U.S. Federal benefit</w:t>
            </w:r>
          </w:p>
        </w:tc>
        <w:tc>
          <w:tcPr>
            <w:tcW w:w="120" w:type="dxa"/>
            <w:vAlign w:val="bottom"/>
          </w:tcPr>
          <w:p>
            <w:pPr>
              <w:spacing w:after="0"/>
              <w:rPr>
                <w:sz w:val="18"/>
                <w:szCs w:val="18"/>
                <w:color w:val="auto"/>
              </w:rPr>
            </w:pPr>
          </w:p>
        </w:tc>
        <w:tc>
          <w:tcPr>
            <w:tcW w:w="1060" w:type="dxa"/>
            <w:vAlign w:val="bottom"/>
            <w:gridSpan w:val="2"/>
          </w:tcPr>
          <w:p>
            <w:pPr>
              <w:jc w:val="right"/>
              <w:ind w:right="51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taxed at rates different from the U.S. statutory rate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97"/>
              </w:rPr>
              <w:t>(22.7)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(0.2)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stock-based compensation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Research and development tax credit benefit</w:t>
            </w:r>
          </w:p>
        </w:tc>
        <w:tc>
          <w:tcPr>
            <w:tcW w:w="120" w:type="dxa"/>
            <w:vAlign w:val="bottom"/>
          </w:tcPr>
          <w:p>
            <w:pPr>
              <w:spacing w:after="0"/>
              <w:rPr>
                <w:sz w:val="18"/>
                <w:szCs w:val="18"/>
                <w:color w:val="auto"/>
              </w:rPr>
            </w:pPr>
          </w:p>
        </w:tc>
        <w:tc>
          <w:tcPr>
            <w:tcW w:w="1060" w:type="dxa"/>
            <w:vAlign w:val="bottom"/>
            <w:gridSpan w:val="2"/>
          </w:tcPr>
          <w:p>
            <w:pPr>
              <w:jc w:val="right"/>
              <w:ind w:right="51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(6.9)</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closure of income tax audits and decreases in uncertain tax positions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Officer compensation in excess of $1.0 million</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0.2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Non-deductible in-process research and development charge</w:t>
            </w:r>
          </w:p>
        </w:tc>
        <w:tc>
          <w:tcPr>
            <w:tcW w:w="120" w:type="dxa"/>
            <w:vAlign w:val="bottom"/>
          </w:tcPr>
          <w:p>
            <w:pPr>
              <w:spacing w:after="0"/>
              <w:rPr>
                <w:sz w:val="18"/>
                <w:szCs w:val="18"/>
                <w:color w:val="auto"/>
              </w:rPr>
            </w:pPr>
          </w:p>
        </w:tc>
        <w:tc>
          <w:tcPr>
            <w:tcW w:w="106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7.0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Extraterritorial income exclusion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68.9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$ 113.8</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4"/>
                <w:szCs w:val="14"/>
                <w:b w:val="1"/>
                <w:bCs w:val="1"/>
                <w:color w:val="auto"/>
              </w:rPr>
              <w:t>78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Autodesk’s deferred tax assets and liabilities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2010</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Nonqualified stock options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Research and development tax credit carryforwards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 carryforwards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Other accruals not currently deductible for tax</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Purchased technology and capitalized software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Tax loss carryforwards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Capitalized research and development expenditures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Reserves for product returns and bad debts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6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227.2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204.4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(24.7)</w:t>
            </w:r>
          </w:p>
        </w:tc>
        <w:tc>
          <w:tcPr>
            <w:tcW w:w="0" w:type="dxa"/>
            <w:vAlign w:val="bottom"/>
          </w:tcPr>
          <w:p>
            <w:pPr>
              <w:spacing w:after="0"/>
              <w:rPr>
                <w:sz w:val="1"/>
                <w:szCs w:val="1"/>
                <w:color w:val="auto"/>
              </w:rPr>
            </w:pPr>
          </w:p>
        </w:tc>
      </w:tr>
      <w:tr>
        <w:trPr>
          <w:trHeight w:val="230"/>
        </w:trPr>
        <w:tc>
          <w:tcPr>
            <w:tcW w:w="986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188.2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technology and capitalized software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Unremitted earnings of foreign subsidiaries</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(42.1)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liability</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(46.0)</w:t>
            </w:r>
          </w:p>
        </w:tc>
        <w:tc>
          <w:tcPr>
            <w:tcW w:w="0" w:type="dxa"/>
            <w:vAlign w:val="bottom"/>
          </w:tcPr>
          <w:p>
            <w:pPr>
              <w:spacing w:after="0"/>
              <w:rPr>
                <w:sz w:val="1"/>
                <w:szCs w:val="1"/>
                <w:color w:val="auto"/>
              </w:rPr>
            </w:pPr>
          </w:p>
        </w:tc>
      </w:tr>
      <w:tr>
        <w:trPr>
          <w:trHeight w:val="20"/>
        </w:trPr>
        <w:tc>
          <w:tcPr>
            <w:tcW w:w="986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146.1</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valuation allowance increased by $14.3 million, $8.5 million and $8.8 million in fiscal 2010, 2009 and 2008, respectively. The fiscal 2010 increase was primarily related to California deferred taxes. During the first quarter of fiscal 2010, the State of California enacted legislation significantly altering California tax law. As a result of the newly enacted legislation, Autodesk expects that in fiscal years 2012 and beyond, income subject to tax in California will be less than under prior tax law and accordingly, deferred tax assets are less likely to be realized. The fiscal 2009 and fiscal 2008 increases were primarily related to Canadian deferred taxes, which Autodesk does not expect to realize.</w:t>
      </w:r>
    </w:p>
    <w:p>
      <w:pPr>
        <w:spacing w:after="0" w:line="1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No provision has been made for Federal income taxes on unremitted earnings of certain of Autodesk’s foreign subsidiaries (cumulatively $870.1 million at January 31, 2010) because Autodesk plans to reinvest such earnings for the foreseeable future. At January 31, 2010, the net unrecognized deferred tax liability for these earnings was approximately $276.2 million.</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Realization of the Company’s net deferred tax assets of $146.1 million is dependent upon the Company’s ability to generate future taxable income in appropriate tax jurisdictions to obtain benefit from the reversal of temporary differences, net operating loss carryforwards and tax credits. The amount of deferred tax assets considered realizable is subject to adjustment in future periods if estimates of future taxable income are reduced.</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January 31, 2010, Autodesk had $21.9 million of cumulative Federal tax loss carryforwards, and $305.7 million of cumulative state tax loss carryforwards, which may be available to reduce future income tax liabilities in certain jurisdictions. These Federal and state tax loss carryforwards will expire beginning fiscal 2012 through fiscal 2029 and fiscal 2011 through fiscal 2030, respectively.</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January 31, 2010, Autodesk had $62.9 million of cumulative Federal research tax credit carryforwards, $34.3 million of cumulative California state research tax credit carryforwards and $43.4 million of cumulative Canadian Federal tax credit carryforwards, which may be available to reduce future income tax liabilities in the respective jurisdictions. The Federal credit carryforwards will expire beginning fiscal 2012 through fiscal 2030, the state credit carryforwards may reduce future California income tax liabilities indefinitely, and the Canadian tax credit carryforwards will expire beginning fiscal 2012 through fiscal 2030. Autodesk also has $112.2 million of cumulative foreign tax credit carryforwards, which may be available to reduce future U. S. tax liabilities. The foreign tax credit will expire beginning fiscal 2017 through fiscal 2020.</w:t>
      </w:r>
    </w:p>
    <w:p>
      <w:pPr>
        <w:spacing w:after="0" w:line="12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Utilization of net operating losses and tax credits may be subject to an annual limitation due to ownership change limitations provided in the Internal Revenue Code and similar state provisions. This annual limitation may result in the expiration of net operating losses and credits before utilization.</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a result of certain business and employment actions and capital investments undertaken by Autodesk, income earned in certain countries is subject to reduced tax rates through fiscal 2019. The income tax benefits attributable to the tax status of these business arrangements are estimated to be zero in fiscal 2010, $0.3 million ($0.001 basic net income per share) in fiscal 2009 and $9.0 million ($0.04 basic net income per share) in fiscal 2008. The income tax benefits were offset partially by accruals of U.S. income taxes on undistributed earnings, among other factors.</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fiscal 2010, Autodesk recognized income tax expense of approximately $17.7 million primarily related to a change in the expected future tax rates and the establishment of a valuation allowance against California deferred taxes of $20.2 million partially offset by the closure of audits and other decreases in uncertain tax positions with respect to fiscal 2003 of $2.5 million.</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fiscal 2009, Autodesk recognized income tax benefits of approximately $6.1 million primarily related to closure of audits and other decreases in uncertain tax positions with respect to fiscal 2002 through fiscal 2008.</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During fiscal 2008, Autodesk recognized income tax benefits of approximately $3.0 million primarily related to the lapse of foreign statute of limitations with respect to uncertain tax positions that relate to fiscal 2001.</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January 31, 2010, the Company had $178.2 million of gross unrecognized tax benefits, of which $165.2 million would impact the effective tax rate, if recognized. It is possible that the amount of unrecognized tax benefits will change in the next twelve months; however an estimate of the range of the possible change cannot be made at this time.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the gross unrecognized tax benefits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Gross unrecognized tax benefits at the beginning of the fiscal year</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$169.4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$152.4</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Increases for tax positions of prior years</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3.1</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Decreases for tax positions of prior years</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Increases for tax positions related to the current year</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11.1</w:t>
            </w:r>
          </w:p>
        </w:tc>
        <w:tc>
          <w:tcPr>
            <w:tcW w:w="500" w:type="dxa"/>
            <w:vAlign w:val="bottom"/>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Decreases for lapse of statute of limitations</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color w:val="auto"/>
              </w:rPr>
              <w:t>Gross unrecognized tax benefits at the end of the fiscal year</w:t>
            </w: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40" w:type="dxa"/>
            <w:vAlign w:val="bottom"/>
            <w:vMerge w:val="continue"/>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178.2</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169.4</w:t>
            </w:r>
          </w:p>
        </w:tc>
        <w:tc>
          <w:tcPr>
            <w:tcW w:w="24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4"/>
                <w:szCs w:val="14"/>
                <w:b w:val="1"/>
                <w:bCs w:val="1"/>
                <w:color w:val="auto"/>
              </w:rPr>
              <w:t>80</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89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reconciliation of fiscal 2009 beginning and ending gross unrecognized tax benefits is updated to reflect the correction of an overstatement in the increases for tax positions related to the current year.</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It is the Company’s continuing practice to recognize interest and/or penalties related to income tax matters in income tax expense. The Company had $2.2 million, $2.4 million and $2.7 million, net of tax benefit, accrued for interest and zero accrued for penalties related to unrecognized tax benefits as of January 31, 2010, 2009 and 2008, respectively.</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Autodesk and its subsidiaries are subject to income tax in the United States as well as numerous state and foreign jurisdictions. The Company’s U.S. and state income tax returns for fiscal year 2003 through fiscal year 2010 remain open to examination. In addition, the Company files tax returns in multiple foreign taxing jurisdictions with open tax years ranging from fiscal year 2001 to 2010.</w:t>
      </w: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Deferred Compensation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January 31, 2010, Autodesk had marketable securities totaling $287.5 million, of which $26.3 million related to investments in debt and equity securities that are held in a rabbi trust under non-qualified deferred compensation plans. The total related deferred compensation liability was $26.3 million at January 31, 2010, of which $1.1 million was classified as current and $25.2 million was classified as non-current liabilities. The value of debt and equity securities held in the rabbi trust at January 31, 2009 was $19.9 million. The total related deferred compensation liability at January 31, 2009 was $19.9 million, of which $1.2 million was classified as current and $18.7 million was classified as non-current liabilities. The current and non-current portions of the liability are recorded in the Consolidated Balance Sheets under “Accrued compensation” and “Other liabilities,” respectively.</w:t>
      </w:r>
    </w:p>
    <w:p>
      <w:pPr>
        <w:spacing w:after="0" w:line="1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Borrowing Arrangements</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Autodesk had no outstanding borrowings on its lines of credit as of January 31, 2010. As of January 31, 2009, Autodesk had $52.1 million of outstanding borrowings, which were recorded in “Borrowings under line of credit” on the balance sheet. This balance related to two lines of credit, a U.S. line of credit and a China line of credit.</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Autodesk’s U.S. line of credit facility permits unsecured short-term borrowings of up to $250.0 million, and is available for working capital or other business needs. The credit agreement contains customary covenants, which could restrict the imposition of liens on Autodesk’s assets, and restrict the Company’s ability to incur additional indebtedness or make dispositions of assets if Autodesk fails to maintain its financial covenants. At January 31, 2010, Autodesk had no outstanding borrowings on this line of credit. At January 31, 2009, Autodesk had $50.0 million of outstanding borrowings on this line of credit. Autodesk drew on the U.S. line of credit during fiscal 2009 due to temporary differences between cash needs and cash availability in the U.S. During fiscal 2009 Autodesk principally used the facility to fund the 8.0 million share stock repurchase and for the acquisition of Moldflow. This facility expires in August 2012.</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Autodesk’s China line of credit facility, which contains customary covenants, permits unsecured short-term borrowings of up to $5.0 million, and is available for working capital needs. At January 31, 2010, Autodesk had no outstanding borrowings on this line of credit. At January 31, 2009, Autodesk had $2.1 million of outstanding borrowings on this line of credit. Autodesk drew on this line of credit during fiscal 2009 due to temporary differences between cash needs and cash availability in China. The China facility is a short-term revolving facility which may be canceled or called at any time with 30 days’ written notice.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interest rate on Autodesk’s line of credit facilities was 1.01% at January 31, 2009.</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w:t>
      </w:r>
    </w:p>
    <w:p>
      <w:pPr>
        <w:spacing w:after="0" w:line="90"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Autodesk leases office space and computer equipment under noncancellable operating lease agreements. The leases generally provide that Autodesk pay taxes, insurance and maintenance expenses related to the leased assets. Future minimum lease payments for fiscal years ended January 31 are as follows:</w:t>
      </w:r>
    </w:p>
    <w:p>
      <w:pPr>
        <w:spacing w:after="0" w:line="11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2012</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2014</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Thereafter</w:t>
            </w:r>
          </w:p>
        </w:tc>
        <w:tc>
          <w:tcPr>
            <w:tcW w:w="3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Less: Sublease income</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218.7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Autodesk leases office space under arrangements expiring through 2023. Certain of these lease arrangements contain escalation clauses whereby monthly rent increases over time. Autodesk leases computer equipment under arrangements expiring through 2014. Rent expense is recognized on a straight-line basis over the lease period. Rent expense was $56.8 million in fiscal 2010, $73.1 million in fiscal 2009 and $49.6 million in fiscal 2008.</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Purchase commitments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Autodesk, in the normal course of business, enters into various purchase commitments for goods or services. Total non-cancellable purchase commitments as of January 31, 2010 were approximately $58.3 million for periods through fiscal 2015. These purchase commitments primarily result from contracts for the acquisition of IT infrastructure, marketing and software development services. Of the total purchase commitments, $16.9 million related to a termination fee for an outsource application hosting services agreement entered into during fiscal 2006. This fee is reduced as time lapses during the five-year contract period.</w:t>
      </w:r>
    </w:p>
    <w:p>
      <w:pPr>
        <w:spacing w:after="0" w:line="98"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Autodesk has certain royalty commitments associated with the shipment and licensing of certain products. Royalty expense is generally based on a dollar amount per unit shipped or a percentage of the underlying revenue. Royalty expense, which was recorded under cost of license and other revenue on Autodesk’s Consolidated Statements of Operations, was $16.5 million in fiscal 2010, $17.1 million in fiscal 2009 and $14.9 million in fiscal 2008.</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Indemnifications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but because potential future costs are highly variable, Autodesk is unable to estimate the maximum potential impact of these indemnifications on its future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82</w:t>
      </w:r>
    </w:p>
    <w:p>
      <w:pPr>
        <w:sectPr>
          <w:pgSz w:w="11900" w:h="16838" w:orient="portrait"/>
          <w:cols w:equalWidth="0" w:num="1">
            <w:col w:w="11320"/>
          </w:cols>
          <w:pgMar w:left="24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but because potential future costs are highly variable, Autodesk is unable to estimate the maximum potential impact of these indemnifications on its future results of operations.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Autodesk is involved in legal proceedings from time to time arising from the normal course of business activities including claims of alleged infringement of intellectual property rights, commercial, employment, piracy prosecution and other matters. In the Company’s opinion, resolution of pending matters is not expected to have a material adverse impact on its consolidated results of operations, cash flows or its financial position. However, it is possible that an unfavorable resolution of one or more such proceedings could in the future materially affect its future results of operations, cash flows or financial position in a particular period.</w:t>
      </w:r>
    </w:p>
    <w:p>
      <w:pPr>
        <w:spacing w:after="0" w:line="21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Stockholders’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Under Autodesk’s Certificate of Incorporation, 2.0 million shares of preferred stock are authorized. At January 31, 2010, there were no preferred shares issued or outstanding. The Board of Directors has the authority to issue the preferred stock in one or more series and to fix rights, preferences, privileges and restrictions, including dividends, and the number of shares constituting any series or the designation of such series, without any further vote or action by the stockholders.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Stock Repurchase Programs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Autodesk has a stock repurchase program that helps offset the dilution to net income per share caused by the issuance of stock under the Company’s employee stock plans and returns excess cash generated from its business to stockholders. During fiscal 2010, Autodesk repurchased and retired 2.7 million shares at an average repurchase price of $23.63 per share, 8.0 million shares in fiscal 2009 at an average repurchase price of $32.06 per share and 12.1 million shares in fiscal 2008 at an average repurchase price of $46.43. Common stock and additional paid-in capital and retained earnings were reduced by $36.4 million and $26.8 million, respectively for the year ended January 31, 2010 and $96.1 million and $160.5 million, respectively, for the year ended January 31, 2009, as a result of the stock repurchases.</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At January 31, 2010, 13.5 million shares remained available for repurchase under repurchase plans approved by the Board of Directors. In fiscal 2010, 2009 and 2008, Autodesk repurchased its common stock through open market purchases. The number of shares acquired and the timing of the purchases are based on several factors, including general market conditions, the number of employee stock option exercises, the trading price of Autodesk common stock, cash on hand and available in the United States, and company defined trading windows.</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Interest and Other Income,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and other income, net,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12"/>
          </w:tcPr>
          <w:p>
            <w:pPr>
              <w:jc w:val="right"/>
              <w:ind w:right="120"/>
              <w:spacing w:after="0"/>
              <w:rPr>
                <w:sz w:val="20"/>
                <w:szCs w:val="20"/>
                <w:color w:val="auto"/>
              </w:rPr>
            </w:pPr>
            <w:r>
              <w:rPr>
                <w:rFonts w:ascii="Arial" w:cs="Arial" w:eastAsia="Arial" w:hAnsi="Arial"/>
                <w:sz w:val="14"/>
                <w:szCs w:val="14"/>
                <w:b w:val="1"/>
                <w:bCs w:val="1"/>
                <w:color w:val="auto"/>
                <w:w w:val="96"/>
              </w:rPr>
              <w:t>Fiscal Year Ended January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7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investment income, net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Investment impairment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Gain (loss) foreign currency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Gain (loss) on cost method investment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Loss from unconsolidated subsidiary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Comprehensive Income</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22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20" w:type="dxa"/>
            <w:vAlign w:val="bottom"/>
            <w:gridSpan w:val="2"/>
          </w:tcPr>
          <w:p>
            <w:pPr>
              <w:ind w:left="460"/>
              <w:spacing w:after="0"/>
              <w:rPr>
                <w:sz w:val="20"/>
                <w:szCs w:val="20"/>
                <w:color w:val="auto"/>
              </w:rPr>
            </w:pPr>
            <w:r>
              <w:rPr>
                <w:rFonts w:ascii="Arial" w:cs="Arial" w:eastAsia="Arial" w:hAnsi="Arial"/>
                <w:sz w:val="18"/>
                <w:szCs w:val="18"/>
                <w:color w:val="auto"/>
              </w:rPr>
              <w:t>The components of other comprehensive income, net of taxes, were as follows: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January 31,</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340" w:type="dxa"/>
            <w:vAlign w:val="bottom"/>
            <w:tcBorders>
              <w:lef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gain (loss) on derivative instruments, net of tax</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w w:val="95"/>
              </w:rPr>
              <w:t>Change in net unrealized gain (loss) on available-for-sale securities, net of tax</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unfunded portion of pension plans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Net change in cumulative foreign currency translation gain (loss)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comprehensive income (loss)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comprehensive income</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2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65.7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158.6</w:t>
            </w:r>
          </w:p>
        </w:tc>
        <w:tc>
          <w:tcPr>
            <w:tcW w:w="3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gridSpan w:val="5"/>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580" w:type="dxa"/>
            <w:vAlign w:val="bottom"/>
            <w:gridSpan w:val="9"/>
          </w:tcPr>
          <w:p>
            <w:pPr>
              <w:ind w:left="460"/>
              <w:spacing w:after="0"/>
              <w:rPr>
                <w:sz w:val="20"/>
                <w:szCs w:val="20"/>
                <w:color w:val="auto"/>
              </w:rPr>
            </w:pPr>
            <w:r>
              <w:rPr>
                <w:rFonts w:ascii="Arial" w:cs="Arial" w:eastAsia="Arial" w:hAnsi="Arial"/>
                <w:sz w:val="18"/>
                <w:szCs w:val="18"/>
                <w:color w:val="auto"/>
                <w:w w:val="93"/>
              </w:rPr>
              <w:t>Accumulated other comprehensive income (loss), net of taxes, was comprised of the following at January 31: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85"/>
              </w:rPr>
              <w:t>January 31,</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gain (loss) on derivative instruments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 (0.2)</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 —</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unrealized gain (loss) on available-for-sale securities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Unfunded portion of pension plans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Net Income Per Share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Basic net income per share is computed using the weighted average number of shares of common stock outstanding for the period, including restricted stock awards and excluding stock options and restricted stock units. Diluted net income per share is based upon the weighted average shares of common stock outstanding for</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84</w:t>
      </w:r>
    </w:p>
    <w:p>
      <w:pPr>
        <w:sectPr>
          <w:pgSz w:w="11900" w:h="16838" w:orient="portrait"/>
          <w:cols w:equalWidth="0" w:num="1">
            <w:col w:w="11120"/>
          </w:cols>
          <w:pgMar w:left="240" w:top="459" w:right="5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12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235"/>
              <w:spacing w:after="0"/>
              <w:rPr>
                <w:sz w:val="20"/>
                <w:szCs w:val="20"/>
                <w:color w:val="auto"/>
              </w:rPr>
            </w:pPr>
            <w:r>
              <w:rPr>
                <w:rFonts w:ascii="Arial" w:cs="Arial" w:eastAsia="Arial" w:hAnsi="Arial"/>
                <w:sz w:val="14"/>
                <w:szCs w:val="14"/>
                <w:b w:val="1"/>
                <w:bCs w:val="1"/>
                <w:color w:val="auto"/>
                <w:w w:val="96"/>
              </w:rPr>
              <w:t>Fiscal 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2010</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2009</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58.0</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183.6</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Denominator for basic net income per share—weighted average shares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228.7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225.5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dilutive securities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Denominator for dilutive net income per share</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232.1</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230.1</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0.25</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0.80</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computation of diluted net income per share does not include shares that are anti-dilutive under the treasury stock method because their exercise prices are higher than the average market value of Autodesk’s stock during the fiscal year. For the fiscal years ended January 31, 2010, 2009 and 2008, 21.3 million, 15.8 million and 6.8 million potentially anti-dilutive shares, respectively, were excluded from the computation of net income per share.</w:t>
      </w:r>
    </w:p>
    <w:p>
      <w:pPr>
        <w:spacing w:after="0" w:line="1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4"/>
          <w:szCs w:val="14"/>
          <w:b w:val="1"/>
          <w:bCs w:val="1"/>
          <w:color w:val="auto"/>
        </w:rPr>
        <w:t>Segments</w:t>
      </w:r>
    </w:p>
    <w:p>
      <w:pPr>
        <w:spacing w:after="0" w:line="96" w:lineRule="exact"/>
        <w:rPr>
          <w:sz w:val="20"/>
          <w:szCs w:val="20"/>
          <w:color w:val="auto"/>
        </w:rPr>
      </w:pPr>
    </w:p>
    <w:p>
      <w:pPr>
        <w:ind w:right="500" w:firstLine="456"/>
        <w:spacing w:after="0" w:line="294" w:lineRule="auto"/>
        <w:rPr>
          <w:sz w:val="20"/>
          <w:szCs w:val="20"/>
          <w:color w:val="auto"/>
        </w:rPr>
      </w:pPr>
      <w:r>
        <w:rPr>
          <w:rFonts w:ascii="Arial" w:cs="Arial" w:eastAsia="Arial" w:hAnsi="Arial"/>
          <w:sz w:val="16"/>
          <w:szCs w:val="16"/>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Platform Solutions and Emerging Business (“PSEB”), Architecture, Engineering and Construction (“AEC”), Manufacturing (“MFG”) and Media and Entertainment (“M&amp;E”). Location Services, which Autodesk disposed of in February 2009, is not included in any of the above reportable segments, and is reflected as Other. Autodesk has no material inter-segment revenue.</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Our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PSEB includes Autodesk’s horizontal design product AutoCAD product. Autodesk’s AutoCAD product is a platform product that underpins the Company’s vertical design product offerings for the industries it serves. For example, AEC and MFG offer tailored versions of AutoCAD software for the industries they serve. Autodesk’s AutoCAD product also provides a platform for Autodesk’s developer partners to build custom solutions for a range of diverse design-oriented markets. PSEB’s revenue primarily includes revenue from sales of licenses of Autodesk’s horizontal design products, AutoCAD and AutoCAD LT, as well as many of Autodesk’s vertical design products.</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and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Revit, AutoCAD Civil 3D, AutoCAD Architecture and AutoCAD Map 3D products.</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brings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Inventor, AutoCAD Mechanical and Autodesk Moldflow products.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M&amp;E is comprised of two product groups: Animation, including design visualization, and Advanced Systems. Animation products, such as Autodesk 3ds Max and Autodesk Maya, provide tools for digital sculpting, modeling, animation, effects, rendering, and compositing, for design visualization, visual effects and games production. Advanced Systems products provide editing, finishing and visual effects design and color grading.</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accounting policies of the reportable segments are the same as those described in Note 1, “Business and Summary of Significant Accounting Policies.” Autodesk evaluates each segment’s performance on the basis of gross profit. Autodesk currently does not separately accumulate and report asset information by segment, except for goodwill, which is disclosed in Note 1, “Business and Summary of Significant Accounting Policies.”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86</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Fiscal year ended January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624.0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900.8</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891.0</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Manufacturing</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386.9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488.4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Media and Entertainment</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23"/>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Other(1)</w:t>
            </w:r>
          </w:p>
        </w:tc>
        <w:tc>
          <w:tcPr>
            <w:tcW w:w="2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2,315.2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2,171.9</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gridSpan w:val="2"/>
            <w:vMerge w:val="continue"/>
          </w:tcPr>
          <w:p>
            <w:pPr>
              <w:spacing w:after="0"/>
              <w:rPr>
                <w:sz w:val="18"/>
                <w:szCs w:val="18"/>
                <w:color w:val="auto"/>
              </w:rPr>
            </w:pP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848.0</w:t>
            </w: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Media and Entertainment</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197.6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Unallocated(2)</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1,521.9</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2,096.1</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1,964.2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Manufacturing</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Media and Entertainment</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Unallocated</w:t>
            </w:r>
          </w:p>
        </w:tc>
        <w:tc>
          <w:tcPr>
            <w:tcW w:w="2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primarily consisted of revenue from Autodesk’s Location Services division, which Autodesk disposed of in February 2009.</w:t>
      </w:r>
    </w:p>
    <w:p>
      <w:pPr>
        <w:spacing w:after="0" w:line="15" w:lineRule="exact"/>
        <w:rPr>
          <w:rFonts w:ascii="Arial" w:cs="Arial" w:eastAsia="Arial" w:hAnsi="Arial"/>
          <w:sz w:val="18"/>
          <w:szCs w:val="18"/>
          <w:color w:val="auto"/>
        </w:rPr>
      </w:pPr>
    </w:p>
    <w:p>
      <w:pPr>
        <w:ind w:left="460" w:right="46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Unallocated amounts primarily relate to corporate expenses and other costs and expenses that are managed outside the reportable segments, including stock-based compensation expense.</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Information regarding Autodesk’s operations by geographic area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86"/>
              </w:rPr>
              <w:t>Fiscal 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Americas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860"/>
              <w:spacing w:after="0"/>
              <w:rPr>
                <w:sz w:val="20"/>
                <w:szCs w:val="20"/>
                <w:color w:val="auto"/>
              </w:rPr>
            </w:pPr>
            <w:r>
              <w:rPr>
                <w:rFonts w:ascii="Arial" w:cs="Arial" w:eastAsia="Arial" w:hAnsi="Arial"/>
                <w:sz w:val="18"/>
                <w:szCs w:val="18"/>
                <w:color w:val="auto"/>
              </w:rPr>
              <w:t>Other Americas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135.9</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Americas</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654.4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782.3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tcPr>
          <w:p>
            <w:pPr>
              <w:ind w:left="420"/>
              <w:spacing w:after="0"/>
              <w:rPr>
                <w:sz w:val="20"/>
                <w:szCs w:val="20"/>
                <w:color w:val="auto"/>
              </w:rPr>
            </w:pPr>
            <w:r>
              <w:rPr>
                <w:rFonts w:ascii="Arial" w:cs="Arial" w:eastAsia="Arial" w:hAnsi="Arial"/>
                <w:sz w:val="18"/>
                <w:szCs w:val="18"/>
                <w:color w:val="auto"/>
              </w:rPr>
              <w:t>Europe, Middle East and Africa</w:t>
            </w:r>
          </w:p>
        </w:tc>
        <w:tc>
          <w:tcPr>
            <w:tcW w:w="2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vMerge w:val="continue"/>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671.1</w:t>
            </w: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1,003.4</w:t>
            </w:r>
          </w:p>
        </w:tc>
        <w:tc>
          <w:tcPr>
            <w:tcW w:w="1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Asia Pacific</w:t>
            </w:r>
          </w:p>
        </w:tc>
        <w:tc>
          <w:tcPr>
            <w:tcW w:w="2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860"/>
              <w:spacing w:after="0"/>
              <w:rPr>
                <w:sz w:val="20"/>
                <w:szCs w:val="20"/>
                <w:color w:val="auto"/>
              </w:rPr>
            </w:pPr>
            <w:r>
              <w:rPr>
                <w:rFonts w:ascii="Arial" w:cs="Arial" w:eastAsia="Arial" w:hAnsi="Arial"/>
                <w:sz w:val="18"/>
                <w:szCs w:val="18"/>
                <w:color w:val="auto"/>
              </w:rPr>
              <w:t>Japan</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213.2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Asia Pacific</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217.1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tcPr>
          <w:p>
            <w:pPr>
              <w:ind w:left="420"/>
              <w:spacing w:after="0"/>
              <w:rPr>
                <w:sz w:val="20"/>
                <w:szCs w:val="20"/>
                <w:color w:val="auto"/>
              </w:rPr>
            </w:pPr>
            <w:r>
              <w:rPr>
                <w:rFonts w:ascii="Arial" w:cs="Arial" w:eastAsia="Arial" w:hAnsi="Arial"/>
                <w:sz w:val="18"/>
                <w:szCs w:val="18"/>
                <w:color w:val="auto"/>
              </w:rPr>
              <w:t>Total Asia Pacific</w:t>
            </w:r>
          </w:p>
        </w:tc>
        <w:tc>
          <w:tcPr>
            <w:tcW w:w="2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vMerge w:val="continue"/>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388.2</w:t>
            </w:r>
          </w:p>
        </w:tc>
        <w:tc>
          <w:tcPr>
            <w:tcW w:w="12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529.5</w:t>
            </w:r>
          </w:p>
        </w:tc>
        <w:tc>
          <w:tcPr>
            <w:tcW w:w="1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1,713.7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2,315.2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360" w:type="dxa"/>
            <w:vAlign w:val="bottom"/>
            <w:gridSpan w:val="4"/>
          </w:tcPr>
          <w:p>
            <w:pPr>
              <w:ind w:left="34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8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Long-lived assets(1):</w:t>
            </w: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ind w:left="420"/>
              <w:spacing w:after="0"/>
              <w:rPr>
                <w:sz w:val="20"/>
                <w:szCs w:val="20"/>
                <w:color w:val="auto"/>
              </w:rPr>
            </w:pPr>
            <w:r>
              <w:rPr>
                <w:rFonts w:ascii="Arial" w:cs="Arial" w:eastAsia="Arial" w:hAnsi="Arial"/>
                <w:sz w:val="18"/>
                <w:szCs w:val="18"/>
                <w:color w:val="auto"/>
              </w:rPr>
              <w:t>Americas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U.S.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$ 611.3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060" w:type="dxa"/>
            <w:vAlign w:val="bottom"/>
            <w:gridSpan w:val="2"/>
          </w:tcPr>
          <w:p>
            <w:pPr>
              <w:ind w:left="860"/>
              <w:spacing w:after="0"/>
              <w:rPr>
                <w:sz w:val="20"/>
                <w:szCs w:val="20"/>
                <w:color w:val="auto"/>
              </w:rPr>
            </w:pPr>
            <w:r>
              <w:rPr>
                <w:rFonts w:ascii="Arial" w:cs="Arial" w:eastAsia="Arial" w:hAnsi="Arial"/>
                <w:sz w:val="18"/>
                <w:szCs w:val="18"/>
                <w:color w:val="auto"/>
              </w:rPr>
              <w:t>Other Americas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Americas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10060" w:type="dxa"/>
            <w:vAlign w:val="bottom"/>
            <w:gridSpan w:val="2"/>
          </w:tcPr>
          <w:p>
            <w:pPr>
              <w:ind w:left="420"/>
              <w:spacing w:after="0"/>
              <w:rPr>
                <w:sz w:val="20"/>
                <w:szCs w:val="20"/>
                <w:color w:val="auto"/>
              </w:rPr>
            </w:pPr>
            <w:r>
              <w:rPr>
                <w:rFonts w:ascii="Arial" w:cs="Arial" w:eastAsia="Arial" w:hAnsi="Arial"/>
                <w:sz w:val="18"/>
                <w:szCs w:val="18"/>
                <w:color w:val="auto"/>
              </w:rPr>
              <w:t>Europe, Middle East and Africa</w:t>
            </w:r>
          </w:p>
        </w:tc>
        <w:tc>
          <w:tcPr>
            <w:tcW w:w="5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10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Switzerland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060" w:type="dxa"/>
            <w:vAlign w:val="bottom"/>
            <w:gridSpan w:val="2"/>
          </w:tcPr>
          <w:p>
            <w:pPr>
              <w:ind w:left="860"/>
              <w:spacing w:after="0"/>
              <w:rPr>
                <w:sz w:val="20"/>
                <w:szCs w:val="20"/>
                <w:color w:val="auto"/>
              </w:rPr>
            </w:pPr>
            <w:r>
              <w:rPr>
                <w:rFonts w:ascii="Arial" w:cs="Arial" w:eastAsia="Arial" w:hAnsi="Arial"/>
                <w:sz w:val="18"/>
                <w:szCs w:val="18"/>
                <w:color w:val="auto"/>
              </w:rPr>
              <w:t>Other Europe, Middle East and Africa</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Europe, Middle East and Africa</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060" w:type="dxa"/>
            <w:vAlign w:val="bottom"/>
            <w:gridSpan w:val="2"/>
          </w:tcPr>
          <w:p>
            <w:pPr>
              <w:ind w:left="420"/>
              <w:spacing w:after="0"/>
              <w:rPr>
                <w:sz w:val="20"/>
                <w:szCs w:val="20"/>
                <w:color w:val="auto"/>
              </w:rPr>
            </w:pPr>
            <w:r>
              <w:rPr>
                <w:rFonts w:ascii="Arial" w:cs="Arial" w:eastAsia="Arial" w:hAnsi="Arial"/>
                <w:sz w:val="18"/>
                <w:szCs w:val="18"/>
                <w:color w:val="auto"/>
              </w:rPr>
              <w:t>Asia Pacific</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34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long-lived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899.4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Long-lived assets exclude investments in subsidiaries, deferred tax assets and marketable securities.</w:t>
      </w: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Business Combinations</w:t>
      </w:r>
    </w:p>
    <w:p>
      <w:pPr>
        <w:spacing w:after="0" w:line="9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results of operations of the following acquisitions are included in the accompanying Consolidated Statements of Operations since the acquisition dates, and the related assets and liabilities were recorded based upon their relative fair values at their respective acquisition dates. Pro forma financial information has not been presented as their historical operations were not material to Autodesk’s Consolidated Financial Statements either individually or in the aggregate.</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Fiscal 2010 Acquisitions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PlanPlatform</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In November 2009, Autodesk acquired all of the outstanding shares of PlanPlatform Ltd. (“PlanPlatform”), based in Tel Aviv, Israel. PlanPlatform was engaged in the business of designing and developing a web collaboration tool for AutoCAD. The acquisition of PlanPlatform further expanded Autodesk’s expertise in emerging technologies and remote application delivery and provided a design team with knowledge of web-based design applications. Autodesk incorporated PlanPlatform into its PSEB segment.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Management’s allocation of the purchase price consideration, based on a valuation of the acquired assets and liabilities, was as follows: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9300" w:type="dxa"/>
            <w:vAlign w:val="bottom"/>
            <w:gridSpan w:val="3"/>
          </w:tcPr>
          <w:p>
            <w:pPr>
              <w:spacing w:after="0"/>
              <w:rPr>
                <w:sz w:val="20"/>
                <w:szCs w:val="20"/>
                <w:color w:val="auto"/>
              </w:rPr>
            </w:pPr>
            <w:r>
              <w:rPr>
                <w:rFonts w:ascii="Arial" w:cs="Arial" w:eastAsia="Arial" w:hAnsi="Arial"/>
                <w:sz w:val="14"/>
                <w:szCs w:val="14"/>
                <w:b w:val="1"/>
                <w:bCs w:val="1"/>
                <w:color w:val="auto"/>
              </w:rPr>
              <w:t>PlanPlatform:</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In-process research and development represents incomplete research and development projects that had not reached technological feasibility. Total in-process research and development related to PlanPlatform of $1.3 million was capitalized and will be held as an indefinite lived asset and tested at least annually for impairment until such time that technological feasibility is achieved.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$14.1 million of goodwill, which represents the excess of the purchase price over the fair value of the acquired net tangible and intangible assets, is deductible for tax purposes.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Fiscal 2009 Acquisitions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Moldflow</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June 2008, Autodesk acquired Moldflow Corporation (“Moldflow”), based in Framingham, Massachusetts. Moldflow software solutions are used for the design and engineering of injection-molded plastic parts. The acquisition of Moldflow added simulation and optimization capabilities to Autodesk’s digital prototyping solution portfolio. Autodesk acquired Moldflow for $22.00 per share, or approximately $183.5 million cash, net of cash acquired. The acquisition was structured as a cash tender offer for all the outstanding shares of Moldflow common stock. Autodesk incorporated Moldflow into Autodesk’s MFG segment.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Management’s allocation of the purchase price consideration, based on a valuation of the acquired assets and liabilities, was as follows:</w:t>
      </w:r>
    </w:p>
    <w:p>
      <w:pPr>
        <w:spacing w:after="0" w:line="22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 (6 year useful life)</w:t>
            </w:r>
          </w:p>
        </w:tc>
        <w:tc>
          <w:tcPr>
            <w:tcW w:w="3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Customer relationships (6 year useful life)</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Trade name (6 year useful life)</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Deferred revenue</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reserve</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Deferred tax assets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(30.7)</w:t>
            </w: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tangible assets</w:t>
            </w:r>
          </w:p>
        </w:tc>
        <w:tc>
          <w:tcPr>
            <w:tcW w:w="3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279.2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In-process research and development represents incomplete research and development projects that had not reached technological feasibility and had no alternative future use as of the acquisition date. Total in-process research and development related to Moldflow of $16.2 million was expensed to research and development during fiscal 2009 on the Consolidated Statement of Operations.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Customer relationships represent the underlying relationships and agreements with Moldflow’s existing customers. Trade name represents the estimated fair value of Moldflow’s trade name and trademarks. The $125.7 million of goodwill, which represents the excess of the purchase price over the fair value of the acquired net tangible and intangible assets, is not deductible for tax purposes. Deferred revenue represents the estimated fair value of the support and maintenance obligations assumed from Moldflow in connection with this acquisition. As of January 31, 2010, these support and maintenance obligations have been fulfilled. Autodesk management approved a restructuring plan directly resulting from the Moldflow acquisition and involving the elimination of employees and consolidation of facilities (“Moldflow Restructuring Plan”). The total restructuring reserve established for this plan was reflected as an allocation item in the total purchase price consideration of the acquisition. The Moldflow Restructuring Plan was established in accordance with Emerging Issues Task Force Issue No. 95-3, “</w:t>
      </w:r>
      <w:r>
        <w:rPr>
          <w:rFonts w:ascii="Arial" w:cs="Arial" w:eastAsia="Arial" w:hAnsi="Arial"/>
          <w:sz w:val="16"/>
          <w:szCs w:val="16"/>
          <w:i w:val="1"/>
          <w:iCs w:val="1"/>
          <w:color w:val="auto"/>
        </w:rPr>
        <w:t>Recognition of Liabilities in Connection with a Purchase Business Combination</w:t>
      </w:r>
      <w:r>
        <w:rPr>
          <w:rFonts w:ascii="Arial" w:cs="Arial" w:eastAsia="Arial" w:hAnsi="Arial"/>
          <w:sz w:val="16"/>
          <w:szCs w:val="16"/>
          <w:color w:val="auto"/>
        </w:rPr>
        <w:t>” (“EITF 95-3”). The total estimated cost of the Moldflow Restructuring Plan was $2.9 million for severance, outplacement and facilities consolidation costs.</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Softimage</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November 2008, Autodesk acquired Softimage, based in Montreal, Canada. The Softimage acquisition provided technology for the film, television and games markets. Autodesk acquired Softimage for approximately $35.1 million cash. Autodesk incorporated Softimage into Autodesk’s M&amp;E segment.</w:t>
      </w:r>
    </w:p>
    <w:p>
      <w:pPr>
        <w:spacing w:after="0" w:line="13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 (3 year useful life)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Customer relationships (5 year useful life)</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Trade name (4 year useful life)</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Net tangible assets</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(0.7)</w:t>
            </w: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In-process research and development represents incomplete research and development projects that had not reached technological feasibility and had no alternative future use as of the acquisition date. Total in-process research and development related to Softimage of $5.0 million was expensed to research and development during fiscal 2009 on the Consolidated Statement of Operations.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Customer relationships represent the underlying relationships and agreements with Softimage’s existing customers. Trade name represents the estimated fair value of Softimage’s trade name and trademarks. The $21.0 million of goodwill associated with the acquisition of substantially all the assets of Softimage was written off in the first quarter of fiscal 2010. See Note 1, “Business and Summary of Significant Accounting Policies” for further discussion of this impairment.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ALGOR</w:t>
      </w:r>
    </w:p>
    <w:p>
      <w:pPr>
        <w:spacing w:after="0" w:line="9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In January 2009, Autodesk acquired ALGOR, Inc. (“ALGOR”), based in Pittsburgh, Pennsylvania. The ALGOR acquisition provided analysis and simulation tools that help mechanical engineers make products at a lower cost. The acquisition is expected to strengthen the Autodesk solution for digital prototyping with new advanced simulation functionality, including multiphysics, mechanical event simulation and fluid flow. Autodesk acquired ALGOR for approximately $30.4 million cash, net of cash acquired. Autodesk incorporated ALGOR into Autodesk’s MFG segment.</w:t>
      </w:r>
    </w:p>
    <w:p>
      <w:pPr>
        <w:spacing w:after="0" w:line="16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 (5 year useful life)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Customer relationships (7 year useful life)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Trade name (7 year useful life)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w:t>
            </w: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(3.9)</w:t>
            </w: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16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34.7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In-process research and development represents incomplete research and development projects that had not reached technological feasibility and had no alternative future use as of the acquisition date. Total in-process research and development related to ALGOR of $3.9 million was expensed to research and development during fiscal 2009 on the Consolidated Statement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Customer relationships represent the underlying relationships and agreements with ALGOR’s existing customers. Trade name represents the estimated fair value of ALGOR’s trade name and trademarks. The $16.6 million of goodwill, which represents the excess of the purchase price over the fair value of the acquired net tangible and intangible assets, is not deductible for tax purposes. Deferred revenue represents the estimated fair value of the support and maintenance obligations assumed from ALGOR in connection with this acquisition. As of January 31, 2010, these support and maintenance obligations have been fulfilled.</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Fiscal 2009 Acquisitions</w:t>
      </w:r>
    </w:p>
    <w:p>
      <w:pPr>
        <w:spacing w:after="0" w:line="9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In addition, during the fiscal year ended January 31, 2009, Autodesk completed seven other acquisitions, including companies that designed, developed, manufactured and marketed artificial intelligence middleware, image-based creation software, building information modeling software, sustainable building design software, intelligent urban modeling software and database oriented electrical computer-aided design software for approximately $115.4 million, net of cash acquired. Management’s preliminary allocation of the purchase price consideration, based on a valuation of the acquired assets and liabilities, is as follows:</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 (2.5 – 7 year useful life)</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Customer relationships (5 – 7 year useful life)</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Trade name (6 – 7 year useful life)</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tangible assets</w:t>
            </w:r>
          </w:p>
        </w:tc>
        <w:tc>
          <w:tcPr>
            <w:tcW w:w="2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117.7</w:t>
            </w: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In-process research and development represents incomplete research and development projects that had not reached technological feasibility and had no alternative future use as of the acquisition date. The total in-process research and development amount was recorded during fiscal 2009 in research and development on the Consolidated Statement of Operations.</w:t>
      </w:r>
    </w:p>
    <w:p>
      <w:pPr>
        <w:spacing w:after="0" w:line="2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Retirement Benefit Plans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Pretax Savings Plan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Autodesk has a 401(k) plan that covers nearly all U.S. employees. Eligible employees may contribute up to 50% of their pretax salary, subject to limitations mandated by the Internal Revenue Service. Autodesk makes voluntary cash contributions and matches a portion of employee contributions in cash. Autodesk’s contributions were $7.1 million in fiscal 2010, $7.8 million in fiscal 2009 and $8.6 million in fiscal 2008. Autodesk does not allow participants to invest in Autodesk common stock through the 401(k) plan.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Plans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Autodesk provides certain defined benefit pension plans to employees primarily located in countries outside of the U.S. The Company deposits funds for certain of these plans, consistent with the requirements of local law, with insurance companies or third-party trustees, and accrue for the unfunded portion of the obligation, where material. The assumptions used in calculating the obligation for these plans depend on the local economic environment. The net liability related to the funded status of the plans was approximately $12.5 million and $8.3 million as of January 31, 2010 and 2009, respectively. The projected benefit obligation was $36.2 million and $29.1 million as of January 31, 2010 and 2009, respectively. The related fair value of plan assets was $23.7</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million and $20.8 million as of January 31, 2010 and 2009, respectively. Our practice is to fund the pension plans in amounts at least sufficient to meet the minimum requirements of local laws and regulations. The assets of the plans are primarily invested in high quality fixed income investments. Our contributions were approximately $3.4 million, $3.2 million and $3.0 million in fiscal 2010, 2009 and 2008, respectively. Our estimated future benefit payments are an aggregate $10.9 million for fiscal 2011 through fiscal 2015 and an aggregate of $10.4 million for fiscal 2016 through fiscal 2020. Autodesk recorded $5.9 million of unrealized changes in the unfunded portion of Autodesk’s defined benefit plans in fiscal 2010. The unrealized changes in the unfunded portion of Autodesk’s defined benefit plans were not recorded in years prior to fiscal 2010 because the amounts were immaterial.</w:t>
      </w:r>
    </w:p>
    <w:p>
      <w:pPr>
        <w:spacing w:after="0" w:line="12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Autodesk also provides defined contribution plans in certain foreign countries where required by statute. Autodesk’s funding policy for foreign defined contribution plans is consistent with the local requirements in each country. Autodesk’s contributions to these plans were $8.2 million in fiscal 2010, $12.0 million in fiscal 2009 and $8.2 million in fiscal 2008.</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Autodesk offers a non-qualified deferred compensation plan to certain key employees whereby they may defer a portion (or all) of their annual compensation until retirement or a different date specified by the employee in accordance with terms of the plan. See Note 6, “Deferred Compensation,” for further discussion.</w:t>
      </w:r>
    </w:p>
    <w:p>
      <w:pPr>
        <w:spacing w:after="0" w:line="2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Restructuring Reserves</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In the fourth quarter of fiscal 2009, Autodesk initiated a restructuring program in order to reduce operating costs. This program reduced the number of employees by approximately 700 globally and resulted in the consolidation of approximately 27 leased facilities (“Fiscal 2009 Plan”).</w:t>
      </w:r>
    </w:p>
    <w:p>
      <w:pPr>
        <w:spacing w:after="0" w:line="85"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During the second quarter of fiscal 2010, Autodesk initiated an additional restructuring program in order to reduce its operating expenses. This plan resulted in a staff reduction of approximately 430 positions globally and resulted in the consolidation of approximately 32 leased facilities around the world (“Fiscal 2010 Plan”).</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these restructuring plans, Autodesk recorded restructuring and impairment charges of $48.2 million and $40.2 million during the fiscal years ended January 31, 2010 and 2009, respectively. Of these amounts, $24.3 million and $36.7 million were recorded for one-time termination benefits and other costs during fiscal 2010 and 2009, respectively, and $23.9 million and $3.5 million were recorded for facilities-related costs during fiscal 2010 and 2009, respectively. The one-time termination benefits have substantially been paid as of January 31, 2010. Autodesk expects to pay the facility related liabilities through fiscal 2018.</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92</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restructuring activities for the fiscal years ended January 31, 2010 and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January 31,</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2009</w:t>
            </w:r>
          </w:p>
        </w:tc>
        <w:tc>
          <w:tcPr>
            <w:tcW w:w="5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300" w:type="dxa"/>
            <w:vAlign w:val="bottom"/>
          </w:tcPr>
          <w:p>
            <w:pPr>
              <w:spacing w:after="0"/>
              <w:rPr>
                <w:sz w:val="14"/>
                <w:szCs w:val="14"/>
                <w:color w:val="auto"/>
              </w:rPr>
            </w:pPr>
          </w:p>
        </w:tc>
        <w:tc>
          <w:tcPr>
            <w:tcW w:w="15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6"/>
              </w:rPr>
              <w:t>Adjustments(1)</w:t>
            </w:r>
          </w:p>
        </w:tc>
        <w:tc>
          <w:tcPr>
            <w:tcW w:w="140" w:type="dxa"/>
            <w:vAlign w:val="bottom"/>
          </w:tcPr>
          <w:p>
            <w:pPr>
              <w:spacing w:after="0"/>
              <w:rPr>
                <w:sz w:val="14"/>
                <w:szCs w:val="14"/>
                <w:color w:val="auto"/>
              </w:rPr>
            </w:pPr>
          </w:p>
        </w:tc>
        <w:tc>
          <w:tcPr>
            <w:tcW w:w="5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Fiscal 2010 Plan</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Employee termination costs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(18.2)</w:t>
            </w:r>
          </w:p>
        </w:tc>
        <w:tc>
          <w:tcPr>
            <w:tcW w:w="66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termination and asset costs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6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Fiscal 2009 Plan</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termination costs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(37.8)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Lease termination and asset costs</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Employee termination costs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termination costs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43.9</w:t>
            </w:r>
          </w:p>
        </w:tc>
        <w:tc>
          <w:tcPr>
            <w:tcW w:w="5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48.9</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(68.3)</w:t>
            </w:r>
          </w:p>
        </w:tc>
        <w:tc>
          <w:tcPr>
            <w:tcW w:w="66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Non-current portion(2)</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January 31,</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89"/>
              </w:rPr>
              <w:t>Charges</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2008</w:t>
            </w:r>
          </w:p>
        </w:tc>
        <w:tc>
          <w:tcPr>
            <w:tcW w:w="5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Utilized</w:t>
            </w:r>
          </w:p>
        </w:tc>
        <w:tc>
          <w:tcPr>
            <w:tcW w:w="300" w:type="dxa"/>
            <w:vAlign w:val="bottom"/>
          </w:tcPr>
          <w:p>
            <w:pPr>
              <w:spacing w:after="0"/>
              <w:rPr>
                <w:sz w:val="14"/>
                <w:szCs w:val="14"/>
                <w:color w:val="auto"/>
              </w:rPr>
            </w:pPr>
          </w:p>
        </w:tc>
        <w:tc>
          <w:tcPr>
            <w:tcW w:w="15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6"/>
              </w:rPr>
              <w:t>Adjustments(1)</w:t>
            </w:r>
          </w:p>
        </w:tc>
        <w:tc>
          <w:tcPr>
            <w:tcW w:w="140" w:type="dxa"/>
            <w:vAlign w:val="bottom"/>
          </w:tcPr>
          <w:p>
            <w:pPr>
              <w:spacing w:after="0"/>
              <w:rPr>
                <w:sz w:val="14"/>
                <w:szCs w:val="14"/>
                <w:color w:val="auto"/>
              </w:rPr>
            </w:pPr>
          </w:p>
        </w:tc>
        <w:tc>
          <w:tcPr>
            <w:tcW w:w="5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Fiscal 2009 Plan</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Employee termination costs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36.7</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66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termination and asset costs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6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Other</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termination costs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Lease termination costs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6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spacing w:after="0"/>
              <w:rPr>
                <w:sz w:val="20"/>
                <w:szCs w:val="20"/>
                <w:color w:val="auto"/>
              </w:rPr>
            </w:pPr>
            <w:r>
              <w:rPr>
                <w:rFonts w:ascii="Arial" w:cs="Arial" w:eastAsia="Arial" w:hAnsi="Arial"/>
                <w:sz w:val="18"/>
                <w:szCs w:val="18"/>
                <w:color w:val="auto"/>
              </w:rPr>
              <w:t>Current portion(2)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00" w:type="dxa"/>
            <w:vAlign w:val="bottom"/>
            <w:gridSpan w:val="3"/>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portion(2)</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Adjustments include the impact of foreign currency translation.</w:t>
      </w:r>
    </w:p>
    <w:p>
      <w:pPr>
        <w:spacing w:after="0" w:line="15" w:lineRule="exact"/>
        <w:rPr>
          <w:rFonts w:ascii="Arial" w:cs="Arial" w:eastAsia="Arial" w:hAnsi="Arial"/>
          <w:sz w:val="18"/>
          <w:szCs w:val="18"/>
          <w:color w:val="auto"/>
        </w:rPr>
      </w:pPr>
    </w:p>
    <w:p>
      <w:pPr>
        <w:ind w:left="460" w:right="78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current and non-current portions of the reserve are recorded in the Consolidated Balance Sheets under “Other accrued liabilities” and “Other liabilities,” respectively.</w:t>
      </w:r>
    </w:p>
    <w:p>
      <w:pPr>
        <w:spacing w:after="0" w:line="120"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93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Selected Quarterly Financial Information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quarterly financial information for fiscal 2010 and 2009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2010</w:t>
            </w:r>
          </w:p>
        </w:tc>
        <w:tc>
          <w:tcPr>
            <w:tcW w:w="552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1st quarter</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8"/>
              </w:rPr>
              <w:t>2nd quarter</w:t>
            </w:r>
          </w:p>
        </w:tc>
        <w:tc>
          <w:tcPr>
            <w:tcW w:w="5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9"/>
              </w:rPr>
              <w:t>3rd quarter</w:t>
            </w:r>
          </w:p>
        </w:tc>
        <w:tc>
          <w:tcPr>
            <w:tcW w:w="5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4th quarter</w:t>
            </w:r>
          </w:p>
        </w:tc>
        <w:tc>
          <w:tcPr>
            <w:tcW w:w="2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88"/>
              </w:rPr>
              <w:t>Fiscal 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$ 1,713.7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373.5</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364.8</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371.9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411.7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1,521.9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Diluted net income (loss) per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0.05</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0.13</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0.21</w:t>
            </w:r>
          </w:p>
        </w:tc>
        <w:tc>
          <w:tcPr>
            <w:tcW w:w="34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2009</w:t>
            </w:r>
          </w:p>
        </w:tc>
        <w:tc>
          <w:tcPr>
            <w:tcW w:w="552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1st quarter</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8"/>
              </w:rPr>
              <w:t>2nd quarter</w:t>
            </w:r>
          </w:p>
        </w:tc>
        <w:tc>
          <w:tcPr>
            <w:tcW w:w="5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9"/>
              </w:rPr>
              <w:t>3rd quarter</w:t>
            </w:r>
          </w:p>
        </w:tc>
        <w:tc>
          <w:tcPr>
            <w:tcW w:w="52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4th quarter</w:t>
            </w:r>
          </w:p>
        </w:tc>
        <w:tc>
          <w:tcPr>
            <w:tcW w:w="26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88"/>
              </w:rPr>
              <w:t>Fiscal 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$ 2,315.2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540.8</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559.8</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554.2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441.3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2,096.1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(135.6)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94.6</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89.8</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Diluted net income (loss) per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0.41</w:t>
            </w:r>
          </w:p>
        </w:tc>
        <w:tc>
          <w:tcPr>
            <w:tcW w:w="6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0.39</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0.45</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(0.47)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second, third and fourth quarters of fiscal 2010 include stock-based compensation expense of $23.0 million, $21.4 million, $30.3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$18.9 million, respectively. Results for the first quarter of fiscal 2010 include a $21.0 million charge for goodwill impairment. The first, second, third and fourth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quarters of fiscal 2010 include restructuring charges of $16.5 million, $26.4 million, $4.9 million and $0.4 million, respectively. Results for the first, second, third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fourth quarters of fiscal 2010 include amortization of acquisition-related intangibles of $14.7 million, $15.0 million, $15.1 million and $13.6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respectively. Autodesk also recognized a discrete non-cash tax charge of $21.0 million during the first quarter of fiscal 2010 related to a change in expected future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tax rates and the establishment of a valuation allowance against California deferred tax assets.</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Results for the fourth quarter of fiscal 2009 include a $128.9 million charge for goodwill and intangibles impairment, and a $40.2 million charge for restructuring. Results for the first, second, third and fourth quarters of fiscal 2009 include amortization of acquisition-related intangibles of $6.5 million, $28.5 million, $14.8 million and $23.7 million, respectively. Autodesk also recognized income tax benefits of $6.1 million during the fourth quarter of fiscal 2009 from closure of income tax audits and other decreases in FIN 48 reserves.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740" w:firstLine="1736"/>
        <w:spacing w:after="0" w:line="441" w:lineRule="auto"/>
        <w:rPr>
          <w:sz w:val="20"/>
          <w:szCs w:val="20"/>
          <w:color w:val="auto"/>
        </w:rPr>
      </w:pPr>
      <w:r>
        <w:rPr>
          <w:rFonts w:ascii="Arial" w:cs="Arial" w:eastAsia="Arial" w:hAnsi="Arial"/>
          <w:sz w:val="18"/>
          <w:szCs w:val="18"/>
          <w:b w:val="1"/>
          <w:bCs w:val="1"/>
          <w:color w:val="auto"/>
        </w:rPr>
        <w:t xml:space="preserve">REPORT OF ERNST &amp; YOUNG LLP, INDEPENDENT REGISTERED PUBLIC ACCOUNTING FIRM </w:t>
      </w:r>
      <w:r>
        <w:rPr>
          <w:rFonts w:ascii="Arial" w:cs="Arial" w:eastAsia="Arial" w:hAnsi="Arial"/>
          <w:sz w:val="18"/>
          <w:szCs w:val="18"/>
          <w:color w:val="auto"/>
        </w:rPr>
        <w:t>The Board of Directors and Stockholders of Autodesk, Inc.</w:t>
      </w:r>
    </w:p>
    <w:p>
      <w:pPr>
        <w:spacing w:after="0" w:line="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Autodesk, Inc. as of January 31, 2010 and 2009, and the related consolidated statements of operations, cash flows and stockholders’ equity for each of the three years in the period ended January 31, 2010.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Autodesk, Inc. at January 31, 2010 and 2009, and the consolidated results of its operations and its cash flows for each of the three years in the period ended January 31, 2010,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Autodesk, Inc.’s internal control over financial reporting as of January 31, 2010,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March 19, 2010 expressed an unqualified opinion thereon.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19, 2010</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REPORT OF ERNST &amp; YOUNG LLP,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Autodesk, Inc.</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We have audited Autodesk, Inc.’s internal control over financial reporting as of January 31, 2010,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(the COSO criteria). Autodesk, Inc.’s management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our opinion, Autodesk, Inc. maintained, in all material respects, effective internal control over financial reporting as of January 31, 2010, based on the COSO criteria.</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Autodesk, Inc. as of January 31, 2010 and 2009, and the related consolidated statements of operations, stockholders’ equity, and cash flows for each of the three years in the period ended January 31, 2010 of Autodesk, Inc. and our report dated March 19, 2010 expressed an unqualified opinion thereon.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19, 2010</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96</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Annual Report on Form 10-K.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January 31, 2010 that have materially affected, or are reasonably likely to materially affect, our internal controls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under the Securities Exchange Act of 1934, as amended). Our management assessed the effectiveness of our internal control over financial reporting as of January 31, 2010. In making this assessment, our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Our management has concluded that, as of January 31, 2010, our internal control over financial reporting is effective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reasonable assurance regarding the reliability of financial reporting and the preparation of financial statements for external purposes in accordance with generally accepted accounting principles. Our independent registered public accounting firm, Ernst &amp; Young, LLP, has issued an audit report on our internal control over financial reporting, which is included in Item 8 herein.</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information required by Part III is omitted from this Report because the Registrant will file a definitive proxy statement pursuant to Regulation 14A for Registrant’s Annual Meeting of Stockholders, not later than 120 days after the end of the fiscal year covered by this Report (the “Proxy Statement”) and certain information included therein is incorporated herein by reference. Only those sections of the Proxy Statement that specifically address the items set forth herein are incorporated by reference.</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One—Election of Directors,” “Section 16(a) Beneficial Ownership Reporting Compliance,” and “Corporate Governance” in our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certain information as of March 19, 2010 regarding our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Carl</w:t>
            </w:r>
          </w:p>
        </w:tc>
        <w:tc>
          <w:tcPr>
            <w:tcW w:w="2580" w:type="dxa"/>
            <w:vAlign w:val="bottom"/>
          </w:tcPr>
          <w:p>
            <w:pPr>
              <w:spacing w:after="0" w:line="201" w:lineRule="exact"/>
              <w:rPr>
                <w:sz w:val="20"/>
                <w:szCs w:val="20"/>
                <w:color w:val="auto"/>
              </w:rPr>
            </w:pPr>
            <w:r>
              <w:rPr>
                <w:rFonts w:ascii="Arial" w:cs="Arial" w:eastAsia="Arial" w:hAnsi="Arial"/>
                <w:sz w:val="18"/>
                <w:szCs w:val="18"/>
                <w:color w:val="auto"/>
              </w:rPr>
              <w:t>Bass</w:t>
            </w:r>
          </w:p>
        </w:tc>
        <w:tc>
          <w:tcPr>
            <w:tcW w:w="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52</w:t>
            </w: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4300" w:type="dxa"/>
            <w:vAlign w:val="bottom"/>
          </w:tcPr>
          <w:p>
            <w:pPr>
              <w:spacing w:after="0" w:line="201" w:lineRule="exact"/>
              <w:rPr>
                <w:sz w:val="20"/>
                <w:szCs w:val="20"/>
                <w:color w:val="auto"/>
              </w:rPr>
            </w:pPr>
            <w:r>
              <w:rPr>
                <w:rFonts w:ascii="Arial" w:cs="Arial" w:eastAsia="Arial" w:hAnsi="Arial"/>
                <w:sz w:val="18"/>
                <w:szCs w:val="18"/>
                <w:color w:val="auto"/>
              </w:rPr>
              <w:t>Executive Officer, President</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Mark J. Hawkins</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Executive Vice President, Chief Financial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George M. Bado</w:t>
            </w:r>
          </w:p>
        </w:tc>
        <w:tc>
          <w:tcPr>
            <w:tcW w:w="26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Executive Vice President, Sales and Services</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Jan Becker</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86"/>
              </w:rPr>
              <w:t>Senior Vice President, Human Resources and Corporate Real Estate</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Jay Bhatt</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0"/>
              </w:rPr>
              <w:t>Senior Vice President, Architecture, Engineering and Construction</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Chris Bradshaw</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Senior Vice President, Chief Marketing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Moonhie Chin</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Senior Vice President, Strategic Planning and Operations</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Pascal W. Di Fronzo</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Amar Hanspal</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0"/>
              </w:rPr>
              <w:t>Senior Vice President, Platform Solutions and Emerging Business</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Robert Kross</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Senior Vice President, Manufacturing</w:t>
            </w:r>
          </w:p>
        </w:tc>
      </w:tr>
      <w:tr>
        <w:trPr>
          <w:trHeight w:val="222"/>
        </w:trPr>
        <w:tc>
          <w:tcPr>
            <w:tcW w:w="2960" w:type="dxa"/>
            <w:vAlign w:val="bottom"/>
            <w:gridSpan w:val="2"/>
          </w:tcPr>
          <w:p>
            <w:pPr>
              <w:spacing w:after="0"/>
              <w:rPr>
                <w:sz w:val="20"/>
                <w:szCs w:val="20"/>
                <w:color w:val="auto"/>
              </w:rPr>
            </w:pPr>
            <w:r>
              <w:rPr>
                <w:rFonts w:ascii="Arial" w:cs="Arial" w:eastAsia="Arial" w:hAnsi="Arial"/>
                <w:sz w:val="18"/>
                <w:szCs w:val="18"/>
                <w:color w:val="auto"/>
              </w:rPr>
              <w:t>Marc Petit</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Senior Vice President, Media and Entertainment</w:t>
            </w:r>
          </w:p>
        </w:tc>
      </w:tr>
    </w:tbl>
    <w:p>
      <w:pPr>
        <w:spacing w:after="0" w:line="15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color w:val="auto"/>
        </w:rPr>
        <w:t xml:space="preserve">Carl Bass </w:t>
      </w:r>
      <w:r>
        <w:rPr>
          <w:rFonts w:ascii="Arial" w:cs="Arial" w:eastAsia="Arial" w:hAnsi="Arial"/>
          <w:sz w:val="18"/>
          <w:szCs w:val="18"/>
          <w:color w:val="auto"/>
        </w:rPr>
        <w:t>joined Autodesk in September 1993 and serves as Chief Executive Officer and President. Mr. Bass was named Chief Executive Officer in May</w:t>
      </w:r>
      <w:r>
        <w:rPr>
          <w:rFonts w:ascii="Arial" w:cs="Arial" w:eastAsia="Arial" w:hAnsi="Arial"/>
          <w:sz w:val="18"/>
          <w:szCs w:val="18"/>
          <w:b w:val="1"/>
          <w:bCs w:val="1"/>
          <w:color w:val="auto"/>
        </w:rPr>
        <w:t xml:space="preserve"> </w:t>
      </w:r>
      <w:r>
        <w:rPr>
          <w:rFonts w:ascii="Arial" w:cs="Arial" w:eastAsia="Arial" w:hAnsi="Arial"/>
          <w:sz w:val="18"/>
          <w:szCs w:val="18"/>
          <w:color w:val="auto"/>
        </w:rPr>
        <w:t>2006. Mr. Bass served as Interim Chief Financial Officer from August 2008 to April 2009. From June 2004 to April 2006, Mr. Bass served as Chief Operating Officer. From February 2002 to June 2004, Mr. Bass served as Senior Executive Vice President, Design Solutions Group. From August 2001 to February 2002, Mr. Bass served as Executive Vice President, Emerging Business and Chief Strategy Officer. From June 1999 to July 2001, he served as President and Chief Executive Officer of Buzzsaw.com, Inc., a spin-off from Autodesk. He has also held other executive positions within Autodesk. Mr. Bass is also a director of McAfee, Inc.</w:t>
      </w:r>
    </w:p>
    <w:p>
      <w:pPr>
        <w:spacing w:after="0" w:line="139"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 xml:space="preserve">Mark J. Hawkins </w:t>
      </w:r>
      <w:r>
        <w:rPr>
          <w:rFonts w:ascii="Arial" w:cs="Arial" w:eastAsia="Arial" w:hAnsi="Arial"/>
          <w:sz w:val="16"/>
          <w:szCs w:val="16"/>
          <w:color w:val="auto"/>
        </w:rPr>
        <w:t>joined Autodesk in April 2009 and serves as Executive Vice President and Chief Financial Officer. Prior to joining Autodesk,</w:t>
      </w:r>
    </w:p>
    <w:p>
      <w:pPr>
        <w:spacing w:after="0" w:line="4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Mr. Hawkins was Chief Financial Officer and Senior Vice President of Finance and Information Technology at Logitech International S.A. from April 2006 to April 2009. Previously he was with Dell Inc. for six years, most recently serving as Vice President of Finance for worldwide procurement and logistics. Prior to joining Dell, Mr. Hawkins was employed by Hewlett-Packard Company for 18 years in finance and business-management roles.</w:t>
      </w:r>
    </w:p>
    <w:p>
      <w:pPr>
        <w:spacing w:after="0" w:line="103"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 xml:space="preserve">George M. Bado </w:t>
      </w:r>
      <w:r>
        <w:rPr>
          <w:rFonts w:ascii="Arial" w:cs="Arial" w:eastAsia="Arial" w:hAnsi="Arial"/>
          <w:sz w:val="16"/>
          <w:szCs w:val="16"/>
          <w:color w:val="auto"/>
        </w:rPr>
        <w:t>joined Autodesk in October 2002 and serves as Executive Vice President, Sales and Services. From October 2004 to March 2007,</w:t>
      </w:r>
    </w:p>
    <w:p>
      <w:pPr>
        <w:spacing w:after="0" w:line="44"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Mr. Bado served as Senior Vice President, DSG Worldwide Sales and Consulting. From October 2002 to October 2004, Mr. Bado served as Vice President, DSG Worldwide Sales. Prior to joining Autodesk, Mr. Bado served as a consultant to the Board of Directors of ChipData, Inc., a venture</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backed start up involved in electronic design verification, from May 2002 to October 2002. Prior to that, Mr. Bado was Executive Vice President, Sales and Consulting for Innoveda, Inc., an electronic design automation software company, from July 2001 to April 2002 (Innoveda, Inc. was acquired by Mentor Graphics Corporation in April 2002) and from March 2000 to June 2001, was Executive Vice President, Operations for Centric Software, Inc., a product lifecycle management solutions company.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xml:space="preserve">Jan Becker </w:t>
      </w:r>
      <w:r>
        <w:rPr>
          <w:rFonts w:ascii="Arial" w:cs="Arial" w:eastAsia="Arial" w:hAnsi="Arial"/>
          <w:sz w:val="15"/>
          <w:szCs w:val="15"/>
          <w:color w:val="auto"/>
        </w:rPr>
        <w:t>joined Autodesk in September 1992 and has served as Senior Vice President, Human Resources and Corporate Real Estate since June 2000.</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Ms. Becker previously served in other capacities in the Human Resources Department at Autodesk.</w:t>
      </w:r>
    </w:p>
    <w:p>
      <w:pPr>
        <w:spacing w:after="0" w:line="159"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Jay Bhatt </w:t>
      </w:r>
      <w:r>
        <w:rPr>
          <w:rFonts w:ascii="Arial" w:cs="Arial" w:eastAsia="Arial" w:hAnsi="Arial"/>
          <w:sz w:val="18"/>
          <w:szCs w:val="18"/>
          <w:color w:val="auto"/>
        </w:rPr>
        <w:t>joined Autodesk in August 2001 and serves as Senior Vice President, Architecture, Engineering and Construction. From August 2001 to</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2004, Mr. Bhatt served as Vice President, Corporate Development and Strategic Planning. From March 2000 to July 2001, he served as Chief Financial Officer and senior vice president of Business Development of Buzzsaw.com, Inc., a spin-off of Autodesk. Prior to that, Mr. Bhatt worked as an investment banker and as a transactional attorney.</w:t>
      </w:r>
    </w:p>
    <w:p>
      <w:pPr>
        <w:spacing w:after="0" w:line="13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color w:val="auto"/>
        </w:rPr>
        <w:t xml:space="preserve">Chris Bradshaw </w:t>
      </w:r>
      <w:r>
        <w:rPr>
          <w:rFonts w:ascii="Arial" w:cs="Arial" w:eastAsia="Arial" w:hAnsi="Arial"/>
          <w:sz w:val="18"/>
          <w:szCs w:val="18"/>
          <w:color w:val="auto"/>
        </w:rPr>
        <w:t>joined Autodesk in September 1991 and has served as Senior Vice President, Chief Marketing Officer since September 2007.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Mr. Bradshaw served as Senior Vice President, Worldwide Marketing from March 2007 to September 2007, as Vice President of Worldwide Marketing from January 2007 to March 2007, as Vice President of Autodesk’s Infrastructure Solutions Division (ISD) from February 2003 to January 2007, and from August 2001 to January 2003, he was Vice President of Autodesk Building Collaboration Services. He served as senior vice president of sales and marketing for Buzzsaw.com, Inc., a spin-off of Autodesk, from September 1999 to August 2001 and as sales development director for Autodesk’s AEC (Architecture, Engineering and Construction) products in the Asia Pacific region from July 1997 to August 1999. He has also held other executive and non-executive positions at Autodesk.</w:t>
      </w:r>
    </w:p>
    <w:p>
      <w:pPr>
        <w:spacing w:after="0" w:line="141"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Moonhie Chin </w:t>
      </w:r>
      <w:r>
        <w:rPr>
          <w:rFonts w:ascii="Arial" w:cs="Arial" w:eastAsia="Arial" w:hAnsi="Arial"/>
          <w:sz w:val="18"/>
          <w:szCs w:val="18"/>
          <w:color w:val="auto"/>
        </w:rPr>
        <w:t>joined Autodesk in February 1989 and has served as Senior Vice President, Strategic Planning and Operations since March 2007. From</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2003 to March 2007, she served as Vice President, Strategic Planning and Operations, and served as Vice President of Business Operations for Location Services from September 2000 to January 2003, and as Vice President of Business Administration from June 1999 to September 2000. She has also held other non-executive positions at Autodesk.</w:t>
      </w:r>
    </w:p>
    <w:p>
      <w:pPr>
        <w:spacing w:after="0" w:line="13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 xml:space="preserve">Pascal W. Di Fronzo </w:t>
      </w:r>
      <w:r>
        <w:rPr>
          <w:rFonts w:ascii="Arial" w:cs="Arial" w:eastAsia="Arial" w:hAnsi="Arial"/>
          <w:sz w:val="18"/>
          <w:szCs w:val="18"/>
          <w:color w:val="auto"/>
        </w:rPr>
        <w:t>joined Autodesk in June 1998 and has served as Senior Vice President, General Counsel and Secretary since March 2007. From</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2006 to March 2007 Mr. Di Fronzo served as Vice President, General Counsel and Secretary and served as Vice President, Assistant General Counsel and Assistant Secretary from March 2005 through 2006. Previously, Mr. Di Fronzo served in other business and legal capacities in the Legal Department. Prior to joining Autodesk, he advised high technology and emerging growth companies on business and intellectual property transactions and litigation while in private practice.</w:t>
      </w:r>
    </w:p>
    <w:p>
      <w:pPr>
        <w:spacing w:after="0" w:line="139"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Amar Hanspal </w:t>
      </w:r>
      <w:r>
        <w:rPr>
          <w:rFonts w:ascii="Arial" w:cs="Arial" w:eastAsia="Arial" w:hAnsi="Arial"/>
          <w:sz w:val="18"/>
          <w:szCs w:val="18"/>
          <w:color w:val="auto"/>
        </w:rPr>
        <w:t>joined Autodesk in June 1987 and serves as Senior Vice President, Platform Solutions and Emerging Business. From January 2003 to</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2007, Mr. Hanspal served as Vice President of Autodesk Collaboration Solutions. He served as Vice President of Marketing of RedSpark, Inc., a spin-off of Autodesk focused on building a collaborative product development system for the discrete manufacturing industry, from April 2000 to December 2001. He has also held other executive and non-executive positions at Autodesk.</w:t>
      </w:r>
    </w:p>
    <w:p>
      <w:pPr>
        <w:spacing w:after="0" w:line="136"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Robert Kross </w:t>
      </w:r>
      <w:r>
        <w:rPr>
          <w:rFonts w:ascii="Arial" w:cs="Arial" w:eastAsia="Arial" w:hAnsi="Arial"/>
          <w:sz w:val="16"/>
          <w:szCs w:val="16"/>
          <w:color w:val="auto"/>
        </w:rPr>
        <w:t>has served as Senior Vice President, Manufacturing since March 2007. Since joining Autodesk in November 1993, Mr. Kross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of the Manufacturing Division from December 2002 to March 2007 and a director in the Manufacturing Division from February 1998 to December 2002. Prior to that, he was President and co-founder of Woodbourne Inc., a provider of parametric design tools that was acquired by Autodesk in 1993.</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262" w:lineRule="auto"/>
        <w:rPr>
          <w:sz w:val="20"/>
          <w:szCs w:val="20"/>
          <w:color w:val="auto"/>
        </w:rPr>
      </w:pPr>
      <w:r>
        <w:rPr>
          <w:rFonts w:ascii="Arial" w:cs="Arial" w:eastAsia="Arial" w:hAnsi="Arial"/>
          <w:sz w:val="18"/>
          <w:szCs w:val="18"/>
          <w:b w:val="1"/>
          <w:bCs w:val="1"/>
          <w:color w:val="auto"/>
        </w:rPr>
        <w:t xml:space="preserve">Marc Petit </w:t>
      </w:r>
      <w:r>
        <w:rPr>
          <w:rFonts w:ascii="Arial" w:cs="Arial" w:eastAsia="Arial" w:hAnsi="Arial"/>
          <w:sz w:val="18"/>
          <w:szCs w:val="18"/>
          <w:color w:val="auto"/>
        </w:rPr>
        <w:t>joined Autodesk in October 2002 and serves as Senior Vice President, Media and Entertainment. He served as Vice President of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Operations for the Media and Entertainment Division from October 2002 to March 2007. Prior to joining Autodesk, Mr. Petit was Vice President of Operations for Aptilon Health, an online interactive marketing company.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family relationship among any of our directors or executive officers.</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is incorporated herein by reference to the section entitled “Executive Compensation,” in our Proxy Statement.</w:t>
      </w:r>
    </w:p>
    <w:p>
      <w:pPr>
        <w:spacing w:after="0" w:line="310" w:lineRule="exact"/>
        <w:rPr>
          <w:sz w:val="20"/>
          <w:szCs w:val="20"/>
          <w:color w:val="auto"/>
        </w:rPr>
      </w:pPr>
    </w:p>
    <w:p>
      <w:pPr>
        <w:ind w:left="1140" w:right="6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 entitled “Security Ownership of Certain Beneficial Owners and Management,” and “Executive Compensation—Equity Compensation Plan Information” in our Proxy Statement.</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Party Transactions” and “Corporate Governance—Independence of the Board of Directors” in our Proxy Statement.</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Two—Principal Accounting Fees and Services,” and “Proposal Two—Pre-Approval of Audit and Non-Audit Services” in our Proxy Statement.</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100</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left="840" w:hanging="376"/>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90" w:lineRule="exact"/>
        <w:rPr>
          <w:rFonts w:ascii="Arial" w:cs="Arial" w:eastAsia="Arial" w:hAnsi="Arial"/>
          <w:sz w:val="18"/>
          <w:szCs w:val="18"/>
          <w:color w:val="auto"/>
        </w:rPr>
      </w:pPr>
    </w:p>
    <w:p>
      <w:pPr>
        <w:ind w:left="460" w:right="20" w:firstLine="443"/>
        <w:spacing w:after="0" w:line="259" w:lineRule="auto"/>
        <w:tabs>
          <w:tab w:leader="none" w:pos="1205"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information concerning Autodesk’s financial statements, and Report of Ernst &amp; Young LLP, Independent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Accounting Firm required by this Item is incorporated by reference herein to the section of this Report in Item 8, entitled “Financial Statements and Supplementary Data.”</w:t>
      </w:r>
    </w:p>
    <w:p>
      <w:pPr>
        <w:spacing w:after="0" w:line="59" w:lineRule="exact"/>
        <w:rPr>
          <w:rFonts w:ascii="Arial" w:cs="Arial" w:eastAsia="Arial" w:hAnsi="Arial"/>
          <w:sz w:val="18"/>
          <w:szCs w:val="18"/>
          <w:color w:val="auto"/>
        </w:rPr>
      </w:pPr>
    </w:p>
    <w:p>
      <w:pPr>
        <w:ind w:left="460" w:right="60" w:firstLine="443"/>
        <w:spacing w:after="0" w:line="332" w:lineRule="auto"/>
        <w:tabs>
          <w:tab w:leader="none" w:pos="1205"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Financial Statement Schedule</w:t>
      </w:r>
      <w:r>
        <w:rPr>
          <w:rFonts w:ascii="Arial" w:cs="Arial" w:eastAsia="Arial" w:hAnsi="Arial"/>
          <w:sz w:val="16"/>
          <w:szCs w:val="16"/>
          <w:color w:val="auto"/>
        </w:rPr>
        <w:t>: The following financial statement schedule of Autodesk, Inc., for the fiscal years ended January 31, 2010, 2009</w:t>
      </w:r>
      <w:r>
        <w:rPr>
          <w:rFonts w:ascii="Arial" w:cs="Arial" w:eastAsia="Arial" w:hAnsi="Arial"/>
          <w:sz w:val="16"/>
          <w:szCs w:val="16"/>
          <w:i w:val="1"/>
          <w:iCs w:val="1"/>
          <w:color w:val="auto"/>
        </w:rPr>
        <w:t xml:space="preserve"> </w:t>
      </w:r>
      <w:r>
        <w:rPr>
          <w:rFonts w:ascii="Arial" w:cs="Arial" w:eastAsia="Arial" w:hAnsi="Arial"/>
          <w:sz w:val="16"/>
          <w:szCs w:val="16"/>
          <w:color w:val="auto"/>
        </w:rPr>
        <w:t>and 2008, is filed as part of this Report and should be read in conjunction with the Consolidated Financial Statements of Autodesk, Inc.</w:t>
      </w:r>
    </w:p>
    <w:p>
      <w:pPr>
        <w:spacing w:after="0" w:line="85" w:lineRule="exact"/>
        <w:rPr>
          <w:sz w:val="20"/>
          <w:szCs w:val="20"/>
          <w:color w:val="auto"/>
        </w:rPr>
      </w:pPr>
    </w:p>
    <w:p>
      <w:pPr>
        <w:ind w:left="900"/>
        <w:spacing w:after="0"/>
        <w:tabs>
          <w:tab w:leader="none" w:pos="1860" w:val="left"/>
        </w:tabs>
        <w:rPr>
          <w:sz w:val="20"/>
          <w:szCs w:val="20"/>
          <w:color w:val="auto"/>
        </w:rPr>
      </w:pPr>
      <w:r>
        <w:rPr>
          <w:rFonts w:ascii="Arial" w:cs="Arial" w:eastAsia="Arial" w:hAnsi="Arial"/>
          <w:sz w:val="18"/>
          <w:szCs w:val="18"/>
          <w:color w:val="auto"/>
        </w:rPr>
        <w:t>Schedule II</w:t>
      </w:r>
      <w:r>
        <w:rPr>
          <w:sz w:val="20"/>
          <w:szCs w:val="20"/>
          <w:color w:val="auto"/>
        </w:rPr>
        <w:tab/>
      </w:r>
      <w:r>
        <w:rPr>
          <w:rFonts w:ascii="Arial" w:cs="Arial" w:eastAsia="Arial" w:hAnsi="Arial"/>
          <w:sz w:val="16"/>
          <w:szCs w:val="16"/>
          <w:color w:val="auto"/>
        </w:rPr>
        <w:t>Valuation and Qualifying Accounts</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51" w:lineRule="exact"/>
        <w:rPr>
          <w:sz w:val="20"/>
          <w:szCs w:val="20"/>
          <w:color w:val="auto"/>
        </w:rPr>
      </w:pPr>
    </w:p>
    <w:p>
      <w:pPr>
        <w:ind w:left="460" w:right="140" w:firstLine="443"/>
        <w:spacing w:after="0" w:line="268" w:lineRule="auto"/>
        <w:tabs>
          <w:tab w:leader="none" w:pos="1205"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Report by reference, the exhibits listed on the accompanying Index to</w:t>
      </w:r>
      <w:r>
        <w:rPr>
          <w:rFonts w:ascii="Arial" w:cs="Arial" w:eastAsia="Arial" w:hAnsi="Arial"/>
          <w:sz w:val="18"/>
          <w:szCs w:val="18"/>
          <w:i w:val="1"/>
          <w:iCs w:val="1"/>
          <w:color w:val="auto"/>
        </w:rPr>
        <w:t xml:space="preserve"> </w:t>
      </w:r>
      <w:r>
        <w:rPr>
          <w:rFonts w:ascii="Arial" w:cs="Arial" w:eastAsia="Arial" w:hAnsi="Arial"/>
          <w:sz w:val="18"/>
          <w:szCs w:val="18"/>
          <w:color w:val="auto"/>
        </w:rPr>
        <w:t>Exhibits immediately following the signature page of this Form 10-K.</w:t>
      </w:r>
    </w:p>
    <w:p>
      <w:pPr>
        <w:spacing w:after="0" w:line="131" w:lineRule="exact"/>
        <w:rPr>
          <w:rFonts w:ascii="Arial" w:cs="Arial" w:eastAsia="Arial" w:hAnsi="Arial"/>
          <w:sz w:val="18"/>
          <w:szCs w:val="18"/>
          <w:color w:val="auto"/>
        </w:rPr>
      </w:pPr>
    </w:p>
    <w:p>
      <w:pPr>
        <w:ind w:left="840" w:hanging="376"/>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filed, or incorporated into the Report by reference, the exhibits listed on the accompanying Index to Exhibits immediately following the signature page of this Form 10-K.</w:t>
      </w:r>
    </w:p>
    <w:p>
      <w:pPr>
        <w:spacing w:after="0" w:line="132" w:lineRule="exact"/>
        <w:rPr>
          <w:sz w:val="20"/>
          <w:szCs w:val="20"/>
          <w:color w:val="auto"/>
        </w:rPr>
      </w:pPr>
    </w:p>
    <w:p>
      <w:pPr>
        <w:ind w:left="840" w:hanging="376"/>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 Schedules: See Item 15(a), above.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ITEM 15(A)</w:t>
            </w:r>
          </w:p>
        </w:tc>
        <w:tc>
          <w:tcPr>
            <w:tcW w:w="558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 SCHEDULE II</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(2)</w:t>
            </w:r>
          </w:p>
        </w:tc>
        <w:tc>
          <w:tcPr>
            <w:tcW w:w="40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gridSpan w:val="3"/>
          </w:tcPr>
          <w:p>
            <w:pPr>
              <w:jc w:val="center"/>
              <w:ind w:right="672"/>
              <w:spacing w:after="0"/>
              <w:rPr>
                <w:sz w:val="20"/>
                <w:szCs w:val="20"/>
                <w:color w:val="auto"/>
              </w:rPr>
            </w:pPr>
            <w:r>
              <w:rPr>
                <w:rFonts w:ascii="Arial" w:cs="Arial" w:eastAsia="Arial" w:hAnsi="Arial"/>
                <w:sz w:val="14"/>
                <w:szCs w:val="14"/>
                <w:b w:val="1"/>
                <w:bCs w:val="1"/>
                <w:color w:val="auto"/>
                <w:w w:val="86"/>
              </w:rPr>
              <w:t>Additions</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gridSpan w:val="3"/>
          </w:tcPr>
          <w:p>
            <w:pPr>
              <w:jc w:val="center"/>
              <w:ind w:right="692"/>
              <w:spacing w:after="0" w:line="149" w:lineRule="exact"/>
              <w:rPr>
                <w:sz w:val="20"/>
                <w:szCs w:val="20"/>
                <w:color w:val="auto"/>
              </w:rPr>
            </w:pPr>
            <w:r>
              <w:rPr>
                <w:rFonts w:ascii="Arial" w:cs="Arial" w:eastAsia="Arial" w:hAnsi="Arial"/>
                <w:sz w:val="14"/>
                <w:szCs w:val="14"/>
                <w:b w:val="1"/>
                <w:bCs w:val="1"/>
                <w:color w:val="auto"/>
                <w:w w:val="89"/>
              </w:rPr>
              <w:t>Charged to</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c>
          <w:tcPr>
            <w:tcW w:w="660" w:type="dxa"/>
            <w:vAlign w:val="bottom"/>
          </w:tcPr>
          <w:p>
            <w:pPr>
              <w:spacing w:after="0"/>
              <w:rPr>
                <w:sz w:val="12"/>
                <w:szCs w:val="12"/>
                <w:color w:val="auto"/>
              </w:rPr>
            </w:pPr>
          </w:p>
        </w:tc>
        <w:tc>
          <w:tcPr>
            <w:tcW w:w="1460" w:type="dxa"/>
            <w:vAlign w:val="bottom"/>
            <w:gridSpan w:val="3"/>
          </w:tcPr>
          <w:p>
            <w:pPr>
              <w:jc w:val="center"/>
              <w:ind w:right="672"/>
              <w:spacing w:after="0" w:line="149" w:lineRule="exact"/>
              <w:rPr>
                <w:sz w:val="20"/>
                <w:szCs w:val="20"/>
                <w:color w:val="auto"/>
              </w:rPr>
            </w:pPr>
            <w:r>
              <w:rPr>
                <w:rFonts w:ascii="Arial" w:cs="Arial" w:eastAsia="Arial" w:hAnsi="Arial"/>
                <w:sz w:val="14"/>
                <w:szCs w:val="14"/>
                <w:b w:val="1"/>
                <w:bCs w:val="1"/>
                <w:color w:val="auto"/>
                <w:w w:val="82"/>
              </w:rPr>
              <w:t>Costs and</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Deductions</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660" w:type="dxa"/>
            <w:vAlign w:val="bottom"/>
          </w:tcPr>
          <w:p>
            <w:pPr>
              <w:spacing w:after="0"/>
              <w:rPr>
                <w:sz w:val="12"/>
                <w:szCs w:val="12"/>
                <w:color w:val="auto"/>
              </w:rPr>
            </w:pPr>
          </w:p>
        </w:tc>
        <w:tc>
          <w:tcPr>
            <w:tcW w:w="1460" w:type="dxa"/>
            <w:vAlign w:val="bottom"/>
            <w:gridSpan w:val="3"/>
          </w:tcPr>
          <w:p>
            <w:pPr>
              <w:jc w:val="center"/>
              <w:ind w:right="692"/>
              <w:spacing w:after="0" w:line="149" w:lineRule="exact"/>
              <w:rPr>
                <w:sz w:val="20"/>
                <w:szCs w:val="20"/>
                <w:color w:val="auto"/>
              </w:rPr>
            </w:pPr>
            <w:r>
              <w:rPr>
                <w:rFonts w:ascii="Arial" w:cs="Arial" w:eastAsia="Arial" w:hAnsi="Arial"/>
                <w:sz w:val="14"/>
                <w:szCs w:val="14"/>
                <w:b w:val="1"/>
                <w:bCs w:val="1"/>
                <w:color w:val="auto"/>
                <w:w w:val="84"/>
              </w:rPr>
              <w:t>Expenses or</w:t>
            </w:r>
          </w:p>
        </w:tc>
        <w:tc>
          <w:tcPr>
            <w:tcW w:w="160" w:type="dxa"/>
            <w:vAlign w:val="bottom"/>
          </w:tcPr>
          <w:p>
            <w:pPr>
              <w:spacing w:after="0"/>
              <w:rPr>
                <w:sz w:val="12"/>
                <w:szCs w:val="12"/>
                <w:color w:val="auto"/>
              </w:rPr>
            </w:pPr>
          </w:p>
        </w:tc>
        <w:tc>
          <w:tcPr>
            <w:tcW w:w="48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and</w:t>
            </w:r>
          </w:p>
        </w:tc>
        <w:tc>
          <w:tcPr>
            <w:tcW w:w="6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61"/>
        </w:trPr>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5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b w:val="1"/>
                <w:bCs w:val="1"/>
                <w:color w:val="auto"/>
                <w:w w:val="84"/>
              </w:rPr>
              <w:t>of Year</w:t>
            </w:r>
          </w:p>
        </w:tc>
        <w:tc>
          <w:tcPr>
            <w:tcW w:w="660" w:type="dxa"/>
            <w:vAlign w:val="bottom"/>
          </w:tcPr>
          <w:p>
            <w:pPr>
              <w:spacing w:after="0"/>
              <w:rPr>
                <w:sz w:val="14"/>
                <w:szCs w:val="14"/>
                <w:color w:val="auto"/>
              </w:rPr>
            </w:pPr>
          </w:p>
        </w:tc>
        <w:tc>
          <w:tcPr>
            <w:tcW w:w="1460" w:type="dxa"/>
            <w:vAlign w:val="bottom"/>
            <w:gridSpan w:val="3"/>
          </w:tcPr>
          <w:p>
            <w:pPr>
              <w:jc w:val="center"/>
              <w:ind w:right="692"/>
              <w:spacing w:after="0"/>
              <w:rPr>
                <w:sz w:val="20"/>
                <w:szCs w:val="20"/>
                <w:color w:val="auto"/>
              </w:rPr>
            </w:pPr>
            <w:r>
              <w:rPr>
                <w:rFonts w:ascii="Arial" w:cs="Arial" w:eastAsia="Arial" w:hAnsi="Arial"/>
                <w:sz w:val="14"/>
                <w:szCs w:val="14"/>
                <w:b w:val="1"/>
                <w:bCs w:val="1"/>
                <w:color w:val="auto"/>
                <w:w w:val="81"/>
              </w:rPr>
              <w:t>Revenues</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Write-Offs</w:t>
            </w:r>
          </w:p>
        </w:tc>
        <w:tc>
          <w:tcPr>
            <w:tcW w:w="6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4"/>
              </w:rPr>
              <w:t>End of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Fiscal year ended January 31, 2010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ind w:left="420"/>
              <w:spacing w:after="0"/>
              <w:rPr>
                <w:sz w:val="20"/>
                <w:szCs w:val="20"/>
                <w:color w:val="auto"/>
              </w:rPr>
            </w:pPr>
            <w:r>
              <w:rPr>
                <w:rFonts w:ascii="Arial" w:cs="Arial" w:eastAsia="Arial" w:hAnsi="Arial"/>
                <w:sz w:val="18"/>
                <w:szCs w:val="18"/>
                <w:color w:val="auto"/>
              </w:rPr>
              <w:t>Allowance for doubtful accounts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8.6</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Product returns reserves</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gridSpan w:val="3"/>
          </w:tcPr>
          <w:p>
            <w:pPr>
              <w:ind w:left="420"/>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43.9</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48.9</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73.4</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9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Fiscal year ended January 31, 2009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ind w:left="420"/>
              <w:spacing w:after="0"/>
              <w:rPr>
                <w:sz w:val="20"/>
                <w:szCs w:val="20"/>
                <w:color w:val="auto"/>
              </w:rPr>
            </w:pPr>
            <w:r>
              <w:rPr>
                <w:rFonts w:ascii="Arial" w:cs="Arial" w:eastAsia="Arial" w:hAnsi="Arial"/>
                <w:sz w:val="18"/>
                <w:szCs w:val="18"/>
                <w:color w:val="auto"/>
              </w:rPr>
              <w:t>Allowance for doubtful accounts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Product returns reserves</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gridSpan w:val="3"/>
          </w:tcPr>
          <w:p>
            <w:pPr>
              <w:ind w:left="420"/>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43.0</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9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Fiscal year ended January 31, 2008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ind w:left="420"/>
              <w:spacing w:after="0"/>
              <w:rPr>
                <w:sz w:val="20"/>
                <w:szCs w:val="20"/>
                <w:color w:val="auto"/>
              </w:rPr>
            </w:pPr>
            <w:r>
              <w:rPr>
                <w:rFonts w:ascii="Arial" w:cs="Arial" w:eastAsia="Arial" w:hAnsi="Arial"/>
                <w:sz w:val="18"/>
                <w:szCs w:val="18"/>
                <w:color w:val="auto"/>
              </w:rPr>
              <w:t>Allowance for doubtful accounts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9.9</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32"/>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Product returns reserves</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gridSpan w:val="3"/>
          </w:tcPr>
          <w:p>
            <w:pPr>
              <w:ind w:left="420"/>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UTODESK</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1" w:lineRule="exact"/>
        <w:rPr>
          <w:sz w:val="20"/>
          <w:szCs w:val="20"/>
          <w:color w:val="auto"/>
        </w:rPr>
      </w:pPr>
    </w:p>
    <w:p>
      <w:pPr>
        <w:ind w:left="6860"/>
        <w:spacing w:after="0"/>
        <w:tabs>
          <w:tab w:leader="none" w:pos="8560" w:val="left"/>
          <w:tab w:leader="none" w:pos="8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ARL</w:t>
      </w:r>
      <w:r>
        <w:rPr>
          <w:rFonts w:ascii="Arial" w:cs="Arial" w:eastAsia="Arial" w:hAnsi="Arial"/>
          <w:sz w:val="16"/>
          <w:szCs w:val="16"/>
          <w:color w:val="auto"/>
        </w:rPr>
        <w:t xml:space="preserve"> B</w:t>
      </w:r>
      <w:r>
        <w:rPr>
          <w:rFonts w:ascii="Arial" w:cs="Arial" w:eastAsia="Arial" w:hAnsi="Arial"/>
          <w:sz w:val="13"/>
          <w:szCs w:val="13"/>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Carl Bass</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Chief Executive Officer and President</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19, 2010</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102</w:t>
      </w:r>
    </w:p>
    <w:p>
      <w:pPr>
        <w:sectPr>
          <w:pgSz w:w="11900" w:h="16838" w:orient="portrait"/>
          <w:cols w:equalWidth="0" w:num="1">
            <w:col w:w="10900"/>
          </w:cols>
          <w:pgMar w:left="240" w:top="459" w:right="7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Carl Bass and Mark J.</w:t>
      </w:r>
      <w:r>
        <w:rPr>
          <w:rFonts w:ascii="Arial" w:cs="Arial" w:eastAsia="Arial" w:hAnsi="Arial"/>
          <w:sz w:val="16"/>
          <w:szCs w:val="16"/>
          <w:b w:val="1"/>
          <w:bCs w:val="1"/>
          <w:color w:val="auto"/>
        </w:rPr>
        <w:t xml:space="preserve"> </w:t>
      </w:r>
      <w:r>
        <w:rPr>
          <w:rFonts w:ascii="Arial" w:cs="Arial" w:eastAsia="Arial" w:hAnsi="Arial"/>
          <w:sz w:val="16"/>
          <w:szCs w:val="16"/>
          <w:color w:val="auto"/>
        </w:rPr>
        <w:t>Hawkins each as his or her attorney-in-fact,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03"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as of March 19,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6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380" w:type="dxa"/>
            <w:vAlign w:val="bottom"/>
          </w:tcPr>
          <w:p>
            <w:pPr>
              <w:spacing w:after="0"/>
              <w:rPr>
                <w:sz w:val="14"/>
                <w:szCs w:val="14"/>
                <w:color w:val="auto"/>
              </w:rPr>
            </w:pPr>
          </w:p>
        </w:tc>
      </w:tr>
      <w:tr>
        <w:trPr>
          <w:trHeight w:val="424"/>
        </w:trPr>
        <w:tc>
          <w:tcPr>
            <w:tcW w:w="1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Chief Executive Officer and President</w:t>
            </w:r>
          </w:p>
        </w:tc>
      </w:tr>
      <w:tr>
        <w:trPr>
          <w:trHeight w:val="202"/>
        </w:trPr>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0" w:type="dxa"/>
            <w:vAlign w:val="bottom"/>
            <w:gridSpan w:val="2"/>
          </w:tcPr>
          <w:p>
            <w:pPr>
              <w:jc w:val="center"/>
              <w:ind w:right="2600"/>
              <w:spacing w:after="0"/>
              <w:rPr>
                <w:sz w:val="20"/>
                <w:szCs w:val="20"/>
                <w:color w:val="auto"/>
              </w:rPr>
            </w:pPr>
            <w:r>
              <w:rPr>
                <w:rFonts w:ascii="Arial" w:cs="Arial" w:eastAsia="Arial" w:hAnsi="Arial"/>
                <w:sz w:val="14"/>
                <w:szCs w:val="14"/>
                <w:b w:val="1"/>
                <w:bCs w:val="1"/>
                <w:color w:val="auto"/>
                <w:w w:val="86"/>
              </w:rPr>
              <w:t>Carl Bass</w:t>
            </w:r>
          </w:p>
        </w:tc>
        <w:tc>
          <w:tcPr>
            <w:tcW w:w="362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(Principal Executive Officer)</w:t>
            </w:r>
          </w:p>
        </w:tc>
      </w:tr>
      <w:tr>
        <w:trPr>
          <w:trHeight w:val="426"/>
        </w:trPr>
        <w:tc>
          <w:tcPr>
            <w:tcW w:w="1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gridSpan w:val="3"/>
          </w:tcPr>
          <w:p>
            <w:pPr>
              <w:jc w:val="center"/>
              <w:ind w:right="2100"/>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ARK</w:t>
            </w:r>
            <w:r>
              <w:rPr>
                <w:rFonts w:ascii="Arial" w:cs="Arial" w:eastAsia="Arial" w:hAnsi="Arial"/>
                <w:sz w:val="18"/>
                <w:szCs w:val="18"/>
                <w:color w:val="auto"/>
                <w:w w:val="99"/>
              </w:rPr>
              <w:t xml:space="preserve"> J. H</w:t>
            </w:r>
            <w:r>
              <w:rPr>
                <w:rFonts w:ascii="Arial" w:cs="Arial" w:eastAsia="Arial" w:hAnsi="Arial"/>
                <w:sz w:val="14"/>
                <w:szCs w:val="14"/>
                <w:color w:val="auto"/>
                <w:w w:val="99"/>
              </w:rPr>
              <w:t>AWKINS</w:t>
            </w: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Executive Vice President and</w:t>
            </w:r>
          </w:p>
        </w:tc>
      </w:tr>
      <w:tr>
        <w:trPr>
          <w:trHeight w:val="190"/>
        </w:trPr>
        <w:tc>
          <w:tcPr>
            <w:tcW w:w="1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1"/>
              </w:rPr>
              <w:t>Mark J. Hawkins</w:t>
            </w:r>
          </w:p>
        </w:tc>
        <w:tc>
          <w:tcPr>
            <w:tcW w:w="3620" w:type="dxa"/>
            <w:vAlign w:val="bottom"/>
            <w:gridSpan w:val="3"/>
          </w:tcPr>
          <w:p>
            <w:pPr>
              <w:ind w:left="800"/>
              <w:spacing w:after="0" w:line="190" w:lineRule="exact"/>
              <w:rPr>
                <w:sz w:val="20"/>
                <w:szCs w:val="20"/>
                <w:color w:val="auto"/>
              </w:rPr>
            </w:pPr>
            <w:r>
              <w:rPr>
                <w:rFonts w:ascii="Arial" w:cs="Arial" w:eastAsia="Arial" w:hAnsi="Arial"/>
                <w:sz w:val="18"/>
                <w:szCs w:val="18"/>
                <w:color w:val="auto"/>
              </w:rPr>
              <w:t>Chief Financial Officer</w:t>
            </w:r>
          </w:p>
        </w:tc>
      </w:tr>
      <w:tr>
        <w:trPr>
          <w:trHeight w:val="216"/>
        </w:trPr>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620" w:type="dxa"/>
            <w:vAlign w:val="bottom"/>
            <w:gridSpan w:val="3"/>
          </w:tcPr>
          <w:p>
            <w:pPr>
              <w:ind w:left="800"/>
              <w:spacing w:after="0"/>
              <w:rPr>
                <w:sz w:val="20"/>
                <w:szCs w:val="20"/>
                <w:color w:val="auto"/>
              </w:rPr>
            </w:pPr>
            <w:r>
              <w:rPr>
                <w:rFonts w:ascii="Arial" w:cs="Arial" w:eastAsia="Arial" w:hAnsi="Arial"/>
                <w:sz w:val="18"/>
                <w:szCs w:val="18"/>
                <w:color w:val="auto"/>
              </w:rPr>
              <w:t>(Principal Financial Officer and</w:t>
            </w:r>
          </w:p>
        </w:tc>
      </w:tr>
      <w:tr>
        <w:trPr>
          <w:trHeight w:val="222"/>
        </w:trPr>
        <w:tc>
          <w:tcPr>
            <w:tcW w:w="1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620" w:type="dxa"/>
            <w:vAlign w:val="bottom"/>
            <w:gridSpan w:val="3"/>
          </w:tcPr>
          <w:p>
            <w:pPr>
              <w:ind w:left="800"/>
              <w:spacing w:after="0"/>
              <w:rPr>
                <w:sz w:val="20"/>
                <w:szCs w:val="20"/>
                <w:color w:val="auto"/>
              </w:rPr>
            </w:pPr>
            <w:r>
              <w:rPr>
                <w:rFonts w:ascii="Arial" w:cs="Arial" w:eastAsia="Arial" w:hAnsi="Arial"/>
                <w:sz w:val="18"/>
                <w:szCs w:val="18"/>
                <w:color w:val="auto"/>
              </w:rPr>
              <w:t>Principal Accounting Officer)</w:t>
            </w:r>
          </w:p>
        </w:tc>
      </w:tr>
      <w:tr>
        <w:trPr>
          <w:trHeight w:val="446"/>
        </w:trPr>
        <w:tc>
          <w:tcPr>
            <w:tcW w:w="182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w w:val="94"/>
              </w:rPr>
              <w:t>/s/</w:t>
            </w:r>
          </w:p>
        </w:tc>
        <w:tc>
          <w:tcPr>
            <w:tcW w:w="4000" w:type="dxa"/>
            <w:vAlign w:val="bottom"/>
            <w:tcBorders>
              <w:bottom w:val="single" w:sz="8" w:color="auto"/>
            </w:tcBorders>
            <w:gridSpan w:val="4"/>
          </w:tcPr>
          <w:p>
            <w:pPr>
              <w:jc w:val="center"/>
              <w:ind w:right="1760"/>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RAWFORD</w:t>
            </w:r>
            <w:r>
              <w:rPr>
                <w:rFonts w:ascii="Arial" w:cs="Arial" w:eastAsia="Arial" w:hAnsi="Arial"/>
                <w:sz w:val="18"/>
                <w:szCs w:val="18"/>
                <w:color w:val="auto"/>
                <w:w w:val="97"/>
              </w:rPr>
              <w:t xml:space="preserve"> W. B</w:t>
            </w:r>
            <w:r>
              <w:rPr>
                <w:rFonts w:ascii="Arial" w:cs="Arial" w:eastAsia="Arial" w:hAnsi="Arial"/>
                <w:sz w:val="14"/>
                <w:szCs w:val="14"/>
                <w:color w:val="auto"/>
                <w:w w:val="97"/>
              </w:rPr>
              <w:t>EVERIDGE</w:t>
            </w: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02"/>
        </w:trPr>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8"/>
              </w:rPr>
              <w:t>Crawford W. Beveridge</w:t>
            </w:r>
          </w:p>
        </w:tc>
        <w:tc>
          <w:tcPr>
            <w:tcW w:w="3620" w:type="dxa"/>
            <w:vAlign w:val="bottom"/>
            <w:gridSpan w:val="3"/>
          </w:tcPr>
          <w:p>
            <w:pPr>
              <w:ind w:left="800"/>
              <w:spacing w:after="0" w:line="202" w:lineRule="exact"/>
              <w:rPr>
                <w:sz w:val="20"/>
                <w:szCs w:val="20"/>
                <w:color w:val="auto"/>
              </w:rPr>
            </w:pPr>
            <w:r>
              <w:rPr>
                <w:rFonts w:ascii="Arial" w:cs="Arial" w:eastAsia="Arial" w:hAnsi="Arial"/>
                <w:sz w:val="18"/>
                <w:szCs w:val="18"/>
                <w:color w:val="auto"/>
                <w:w w:val="89"/>
              </w:rPr>
              <w:t>(Non-executive Chairman of the Board)</w:t>
            </w:r>
          </w:p>
        </w:tc>
      </w:tr>
      <w:tr>
        <w:trPr>
          <w:trHeight w:val="427"/>
        </w:trPr>
        <w:tc>
          <w:tcPr>
            <w:tcW w:w="1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gridSpan w:val="3"/>
          </w:tcPr>
          <w:p>
            <w:pPr>
              <w:jc w:val="center"/>
              <w:ind w:right="2080"/>
              <w:spacing w:after="0"/>
              <w:rPr>
                <w:sz w:val="20"/>
                <w:szCs w:val="20"/>
                <w:color w:val="auto"/>
              </w:rPr>
            </w:pPr>
            <w:r>
              <w:rPr>
                <w:rFonts w:ascii="Arial" w:cs="Arial" w:eastAsia="Arial" w:hAnsi="Arial"/>
                <w:sz w:val="18"/>
                <w:szCs w:val="18"/>
                <w:color w:val="auto"/>
              </w:rPr>
              <w:t>J. H</w:t>
            </w:r>
            <w:r>
              <w:rPr>
                <w:rFonts w:ascii="Arial" w:cs="Arial" w:eastAsia="Arial" w:hAnsi="Arial"/>
                <w:sz w:val="14"/>
                <w:szCs w:val="14"/>
                <w:color w:val="auto"/>
              </w:rPr>
              <w:t>ALLAM</w:t>
            </w:r>
            <w:r>
              <w:rPr>
                <w:rFonts w:ascii="Arial" w:cs="Arial" w:eastAsia="Arial" w:hAnsi="Arial"/>
                <w:sz w:val="18"/>
                <w:szCs w:val="18"/>
                <w:color w:val="auto"/>
              </w:rPr>
              <w:t xml:space="preserve"> D</w:t>
            </w:r>
            <w:r>
              <w:rPr>
                <w:rFonts w:ascii="Arial" w:cs="Arial" w:eastAsia="Arial" w:hAnsi="Arial"/>
                <w:sz w:val="14"/>
                <w:szCs w:val="14"/>
                <w:color w:val="auto"/>
              </w:rPr>
              <w:t>AWSON</w:t>
            </w: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7"/>
              </w:rPr>
              <w:t>J. Hallam Dawson</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/s/</w:t>
            </w:r>
          </w:p>
        </w:tc>
        <w:tc>
          <w:tcPr>
            <w:tcW w:w="4000" w:type="dxa"/>
            <w:vAlign w:val="bottom"/>
            <w:tcBorders>
              <w:bottom w:val="single" w:sz="8" w:color="auto"/>
            </w:tcBorders>
            <w:gridSpan w:val="4"/>
          </w:tcPr>
          <w:p>
            <w:pPr>
              <w:jc w:val="center"/>
              <w:ind w:right="1740"/>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ER</w:t>
            </w:r>
            <w:r>
              <w:rPr>
                <w:rFonts w:ascii="Arial" w:cs="Arial" w:eastAsia="Arial" w:hAnsi="Arial"/>
                <w:sz w:val="18"/>
                <w:szCs w:val="18"/>
                <w:color w:val="auto"/>
                <w:w w:val="99"/>
              </w:rPr>
              <w:t>-K</w:t>
            </w:r>
            <w:r>
              <w:rPr>
                <w:rFonts w:ascii="Arial" w:cs="Arial" w:eastAsia="Arial" w:hAnsi="Arial"/>
                <w:sz w:val="14"/>
                <w:szCs w:val="14"/>
                <w:color w:val="auto"/>
                <w:w w:val="99"/>
              </w:rPr>
              <w:t>RISTIAN</w:t>
            </w:r>
            <w:r>
              <w:rPr>
                <w:rFonts w:ascii="Arial" w:cs="Arial" w:eastAsia="Arial" w:hAnsi="Arial"/>
                <w:sz w:val="18"/>
                <w:szCs w:val="18"/>
                <w:color w:val="auto"/>
                <w:w w:val="99"/>
              </w:rPr>
              <w:t xml:space="preserve"> H</w:t>
            </w:r>
            <w:r>
              <w:rPr>
                <w:rFonts w:ascii="Arial" w:cs="Arial" w:eastAsia="Arial" w:hAnsi="Arial"/>
                <w:sz w:val="14"/>
                <w:szCs w:val="14"/>
                <w:color w:val="auto"/>
                <w:w w:val="99"/>
              </w:rPr>
              <w:t>ALVORSEN</w:t>
            </w: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0"/>
              </w:rPr>
              <w:t>Per-Kristian Halvorsen</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8"/>
              </w:rPr>
              <w:t>Sean M. Maloney</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gridSpan w:val="3"/>
          </w:tcPr>
          <w:p>
            <w:pPr>
              <w:jc w:val="center"/>
              <w:ind w:right="208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LIZABETH</w:t>
            </w:r>
            <w:r>
              <w:rPr>
                <w:rFonts w:ascii="Arial" w:cs="Arial" w:eastAsia="Arial" w:hAnsi="Arial"/>
                <w:sz w:val="18"/>
                <w:szCs w:val="18"/>
                <w:color w:val="auto"/>
              </w:rPr>
              <w:t xml:space="preserve"> N</w:t>
            </w:r>
            <w:r>
              <w:rPr>
                <w:rFonts w:ascii="Arial" w:cs="Arial" w:eastAsia="Arial" w:hAnsi="Arial"/>
                <w:sz w:val="14"/>
                <w:szCs w:val="14"/>
                <w:color w:val="auto"/>
              </w:rPr>
              <w:t>ELSON</w:t>
            </w: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5"/>
              </w:rPr>
              <w:t>Elizabeth Nelson</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3"/>
              </w:rPr>
              <w:t>/s/</w:t>
            </w:r>
          </w:p>
        </w:tc>
        <w:tc>
          <w:tcPr>
            <w:tcW w:w="3660" w:type="dxa"/>
            <w:vAlign w:val="bottom"/>
            <w:tcBorders>
              <w:bottom w:val="single" w:sz="8" w:color="auto"/>
            </w:tcBorders>
            <w:gridSpan w:val="3"/>
          </w:tcPr>
          <w:p>
            <w:pPr>
              <w:jc w:val="center"/>
              <w:ind w:right="2080"/>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HARLES</w:t>
            </w:r>
            <w:r>
              <w:rPr>
                <w:rFonts w:ascii="Arial" w:cs="Arial" w:eastAsia="Arial" w:hAnsi="Arial"/>
                <w:sz w:val="18"/>
                <w:szCs w:val="18"/>
                <w:color w:val="auto"/>
                <w:w w:val="98"/>
              </w:rPr>
              <w:t xml:space="preserve"> R</w:t>
            </w:r>
            <w:r>
              <w:rPr>
                <w:rFonts w:ascii="Arial" w:cs="Arial" w:eastAsia="Arial" w:hAnsi="Arial"/>
                <w:sz w:val="14"/>
                <w:szCs w:val="14"/>
                <w:color w:val="auto"/>
                <w:w w:val="98"/>
              </w:rPr>
              <w:t>OBEL</w:t>
            </w: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60" w:type="dxa"/>
            <w:vAlign w:val="bottom"/>
            <w:gridSpan w:val="3"/>
          </w:tcPr>
          <w:p>
            <w:pPr>
              <w:jc w:val="center"/>
              <w:ind w:right="2160"/>
              <w:spacing w:after="0"/>
              <w:rPr>
                <w:sz w:val="20"/>
                <w:szCs w:val="20"/>
                <w:color w:val="auto"/>
              </w:rPr>
            </w:pPr>
            <w:r>
              <w:rPr>
                <w:rFonts w:ascii="Arial" w:cs="Arial" w:eastAsia="Arial" w:hAnsi="Arial"/>
                <w:sz w:val="14"/>
                <w:szCs w:val="14"/>
                <w:b w:val="1"/>
                <w:bCs w:val="1"/>
                <w:color w:val="auto"/>
                <w:w w:val="87"/>
              </w:rPr>
              <w:t>Charles Robel</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4"/>
              </w:rPr>
              <w:t>/s/</w:t>
            </w:r>
          </w:p>
        </w:tc>
        <w:tc>
          <w:tcPr>
            <w:tcW w:w="3660" w:type="dxa"/>
            <w:vAlign w:val="bottom"/>
            <w:tcBorders>
              <w:bottom w:val="single" w:sz="8" w:color="auto"/>
            </w:tcBorders>
            <w:gridSpan w:val="3"/>
          </w:tcPr>
          <w:p>
            <w:pPr>
              <w:jc w:val="center"/>
              <w:ind w:right="210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TEVEN</w:t>
            </w:r>
            <w:r>
              <w:rPr>
                <w:rFonts w:ascii="Arial" w:cs="Arial" w:eastAsia="Arial" w:hAnsi="Arial"/>
                <w:sz w:val="18"/>
                <w:szCs w:val="18"/>
                <w:color w:val="auto"/>
                <w:w w:val="96"/>
              </w:rPr>
              <w:t xml:space="preserve"> M. W</w:t>
            </w:r>
            <w:r>
              <w:rPr>
                <w:rFonts w:ascii="Arial" w:cs="Arial" w:eastAsia="Arial" w:hAnsi="Arial"/>
                <w:sz w:val="14"/>
                <w:szCs w:val="14"/>
                <w:color w:val="auto"/>
                <w:w w:val="96"/>
              </w:rPr>
              <w:t>EST</w:t>
            </w: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5"/>
              </w:rPr>
              <w:t>Steven M. West</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bl>
    <w:p>
      <w:pPr>
        <w:spacing w:after="0" w:line="12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103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20" w:type="dxa"/>
            <w:vAlign w:val="bottom"/>
            <w:gridSpan w:val="3"/>
          </w:tcPr>
          <w:p>
            <w:pPr>
              <w:ind w:left="43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5440" w:type="dxa"/>
            <w:vAlign w:val="bottom"/>
            <w:vMerge w:val="restart"/>
          </w:tcPr>
          <w:p>
            <w:pPr>
              <w:ind w:left="860"/>
              <w:spacing w:after="0"/>
              <w:rPr>
                <w:sz w:val="20"/>
                <w:szCs w:val="20"/>
                <w:color w:val="auto"/>
              </w:rPr>
            </w:pPr>
            <w:r>
              <w:rPr>
                <w:rFonts w:ascii="Arial" w:cs="Arial" w:eastAsia="Arial" w:hAnsi="Arial"/>
                <w:sz w:val="18"/>
                <w:szCs w:val="18"/>
                <w:color w:val="auto"/>
                <w:w w:val="88"/>
              </w:rPr>
              <w:t>Agreement and Plan of Merger, dated as of May 1, 2008, by and</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0" w:type="dxa"/>
            <w:vAlign w:val="bottom"/>
          </w:tcPr>
          <w:p>
            <w:pPr>
              <w:ind w:left="80"/>
              <w:spacing w:after="0" w:line="201" w:lineRule="exact"/>
              <w:rPr>
                <w:sz w:val="20"/>
                <w:szCs w:val="20"/>
                <w:color w:val="auto"/>
              </w:rPr>
            </w:pPr>
            <w:r>
              <w:rPr>
                <w:rFonts w:ascii="Arial" w:cs="Arial" w:eastAsia="Arial" w:hAnsi="Arial"/>
                <w:sz w:val="18"/>
                <w:szCs w:val="18"/>
                <w:color w:val="auto"/>
              </w:rPr>
              <w:t>2.1</w:t>
            </w:r>
          </w:p>
        </w:tc>
        <w:tc>
          <w:tcPr>
            <w:tcW w:w="5440" w:type="dxa"/>
            <w:vAlign w:val="bottom"/>
            <w:vMerge w:val="continue"/>
          </w:tcPr>
          <w:p>
            <w:pPr>
              <w:spacing w:after="0"/>
              <w:rPr>
                <w:sz w:val="17"/>
                <w:szCs w:val="17"/>
                <w:color w:val="auto"/>
              </w:rPr>
            </w:pPr>
          </w:p>
        </w:tc>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w w:val="95"/>
              </w:rPr>
              <w:t>among Autodesk, Inc., Switch Acquisition Corporation and Moldflow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4"/>
              </w:rPr>
              <w:t>Corporation (</w:t>
            </w:r>
            <w:r>
              <w:rPr>
                <w:rFonts w:ascii="Arial" w:cs="Arial" w:eastAsia="Arial" w:hAnsi="Arial"/>
                <w:sz w:val="18"/>
                <w:szCs w:val="18"/>
                <w:i w:val="1"/>
                <w:iCs w:val="1"/>
                <w:color w:val="auto"/>
                <w:w w:val="94"/>
              </w:rPr>
              <w:t>incorporated by reference to Exhibit 2.1 filed with the Registrant’s Current Report on Form 8-K filed on May 2, 2008</w:t>
            </w: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77"/>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3"/>
              </w:rPr>
              <w:t xml:space="preserve">Amended and Restated Certificate of Incorporation of Registrant </w:t>
            </w:r>
            <w:r>
              <w:rPr>
                <w:rFonts w:ascii="Arial" w:cs="Arial" w:eastAsia="Arial" w:hAnsi="Arial"/>
                <w:sz w:val="18"/>
                <w:szCs w:val="18"/>
                <w:i w:val="1"/>
                <w:iCs w:val="1"/>
                <w:color w:val="auto"/>
                <w:w w:val="93"/>
              </w:rPr>
              <w:t>(incorporated by reference to Exhibit 3.1 filed with the Registrant’s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i w:val="1"/>
                <w:iCs w:val="1"/>
                <w:color w:val="auto"/>
              </w:rPr>
              <w:t>Annual Report on Form 10-K for the fiscal year ended January 31, 2006)</w:t>
            </w:r>
          </w:p>
        </w:tc>
        <w:tc>
          <w:tcPr>
            <w:tcW w:w="0" w:type="dxa"/>
            <w:vAlign w:val="bottom"/>
          </w:tcPr>
          <w:p>
            <w:pPr>
              <w:spacing w:after="0"/>
              <w:rPr>
                <w:sz w:val="1"/>
                <w:szCs w:val="1"/>
                <w:color w:val="auto"/>
              </w:rPr>
            </w:pPr>
          </w:p>
        </w:tc>
      </w:tr>
      <w:tr>
        <w:trPr>
          <w:trHeight w:val="277"/>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9"/>
              </w:rPr>
              <w:t>Amended and Restated Bylaws of Registrant (</w:t>
            </w:r>
            <w:r>
              <w:rPr>
                <w:rFonts w:ascii="Arial" w:cs="Arial" w:eastAsia="Arial" w:hAnsi="Arial"/>
                <w:sz w:val="18"/>
                <w:szCs w:val="18"/>
                <w:i w:val="1"/>
                <w:iCs w:val="1"/>
                <w:color w:val="auto"/>
                <w:w w:val="89"/>
              </w:rPr>
              <w:t>incorporated by reference to Exhibit 3.1 filed with the Registrant’s Current Report on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i w:val="1"/>
                <w:iCs w:val="1"/>
                <w:color w:val="auto"/>
              </w:rPr>
              <w:t>8-K filed on June 16, 2009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9"/>
              </w:rPr>
              <w:t>Registrant’s 1996 Stock Plan (</w:t>
            </w:r>
            <w:r>
              <w:rPr>
                <w:rFonts w:ascii="Arial" w:cs="Arial" w:eastAsia="Arial" w:hAnsi="Arial"/>
                <w:sz w:val="18"/>
                <w:szCs w:val="18"/>
                <w:i w:val="1"/>
                <w:iCs w:val="1"/>
                <w:color w:val="auto"/>
                <w:w w:val="89"/>
              </w:rPr>
              <w:t>incorporated by reference to Exhibit 10.1 filed with the Registrant’s Quarterly Report on Form 10-Q for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i w:val="1"/>
                <w:iCs w:val="1"/>
                <w:color w:val="auto"/>
              </w:rPr>
              <w:t>fiscal quarter ended October 31,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9"/>
              </w:rPr>
              <w:t>Registrant’s 1996 Stock Plan Forms of Agreement (</w:t>
            </w:r>
            <w:r>
              <w:rPr>
                <w:rFonts w:ascii="Arial" w:cs="Arial" w:eastAsia="Arial" w:hAnsi="Arial"/>
                <w:sz w:val="18"/>
                <w:szCs w:val="18"/>
                <w:i w:val="1"/>
                <w:iCs w:val="1"/>
                <w:color w:val="auto"/>
                <w:w w:val="89"/>
              </w:rPr>
              <w:t>incorporated by reference to Exhibit 10.5 filed with the Registrant’s Annual Report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i w:val="1"/>
                <w:iCs w:val="1"/>
                <w:color w:val="auto"/>
              </w:rPr>
              <w:t>Form 10-K for the fiscal year ended January 31,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Registrant’s 1998 Employee Qualified Stock Purchase Plan, as amended on September 17, 2009 (</w:t>
            </w:r>
            <w:r>
              <w:rPr>
                <w:rFonts w:ascii="Arial" w:cs="Arial" w:eastAsia="Arial" w:hAnsi="Arial"/>
                <w:sz w:val="18"/>
                <w:szCs w:val="18"/>
                <w:i w:val="1"/>
                <w:iCs w:val="1"/>
                <w:color w:val="auto"/>
              </w:rPr>
              <w:t>filed herewith</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10.4*</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9"/>
              </w:rPr>
              <w:t>Registrant’s 1998 Employee Qualified Stock Purchase Plan Forms of Agreement (</w:t>
            </w:r>
            <w:r>
              <w:rPr>
                <w:rFonts w:ascii="Arial" w:cs="Arial" w:eastAsia="Arial" w:hAnsi="Arial"/>
                <w:sz w:val="18"/>
                <w:szCs w:val="18"/>
                <w:i w:val="1"/>
                <w:iCs w:val="1"/>
                <w:color w:val="auto"/>
                <w:w w:val="89"/>
              </w:rPr>
              <w:t>incorporated by reference to Exhibit 10.2 filed with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i w:val="1"/>
                <w:iCs w:val="1"/>
                <w:color w:val="auto"/>
              </w:rPr>
              <w:t>Registrant’s Annual Report on Form 10-K for the fiscal year ended January 31,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10.5*</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2"/>
              </w:rPr>
              <w:t>Registrant’s 1998 Employee Qualified Stock Purchase Plan Form of Agreement (non-U.S. Employees) (</w:t>
            </w:r>
            <w:r>
              <w:rPr>
                <w:rFonts w:ascii="Arial" w:cs="Arial" w:eastAsia="Arial" w:hAnsi="Arial"/>
                <w:sz w:val="18"/>
                <w:szCs w:val="18"/>
                <w:i w:val="1"/>
                <w:iCs w:val="1"/>
                <w:color w:val="auto"/>
                <w:w w:val="92"/>
              </w:rPr>
              <w:t>incorporated by reference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i w:val="1"/>
                <w:iCs w:val="1"/>
                <w:color w:val="auto"/>
              </w:rPr>
              <w:t>Exhibit 10.5 filed with the Registrant’s Annual Report on Form 10-K for the fiscal year ended January 31, 2009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10.6*</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9"/>
              </w:rPr>
              <w:t>Registrant’s 2000 Directors’ Option Plan, as amended (</w:t>
            </w:r>
            <w:r>
              <w:rPr>
                <w:rFonts w:ascii="Arial" w:cs="Arial" w:eastAsia="Arial" w:hAnsi="Arial"/>
                <w:sz w:val="18"/>
                <w:szCs w:val="18"/>
                <w:i w:val="1"/>
                <w:iCs w:val="1"/>
                <w:color w:val="auto"/>
                <w:w w:val="89"/>
              </w:rPr>
              <w:t>incorporated by reference to Exhibit 10.2 filed with the Registrant’s Current Report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i w:val="1"/>
                <w:iCs w:val="1"/>
                <w:color w:val="auto"/>
              </w:rPr>
              <w:t>on Form 8-K filed on June 18, 2008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10.7*</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3"/>
              </w:rPr>
              <w:t>Registrant’s 2000 Directors’ Option Plan Forms of Agreements (</w:t>
            </w:r>
            <w:r>
              <w:rPr>
                <w:rFonts w:ascii="Arial" w:cs="Arial" w:eastAsia="Arial" w:hAnsi="Arial"/>
                <w:sz w:val="18"/>
                <w:szCs w:val="18"/>
                <w:i w:val="1"/>
                <w:iCs w:val="1"/>
                <w:color w:val="auto"/>
                <w:w w:val="93"/>
              </w:rPr>
              <w:t>incorporated by reference to Exhibit 10.2 filed with the Registrant’s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i w:val="1"/>
                <w:iCs w:val="1"/>
                <w:color w:val="auto"/>
              </w:rPr>
              <w:t>Quarterly Report on Form 10-Q for the fiscal quarter ended April 30, 2008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10.8*</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9"/>
              </w:rPr>
              <w:t>Registrant’s 2006 Employee Stock Plan (</w:t>
            </w:r>
            <w:r>
              <w:rPr>
                <w:rFonts w:ascii="Arial" w:cs="Arial" w:eastAsia="Arial" w:hAnsi="Arial"/>
                <w:sz w:val="18"/>
                <w:szCs w:val="18"/>
                <w:i w:val="1"/>
                <w:iCs w:val="1"/>
                <w:color w:val="auto"/>
                <w:w w:val="89"/>
              </w:rPr>
              <w:t>incorporated by reference to Exhibit 10.2 filed with the Registrant’s Current Report on Form 8-K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i w:val="1"/>
                <w:iCs w:val="1"/>
                <w:color w:val="auto"/>
              </w:rPr>
              <w:t>filed on November 15,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10.9*</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9"/>
              </w:rPr>
              <w:t>Registrant’s 2006 Employee Stock Plan Forms of Agreement (</w:t>
            </w:r>
            <w:r>
              <w:rPr>
                <w:rFonts w:ascii="Arial" w:cs="Arial" w:eastAsia="Arial" w:hAnsi="Arial"/>
                <w:sz w:val="18"/>
                <w:szCs w:val="18"/>
                <w:i w:val="1"/>
                <w:iCs w:val="1"/>
                <w:color w:val="auto"/>
                <w:w w:val="89"/>
              </w:rPr>
              <w:t>incorporated by reference to Exhibit 10.8 filed with the Registrant’s Annual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i w:val="1"/>
                <w:iCs w:val="1"/>
                <w:color w:val="auto"/>
                <w:w w:val="90"/>
              </w:rPr>
              <w:t>Report on Form 10-K for the fiscal year ended January 31, 2006 and Exhibit 10.1 filed with the Registrant’s Current Report on Form 8-K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i w:val="1"/>
                <w:iCs w:val="1"/>
                <w:color w:val="auto"/>
              </w:rPr>
              <w:t>filed on June 20, 2007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9"/>
              </w:rPr>
              <w:t xml:space="preserve">Registrant’s 2008 Employee Stock Plan </w:t>
            </w:r>
            <w:r>
              <w:rPr>
                <w:rFonts w:ascii="Arial" w:cs="Arial" w:eastAsia="Arial" w:hAnsi="Arial"/>
                <w:sz w:val="18"/>
                <w:szCs w:val="18"/>
                <w:i w:val="1"/>
                <w:iCs w:val="1"/>
                <w:color w:val="auto"/>
                <w:w w:val="89"/>
              </w:rPr>
              <w:t>(incorporated by reference to Exhibit 10.1 filed with the Registrant’s Current Report on Form 8-K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i w:val="1"/>
                <w:iCs w:val="1"/>
                <w:color w:val="auto"/>
              </w:rPr>
              <w:t>filed on November 13, 2007)</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4"/>
              </w:rPr>
              <w:t>Registrant’s 2008 Employee Stock Plan Forms of Agreement (</w:t>
            </w:r>
            <w:r>
              <w:rPr>
                <w:rFonts w:ascii="Arial" w:cs="Arial" w:eastAsia="Arial" w:hAnsi="Arial"/>
                <w:sz w:val="18"/>
                <w:szCs w:val="18"/>
                <w:i w:val="1"/>
                <w:iCs w:val="1"/>
                <w:color w:val="auto"/>
                <w:w w:val="94"/>
              </w:rPr>
              <w:t>incorporated by reference to Exhibit 10.1 filed with the Registrant’s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i w:val="1"/>
                <w:iCs w:val="1"/>
                <w:color w:val="auto"/>
              </w:rPr>
              <w:t>Quarterly Report on Form 10-Q for the fiscal quarter ended April 30, 2008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0"/>
              </w:rPr>
              <w:t>Registrant’s 2008 Employee Stock Plan Form of Agreement (</w:t>
            </w:r>
            <w:r>
              <w:rPr>
                <w:rFonts w:ascii="Arial" w:cs="Arial" w:eastAsia="Arial" w:hAnsi="Arial"/>
                <w:sz w:val="18"/>
                <w:szCs w:val="18"/>
                <w:i w:val="1"/>
                <w:iCs w:val="1"/>
                <w:color w:val="auto"/>
                <w:w w:val="90"/>
              </w:rPr>
              <w:t>incorporated by reference to Exhibit 10.1 filed with the Registrant’s Current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i w:val="1"/>
                <w:iCs w:val="1"/>
                <w:color w:val="auto"/>
              </w:rPr>
              <w:t>Report on Form 8-K filed on February 6, 2009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0"/>
              </w:rPr>
              <w:t>Registrant’s 2008 Employee Stock Plan Forms of Restricted Stock Unit Agreements (</w:t>
            </w:r>
            <w:r>
              <w:rPr>
                <w:rFonts w:ascii="Arial" w:cs="Arial" w:eastAsia="Arial" w:hAnsi="Arial"/>
                <w:sz w:val="18"/>
                <w:szCs w:val="18"/>
                <w:i w:val="1"/>
                <w:iCs w:val="1"/>
                <w:color w:val="auto"/>
                <w:w w:val="90"/>
              </w:rPr>
              <w:t>incorporated by reference to Exhibit 10.2 filed with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i w:val="1"/>
                <w:iCs w:val="1"/>
                <w:color w:val="auto"/>
              </w:rPr>
              <w:t>the Registrant’s Current Report on Form 8-K filed on June 18, 2008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9"/>
              </w:rPr>
              <w:t>Registrant’s 2008 Employee Stock Plan Forms of Agreement (non-U.S. Employees) (</w:t>
            </w:r>
            <w:r>
              <w:rPr>
                <w:rFonts w:ascii="Arial" w:cs="Arial" w:eastAsia="Arial" w:hAnsi="Arial"/>
                <w:sz w:val="18"/>
                <w:szCs w:val="18"/>
                <w:i w:val="1"/>
                <w:iCs w:val="1"/>
                <w:color w:val="auto"/>
                <w:w w:val="89"/>
              </w:rPr>
              <w:t>incorporated by reference to Exhibit 10.14 filed with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i w:val="1"/>
                <w:iCs w:val="1"/>
                <w:color w:val="auto"/>
              </w:rPr>
              <w:t>the Registrant’s Annual Report on Form 10-K for the fiscal year ended January 31, 2009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2"/>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104</w:t>
            </w:r>
          </w:p>
        </w:tc>
        <w:tc>
          <w:tcPr>
            <w:tcW w:w="5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54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4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700" w:type="dxa"/>
            <w:vAlign w:val="bottom"/>
          </w:tcPr>
          <w:p>
            <w:pPr>
              <w:spacing w:after="0" w:line="201" w:lineRule="exact"/>
              <w:rPr>
                <w:sz w:val="20"/>
                <w:szCs w:val="20"/>
                <w:color w:val="auto"/>
              </w:rPr>
            </w:pPr>
            <w:r>
              <w:rPr>
                <w:rFonts w:ascii="Arial" w:cs="Arial" w:eastAsia="Arial" w:hAnsi="Arial"/>
                <w:sz w:val="18"/>
                <w:szCs w:val="18"/>
                <w:color w:val="auto"/>
              </w:rPr>
              <w:t>10.15*</w:t>
            </w:r>
          </w:p>
        </w:tc>
        <w:tc>
          <w:tcPr>
            <w:tcW w:w="10680" w:type="dxa"/>
            <w:vAlign w:val="bottom"/>
            <w:gridSpan w:val="3"/>
          </w:tcPr>
          <w:p>
            <w:pPr>
              <w:ind w:left="860"/>
              <w:spacing w:after="0" w:line="201" w:lineRule="exact"/>
              <w:rPr>
                <w:sz w:val="20"/>
                <w:szCs w:val="20"/>
                <w:color w:val="auto"/>
              </w:rPr>
            </w:pPr>
            <w:r>
              <w:rPr>
                <w:rFonts w:ascii="Arial" w:cs="Arial" w:eastAsia="Arial" w:hAnsi="Arial"/>
                <w:sz w:val="18"/>
                <w:szCs w:val="18"/>
                <w:color w:val="auto"/>
                <w:w w:val="89"/>
              </w:rPr>
              <w:t>Text of amendment to certain stock option agreements (</w:t>
            </w:r>
            <w:r>
              <w:rPr>
                <w:rFonts w:ascii="Arial" w:cs="Arial" w:eastAsia="Arial" w:hAnsi="Arial"/>
                <w:sz w:val="18"/>
                <w:szCs w:val="18"/>
                <w:i w:val="1"/>
                <w:iCs w:val="1"/>
                <w:color w:val="auto"/>
                <w:w w:val="89"/>
              </w:rPr>
              <w:t>incorporated by reference to Exhibit 10.1 filed with the Registrant’s Current Report</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on Form 8-K filed on September 22, 2006</w:t>
            </w:r>
            <w:r>
              <w:rPr>
                <w:rFonts w:ascii="Arial" w:cs="Arial" w:eastAsia="Arial" w:hAnsi="Arial"/>
                <w:sz w:val="18"/>
                <w:szCs w:val="18"/>
                <w:color w:val="auto"/>
              </w:rPr>
              <w:t>)</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0"/>
              </w:rPr>
              <w:t>Amendments to certain stock option agreements (</w:t>
            </w:r>
            <w:r>
              <w:rPr>
                <w:rFonts w:ascii="Arial" w:cs="Arial" w:eastAsia="Arial" w:hAnsi="Arial"/>
                <w:sz w:val="18"/>
                <w:szCs w:val="18"/>
                <w:i w:val="1"/>
                <w:iCs w:val="1"/>
                <w:color w:val="auto"/>
                <w:w w:val="90"/>
              </w:rPr>
              <w:t>incorporated by reference to Exhibit 10.16 filed with the Registrant’s Annual Report on</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Form 10-K for the fiscal year ended January 31, 2009</w:t>
            </w:r>
            <w:r>
              <w:rPr>
                <w:rFonts w:ascii="Arial" w:cs="Arial" w:eastAsia="Arial" w:hAnsi="Arial"/>
                <w:sz w:val="18"/>
                <w:szCs w:val="18"/>
                <w:color w:val="auto"/>
              </w:rPr>
              <w:t>)</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Registrant’s 2010 Outside Directors’ Stock Plan (</w:t>
            </w:r>
            <w:r>
              <w:rPr>
                <w:rFonts w:ascii="Arial" w:cs="Arial" w:eastAsia="Arial" w:hAnsi="Arial"/>
                <w:sz w:val="18"/>
                <w:szCs w:val="18"/>
                <w:i w:val="1"/>
                <w:iCs w:val="1"/>
                <w:color w:val="auto"/>
                <w:w w:val="91"/>
              </w:rPr>
              <w:t>incorporated by reference to Exhibit 10.1 filed with the Registrant’s Current Report on</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Form 8-K filed on June 16, 2009</w:t>
            </w:r>
            <w:r>
              <w:rPr>
                <w:rFonts w:ascii="Arial" w:cs="Arial" w:eastAsia="Arial" w:hAnsi="Arial"/>
                <w:sz w:val="18"/>
                <w:szCs w:val="18"/>
                <w:color w:val="auto"/>
              </w:rPr>
              <w:t>)</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Form of Promise to Make Cash Payment and Option Amendment (U.S. Employees) (</w:t>
            </w:r>
            <w:r>
              <w:rPr>
                <w:rFonts w:ascii="Arial" w:cs="Arial" w:eastAsia="Arial" w:hAnsi="Arial"/>
                <w:sz w:val="18"/>
                <w:szCs w:val="18"/>
                <w:i w:val="1"/>
                <w:iCs w:val="1"/>
                <w:color w:val="auto"/>
                <w:w w:val="91"/>
              </w:rPr>
              <w:t>incorporated by reference to Exhibit 99.1 filed with</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the Registrant’s Current Report on Form 8-K filed on July 27, 2007</w:t>
            </w:r>
            <w:r>
              <w:rPr>
                <w:rFonts w:ascii="Arial" w:cs="Arial" w:eastAsia="Arial" w:hAnsi="Arial"/>
                <w:sz w:val="18"/>
                <w:szCs w:val="18"/>
                <w:color w:val="auto"/>
              </w:rPr>
              <w:t>)</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0"/>
              </w:rPr>
              <w:t>Form of Promise to Make Cash Payment and Option Amendment (Canadian Employees) (</w:t>
            </w:r>
            <w:r>
              <w:rPr>
                <w:rFonts w:ascii="Arial" w:cs="Arial" w:eastAsia="Arial" w:hAnsi="Arial"/>
                <w:sz w:val="18"/>
                <w:szCs w:val="18"/>
                <w:i w:val="1"/>
                <w:iCs w:val="1"/>
                <w:color w:val="auto"/>
                <w:w w:val="90"/>
              </w:rPr>
              <w:t>incorporated by reference to Exhibit 99.2 filed</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with the Registrant’s Current Report on Form 8-K filed on July 27, 2007</w:t>
            </w:r>
            <w:r>
              <w:rPr>
                <w:rFonts w:ascii="Arial" w:cs="Arial" w:eastAsia="Arial" w:hAnsi="Arial"/>
                <w:sz w:val="18"/>
                <w:szCs w:val="18"/>
                <w:color w:val="auto"/>
              </w:rPr>
              <w:t>)</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0"/>
              </w:rPr>
              <w:t>Executive Incentive Plan (</w:t>
            </w:r>
            <w:r>
              <w:rPr>
                <w:rFonts w:ascii="Arial" w:cs="Arial" w:eastAsia="Arial" w:hAnsi="Arial"/>
                <w:sz w:val="18"/>
                <w:szCs w:val="18"/>
                <w:i w:val="1"/>
                <w:iCs w:val="1"/>
                <w:color w:val="auto"/>
                <w:w w:val="90"/>
              </w:rPr>
              <w:t>incorporated by reference to Exhibit 10.13 filed with the Registrant’s Annual Report on Form 10-K for the fiscal</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year ended January 31, 2006</w:t>
            </w:r>
            <w:r>
              <w:rPr>
                <w:rFonts w:ascii="Arial" w:cs="Arial" w:eastAsia="Arial" w:hAnsi="Arial"/>
                <w:sz w:val="18"/>
                <w:szCs w:val="18"/>
                <w:color w:val="auto"/>
              </w:rPr>
              <w:t>)</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3"/>
              </w:rPr>
              <w:t>Registrant’s 2005 Non-Qualified Deferred Compensation Plan, as amended and restated, effective as of January 1, 2008, as further</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87"/>
              </w:rPr>
              <w:t xml:space="preserve">amended and restated, effective as of December 31, 2008, as further amended and restated, effective as of January 1, 2010 </w:t>
            </w:r>
            <w:r>
              <w:rPr>
                <w:rFonts w:ascii="Arial" w:cs="Arial" w:eastAsia="Arial" w:hAnsi="Arial"/>
                <w:sz w:val="18"/>
                <w:szCs w:val="18"/>
                <w:i w:val="1"/>
                <w:iCs w:val="1"/>
                <w:color w:val="auto"/>
                <w:w w:val="87"/>
              </w:rPr>
              <w:t>(incorporated by</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w w:val="95"/>
              </w:rPr>
              <w:t>reference to Exhibit 10.1 filed with the Registrant’s Quarterly Report on Form 10-Q for the fiscal quarter ended October 31, 2009)</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89"/>
              </w:rPr>
              <w:t>Executive officers’ target awards and payout formulas for fiscal year 2010 under the Registrant’s Autodesk Incentive Plan (</w:t>
            </w:r>
            <w:r>
              <w:rPr>
                <w:rFonts w:ascii="Arial" w:cs="Arial" w:eastAsia="Arial" w:hAnsi="Arial"/>
                <w:sz w:val="18"/>
                <w:szCs w:val="18"/>
                <w:i w:val="1"/>
                <w:iCs w:val="1"/>
                <w:color w:val="auto"/>
                <w:w w:val="89"/>
              </w:rPr>
              <w:t>incorporated by</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reference to Item 5.02 of the Registrant’s Current Report on Form 8-K filed on May 1, 2009</w:t>
            </w:r>
            <w:r>
              <w:rPr>
                <w:rFonts w:ascii="Arial" w:cs="Arial" w:eastAsia="Arial" w:hAnsi="Arial"/>
                <w:sz w:val="18"/>
                <w:szCs w:val="18"/>
                <w:color w:val="auto"/>
              </w:rPr>
              <w:t>)</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10.23*</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Executive Change in Control Program, as amended and restated (</w:t>
            </w:r>
            <w:r>
              <w:rPr>
                <w:rFonts w:ascii="Arial" w:cs="Arial" w:eastAsia="Arial" w:hAnsi="Arial"/>
                <w:sz w:val="18"/>
                <w:szCs w:val="18"/>
                <w:i w:val="1"/>
                <w:iCs w:val="1"/>
                <w:color w:val="auto"/>
                <w:w w:val="91"/>
              </w:rPr>
              <w:t>incorporated by reference to Exhibit 10.22 filed with the Registrant’s</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Annual Report on Form 10-K for the fiscal year ended January 31, 2009</w:t>
            </w:r>
            <w:r>
              <w:rPr>
                <w:rFonts w:ascii="Arial" w:cs="Arial" w:eastAsia="Arial" w:hAnsi="Arial"/>
                <w:sz w:val="18"/>
                <w:szCs w:val="18"/>
                <w:color w:val="auto"/>
              </w:rPr>
              <w:t>)</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10.24*</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3"/>
              </w:rPr>
              <w:t>Description of annual cash compensation paid to non-employee directors (</w:t>
            </w:r>
            <w:r>
              <w:rPr>
                <w:rFonts w:ascii="Arial" w:cs="Arial" w:eastAsia="Arial" w:hAnsi="Arial"/>
                <w:sz w:val="18"/>
                <w:szCs w:val="18"/>
                <w:i w:val="1"/>
                <w:iCs w:val="1"/>
                <w:color w:val="auto"/>
                <w:w w:val="93"/>
              </w:rPr>
              <w:t>incorporated by reference to Item 1.01 of the Registrant’s</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w w:val="93"/>
              </w:rPr>
              <w:t>Current Report on Form 8-K filed on June 14, 2006 and Item 5.02 of the Registrant’s Current Report on Form 8-K filed on March 18,</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40" w:type="dxa"/>
            <w:vAlign w:val="bottom"/>
          </w:tcPr>
          <w:p>
            <w:pPr>
              <w:ind w:left="860"/>
              <w:spacing w:after="0"/>
              <w:rPr>
                <w:sz w:val="20"/>
                <w:szCs w:val="20"/>
                <w:color w:val="auto"/>
              </w:rPr>
            </w:pPr>
            <w:r>
              <w:rPr>
                <w:rFonts w:ascii="Arial" w:cs="Arial" w:eastAsia="Arial" w:hAnsi="Arial"/>
                <w:sz w:val="18"/>
                <w:szCs w:val="18"/>
                <w:i w:val="1"/>
                <w:iCs w:val="1"/>
                <w:color w:val="auto"/>
              </w:rPr>
              <w:t>2009</w:t>
            </w: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10.25*</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89"/>
              </w:rPr>
              <w:t>Form of Indemnification Agreement executed by Autodesk and each of its officers and directors (</w:t>
            </w:r>
            <w:r>
              <w:rPr>
                <w:rFonts w:ascii="Arial" w:cs="Arial" w:eastAsia="Arial" w:hAnsi="Arial"/>
                <w:sz w:val="18"/>
                <w:szCs w:val="18"/>
                <w:i w:val="1"/>
                <w:iCs w:val="1"/>
                <w:color w:val="auto"/>
                <w:w w:val="89"/>
              </w:rPr>
              <w:t>incorporated by reference to Exhibit 10.8</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filed with the Registrant’s Annual Report on Form 10-K for the fiscal year ended January 31, 2005</w:t>
            </w:r>
            <w:r>
              <w:rPr>
                <w:rFonts w:ascii="Arial" w:cs="Arial" w:eastAsia="Arial" w:hAnsi="Arial"/>
                <w:sz w:val="18"/>
                <w:szCs w:val="18"/>
                <w:color w:val="auto"/>
              </w:rPr>
              <w:t>)</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10.26*</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87"/>
              </w:rPr>
              <w:t>Amended and Restated Employment Agreement between Registrant and Carl Bass dated December 12, 2008 (</w:t>
            </w:r>
            <w:r>
              <w:rPr>
                <w:rFonts w:ascii="Arial" w:cs="Arial" w:eastAsia="Arial" w:hAnsi="Arial"/>
                <w:sz w:val="18"/>
                <w:szCs w:val="18"/>
                <w:i w:val="1"/>
                <w:iCs w:val="1"/>
                <w:color w:val="auto"/>
                <w:w w:val="87"/>
              </w:rPr>
              <w:t>incorporated by reference to</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Exhibit 10.26 filed with the Registrant’s Annual Report on Form 10-K for the fiscal year ended January 31, 2009</w:t>
            </w:r>
            <w:r>
              <w:rPr>
                <w:rFonts w:ascii="Arial" w:cs="Arial" w:eastAsia="Arial" w:hAnsi="Arial"/>
                <w:sz w:val="18"/>
                <w:szCs w:val="18"/>
                <w:color w:val="auto"/>
              </w:rPr>
              <w:t>)</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10.27*</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Registrant’s Equity Incentive Deferral Plan as amended and restated effective as of June 12, 2008 (</w:t>
            </w:r>
            <w:r>
              <w:rPr>
                <w:rFonts w:ascii="Arial" w:cs="Arial" w:eastAsia="Arial" w:hAnsi="Arial"/>
                <w:sz w:val="18"/>
                <w:szCs w:val="18"/>
                <w:i w:val="1"/>
                <w:iCs w:val="1"/>
                <w:color w:val="auto"/>
                <w:w w:val="91"/>
              </w:rPr>
              <w:t>incorporated by reference to Exhibit</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10.4 filed with the Registrant’s Quarterly Report on Form 10-Q for the fiscal quarter ended July 31, 2008</w:t>
            </w:r>
            <w:r>
              <w:rPr>
                <w:rFonts w:ascii="Arial" w:cs="Arial" w:eastAsia="Arial" w:hAnsi="Arial"/>
                <w:sz w:val="18"/>
                <w:szCs w:val="18"/>
                <w:color w:val="auto"/>
              </w:rPr>
              <w:t>)</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10.28*</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0"/>
              </w:rPr>
              <w:t>Autodesk Incentive Plan Fiscal Year 2010 (</w:t>
            </w:r>
            <w:r>
              <w:rPr>
                <w:rFonts w:ascii="Arial" w:cs="Arial" w:eastAsia="Arial" w:hAnsi="Arial"/>
                <w:sz w:val="18"/>
                <w:szCs w:val="18"/>
                <w:i w:val="1"/>
                <w:iCs w:val="1"/>
                <w:color w:val="auto"/>
                <w:w w:val="90"/>
              </w:rPr>
              <w:t>incorporated by reference to Exhibit 10.3 filed with the Registrant’s Quarterly Report on Form</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10-Q for the fiscal quarter ended July 31, 2009</w:t>
            </w:r>
            <w:r>
              <w:rPr>
                <w:rFonts w:ascii="Arial" w:cs="Arial" w:eastAsia="Arial" w:hAnsi="Arial"/>
                <w:sz w:val="18"/>
                <w:szCs w:val="18"/>
                <w:color w:val="auto"/>
              </w:rPr>
              <w:t>)</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10.29</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88"/>
              </w:rPr>
              <w:t>Office Lease between Registrant and the J.H.S. Trust for 111 McInnis Parkway, San Rafael, CA, as amended (</w:t>
            </w:r>
            <w:r>
              <w:rPr>
                <w:rFonts w:ascii="Arial" w:cs="Arial" w:eastAsia="Arial" w:hAnsi="Arial"/>
                <w:sz w:val="18"/>
                <w:szCs w:val="18"/>
                <w:i w:val="1"/>
                <w:iCs w:val="1"/>
                <w:color w:val="auto"/>
                <w:w w:val="88"/>
              </w:rPr>
              <w:t>incorporated by reference to</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Exhibit 10.1 filed with the Registrant’s Quarterly Report on Form 10-Q for the fiscal quarter ended October 31, 2004</w:t>
            </w:r>
            <w:r>
              <w:rPr>
                <w:rFonts w:ascii="Arial" w:cs="Arial" w:eastAsia="Arial" w:hAnsi="Arial"/>
                <w:sz w:val="18"/>
                <w:szCs w:val="18"/>
                <w:color w:val="auto"/>
              </w:rPr>
              <w:t>)</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10.30</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0"/>
              </w:rPr>
              <w:t>Fourth Amendment to Lease between Registrant and the J.H.S. Holdings L.P. for 111 McInnis Parkway, San Rafael, CA (</w:t>
            </w:r>
            <w:r>
              <w:rPr>
                <w:rFonts w:ascii="Arial" w:cs="Arial" w:eastAsia="Arial" w:hAnsi="Arial"/>
                <w:sz w:val="18"/>
                <w:szCs w:val="18"/>
                <w:i w:val="1"/>
                <w:iCs w:val="1"/>
                <w:color w:val="auto"/>
                <w:w w:val="90"/>
              </w:rPr>
              <w:t>filed herewith</w:t>
            </w:r>
            <w:r>
              <w:rPr>
                <w:rFonts w:ascii="Arial" w:cs="Arial" w:eastAsia="Arial" w:hAnsi="Arial"/>
                <w:sz w:val="18"/>
                <w:szCs w:val="18"/>
                <w:color w:val="auto"/>
                <w:w w:val="90"/>
              </w:rPr>
              <w:t>)</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10.31</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Credit Agreement between Registrant and CITIBANK, N.A. dated as of August 30, 2005 (</w:t>
            </w:r>
            <w:r>
              <w:rPr>
                <w:rFonts w:ascii="Arial" w:cs="Arial" w:eastAsia="Arial" w:hAnsi="Arial"/>
                <w:sz w:val="18"/>
                <w:szCs w:val="18"/>
                <w:i w:val="1"/>
                <w:iCs w:val="1"/>
                <w:color w:val="auto"/>
                <w:w w:val="91"/>
              </w:rPr>
              <w:t>incorporated by reference to Exhibit 10.1 filed</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with the Registrant’s Current Report on Form 8-K filed on August 23, 2007</w:t>
            </w:r>
            <w:r>
              <w:rPr>
                <w:rFonts w:ascii="Arial" w:cs="Arial" w:eastAsia="Arial" w:hAnsi="Arial"/>
                <w:sz w:val="18"/>
                <w:szCs w:val="18"/>
                <w:color w:val="auto"/>
              </w:rPr>
              <w:t>)</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21.1</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 xml:space="preserve">List of Subsidiaries </w:t>
            </w:r>
            <w:r>
              <w:rPr>
                <w:rFonts w:ascii="Arial" w:cs="Arial" w:eastAsia="Arial" w:hAnsi="Arial"/>
                <w:sz w:val="18"/>
                <w:szCs w:val="18"/>
                <w:i w:val="1"/>
                <w:iCs w:val="1"/>
                <w:color w:val="auto"/>
              </w:rPr>
              <w:t>(filed herewith)</w:t>
            </w:r>
          </w:p>
        </w:tc>
      </w:tr>
      <w:tr>
        <w:trPr>
          <w:trHeight w:val="31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80" w:type="dxa"/>
            <w:vAlign w:val="bottom"/>
            <w:gridSpan w:val="3"/>
          </w:tcPr>
          <w:p>
            <w:pPr>
              <w:ind w:left="10480"/>
              <w:spacing w:after="0"/>
              <w:rPr>
                <w:sz w:val="20"/>
                <w:szCs w:val="20"/>
                <w:color w:val="auto"/>
              </w:rPr>
            </w:pPr>
            <w:r>
              <w:rPr>
                <w:rFonts w:ascii="Arial" w:cs="Arial" w:eastAsia="Arial" w:hAnsi="Arial"/>
                <w:sz w:val="14"/>
                <w:szCs w:val="14"/>
                <w:b w:val="1"/>
                <w:bCs w:val="1"/>
                <w:color w:val="auto"/>
                <w:w w:val="76"/>
              </w:rPr>
              <w:t>105</w:t>
            </w:r>
          </w:p>
        </w:tc>
      </w:tr>
    </w:tbl>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Exhibit No.</w:t>
            </w:r>
          </w:p>
        </w:tc>
        <w:tc>
          <w:tcPr>
            <w:tcW w:w="52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340" w:type="dxa"/>
            <w:vAlign w:val="bottom"/>
          </w:tcPr>
          <w:p>
            <w:pPr>
              <w:spacing w:after="0"/>
              <w:rPr>
                <w:sz w:val="14"/>
                <w:szCs w:val="14"/>
                <w:color w:val="auto"/>
              </w:rPr>
            </w:pPr>
          </w:p>
        </w:tc>
      </w:tr>
      <w:tr>
        <w:trPr>
          <w:trHeight w:val="216"/>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23.1</w:t>
            </w:r>
          </w:p>
        </w:tc>
        <w:tc>
          <w:tcPr>
            <w:tcW w:w="10320" w:type="dxa"/>
            <w:vAlign w:val="bottom"/>
            <w:gridSpan w:val="3"/>
          </w:tcPr>
          <w:p>
            <w:pPr>
              <w:ind w:left="780"/>
              <w:spacing w:after="0"/>
              <w:rPr>
                <w:sz w:val="20"/>
                <w:szCs w:val="20"/>
                <w:color w:val="auto"/>
              </w:rPr>
            </w:pPr>
            <w:r>
              <w:rPr>
                <w:rFonts w:ascii="Arial" w:cs="Arial" w:eastAsia="Arial" w:hAnsi="Arial"/>
                <w:sz w:val="18"/>
                <w:szCs w:val="18"/>
                <w:color w:val="auto"/>
              </w:rPr>
              <w:t xml:space="preserve">Consent of Independent Registered Public Accounting Firm (Ernst &amp; Young LLP) </w:t>
            </w:r>
            <w:r>
              <w:rPr>
                <w:rFonts w:ascii="Arial" w:cs="Arial" w:eastAsia="Arial" w:hAnsi="Arial"/>
                <w:sz w:val="18"/>
                <w:szCs w:val="18"/>
                <w:i w:val="1"/>
                <w:iCs w:val="1"/>
                <w:color w:val="auto"/>
              </w:rPr>
              <w:t>(filed herewith)</w:t>
            </w:r>
          </w:p>
        </w:tc>
      </w:tr>
      <w:tr>
        <w:trPr>
          <w:trHeight w:val="275"/>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24.1</w:t>
            </w:r>
          </w:p>
        </w:tc>
        <w:tc>
          <w:tcPr>
            <w:tcW w:w="10320" w:type="dxa"/>
            <w:vAlign w:val="bottom"/>
            <w:gridSpan w:val="3"/>
          </w:tcPr>
          <w:p>
            <w:pPr>
              <w:ind w:left="780"/>
              <w:spacing w:after="0"/>
              <w:rPr>
                <w:sz w:val="20"/>
                <w:szCs w:val="20"/>
                <w:color w:val="auto"/>
              </w:rPr>
            </w:pPr>
            <w:r>
              <w:rPr>
                <w:rFonts w:ascii="Arial" w:cs="Arial" w:eastAsia="Arial" w:hAnsi="Arial"/>
                <w:sz w:val="18"/>
                <w:szCs w:val="18"/>
                <w:color w:val="auto"/>
              </w:rPr>
              <w:t>Power of Attorney (contained in the signature page to this Annual Report)</w:t>
            </w:r>
          </w:p>
        </w:tc>
      </w:tr>
      <w:tr>
        <w:trPr>
          <w:trHeight w:val="284"/>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0320" w:type="dxa"/>
            <w:vAlign w:val="bottom"/>
            <w:gridSpan w:val="3"/>
          </w:tcPr>
          <w:p>
            <w:pPr>
              <w:ind w:left="780"/>
              <w:spacing w:after="0"/>
              <w:rPr>
                <w:sz w:val="20"/>
                <w:szCs w:val="20"/>
                <w:color w:val="auto"/>
              </w:rPr>
            </w:pPr>
            <w:r>
              <w:rPr>
                <w:rFonts w:ascii="Arial" w:cs="Arial" w:eastAsia="Arial" w:hAnsi="Arial"/>
                <w:sz w:val="18"/>
                <w:szCs w:val="18"/>
                <w:color w:val="auto"/>
                <w:w w:val="99"/>
              </w:rPr>
              <w:t>Certification of Chief Executive Officer pursuant to Rule 13a-14(a) of the Securities Exchange Act of 1934 (</w:t>
            </w:r>
            <w:r>
              <w:rPr>
                <w:rFonts w:ascii="Arial" w:cs="Arial" w:eastAsia="Arial" w:hAnsi="Arial"/>
                <w:sz w:val="18"/>
                <w:szCs w:val="18"/>
                <w:i w:val="1"/>
                <w:iCs w:val="1"/>
                <w:color w:val="auto"/>
                <w:w w:val="99"/>
              </w:rPr>
              <w:t>filed herewith</w:t>
            </w:r>
            <w:r>
              <w:rPr>
                <w:rFonts w:ascii="Arial" w:cs="Arial" w:eastAsia="Arial" w:hAnsi="Arial"/>
                <w:sz w:val="18"/>
                <w:szCs w:val="18"/>
                <w:color w:val="auto"/>
                <w:w w:val="99"/>
              </w:rPr>
              <w:t>)</w:t>
            </w:r>
          </w:p>
        </w:tc>
      </w:tr>
      <w:tr>
        <w:trPr>
          <w:trHeight w:val="284"/>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10320" w:type="dxa"/>
            <w:vAlign w:val="bottom"/>
            <w:gridSpan w:val="3"/>
          </w:tcPr>
          <w:p>
            <w:pPr>
              <w:ind w:left="780"/>
              <w:spacing w:after="0"/>
              <w:rPr>
                <w:sz w:val="20"/>
                <w:szCs w:val="20"/>
                <w:color w:val="auto"/>
              </w:rPr>
            </w:pPr>
            <w:r>
              <w:rPr>
                <w:rFonts w:ascii="Arial" w:cs="Arial" w:eastAsia="Arial" w:hAnsi="Arial"/>
                <w:sz w:val="18"/>
                <w:szCs w:val="18"/>
                <w:color w:val="auto"/>
                <w:w w:val="99"/>
              </w:rPr>
              <w:t>Certification of Chief Financial Officer pursuant to Rule 13a-14(a) of the Securities Exchange Act of 1934 (</w:t>
            </w:r>
            <w:r>
              <w:rPr>
                <w:rFonts w:ascii="Arial" w:cs="Arial" w:eastAsia="Arial" w:hAnsi="Arial"/>
                <w:sz w:val="18"/>
                <w:szCs w:val="18"/>
                <w:i w:val="1"/>
                <w:iCs w:val="1"/>
                <w:color w:val="auto"/>
                <w:w w:val="99"/>
              </w:rPr>
              <w:t>filed herewith</w:t>
            </w:r>
            <w:r>
              <w:rPr>
                <w:rFonts w:ascii="Arial" w:cs="Arial" w:eastAsia="Arial" w:hAnsi="Arial"/>
                <w:sz w:val="18"/>
                <w:szCs w:val="18"/>
                <w:color w:val="auto"/>
                <w:w w:val="99"/>
              </w:rPr>
              <w:t>)</w:t>
            </w:r>
          </w:p>
        </w:tc>
      </w:tr>
      <w:tr>
        <w:trPr>
          <w:trHeight w:val="277"/>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10320" w:type="dxa"/>
            <w:vAlign w:val="bottom"/>
            <w:gridSpan w:val="3"/>
          </w:tcPr>
          <w:p>
            <w:pPr>
              <w:ind w:left="780"/>
              <w:spacing w:after="0"/>
              <w:rPr>
                <w:sz w:val="20"/>
                <w:szCs w:val="20"/>
                <w:color w:val="auto"/>
              </w:rPr>
            </w:pPr>
            <w:r>
              <w:rPr>
                <w:rFonts w:ascii="Arial" w:cs="Arial" w:eastAsia="Arial" w:hAnsi="Arial"/>
                <w:sz w:val="18"/>
                <w:szCs w:val="18"/>
                <w:color w:val="auto"/>
                <w:w w:val="89"/>
              </w:rPr>
              <w:t>Certification of Chief Executive Officer and Chief Financial Officer pursuant to 18 U.S.C. Section 1350, as adopted pursuant to Section</w:t>
            </w:r>
          </w:p>
        </w:tc>
      </w:tr>
      <w:tr>
        <w:trPr>
          <w:trHeight w:val="222"/>
        </w:trPr>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320" w:type="dxa"/>
            <w:vAlign w:val="bottom"/>
            <w:gridSpan w:val="3"/>
          </w:tcPr>
          <w:p>
            <w:pPr>
              <w:ind w:left="780"/>
              <w:spacing w:after="0"/>
              <w:rPr>
                <w:sz w:val="20"/>
                <w:szCs w:val="20"/>
                <w:color w:val="auto"/>
              </w:rPr>
            </w:pPr>
            <w:r>
              <w:rPr>
                <w:rFonts w:ascii="Arial" w:cs="Arial" w:eastAsia="Arial" w:hAnsi="Arial"/>
                <w:sz w:val="18"/>
                <w:szCs w:val="18"/>
                <w:color w:val="auto"/>
              </w:rPr>
              <w:t xml:space="preserve">906 of the Sarbanes-Oxley Act of 2002 </w:t>
            </w:r>
            <w:r>
              <w:rPr>
                <w:rFonts w:ascii="Arial" w:cs="Arial" w:eastAsia="Arial" w:hAnsi="Arial"/>
                <w:sz w:val="18"/>
                <w:szCs w:val="18"/>
                <w:i w:val="1"/>
                <w:iCs w:val="1"/>
                <w:color w:val="auto"/>
              </w:rPr>
              <w:t>(filed herewith)</w:t>
            </w:r>
          </w:p>
        </w:tc>
      </w:tr>
      <w:tr>
        <w:trPr>
          <w:trHeight w:val="284"/>
        </w:trPr>
        <w:tc>
          <w:tcPr>
            <w:tcW w:w="940" w:type="dxa"/>
            <w:vAlign w:val="bottom"/>
            <w:gridSpan w:val="2"/>
          </w:tcPr>
          <w:p>
            <w:pPr>
              <w:spacing w:after="0"/>
              <w:rPr>
                <w:sz w:val="20"/>
                <w:szCs w:val="20"/>
                <w:color w:val="auto"/>
              </w:rPr>
            </w:pPr>
            <w:r>
              <w:rPr>
                <w:rFonts w:ascii="Arial" w:cs="Arial" w:eastAsia="Arial" w:hAnsi="Arial"/>
                <w:sz w:val="18"/>
                <w:szCs w:val="18"/>
                <w:color w:val="auto"/>
              </w:rPr>
              <w:t>101.INS ††</w:t>
            </w:r>
          </w:p>
        </w:tc>
        <w:tc>
          <w:tcPr>
            <w:tcW w:w="10320" w:type="dxa"/>
            <w:vAlign w:val="bottom"/>
            <w:gridSpan w:val="3"/>
          </w:tcPr>
          <w:p>
            <w:pPr>
              <w:ind w:left="780"/>
              <w:spacing w:after="0"/>
              <w:rPr>
                <w:sz w:val="20"/>
                <w:szCs w:val="20"/>
                <w:color w:val="auto"/>
              </w:rPr>
            </w:pPr>
            <w:r>
              <w:rPr>
                <w:rFonts w:ascii="Arial" w:cs="Arial" w:eastAsia="Arial" w:hAnsi="Arial"/>
                <w:sz w:val="18"/>
                <w:szCs w:val="18"/>
                <w:color w:val="auto"/>
              </w:rPr>
              <w:t>XBRL Instance Document</w:t>
            </w:r>
          </w:p>
        </w:tc>
      </w:tr>
      <w:tr>
        <w:trPr>
          <w:trHeight w:val="284"/>
        </w:trPr>
        <w:tc>
          <w:tcPr>
            <w:tcW w:w="940" w:type="dxa"/>
            <w:vAlign w:val="bottom"/>
            <w:gridSpan w:val="2"/>
          </w:tcPr>
          <w:p>
            <w:pPr>
              <w:spacing w:after="0"/>
              <w:rPr>
                <w:sz w:val="20"/>
                <w:szCs w:val="20"/>
                <w:color w:val="auto"/>
              </w:rPr>
            </w:pPr>
            <w:r>
              <w:rPr>
                <w:rFonts w:ascii="Arial" w:cs="Arial" w:eastAsia="Arial" w:hAnsi="Arial"/>
                <w:sz w:val="18"/>
                <w:szCs w:val="18"/>
                <w:color w:val="auto"/>
                <w:w w:val="93"/>
              </w:rPr>
              <w:t>101.SCH ††</w:t>
            </w:r>
          </w:p>
        </w:tc>
        <w:tc>
          <w:tcPr>
            <w:tcW w:w="10320" w:type="dxa"/>
            <w:vAlign w:val="bottom"/>
            <w:gridSpan w:val="3"/>
          </w:tcPr>
          <w:p>
            <w:pPr>
              <w:ind w:left="780"/>
              <w:spacing w:after="0"/>
              <w:rPr>
                <w:sz w:val="20"/>
                <w:szCs w:val="20"/>
                <w:color w:val="auto"/>
              </w:rPr>
            </w:pPr>
            <w:r>
              <w:rPr>
                <w:rFonts w:ascii="Arial" w:cs="Arial" w:eastAsia="Arial" w:hAnsi="Arial"/>
                <w:sz w:val="18"/>
                <w:szCs w:val="18"/>
                <w:color w:val="auto"/>
              </w:rPr>
              <w:t>XBRL Taxonomy Extension Schema</w:t>
            </w:r>
          </w:p>
        </w:tc>
      </w:tr>
      <w:tr>
        <w:trPr>
          <w:trHeight w:val="284"/>
        </w:trPr>
        <w:tc>
          <w:tcPr>
            <w:tcW w:w="940" w:type="dxa"/>
            <w:vAlign w:val="bottom"/>
            <w:gridSpan w:val="2"/>
          </w:tcPr>
          <w:p>
            <w:pPr>
              <w:spacing w:after="0"/>
              <w:rPr>
                <w:sz w:val="20"/>
                <w:szCs w:val="20"/>
                <w:color w:val="auto"/>
              </w:rPr>
            </w:pPr>
            <w:r>
              <w:rPr>
                <w:rFonts w:ascii="Arial" w:cs="Arial" w:eastAsia="Arial" w:hAnsi="Arial"/>
                <w:sz w:val="18"/>
                <w:szCs w:val="18"/>
                <w:color w:val="auto"/>
                <w:w w:val="96"/>
              </w:rPr>
              <w:t>101.CAL ††</w:t>
            </w:r>
          </w:p>
        </w:tc>
        <w:tc>
          <w:tcPr>
            <w:tcW w:w="10320" w:type="dxa"/>
            <w:vAlign w:val="bottom"/>
            <w:gridSpan w:val="3"/>
          </w:tcPr>
          <w:p>
            <w:pPr>
              <w:ind w:left="780"/>
              <w:spacing w:after="0"/>
              <w:rPr>
                <w:sz w:val="20"/>
                <w:szCs w:val="20"/>
                <w:color w:val="auto"/>
              </w:rPr>
            </w:pPr>
            <w:r>
              <w:rPr>
                <w:rFonts w:ascii="Arial" w:cs="Arial" w:eastAsia="Arial" w:hAnsi="Arial"/>
                <w:sz w:val="18"/>
                <w:szCs w:val="18"/>
                <w:color w:val="auto"/>
              </w:rPr>
              <w:t>XBRL Taxonomy Extension Calculation Linkbase</w:t>
            </w:r>
          </w:p>
        </w:tc>
      </w:tr>
      <w:tr>
        <w:trPr>
          <w:trHeight w:val="284"/>
        </w:trPr>
        <w:tc>
          <w:tcPr>
            <w:tcW w:w="940" w:type="dxa"/>
            <w:vAlign w:val="bottom"/>
            <w:gridSpan w:val="2"/>
          </w:tcPr>
          <w:p>
            <w:pPr>
              <w:spacing w:after="0"/>
              <w:rPr>
                <w:sz w:val="20"/>
                <w:szCs w:val="20"/>
                <w:color w:val="auto"/>
              </w:rPr>
            </w:pPr>
            <w:r>
              <w:rPr>
                <w:rFonts w:ascii="Arial" w:cs="Arial" w:eastAsia="Arial" w:hAnsi="Arial"/>
                <w:sz w:val="18"/>
                <w:szCs w:val="18"/>
                <w:color w:val="auto"/>
                <w:w w:val="95"/>
              </w:rPr>
              <w:t>101.DEF ††</w:t>
            </w:r>
          </w:p>
        </w:tc>
        <w:tc>
          <w:tcPr>
            <w:tcW w:w="10320" w:type="dxa"/>
            <w:vAlign w:val="bottom"/>
            <w:gridSpan w:val="3"/>
          </w:tcPr>
          <w:p>
            <w:pPr>
              <w:ind w:left="780"/>
              <w:spacing w:after="0"/>
              <w:rPr>
                <w:sz w:val="20"/>
                <w:szCs w:val="20"/>
                <w:color w:val="auto"/>
              </w:rPr>
            </w:pPr>
            <w:r>
              <w:rPr>
                <w:rFonts w:ascii="Arial" w:cs="Arial" w:eastAsia="Arial" w:hAnsi="Arial"/>
                <w:sz w:val="18"/>
                <w:szCs w:val="18"/>
                <w:color w:val="auto"/>
              </w:rPr>
              <w:t>XBRL Taxonomy Extension Definition Linkbase</w:t>
            </w:r>
          </w:p>
        </w:tc>
      </w:tr>
      <w:tr>
        <w:trPr>
          <w:trHeight w:val="284"/>
        </w:trPr>
        <w:tc>
          <w:tcPr>
            <w:tcW w:w="940" w:type="dxa"/>
            <w:vAlign w:val="bottom"/>
            <w:gridSpan w:val="2"/>
          </w:tcPr>
          <w:p>
            <w:pPr>
              <w:spacing w:after="0"/>
              <w:rPr>
                <w:sz w:val="20"/>
                <w:szCs w:val="20"/>
                <w:color w:val="auto"/>
              </w:rPr>
            </w:pPr>
            <w:r>
              <w:rPr>
                <w:rFonts w:ascii="Arial" w:cs="Arial" w:eastAsia="Arial" w:hAnsi="Arial"/>
                <w:sz w:val="18"/>
                <w:szCs w:val="18"/>
                <w:color w:val="auto"/>
                <w:w w:val="97"/>
              </w:rPr>
              <w:t>101.LAB ††</w:t>
            </w:r>
          </w:p>
        </w:tc>
        <w:tc>
          <w:tcPr>
            <w:tcW w:w="10320" w:type="dxa"/>
            <w:vAlign w:val="bottom"/>
            <w:gridSpan w:val="3"/>
          </w:tcPr>
          <w:p>
            <w:pPr>
              <w:ind w:left="780"/>
              <w:spacing w:after="0"/>
              <w:rPr>
                <w:sz w:val="20"/>
                <w:szCs w:val="20"/>
                <w:color w:val="auto"/>
              </w:rPr>
            </w:pPr>
            <w:r>
              <w:rPr>
                <w:rFonts w:ascii="Arial" w:cs="Arial" w:eastAsia="Arial" w:hAnsi="Arial"/>
                <w:sz w:val="18"/>
                <w:szCs w:val="18"/>
                <w:color w:val="auto"/>
              </w:rPr>
              <w:t>XBRL Taxonomy Extension Label Linkbase</w:t>
            </w:r>
          </w:p>
        </w:tc>
      </w:tr>
      <w:tr>
        <w:trPr>
          <w:trHeight w:val="284"/>
        </w:trPr>
        <w:tc>
          <w:tcPr>
            <w:tcW w:w="940" w:type="dxa"/>
            <w:vAlign w:val="bottom"/>
            <w:gridSpan w:val="2"/>
          </w:tcPr>
          <w:p>
            <w:pPr>
              <w:spacing w:after="0"/>
              <w:rPr>
                <w:sz w:val="20"/>
                <w:szCs w:val="20"/>
                <w:color w:val="auto"/>
              </w:rPr>
            </w:pPr>
            <w:r>
              <w:rPr>
                <w:rFonts w:ascii="Arial" w:cs="Arial" w:eastAsia="Arial" w:hAnsi="Arial"/>
                <w:sz w:val="18"/>
                <w:szCs w:val="18"/>
                <w:color w:val="auto"/>
                <w:w w:val="94"/>
              </w:rPr>
              <w:t>101.PRE ††</w:t>
            </w:r>
          </w:p>
        </w:tc>
        <w:tc>
          <w:tcPr>
            <w:tcW w:w="10320" w:type="dxa"/>
            <w:vAlign w:val="bottom"/>
            <w:gridSpan w:val="3"/>
          </w:tcPr>
          <w:p>
            <w:pPr>
              <w:ind w:left="7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Denotes a management contract or compensatory plan or arrangement.</w:t>
      </w:r>
    </w:p>
    <w:p>
      <w:pPr>
        <w:spacing w:after="0" w:line="1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certifications attached as Exhibit 32.1 that accompany this Annual Report on Form 10-K, are not deemed filed with the Securities and Exchange</w:t>
      </w:r>
    </w:p>
    <w:p>
      <w:pPr>
        <w:spacing w:after="0" w:line="32" w:lineRule="exact"/>
        <w:rPr>
          <w:sz w:val="20"/>
          <w:szCs w:val="20"/>
          <w:color w:val="auto"/>
        </w:rPr>
      </w:pPr>
    </w:p>
    <w:p>
      <w:pPr>
        <w:ind w:left="460"/>
        <w:spacing w:after="0" w:line="250" w:lineRule="auto"/>
        <w:rPr>
          <w:sz w:val="20"/>
          <w:szCs w:val="20"/>
          <w:color w:val="auto"/>
        </w:rPr>
      </w:pPr>
      <w:r>
        <w:rPr>
          <w:rFonts w:ascii="Arial" w:cs="Arial" w:eastAsia="Arial" w:hAnsi="Arial"/>
          <w:sz w:val="18"/>
          <w:szCs w:val="18"/>
          <w:color w:val="auto"/>
        </w:rPr>
        <w:t>Commission and are not to be incorporated by reference into any filing of Autodesk, Inc. under the Securities Act of 1933, as amended, or the Securities Exchange Act of 1934, as amended, whether made before or after the date of this Form 10-K, irrespective of any general incorporation language contained in such filing.</w:t>
      </w:r>
    </w:p>
    <w:p>
      <w:pPr>
        <w:spacing w:after="0" w:line="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 and is furnished, not filed with the Securities and Exchange Commission.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106</w:t>
      </w:r>
    </w:p>
    <w:p>
      <w:pPr>
        <w:sectPr>
          <w:pgSz w:w="11900" w:h="16838" w:orient="portrait"/>
          <w:cols w:equalWidth="0" w:num="1">
            <w:col w:w="11320"/>
          </w:cols>
          <w:pgMar w:left="240" w:top="459"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1998 EMPLOYEE QUALIFIED STOCK PURCHASE PLAN</w:t>
      </w:r>
      <w:r>
        <w:rPr>
          <w:rFonts w:ascii="Arial" w:cs="Arial" w:eastAsia="Arial" w:hAnsi="Arial"/>
          <w:sz w:val="11"/>
          <w:szCs w:val="11"/>
          <w:b w:val="1"/>
          <w:bCs w:val="1"/>
          <w:color w:val="auto"/>
        </w:rPr>
        <w:t>1</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constitute the provisions of the 1998 Employee Qualified Stock Purchase Plan (herein called the “Plan”) of Autodesk, Inc. (herein called the “Company”).</w:t>
      </w:r>
    </w:p>
    <w:p>
      <w:pPr>
        <w:spacing w:after="0" w:line="132" w:lineRule="exact"/>
        <w:rPr>
          <w:sz w:val="20"/>
          <w:szCs w:val="20"/>
          <w:color w:val="auto"/>
        </w:rPr>
      </w:pPr>
    </w:p>
    <w:p>
      <w:pPr>
        <w:ind w:right="20" w:firstLine="464"/>
        <w:spacing w:after="0" w:line="256" w:lineRule="auto"/>
        <w:tabs>
          <w:tab w:leader="none" w:pos="632"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provide employees of the Company and its Designated Subsidiaries with an opportunity to purchase Common Stock of the Company through accumulated payroll deductions. It is the intention of the Company to have the Plan qualify as an “Employee Stock Purchase Plan” under Section 423 of the Internal Revenue Code of 1986. The provisions of the Plan shall, accordingly, be construed so as to extend and limit participation in a manner consistent with the requirements of that section of the Code.</w:t>
      </w:r>
    </w:p>
    <w:p>
      <w:pPr>
        <w:spacing w:after="0" w:line="224" w:lineRule="exact"/>
        <w:rPr>
          <w:rFonts w:ascii="Arial" w:cs="Arial" w:eastAsia="Arial" w:hAnsi="Arial"/>
          <w:sz w:val="18"/>
          <w:szCs w:val="18"/>
          <w:color w:val="auto"/>
        </w:rPr>
      </w:pPr>
    </w:p>
    <w:p>
      <w:pPr>
        <w:ind w:left="640" w:hanging="176"/>
        <w:spacing w:after="0"/>
        <w:tabs>
          <w:tab w:leader="none" w:pos="64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2"/>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par value $0.01 per share, of the Company.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Autodesk, Inc., a Delaware corporation.</w:t>
      </w:r>
    </w:p>
    <w:p>
      <w:pPr>
        <w:spacing w:after="0" w:line="171" w:lineRule="exact"/>
        <w:rPr>
          <w:rFonts w:ascii="Arial" w:cs="Arial" w:eastAsia="Arial" w:hAnsi="Arial"/>
          <w:sz w:val="18"/>
          <w:szCs w:val="18"/>
          <w:color w:val="auto"/>
        </w:rPr>
      </w:pPr>
    </w:p>
    <w:p>
      <w:pPr>
        <w:ind w:right="440" w:firstLine="921"/>
        <w:spacing w:after="0" w:line="268" w:lineRule="auto"/>
        <w:tabs>
          <w:tab w:leader="none" w:pos="1152" w:val="left"/>
        </w:tabs>
        <w:numPr>
          <w:ilvl w:val="2"/>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shall mean all regular straight time earnings, payments for overtime, shift premium and commissions, but exclusive of any incentive compensation, incentive payments, bonuses, or other compensation.</w:t>
      </w:r>
    </w:p>
    <w:p>
      <w:pPr>
        <w:spacing w:after="0" w:line="131" w:lineRule="exact"/>
        <w:rPr>
          <w:rFonts w:ascii="Arial" w:cs="Arial" w:eastAsia="Arial" w:hAnsi="Arial"/>
          <w:sz w:val="18"/>
          <w:szCs w:val="18"/>
          <w:color w:val="auto"/>
        </w:rPr>
      </w:pPr>
    </w:p>
    <w:p>
      <w:pPr>
        <w:ind w:right="80" w:firstLine="921"/>
        <w:spacing w:after="0" w:line="306" w:lineRule="auto"/>
        <w:tabs>
          <w:tab w:leader="none" w:pos="1132" w:val="left"/>
        </w:tabs>
        <w:numPr>
          <w:ilvl w:val="2"/>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Status as an Employee</w:t>
      </w:r>
      <w:r>
        <w:rPr>
          <w:rFonts w:ascii="Arial" w:cs="Arial" w:eastAsia="Arial" w:hAnsi="Arial"/>
          <w:sz w:val="16"/>
          <w:szCs w:val="16"/>
          <w:color w:val="auto"/>
        </w:rPr>
        <w:t>” shall mean the absence of any interruption or termination of service as an Employee. Continuous Status as an Employee shall not be considered interrupted in the case of a leave of absence agreed to in writing by the Company, provided that such leave is for a period of not more than 90 days or reemployment upon the expiration of such leave is guaranteed by contract or statute.</w:t>
      </w:r>
    </w:p>
    <w:p>
      <w:pPr>
        <w:spacing w:after="0" w:line="106" w:lineRule="exact"/>
        <w:rPr>
          <w:rFonts w:ascii="Arial" w:cs="Arial" w:eastAsia="Arial" w:hAnsi="Arial"/>
          <w:sz w:val="16"/>
          <w:szCs w:val="16"/>
          <w:color w:val="auto"/>
        </w:rPr>
      </w:pPr>
    </w:p>
    <w:p>
      <w:pPr>
        <w:ind w:right="560" w:firstLine="921"/>
        <w:spacing w:after="0" w:line="268" w:lineRule="auto"/>
        <w:tabs>
          <w:tab w:leader="none" w:pos="1162" w:val="left"/>
        </w:tabs>
        <w:numPr>
          <w:ilvl w:val="2"/>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Subsidiaries</w:t>
      </w:r>
      <w:r>
        <w:rPr>
          <w:rFonts w:ascii="Arial" w:cs="Arial" w:eastAsia="Arial" w:hAnsi="Arial"/>
          <w:sz w:val="18"/>
          <w:szCs w:val="18"/>
          <w:color w:val="auto"/>
        </w:rPr>
        <w:t>” shall mean the Subsidiaries which have been designated by the Board from time to time in its sole discretion as eligible to participate in the Plan.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2"/>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shall mean any person, including an officer, who is customarily employed for at least twenty (20) hours per week and more than five</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months in a calendar year by the Company or one of its Designated Subsidiaries.</w:t>
      </w:r>
    </w:p>
    <w:p>
      <w:pPr>
        <w:spacing w:after="0" w:line="164" w:lineRule="exact"/>
        <w:rPr>
          <w:rFonts w:ascii="Arial" w:cs="Arial" w:eastAsia="Arial" w:hAnsi="Arial"/>
          <w:sz w:val="18"/>
          <w:szCs w:val="18"/>
          <w:color w:val="auto"/>
        </w:rPr>
      </w:pPr>
    </w:p>
    <w:p>
      <w:pPr>
        <w:ind w:left="1140" w:hanging="219"/>
        <w:spacing w:after="0"/>
        <w:tabs>
          <w:tab w:leader="none" w:pos="1140" w:val="left"/>
        </w:tabs>
        <w:numPr>
          <w:ilvl w:val="2"/>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Date</w:t>
      </w:r>
      <w:r>
        <w:rPr>
          <w:rFonts w:ascii="Arial" w:cs="Arial" w:eastAsia="Arial" w:hAnsi="Arial"/>
          <w:sz w:val="16"/>
          <w:szCs w:val="16"/>
          <w:color w:val="auto"/>
        </w:rPr>
        <w:t>” shall mean the date one day prior to the date six (6) months, twelve (12) months, eighteen (18) months or twenty-four</w:t>
      </w:r>
    </w:p>
    <w:p>
      <w:pPr>
        <w:spacing w:after="0" w:line="38"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months after the Offering Date of each Offering Period.</w:t>
      </w:r>
    </w:p>
    <w:p>
      <w:pPr>
        <w:spacing w:after="0" w:line="164" w:lineRule="exact"/>
        <w:rPr>
          <w:rFonts w:ascii="Arial" w:cs="Arial" w:eastAsia="Arial" w:hAnsi="Arial"/>
          <w:sz w:val="18"/>
          <w:szCs w:val="18"/>
          <w:color w:val="auto"/>
        </w:rPr>
      </w:pPr>
    </w:p>
    <w:p>
      <w:pPr>
        <w:ind w:right="80" w:firstLine="921"/>
        <w:spacing w:after="0" w:line="268" w:lineRule="auto"/>
        <w:tabs>
          <w:tab w:leader="none" w:pos="1123"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Period</w:t>
      </w:r>
      <w:r>
        <w:rPr>
          <w:rFonts w:ascii="Arial" w:cs="Arial" w:eastAsia="Arial" w:hAnsi="Arial"/>
          <w:sz w:val="18"/>
          <w:szCs w:val="18"/>
          <w:color w:val="auto"/>
        </w:rPr>
        <w:t>” shall mean a period commencing on an Offering Date or on the day after an Exercise Date and terminating one day prior to the date six (6) months later.</w:t>
      </w:r>
    </w:p>
    <w:p>
      <w:pPr>
        <w:spacing w:after="0" w:line="131" w:lineRule="exact"/>
        <w:rPr>
          <w:rFonts w:ascii="Arial" w:cs="Arial" w:eastAsia="Arial" w:hAnsi="Arial"/>
          <w:sz w:val="18"/>
          <w:szCs w:val="18"/>
          <w:color w:val="auto"/>
        </w:rPr>
      </w:pPr>
    </w:p>
    <w:p>
      <w:pPr>
        <w:ind w:firstLine="921"/>
        <w:spacing w:after="0" w:line="268" w:lineRule="auto"/>
        <w:tabs>
          <w:tab w:leader="none" w:pos="1162"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shall mean a period of twenty-four (24) months consisting of four (4) six-month Exercise Periods during which options granted pursuant to the Plan may be exercised.</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Date</w:t>
      </w:r>
      <w:r>
        <w:rPr>
          <w:rFonts w:ascii="Arial" w:cs="Arial" w:eastAsia="Arial" w:hAnsi="Arial"/>
          <w:sz w:val="18"/>
          <w:szCs w:val="18"/>
          <w:color w:val="auto"/>
        </w:rPr>
        <w:t>” shall mean the first day of each Offering Period of the Plan.</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this 1998 Employee Qualified Stock Purchase Plan.</w:t>
      </w:r>
    </w:p>
    <w:p>
      <w:pPr>
        <w:spacing w:after="0" w:line="158" w:lineRule="exact"/>
        <w:rPr>
          <w:sz w:val="20"/>
          <w:szCs w:val="20"/>
          <w:color w:val="auto"/>
        </w:rPr>
      </w:pPr>
    </w:p>
    <w:p>
      <w:pPr>
        <w:ind w:left="5620" w:right="4660" w:hanging="5612"/>
        <w:spacing w:after="0" w:line="424" w:lineRule="auto"/>
        <w:tabs>
          <w:tab w:leader="none" w:pos="462" w:val="left"/>
        </w:tabs>
        <w:numPr>
          <w:ilvl w:val="0"/>
          <w:numId w:val="34"/>
        </w:numPr>
        <w:rPr>
          <w:rFonts w:ascii="Arial" w:cs="Arial" w:eastAsia="Arial" w:hAnsi="Arial"/>
          <w:sz w:val="21"/>
          <w:szCs w:val="21"/>
          <w:color w:val="auto"/>
          <w:vertAlign w:val="superscript"/>
        </w:rPr>
      </w:pPr>
      <w:r>
        <w:rPr>
          <w:rFonts w:ascii="Arial" w:cs="Arial" w:eastAsia="Arial" w:hAnsi="Arial"/>
          <w:sz w:val="17"/>
          <w:szCs w:val="17"/>
          <w:color w:val="auto"/>
        </w:rPr>
        <w:t>As amended by the Company’s Board of Directors, most recently on September 17, 2009.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-509905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ind w:left="-20" w:right="540" w:firstLine="921"/>
        <w:spacing w:after="0" w:line="332" w:lineRule="auto"/>
        <w:tabs>
          <w:tab w:leader="none" w:pos="1142" w:val="left"/>
        </w:tabs>
        <w:numPr>
          <w:ilvl w:val="1"/>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 corporation, domestic or foreign, of which not less than 50% of the voting shares are held by the Company or a Subsidiary, whether or not such corporation now exists or is hereafter organized or acquired by the Company or a Subsidiary.</w:t>
      </w:r>
    </w:p>
    <w:p>
      <w:pPr>
        <w:spacing w:after="0" w:line="166" w:lineRule="exact"/>
        <w:rPr>
          <w:rFonts w:ascii="Arial" w:cs="Arial" w:eastAsia="Arial" w:hAnsi="Arial"/>
          <w:sz w:val="16"/>
          <w:szCs w:val="16"/>
          <w:color w:val="auto"/>
        </w:rPr>
      </w:pPr>
    </w:p>
    <w:p>
      <w:pPr>
        <w:ind w:left="620" w:hanging="176"/>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40" w:firstLine="921"/>
        <w:spacing w:after="0" w:line="268" w:lineRule="auto"/>
        <w:tabs>
          <w:tab w:leader="none" w:pos="113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Employee as defined in paragraph 2 who shall be employed by the Company on the Offering Date shall be eligible to participate in the Plan, subject to limitations imposed by Section 423(b) of the Code.</w:t>
      </w:r>
    </w:p>
    <w:p>
      <w:pPr>
        <w:spacing w:after="0" w:line="131" w:lineRule="exact"/>
        <w:rPr>
          <w:rFonts w:ascii="Arial" w:cs="Arial" w:eastAsia="Arial" w:hAnsi="Arial"/>
          <w:sz w:val="18"/>
          <w:szCs w:val="18"/>
          <w:color w:val="auto"/>
        </w:rPr>
      </w:pPr>
    </w:p>
    <w:p>
      <w:pPr>
        <w:ind w:left="-20" w:right="220" w:firstLine="921"/>
        <w:spacing w:after="0" w:line="291" w:lineRule="auto"/>
        <w:tabs>
          <w:tab w:leader="none" w:pos="1142"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of the Company, or (ii) which permits such Employee’s rights to purchase stock under all employee stock purchase plans of the Company and its subsidiaries to accrue at a rate which exceeds Twenty-Five Thousand Dollars ($25,000) of fair market value of such stock (determined at the time such option is granted) for each calendar year in which such option is outstanding at any time.</w:t>
      </w:r>
    </w:p>
    <w:p>
      <w:pPr>
        <w:spacing w:after="0" w:line="120" w:lineRule="exact"/>
        <w:rPr>
          <w:rFonts w:ascii="Arial" w:cs="Arial" w:eastAsia="Arial" w:hAnsi="Arial"/>
          <w:sz w:val="16"/>
          <w:szCs w:val="16"/>
          <w:color w:val="auto"/>
        </w:rPr>
      </w:pPr>
    </w:p>
    <w:p>
      <w:pPr>
        <w:ind w:left="-20" w:right="120" w:firstLine="464"/>
        <w:spacing w:after="0" w:line="298" w:lineRule="auto"/>
        <w:tabs>
          <w:tab w:leader="none" w:pos="612"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Offering Periods</w:t>
      </w:r>
      <w:r>
        <w:rPr>
          <w:rFonts w:ascii="Arial" w:cs="Arial" w:eastAsia="Arial" w:hAnsi="Arial"/>
          <w:sz w:val="16"/>
          <w:szCs w:val="16"/>
          <w:color w:val="auto"/>
        </w:rPr>
        <w:t>. The Plan shall be implemented by twenty-four (24) month Offering Periods beginning every six (6) months, until terminated in accordance with Section 20 hereof; provided that, the first Offering Period shall begin on the first business day after the Company’s Special Meeting on March 31, 1998. The Board of Directors of the Company shall have the power to change the duration of offering periods with respect to future offerings without stockholder approval if such change is announced at least fifteen (15) days prior to the scheduled beginning of the first offering period to be affected.</w:t>
      </w:r>
    </w:p>
    <w:p>
      <w:pPr>
        <w:spacing w:after="0" w:line="193" w:lineRule="exact"/>
        <w:rPr>
          <w:rFonts w:ascii="Arial" w:cs="Arial" w:eastAsia="Arial" w:hAnsi="Arial"/>
          <w:sz w:val="16"/>
          <w:szCs w:val="16"/>
          <w:color w:val="auto"/>
        </w:rPr>
      </w:pPr>
    </w:p>
    <w:p>
      <w:pPr>
        <w:ind w:left="620" w:hanging="176"/>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140" w:firstLine="921"/>
        <w:spacing w:after="0" w:line="259" w:lineRule="auto"/>
        <w:tabs>
          <w:tab w:leader="none" w:pos="113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 eligible Employee may become a participant in the Plan by completing a subscription agreement authorizing payroll deductions on the form provided by the Company and filing it with the Company’s payroll office on or prior to the applicable Offering Date, unless a later or earlier time for filing the subscription agreement is set by the Board for all eligible Employees with respect to a given offering.</w:t>
      </w:r>
    </w:p>
    <w:p>
      <w:pPr>
        <w:spacing w:after="0" w:line="140" w:lineRule="exact"/>
        <w:rPr>
          <w:rFonts w:ascii="Arial" w:cs="Arial" w:eastAsia="Arial" w:hAnsi="Arial"/>
          <w:sz w:val="18"/>
          <w:szCs w:val="18"/>
          <w:color w:val="auto"/>
        </w:rPr>
      </w:pPr>
    </w:p>
    <w:p>
      <w:pPr>
        <w:ind w:left="-20" w:right="540" w:firstLine="921"/>
        <w:spacing w:after="0" w:line="335" w:lineRule="auto"/>
        <w:tabs>
          <w:tab w:leader="none" w:pos="1142" w:val="left"/>
        </w:tabs>
        <w:numPr>
          <w:ilvl w:val="1"/>
          <w:numId w:val="36"/>
        </w:numPr>
        <w:rPr>
          <w:rFonts w:ascii="Arial" w:cs="Arial" w:eastAsia="Arial" w:hAnsi="Arial"/>
          <w:sz w:val="15"/>
          <w:szCs w:val="15"/>
          <w:color w:val="auto"/>
        </w:rPr>
      </w:pPr>
      <w:r>
        <w:rPr>
          <w:rFonts w:ascii="Arial" w:cs="Arial" w:eastAsia="Arial" w:hAnsi="Arial"/>
          <w:sz w:val="15"/>
          <w:szCs w:val="15"/>
          <w:color w:val="auto"/>
        </w:rPr>
        <w:t>Payroll deductions for a participant shall continue at the rate specified in the subscription agreement throughout the Offering Period with automatic re-enrollment for the Offering Period which commences the day after the Exercise Date at the same rate specified in the original subscription agreement, subject to any change in subscription rate made pursuant to Section 6(c), unless sooner terminated by the participant as provided in Section 10.</w:t>
      </w:r>
    </w:p>
    <w:p>
      <w:pPr>
        <w:spacing w:after="0" w:line="88" w:lineRule="exact"/>
        <w:rPr>
          <w:rFonts w:ascii="Arial" w:cs="Arial" w:eastAsia="Arial" w:hAnsi="Arial"/>
          <w:sz w:val="15"/>
          <w:szCs w:val="15"/>
          <w:color w:val="auto"/>
        </w:rPr>
      </w:pPr>
    </w:p>
    <w:p>
      <w:pPr>
        <w:ind w:left="-20" w:firstLine="921"/>
        <w:spacing w:after="0" w:line="286" w:lineRule="auto"/>
        <w:tabs>
          <w:tab w:leader="none" w:pos="1132" w:val="left"/>
        </w:tabs>
        <w:numPr>
          <w:ilvl w:val="1"/>
          <w:numId w:val="36"/>
        </w:numPr>
        <w:rPr>
          <w:rFonts w:ascii="Arial" w:cs="Arial" w:eastAsia="Arial" w:hAnsi="Arial"/>
          <w:sz w:val="16"/>
          <w:szCs w:val="16"/>
          <w:color w:val="auto"/>
        </w:rPr>
      </w:pPr>
      <w:r>
        <w:rPr>
          <w:rFonts w:ascii="Arial" w:cs="Arial" w:eastAsia="Arial" w:hAnsi="Arial"/>
          <w:sz w:val="16"/>
          <w:szCs w:val="16"/>
          <w:color w:val="auto"/>
        </w:rPr>
        <w:t>Notwithstanding any provision in the Plan to the contrary other than Section 3, each eligible Employee (determined pursuant to Section 3) shall be automatically enrolled in the Offering Period commencing on April 1, 2007, provided that each eligible Employee who is enrolled in an Offering Period that was suspended as of March 31, 2007, shall continue to be enrolled in such Offering Period subject to Section 10. Payroll deductions for each such eligible Employee shall commence as soon as administratively practicable following the date the Company’s Form S-8 registration statement with respect to the issuance of Common Stock under the Plan becomes effective and shall be made at the rate specified in the Employee’s subscription agreement provided that such rate is more than zero percent (0%), subject to any change in subscription rate made pursuant to Section 6(c) and the Employee’s withdrawal from participation in the Plan in accordance with Section 11. An Employee who has not filed a subscription agreement will be entitled to continue to participate in the applicable Offering Period only if the individual submits a subscription agreement authorizing payroll deductions in an amount exceeding zero percent (0%) to the Company’s payroll office (i) no earlier than the date the Company’s Form S-8 registration statement with respect to the issuance of Common Stock under the Plan becomes effective and (ii) no later than two (2) weeks following the effective date of such S-8 registration statement or such other period of time as the Administrator may determine (the “Enrollment Window”). An Employee who fails to submit a subscription agreement during the Enrollment Window or whose subscription rate does not exceed zero percent (0%) will be automatically terminated from participating in the Offering Period in which such Employee is enrolled.</w:t>
      </w:r>
    </w:p>
    <w:p>
      <w:pPr>
        <w:spacing w:after="0" w:line="205" w:lineRule="exact"/>
        <w:rPr>
          <w:rFonts w:ascii="Arial" w:cs="Arial" w:eastAsia="Arial" w:hAnsi="Arial"/>
          <w:sz w:val="16"/>
          <w:szCs w:val="16"/>
          <w:color w:val="auto"/>
        </w:rPr>
      </w:pPr>
    </w:p>
    <w:p>
      <w:pPr>
        <w:ind w:left="620" w:hanging="176"/>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Payroll Deductions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380" w:firstLine="921"/>
        <w:spacing w:after="0" w:line="306" w:lineRule="auto"/>
        <w:tabs>
          <w:tab w:leader="none" w:pos="1132" w:val="left"/>
        </w:tabs>
        <w:numPr>
          <w:ilvl w:val="1"/>
          <w:numId w:val="36"/>
        </w:numPr>
        <w:rPr>
          <w:rFonts w:ascii="Arial" w:cs="Arial" w:eastAsia="Arial" w:hAnsi="Arial"/>
          <w:sz w:val="16"/>
          <w:szCs w:val="16"/>
          <w:color w:val="auto"/>
        </w:rPr>
      </w:pPr>
      <w:r>
        <w:rPr>
          <w:rFonts w:ascii="Arial" w:cs="Arial" w:eastAsia="Arial" w:hAnsi="Arial"/>
          <w:sz w:val="16"/>
          <w:szCs w:val="16"/>
          <w:color w:val="auto"/>
        </w:rPr>
        <w:t>At the time a participant files his or her subscription agreement, such participant shall elect to have payroll deductions made on each payday during the offering period in an amount not exceeding fifteen percent (15%) of his or her Compensation on each payroll date. The aggregate of such payroll deductions during any offering period shall not exceed fifteen percent (15%) of his or her aggregate Compensation during said offering period.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80" w:right="259" w:bottom="1440" w:gutter="0" w:footer="0" w:header="0"/>
        </w:sectPr>
      </w:pPr>
    </w:p>
    <w:bookmarkStart w:id="108" w:name="page109"/>
    <w:bookmarkEnd w:id="108"/>
    <w:p>
      <w:pPr>
        <w:ind w:left="-20" w:right="160" w:firstLine="921"/>
        <w:spacing w:after="0" w:line="286" w:lineRule="auto"/>
        <w:tabs>
          <w:tab w:leader="none" w:pos="1142" w:val="left"/>
        </w:tabs>
        <w:numPr>
          <w:ilvl w:val="1"/>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payroll deductions made by a participant shall be credited to his or her account under the Plan. A participant may not make any additional payments into such account. Notwithstanding the foregoing, in the event of an administrative error by the Company the result of which a participant’s payroll deductions are not credited to his or her account in accordance with such participant’s election made pursuant to Section 6(a) above, the Company may permit a participant to make a payment to his or her account prior to the next scheduled Exercise Date provided such contributions do not cause such participant’s aggregate credits to his or her account to exceed fifteen percent (15%) of his or her aggregate Compensation for the Offering Period with respect to which such administrative error was made. In addition, effective for the Exercise Period commencing on April 1, 2007, the Company will, on such terms and conditions as the Company may prescribe, permit a participant to make a payment to his or her account up to the payroll deductions that would have been made during the period of time, if any, beginning on April 1, 2007, and ending on the date subsequent thereto that payroll deductions for such participant for the April 1, 2007, Exercise Period has commenced. Such payment, if administratively feasible, must be made by check or such other means prescribed by the Company within the period of time prescribed by the Company, provided that such period will not extend beyond sixty (60) days from the date that payroll deductions for such participant for the April 1, 2007, Exercise Period has commenced, and must be made in accordance with such other terms and conditions prescribed by the Company.</w:t>
      </w:r>
    </w:p>
    <w:p>
      <w:pPr>
        <w:spacing w:after="0" w:line="124" w:lineRule="exact"/>
        <w:rPr>
          <w:rFonts w:ascii="Arial" w:cs="Arial" w:eastAsia="Arial" w:hAnsi="Arial"/>
          <w:sz w:val="16"/>
          <w:szCs w:val="16"/>
          <w:color w:val="auto"/>
        </w:rPr>
      </w:pPr>
    </w:p>
    <w:p>
      <w:pPr>
        <w:ind w:left="-20" w:firstLine="921"/>
        <w:spacing w:after="0" w:line="291" w:lineRule="auto"/>
        <w:tabs>
          <w:tab w:leader="none" w:pos="1132" w:val="left"/>
        </w:tabs>
        <w:numPr>
          <w:ilvl w:val="1"/>
          <w:numId w:val="37"/>
        </w:numPr>
        <w:rPr>
          <w:rFonts w:ascii="Arial" w:cs="Arial" w:eastAsia="Arial" w:hAnsi="Arial"/>
          <w:sz w:val="16"/>
          <w:szCs w:val="16"/>
          <w:color w:val="auto"/>
        </w:rPr>
      </w:pPr>
      <w:r>
        <w:rPr>
          <w:rFonts w:ascii="Arial" w:cs="Arial" w:eastAsia="Arial" w:hAnsi="Arial"/>
          <w:sz w:val="16"/>
          <w:szCs w:val="16"/>
          <w:color w:val="auto"/>
        </w:rPr>
        <w:t>A participant may discontinue his or her participation in the Plan as provided in Section 11, or may increase or decrease the rate of his or her payroll deductions at any time during the Offering Period by completing or filing with the Company a form provided by the Company notifying the payroll office of such withdrawal or reduction of withholding rate; provided, however, that effective for Offering Periods commencing on or after April 1, 2005, a participant may not increase the rate of his or her payroll deductions during an Offering Period. Notwithstanding the foregoing, a participant may increase the rate of his or her payroll deductions during the Enrollment Window (as described in Section 5(c)). The change in rate shall be effective as of the next pay date following receipt of the form or at such other time as the Company and the participant may agree.</w:t>
      </w:r>
    </w:p>
    <w:p>
      <w:pPr>
        <w:spacing w:after="0" w:line="201" w:lineRule="exact"/>
        <w:rPr>
          <w:rFonts w:ascii="Arial" w:cs="Arial" w:eastAsia="Arial" w:hAnsi="Arial"/>
          <w:sz w:val="16"/>
          <w:szCs w:val="16"/>
          <w:color w:val="auto"/>
        </w:rPr>
      </w:pPr>
    </w:p>
    <w:p>
      <w:pPr>
        <w:ind w:left="620" w:hanging="176"/>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40" w:firstLine="921"/>
        <w:spacing w:after="0" w:line="290" w:lineRule="auto"/>
        <w:tabs>
          <w:tab w:leader="none" w:pos="1132" w:val="left"/>
        </w:tabs>
        <w:numPr>
          <w:ilvl w:val="1"/>
          <w:numId w:val="38"/>
        </w:numPr>
        <w:rPr>
          <w:rFonts w:ascii="Arial" w:cs="Arial" w:eastAsia="Arial" w:hAnsi="Arial"/>
          <w:sz w:val="16"/>
          <w:szCs w:val="16"/>
          <w:color w:val="auto"/>
        </w:rPr>
      </w:pPr>
      <w:r>
        <w:rPr>
          <w:rFonts w:ascii="Arial" w:cs="Arial" w:eastAsia="Arial" w:hAnsi="Arial"/>
          <w:sz w:val="16"/>
          <w:szCs w:val="16"/>
          <w:color w:val="auto"/>
        </w:rPr>
        <w:t>On the Offering Date of each Offering Period, each eligible Employee participating in the Plan shall be granted an option to purchase on each Exercise Date during such Offering Period (at the per share option price) up to a number of shares of the Company’s Common Stock determined by dividing such Employee’s payroll deductions to be accumulated prior to such Exercise Date by the lower of (i) eighty-five percent (85%) of the fair market value of a share of the Company’s Common Stock on the Offering Date or (ii) eighty-five percent (85%) of the fair market value of a share of the Company’s Common Stock on the Exercise Date; provided that in no event shall an Employee be permitted to purchase during an Offering Period a number of shares in excess of a number determined by dividing $50,000 by the fair market value of a share of the Company’s Common Stock on the Offering Date, subject to the limitations set forth in Sections 3(b) and 13 hereof. Fair market value of a share of the Company’s Common Stock shall be determined as provided in Section 7(b) herein.</w:t>
      </w:r>
    </w:p>
    <w:p>
      <w:pPr>
        <w:spacing w:after="0" w:line="118" w:lineRule="exact"/>
        <w:rPr>
          <w:rFonts w:ascii="Arial" w:cs="Arial" w:eastAsia="Arial" w:hAnsi="Arial"/>
          <w:sz w:val="16"/>
          <w:szCs w:val="16"/>
          <w:color w:val="auto"/>
        </w:rPr>
      </w:pPr>
    </w:p>
    <w:p>
      <w:pPr>
        <w:jc w:val="both"/>
        <w:ind w:left="-20" w:right="40" w:firstLine="921"/>
        <w:spacing w:after="0" w:line="256" w:lineRule="auto"/>
        <w:tabs>
          <w:tab w:leader="none" w:pos="114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option price per share of the shares offered in a given Exercise Period shall be the lower of: (i) 85% of the fair market value of a share of the Common Stock of the Company on the Offering Date; or (ii) 85% of the fair market value of a share of the Common Stock of the Company on the Exercise Date. The fair market value of the Company’s Common Stock on a given date shall be the closing price as quoted on the Nasdaq Stock Market, Inc.’s National Market or, if traded on a securities exchange, the closing price on such exchange.</w:t>
      </w:r>
    </w:p>
    <w:p>
      <w:pPr>
        <w:spacing w:after="0" w:line="143" w:lineRule="exact"/>
        <w:rPr>
          <w:rFonts w:ascii="Arial" w:cs="Arial" w:eastAsia="Arial" w:hAnsi="Arial"/>
          <w:sz w:val="18"/>
          <w:szCs w:val="18"/>
          <w:color w:val="auto"/>
        </w:rPr>
      </w:pPr>
    </w:p>
    <w:p>
      <w:pPr>
        <w:ind w:left="-20" w:right="60" w:firstLine="464"/>
        <w:spacing w:after="0" w:line="256" w:lineRule="auto"/>
        <w:tabs>
          <w:tab w:leader="none" w:pos="61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Unless a participant withdraws from the Plan as provided in Section 11, his or her option for the purchase of shares will be exercised automatically on each Exercise Date of the Offering Period, and the maximum number of full shares subject to option will be purchased for him or her at the applicable option price with the accumulated payroll deductions in his or her account. During his or her lifetime, a participant’s option to purchase shares hereunder is exercisable only by him or her.</w:t>
      </w:r>
    </w:p>
    <w:p>
      <w:pPr>
        <w:spacing w:after="0" w:line="143" w:lineRule="exact"/>
        <w:rPr>
          <w:rFonts w:ascii="Arial" w:cs="Arial" w:eastAsia="Arial" w:hAnsi="Arial"/>
          <w:sz w:val="18"/>
          <w:szCs w:val="18"/>
          <w:color w:val="auto"/>
        </w:rPr>
      </w:pPr>
    </w:p>
    <w:p>
      <w:pPr>
        <w:jc w:val="both"/>
        <w:ind w:left="-20" w:right="60" w:firstLine="464"/>
        <w:spacing w:after="0" w:line="259" w:lineRule="auto"/>
        <w:tabs>
          <w:tab w:leader="none" w:pos="61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As promptly as practicable after the Exercise Date of each offering, the Company shall arrange the delivery to each participant, as appropriate, of a certificate representing the shares purchased upon exercise of his or her option. Any cash remaining which is insufficient to purchase a full share of Common Stock at the termination of each Exercise Period shall be refunded to the participant.</w:t>
      </w:r>
    </w:p>
    <w:p>
      <w:pPr>
        <w:spacing w:after="0" w:line="140" w:lineRule="exact"/>
        <w:rPr>
          <w:rFonts w:ascii="Arial" w:cs="Arial" w:eastAsia="Arial" w:hAnsi="Arial"/>
          <w:sz w:val="18"/>
          <w:szCs w:val="18"/>
          <w:color w:val="auto"/>
        </w:rPr>
      </w:pPr>
    </w:p>
    <w:p>
      <w:pPr>
        <w:ind w:left="-20" w:firstLine="464"/>
        <w:spacing w:after="0" w:line="294" w:lineRule="auto"/>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Automatic Transfer to Low Price Offering Period</w:t>
      </w:r>
      <w:r>
        <w:rPr>
          <w:rFonts w:ascii="Arial" w:cs="Arial" w:eastAsia="Arial" w:hAnsi="Arial"/>
          <w:sz w:val="16"/>
          <w:szCs w:val="16"/>
          <w:color w:val="auto"/>
        </w:rPr>
        <w:t>. In the event that the fair market value of the Company’s Common Stock is lower on an Exercise Date than it was on the first Offering Date for that Offering Period, all Employees participating in the Plan on the Exercise Date shall be deemed to have withdrawn from the Offering Period immediately after the exercise of their option on such Exercise Date and to have enrolled as participants in a new Offering Period which begins on or about the day following such Exercise Date. A participant may elect to remain in the previous Offering Period by filing a written statement declaring such election with the Company prior to the time of the automatic change to the new Offering Period.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09" w:name="page110"/>
    <w:bookmarkEnd w:id="109"/>
    <w:p>
      <w:pPr>
        <w:ind w:left="720" w:hanging="25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Withdrawal; Termination of Employment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0" w:firstLine="921"/>
        <w:spacing w:after="0" w:line="298" w:lineRule="auto"/>
        <w:tabs>
          <w:tab w:leader="none" w:pos="1152" w:val="left"/>
        </w:tabs>
        <w:numPr>
          <w:ilvl w:val="1"/>
          <w:numId w:val="39"/>
        </w:numPr>
        <w:rPr>
          <w:rFonts w:ascii="Arial" w:cs="Arial" w:eastAsia="Arial" w:hAnsi="Arial"/>
          <w:sz w:val="16"/>
          <w:szCs w:val="16"/>
          <w:color w:val="auto"/>
        </w:rPr>
      </w:pPr>
      <w:r>
        <w:rPr>
          <w:rFonts w:ascii="Arial" w:cs="Arial" w:eastAsia="Arial" w:hAnsi="Arial"/>
          <w:sz w:val="16"/>
          <w:szCs w:val="16"/>
          <w:color w:val="auto"/>
        </w:rPr>
        <w:t>A participant may withdraw all but not less than all the payroll deductions credited to his or her account under the Plan at any time prior to the Exercise Date of the Offering Period by giving written notice to the Company. All of the participant’s payroll deductions credited to his or her account will be paid to him or her at the next pay date after receipt of his or her notice of withdrawal and his or her option for the current period will be automatically terminated, and no further payroll deductions for the purchase of shares will be made during the Offering Period.</w:t>
      </w:r>
    </w:p>
    <w:p>
      <w:pPr>
        <w:spacing w:after="0" w:line="112" w:lineRule="exact"/>
        <w:rPr>
          <w:rFonts w:ascii="Arial" w:cs="Arial" w:eastAsia="Arial" w:hAnsi="Arial"/>
          <w:sz w:val="16"/>
          <w:szCs w:val="16"/>
          <w:color w:val="auto"/>
        </w:rPr>
      </w:pPr>
    </w:p>
    <w:p>
      <w:pPr>
        <w:jc w:val="both"/>
        <w:ind w:right="100" w:firstLine="921"/>
        <w:spacing w:after="0" w:line="259" w:lineRule="auto"/>
        <w:tabs>
          <w:tab w:leader="none" w:pos="1162" w:val="left"/>
        </w:tabs>
        <w:numPr>
          <w:ilvl w:val="1"/>
          <w:numId w:val="39"/>
        </w:numPr>
        <w:rPr>
          <w:rFonts w:ascii="Arial" w:cs="Arial" w:eastAsia="Arial" w:hAnsi="Arial"/>
          <w:sz w:val="18"/>
          <w:szCs w:val="18"/>
          <w:color w:val="auto"/>
        </w:rPr>
      </w:pPr>
      <w:r>
        <w:rPr>
          <w:rFonts w:ascii="Arial" w:cs="Arial" w:eastAsia="Arial" w:hAnsi="Arial"/>
          <w:sz w:val="18"/>
          <w:szCs w:val="18"/>
          <w:color w:val="auto"/>
        </w:rPr>
        <w:t>Upon termination of the participant’s Continuous Status as an Employee prior to the Exercise Date for any reason, including retirement or death, the payroll deductions credited to his or her account will be returned to the participant’s or, in the case the of participant’s death, to the person or persons entitled thereto under Section 15, and his or her option will be automatically terminated.</w:t>
      </w:r>
    </w:p>
    <w:p>
      <w:pPr>
        <w:spacing w:after="0" w:line="140" w:lineRule="exact"/>
        <w:rPr>
          <w:rFonts w:ascii="Arial" w:cs="Arial" w:eastAsia="Arial" w:hAnsi="Arial"/>
          <w:sz w:val="18"/>
          <w:szCs w:val="18"/>
          <w:color w:val="auto"/>
        </w:rPr>
      </w:pPr>
    </w:p>
    <w:p>
      <w:pPr>
        <w:ind w:right="300" w:firstLine="921"/>
        <w:spacing w:after="0" w:line="268" w:lineRule="auto"/>
        <w:tabs>
          <w:tab w:leader="none" w:pos="1152"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participant’s withdrawal from an offering will not have any effect upon his or her eligibility to participate in a succeeding offering or in any similar plan which may hereafter be adopted by the Company.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payroll deductions of a participant in the Plan.</w:t>
      </w:r>
    </w:p>
    <w:p>
      <w:pPr>
        <w:spacing w:after="0" w:line="252" w:lineRule="exact"/>
        <w:rPr>
          <w:rFonts w:ascii="Arial" w:cs="Arial" w:eastAsia="Arial" w:hAnsi="Arial"/>
          <w:sz w:val="18"/>
          <w:szCs w:val="18"/>
          <w:color w:val="auto"/>
        </w:rPr>
      </w:pPr>
    </w:p>
    <w:p>
      <w:pPr>
        <w:ind w:left="720" w:hanging="25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80" w:firstLine="921"/>
        <w:spacing w:after="0" w:line="308" w:lineRule="auto"/>
        <w:tabs>
          <w:tab w:leader="none" w:pos="1152" w:val="left"/>
        </w:tabs>
        <w:numPr>
          <w:ilvl w:val="1"/>
          <w:numId w:val="39"/>
        </w:numPr>
        <w:rPr>
          <w:rFonts w:ascii="Arial" w:cs="Arial" w:eastAsia="Arial" w:hAnsi="Arial"/>
          <w:sz w:val="15"/>
          <w:szCs w:val="15"/>
          <w:color w:val="auto"/>
        </w:rPr>
      </w:pPr>
      <w:r>
        <w:rPr>
          <w:rFonts w:ascii="Arial" w:cs="Arial" w:eastAsia="Arial" w:hAnsi="Arial"/>
          <w:sz w:val="15"/>
          <w:szCs w:val="15"/>
          <w:color w:val="auto"/>
        </w:rPr>
        <w:t>The maximum number of shares of the Company’s Common Stock which shall be made available for sale under the Plan shall be 4,000,000 shares (as adjusted to account for the 2-for-1 stock split that occurred on April 19, 2002), plus an annual increase to be made on the last day of the immediately preceding fiscal year equal to the lesser of (i) 5,000,000 shares (as adjusted to account for the 2-for-1 stock split that occurred on April 19, 2002), (ii) 2% of the Issued Shares (as defined below) on such date or (iii) a lesser amount determined by the Board, subject to adjustment upon changes in capitalization of the Company as provided in Section 19 hereof. “Issued Shares” shall mean the number of shares of Common Stock of the Company outstanding on such date plus any shares reacquired by the Company during the fiscal year that ends on such date. If the total number of shares which would otherwise be subject to options granted pursuant to Section 7(a) hereof on the Exercise Date of an Offering Period exceeds the number of shares then available under the Plan (after deduction of all shares for which options have been exercised or are then outstanding), the Company shall make a pro rata allocation of the shares remaining available for option grant in as uniform a manner as shall be practicable and as it shall determine to be equitable. In such event, the Company shall give written notice of such reduction of the number of shares subject to the option to each Employee affected thereby and shall similarly reduce the rate of payroll deductions, if necessary.</w:t>
      </w:r>
    </w:p>
    <w:p>
      <w:pPr>
        <w:spacing w:after="0" w:line="109" w:lineRule="exact"/>
        <w:rPr>
          <w:rFonts w:ascii="Arial" w:cs="Arial" w:eastAsia="Arial" w:hAnsi="Arial"/>
          <w:sz w:val="15"/>
          <w:szCs w:val="15"/>
          <w:color w:val="auto"/>
        </w:rPr>
      </w:pPr>
    </w:p>
    <w:p>
      <w:pPr>
        <w:ind w:left="1160" w:hanging="239"/>
        <w:spacing w:after="0"/>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participant will have no interest or voting right in shares covered by his or her option until such option has been exercised.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Shares to be delivered to a participant under the Plan will be registered in the name of the participant or in the name of the participant and his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 spouse.</w:t>
      </w:r>
    </w:p>
    <w:p>
      <w:pPr>
        <w:spacing w:after="0" w:line="164" w:lineRule="exact"/>
        <w:rPr>
          <w:rFonts w:ascii="Arial" w:cs="Arial" w:eastAsia="Arial" w:hAnsi="Arial"/>
          <w:sz w:val="16"/>
          <w:szCs w:val="16"/>
          <w:color w:val="auto"/>
        </w:rPr>
      </w:pPr>
    </w:p>
    <w:p>
      <w:pPr>
        <w:jc w:val="both"/>
        <w:ind w:right="160" w:firstLine="464"/>
        <w:spacing w:after="0" w:line="259"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Board of Directors of the Company or a committee appointed by the Board (the “Committee”). The administration, interpretation or application of the Plan by the Board or its Committee shall be final, conclusive and binding upon all participants. Members of the Board who are eligible Employees are permitted to participate in the Plan, provided that:</w:t>
      </w:r>
    </w:p>
    <w:p>
      <w:pPr>
        <w:spacing w:after="0" w:line="140" w:lineRule="exact"/>
        <w:rPr>
          <w:rFonts w:ascii="Arial" w:cs="Arial" w:eastAsia="Arial" w:hAnsi="Arial"/>
          <w:sz w:val="18"/>
          <w:szCs w:val="18"/>
          <w:color w:val="auto"/>
        </w:rPr>
      </w:pPr>
    </w:p>
    <w:p>
      <w:pPr>
        <w:ind w:right="140" w:firstLine="921"/>
        <w:spacing w:after="0" w:line="268" w:lineRule="auto"/>
        <w:tabs>
          <w:tab w:leader="none" w:pos="1152" w:val="left"/>
        </w:tabs>
        <w:numPr>
          <w:ilvl w:val="1"/>
          <w:numId w:val="39"/>
        </w:numPr>
        <w:rPr>
          <w:rFonts w:ascii="Arial" w:cs="Arial" w:eastAsia="Arial" w:hAnsi="Arial"/>
          <w:sz w:val="18"/>
          <w:szCs w:val="18"/>
          <w:color w:val="auto"/>
        </w:rPr>
      </w:pPr>
      <w:r>
        <w:rPr>
          <w:rFonts w:ascii="Arial" w:cs="Arial" w:eastAsia="Arial" w:hAnsi="Arial"/>
          <w:sz w:val="18"/>
          <w:szCs w:val="18"/>
          <w:color w:val="auto"/>
        </w:rPr>
        <w:t>Members of the Board who are eligible to participate in the Plan may not vote on any matter affecting the administration of the Plan or the grant of any option pursuant to the Plan.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If a Committee is established to administer the Plan, no member of the Board who is eligible to participate in the Plan may be a member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Committee.</w:t>
      </w:r>
    </w:p>
    <w:p>
      <w:pPr>
        <w:spacing w:after="0" w:line="245" w:lineRule="exact"/>
        <w:rPr>
          <w:rFonts w:ascii="Arial" w:cs="Arial" w:eastAsia="Arial" w:hAnsi="Arial"/>
          <w:sz w:val="16"/>
          <w:szCs w:val="16"/>
          <w:color w:val="auto"/>
        </w:rPr>
      </w:pPr>
    </w:p>
    <w:p>
      <w:pPr>
        <w:ind w:left="720" w:hanging="25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256" w:lineRule="auto"/>
        <w:tabs>
          <w:tab w:leader="none" w:pos="1152"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participant may file a written designation of a beneficiary who is to receive any shares and cash, if any, from the participant’s account under the Plan in the event of such participant’s death subsequent to the end of the offering period but prior to delivery to such participant of such shares and cash. In addition, a participant may file a written designation of a beneficiary who is to receive any cash from the participant’s account under the Plan in the event of such participant’s death prior to the Exercise Date of the offering period.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10" w:name="page111"/>
    <w:bookmarkEnd w:id="110"/>
    <w:p>
      <w:pPr>
        <w:ind w:right="40" w:firstLine="921"/>
        <w:spacing w:after="0" w:line="294" w:lineRule="auto"/>
        <w:tabs>
          <w:tab w:leader="none" w:pos="1162" w:val="left"/>
        </w:tabs>
        <w:numPr>
          <w:ilvl w:val="1"/>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15" w:lineRule="exact"/>
        <w:rPr>
          <w:rFonts w:ascii="Arial" w:cs="Arial" w:eastAsia="Arial" w:hAnsi="Arial"/>
          <w:sz w:val="16"/>
          <w:szCs w:val="16"/>
          <w:color w:val="auto"/>
        </w:rPr>
      </w:pPr>
    </w:p>
    <w:p>
      <w:pPr>
        <w:ind w:right="40" w:firstLine="464"/>
        <w:spacing w:after="0" w:line="256"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Section 15 hereof) by the participant. Any such attempt at assignment, transfer, pledge or other disposition shall be without effect, except that the Company may treat such act as an election to withdraw funds in accordance with Section 11.</w:t>
      </w:r>
    </w:p>
    <w:p>
      <w:pPr>
        <w:spacing w:after="0" w:line="143" w:lineRule="exact"/>
        <w:rPr>
          <w:rFonts w:ascii="Arial" w:cs="Arial" w:eastAsia="Arial" w:hAnsi="Arial"/>
          <w:sz w:val="18"/>
          <w:szCs w:val="18"/>
          <w:color w:val="auto"/>
        </w:rPr>
      </w:pPr>
    </w:p>
    <w:p>
      <w:pPr>
        <w:ind w:right="60" w:firstLine="464"/>
        <w:spacing w:after="0" w:line="268"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131" w:lineRule="exact"/>
        <w:rPr>
          <w:rFonts w:ascii="Arial" w:cs="Arial" w:eastAsia="Arial" w:hAnsi="Arial"/>
          <w:sz w:val="18"/>
          <w:szCs w:val="18"/>
          <w:color w:val="auto"/>
        </w:rPr>
      </w:pPr>
    </w:p>
    <w:p>
      <w:pPr>
        <w:ind w:right="300" w:firstLine="464"/>
        <w:spacing w:after="0" w:line="259"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will be maintained for each participant in the Plan. Statements of account will be given to participating Employees annually promptly following the Exercise Date, which statements will set forth the amounts of payroll deductions, the per share purchase price, the number of shares purchased and the remaining cash balance refunded or to be refunded, if any.</w:t>
      </w:r>
    </w:p>
    <w:p>
      <w:pPr>
        <w:spacing w:after="0" w:line="140" w:lineRule="exact"/>
        <w:rPr>
          <w:rFonts w:ascii="Arial" w:cs="Arial" w:eastAsia="Arial" w:hAnsi="Arial"/>
          <w:sz w:val="18"/>
          <w:szCs w:val="18"/>
          <w:color w:val="auto"/>
        </w:rPr>
      </w:pPr>
    </w:p>
    <w:p>
      <w:pPr>
        <w:ind w:firstLine="464"/>
        <w:spacing w:after="0" w:line="287" w:lineRule="auto"/>
        <w:tabs>
          <w:tab w:leader="none" w:pos="72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Capitalization</w:t>
      </w:r>
      <w:r>
        <w:rPr>
          <w:rFonts w:ascii="Arial" w:cs="Arial" w:eastAsia="Arial" w:hAnsi="Arial"/>
          <w:sz w:val="16"/>
          <w:szCs w:val="16"/>
          <w:color w:val="auto"/>
        </w:rPr>
        <w:t>. Subject to any required action by the stockholders of the Company, the number of shares of Common Stock covered by each option under the Plan which has not yet been exercised and the number of shares of Common Stock which have been authorized for issuance under the Plan but have not yet been placed under option (collectively, the “Reserves”), as well as the price per share of Common Stock covered by each option under the Plan which has not yet been exercised, shall be proportionately adjusted for any increase or decrease in the number of issued shares of Common Stock resulting from a stock split or the payment of a stock dividend (but only on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2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the event of the proposed dissolution or liquidation of the Company, the offering period will terminate immediately prior to the consummation of such proposed action, unless otherwise provided by the Board.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Board determines, in the exercise of its sole discretion and in lieu of such assumption or substitution, that the participant shall have the right to exercise the option as to all of the optioned stock, including shares as to which the option would not otherwise be exercisable. If the Board makes an option fully exercisable in lieu of assumption or substitution in the event of a merger or sale of assets, the Board shall notify the participant that the option shall be fully exercisable for a period of thirty (30) days from the date of such notice, and the option will terminate upon the expiration of such period.</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w:t>
      </w:r>
    </w:p>
    <w:p>
      <w:pPr>
        <w:spacing w:after="0" w:line="140" w:lineRule="exact"/>
        <w:rPr>
          <w:sz w:val="20"/>
          <w:szCs w:val="20"/>
          <w:color w:val="auto"/>
        </w:rPr>
      </w:pPr>
    </w:p>
    <w:p>
      <w:pPr>
        <w:ind w:right="240" w:firstLine="464"/>
        <w:spacing w:after="0" w:line="298" w:lineRule="auto"/>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Amendment or Termination</w:t>
      </w:r>
      <w:r>
        <w:rPr>
          <w:rFonts w:ascii="Arial" w:cs="Arial" w:eastAsia="Arial" w:hAnsi="Arial"/>
          <w:sz w:val="16"/>
          <w:szCs w:val="16"/>
          <w:color w:val="auto"/>
        </w:rPr>
        <w:t>. The Board of Directors of the Company may at any time terminate or amend the Plan. No such termination can affect options previously granted, nor may an amendment make any change in any option theretofore granted which adversely affects the rights of any participant. In addition, to the extent necessary to comply with Rule 16b-3 under the Act or under Section 423 of the Code (or any successor rule or provision or any other applicable law or regulation), the Company shall obtain stockholder approval in such a manner and to such a degree as so required.</w:t>
      </w:r>
    </w:p>
    <w:p>
      <w:pPr>
        <w:spacing w:after="0" w:line="11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Notwithstanding any provision of the Plan to the contrary, in order to comply with the laws in other countries in which the Company and its Subsidiaries operate or have participants, the Board or its Committee, in their sole discretion, shall have the power and authority at any time to (i) modify the terms and conditions of the Plan as applicable to individuals outside the United States to comply with applicable foreign laws; (ii) establish sub-plans and modify administrative procedures and other terms and procedures, to the extent such actions may be necessary or advisable (any such sub-plans and/or modifications shall be attached to this Plan as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11" w:name="page112"/>
    <w:bookmarkEnd w:id="111"/>
    <w:p>
      <w:pPr>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appendices) and (iii) take any action that it deems advisable to obtain approval or comply with any necessary local governmental regulatory exemptions or approvals. Notwithstanding the foregoing, the Board or its Committee may not take any actions hereunder that would violate the Exchange Act, the Code, any securities law or governing statute or any other applicable law or cause the Plan not to comply with Section 423 of the Code.</w:t>
      </w:r>
    </w:p>
    <w:p>
      <w:pPr>
        <w:spacing w:after="0" w:line="107" w:lineRule="exact"/>
        <w:rPr>
          <w:sz w:val="20"/>
          <w:szCs w:val="20"/>
          <w:color w:val="auto"/>
        </w:rPr>
      </w:pPr>
    </w:p>
    <w:p>
      <w:pPr>
        <w:ind w:right="100" w:firstLine="464"/>
        <w:spacing w:after="0" w:line="332" w:lineRule="auto"/>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66" w:lineRule="exact"/>
        <w:rPr>
          <w:rFonts w:ascii="Arial" w:cs="Arial" w:eastAsia="Arial" w:hAnsi="Arial"/>
          <w:sz w:val="16"/>
          <w:szCs w:val="16"/>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40" w:firstLine="921"/>
        <w:spacing w:after="0" w:line="291" w:lineRule="auto"/>
        <w:tabs>
          <w:tab w:leader="none" w:pos="1152" w:val="left"/>
        </w:tabs>
        <w:numPr>
          <w:ilvl w:val="1"/>
          <w:numId w:val="43"/>
        </w:numPr>
        <w:rPr>
          <w:rFonts w:ascii="Arial" w:cs="Arial" w:eastAsia="Arial" w:hAnsi="Arial"/>
          <w:sz w:val="16"/>
          <w:szCs w:val="16"/>
          <w:color w:val="auto"/>
        </w:rPr>
      </w:pPr>
      <w:r>
        <w:rPr>
          <w:rFonts w:ascii="Arial" w:cs="Arial" w:eastAsia="Arial" w:hAnsi="Arial"/>
          <w:sz w:val="16"/>
          <w:szCs w:val="16"/>
          <w:color w:val="auto"/>
        </w:rPr>
        <w:t>Continuance of the Plan shall be subject to approval by the stockholders of the Company within twelve (12) months before or after the date the Plan is adopted. If such stockholder approval is obtained at a duly held stockholders’ meeting, it must be obtained by the affirmative vote of the holders of a majority of the outstanding shares of the Company, or if such stockholder approval is obtained by written consent, it must be obtained by the unanimous written consent of all stockholders of the Company; provided, however, that approval at a meeting or by written consent may be obtained by a lesser degree of stockholder approval if the Board determines, in its discretion after consultation with the Company’s legal counsel, that such a lesser degree of stockholder approval will comply with all applicable laws and will not adversely affect the qualification of the Plan under Section 423 of the Code.</w:t>
      </w:r>
    </w:p>
    <w:p>
      <w:pPr>
        <w:spacing w:after="0" w:line="120" w:lineRule="exact"/>
        <w:rPr>
          <w:rFonts w:ascii="Arial" w:cs="Arial" w:eastAsia="Arial" w:hAnsi="Arial"/>
          <w:sz w:val="16"/>
          <w:szCs w:val="16"/>
          <w:color w:val="auto"/>
        </w:rPr>
      </w:pPr>
    </w:p>
    <w:p>
      <w:pPr>
        <w:ind w:right="40" w:firstLine="921"/>
        <w:spacing w:after="0" w:line="259" w:lineRule="auto"/>
        <w:tabs>
          <w:tab w:leader="none" w:pos="1162"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and in the event that the Company registers any class of equity securities pursuant to Section 12 of the Exchange Act, any required approval of the stockholders of the Company obtained after such registration shall be solicited substantially in accordance with Section 14(a) of the Exchange Act and the rules and regulations promulgated thereunder.</w:t>
      </w:r>
    </w:p>
    <w:p>
      <w:pPr>
        <w:spacing w:after="0" w:line="140" w:lineRule="exact"/>
        <w:rPr>
          <w:rFonts w:ascii="Arial" w:cs="Arial" w:eastAsia="Arial" w:hAnsi="Arial"/>
          <w:sz w:val="18"/>
          <w:szCs w:val="18"/>
          <w:color w:val="auto"/>
        </w:rPr>
      </w:pPr>
    </w:p>
    <w:p>
      <w:pPr>
        <w:ind w:right="140" w:firstLine="921"/>
        <w:spacing w:after="0" w:line="256" w:lineRule="auto"/>
        <w:tabs>
          <w:tab w:leader="none" w:pos="1152"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any required approval by the stockholders of the Plan itself or of any amendment thereto is solicited at any time otherwise than in the manner described in paragraph 21(b) hereof, then the Company shall, at or prior to the first annual meeting of stockholders held subsequent to the later of (1) the first registration of any class of equity securities of the Company under Section 12 of the Exchange Act or (2) the granting of an option hereunder to an officer or director after such registration, do the following:</w:t>
      </w:r>
    </w:p>
    <w:p>
      <w:pPr>
        <w:spacing w:after="0" w:line="143" w:lineRule="exact"/>
        <w:rPr>
          <w:rFonts w:ascii="Arial" w:cs="Arial" w:eastAsia="Arial" w:hAnsi="Arial"/>
          <w:sz w:val="18"/>
          <w:szCs w:val="18"/>
          <w:color w:val="auto"/>
        </w:rPr>
      </w:pPr>
    </w:p>
    <w:p>
      <w:pPr>
        <w:ind w:firstLine="1492"/>
        <w:spacing w:after="0" w:line="259" w:lineRule="auto"/>
        <w:tabs>
          <w:tab w:leader="none" w:pos="1693" w:val="left"/>
        </w:tabs>
        <w:numPr>
          <w:ilvl w:val="2"/>
          <w:numId w:val="43"/>
        </w:numPr>
        <w:rPr>
          <w:rFonts w:ascii="Arial" w:cs="Arial" w:eastAsia="Arial" w:hAnsi="Arial"/>
          <w:sz w:val="18"/>
          <w:szCs w:val="18"/>
          <w:color w:val="auto"/>
        </w:rPr>
      </w:pPr>
      <w:r>
        <w:rPr>
          <w:rFonts w:ascii="Arial" w:cs="Arial" w:eastAsia="Arial" w:hAnsi="Arial"/>
          <w:sz w:val="18"/>
          <w:szCs w:val="18"/>
          <w:color w:val="auto"/>
        </w:rPr>
        <w:t>furnish in writing to the holders entitled to vote for the Plan substantially the same information which would be required (if proxies to be voted with respect to approval or disapproval of the Plan or amendment were then being solicited) by the rules and regulations in effect under Section 14(a) of the Exchange Act at the time such information is furnished; and</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2"/>
          <w:numId w:val="43"/>
        </w:numPr>
        <w:rPr>
          <w:rFonts w:ascii="Arial" w:cs="Arial" w:eastAsia="Arial" w:hAnsi="Arial"/>
          <w:sz w:val="18"/>
          <w:szCs w:val="18"/>
          <w:color w:val="auto"/>
        </w:rPr>
      </w:pPr>
      <w:r>
        <w:rPr>
          <w:rFonts w:ascii="Arial" w:cs="Arial" w:eastAsia="Arial" w:hAnsi="Arial"/>
          <w:sz w:val="18"/>
          <w:szCs w:val="18"/>
          <w:color w:val="auto"/>
        </w:rPr>
        <w:t>file with, or mail for filing to, the Securities and Exchange Commission four copies of the written information referred to 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subsection (i) hereof not later than the date on which such information is first sent or given to stockholders.</w:t>
      </w:r>
    </w:p>
    <w:p>
      <w:pPr>
        <w:spacing w:after="0" w:line="165" w:lineRule="exact"/>
        <w:rPr>
          <w:sz w:val="20"/>
          <w:szCs w:val="20"/>
          <w:color w:val="auto"/>
        </w:rPr>
      </w:pPr>
    </w:p>
    <w:p>
      <w:pPr>
        <w:ind w:right="140" w:firstLine="464"/>
        <w:spacing w:after="0" w:line="298"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Conditions Upon Issuance of Shares</w:t>
      </w:r>
      <w:r>
        <w:rPr>
          <w:rFonts w:ascii="Arial" w:cs="Arial" w:eastAsia="Arial" w:hAnsi="Arial"/>
          <w:sz w:val="16"/>
          <w:szCs w:val="16"/>
          <w:color w:val="auto"/>
        </w:rPr>
        <w:t>.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rules and regulations promulgated thereunder, and the requirements of any stock exchange upon which the shares may then be listed, and shall be further subject to the approval of counsel for the Company with respect to such compliance.</w:t>
      </w:r>
    </w:p>
    <w:p>
      <w:pPr>
        <w:spacing w:after="0" w:line="113"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07" w:lineRule="exact"/>
        <w:rPr>
          <w:sz w:val="20"/>
          <w:szCs w:val="20"/>
          <w:color w:val="auto"/>
        </w:rPr>
      </w:pPr>
    </w:p>
    <w:p>
      <w:pPr>
        <w:ind w:right="80" w:firstLine="464"/>
        <w:spacing w:after="0" w:line="332" w:lineRule="auto"/>
        <w:tabs>
          <w:tab w:leader="none" w:pos="72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Term of Plan</w:t>
      </w:r>
      <w:r>
        <w:rPr>
          <w:rFonts w:ascii="Arial" w:cs="Arial" w:eastAsia="Arial" w:hAnsi="Arial"/>
          <w:sz w:val="16"/>
          <w:szCs w:val="16"/>
          <w:color w:val="auto"/>
        </w:rPr>
        <w:t>. The Plan shall become effective upon the earlier to occur of its adoption by the Board of Directors or its approval by the stockholders of the Company as described in paragraph 22. It shall continue in effect for a term of twenty (20) years unless sooner terminated under paragraph 20.</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10.30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 LEASE</w:t>
      </w:r>
    </w:p>
    <w:p>
      <w:pPr>
        <w:spacing w:after="0" w:line="171"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 xml:space="preserve">THIS FOURTH AMENDMENT TO LEASE </w:t>
      </w:r>
      <w:r>
        <w:rPr>
          <w:rFonts w:ascii="Arial" w:cs="Arial" w:eastAsia="Arial" w:hAnsi="Arial"/>
          <w:sz w:val="16"/>
          <w:szCs w:val="16"/>
          <w:color w:val="auto"/>
        </w:rPr>
        <w:t>(this “</w:t>
      </w:r>
      <w:r>
        <w:rPr>
          <w:rFonts w:ascii="Arial" w:cs="Arial" w:eastAsia="Arial" w:hAnsi="Arial"/>
          <w:sz w:val="16"/>
          <w:szCs w:val="16"/>
          <w:b w:val="1"/>
          <w:bCs w:val="1"/>
          <w:color w:val="auto"/>
        </w:rPr>
        <w:t>Amendment</w:t>
      </w:r>
      <w:r>
        <w:rPr>
          <w:rFonts w:ascii="Arial" w:cs="Arial" w:eastAsia="Arial" w:hAnsi="Arial"/>
          <w:sz w:val="16"/>
          <w:szCs w:val="16"/>
          <w:color w:val="auto"/>
        </w:rPr>
        <w:t>”) is effective as of December 31, 2009 (the “</w:t>
      </w:r>
      <w:r>
        <w:rPr>
          <w:rFonts w:ascii="Arial" w:cs="Arial" w:eastAsia="Arial" w:hAnsi="Arial"/>
          <w:sz w:val="16"/>
          <w:szCs w:val="16"/>
          <w:b w:val="1"/>
          <w:bCs w:val="1"/>
          <w:color w:val="auto"/>
        </w:rPr>
        <w:t>Reference Date</w:t>
      </w:r>
      <w:r>
        <w:rPr>
          <w:rFonts w:ascii="Arial" w:cs="Arial" w:eastAsia="Arial" w:hAnsi="Arial"/>
          <w:sz w:val="16"/>
          <w:szCs w:val="16"/>
          <w:color w:val="auto"/>
        </w:rPr>
        <w:t>”), by and between</w:t>
      </w:r>
      <w:r>
        <w:rPr>
          <w:rFonts w:ascii="Arial" w:cs="Arial" w:eastAsia="Arial" w:hAnsi="Arial"/>
          <w:sz w:val="16"/>
          <w:szCs w:val="16"/>
          <w:b w:val="1"/>
          <w:bCs w:val="1"/>
          <w:color w:val="auto"/>
        </w:rPr>
        <w:t xml:space="preserve"> JHS HOLDINGS, L.P.</w:t>
      </w:r>
      <w:r>
        <w:rPr>
          <w:rFonts w:ascii="Arial" w:cs="Arial" w:eastAsia="Arial" w:hAnsi="Arial"/>
          <w:sz w:val="16"/>
          <w:szCs w:val="16"/>
          <w:color w:val="auto"/>
        </w:rPr>
        <w:t>,</w:t>
      </w:r>
      <w:r>
        <w:rPr>
          <w:rFonts w:ascii="Arial" w:cs="Arial" w:eastAsia="Arial" w:hAnsi="Arial"/>
          <w:sz w:val="16"/>
          <w:szCs w:val="16"/>
          <w:b w:val="1"/>
          <w:bCs w:val="1"/>
          <w:color w:val="auto"/>
        </w:rPr>
        <w:t xml:space="preserve"> a California limited partnership </w:t>
      </w:r>
      <w:r>
        <w:rPr>
          <w:rFonts w:ascii="Arial" w:cs="Arial" w:eastAsia="Arial" w:hAnsi="Arial"/>
          <w:sz w:val="16"/>
          <w:szCs w:val="16"/>
          <w:color w:val="auto"/>
        </w:rPr>
        <w:t>(“</w:t>
      </w:r>
      <w:r>
        <w:rPr>
          <w:rFonts w:ascii="Arial" w:cs="Arial" w:eastAsia="Arial" w:hAnsi="Arial"/>
          <w:sz w:val="16"/>
          <w:szCs w:val="16"/>
          <w:b w:val="1"/>
          <w:bCs w:val="1"/>
          <w:color w:val="auto"/>
        </w:rPr>
        <w:t>Landlord</w:t>
      </w:r>
      <w:r>
        <w:rPr>
          <w:rFonts w:ascii="Arial" w:cs="Arial" w:eastAsia="Arial" w:hAnsi="Arial"/>
          <w:sz w:val="16"/>
          <w:szCs w:val="16"/>
          <w:color w:val="auto"/>
        </w:rPr>
        <w:t>”), and</w:t>
      </w:r>
      <w:r>
        <w:rPr>
          <w:rFonts w:ascii="Arial" w:cs="Arial" w:eastAsia="Arial" w:hAnsi="Arial"/>
          <w:sz w:val="16"/>
          <w:szCs w:val="16"/>
          <w:b w:val="1"/>
          <w:bCs w:val="1"/>
          <w:color w:val="auto"/>
        </w:rPr>
        <w:t xml:space="preserve"> AUTODESK, INC., a Delaware corporation </w:t>
      </w:r>
      <w:r>
        <w:rPr>
          <w:rFonts w:ascii="Arial" w:cs="Arial" w:eastAsia="Arial" w:hAnsi="Arial"/>
          <w:sz w:val="16"/>
          <w:szCs w:val="16"/>
          <w:color w:val="auto"/>
        </w:rPr>
        <w:t>(“</w:t>
      </w:r>
      <w:r>
        <w:rPr>
          <w:rFonts w:ascii="Arial" w:cs="Arial" w:eastAsia="Arial" w:hAnsi="Arial"/>
          <w:sz w:val="16"/>
          <w:szCs w:val="16"/>
          <w:b w:val="1"/>
          <w:bCs w:val="1"/>
          <w:color w:val="auto"/>
        </w:rPr>
        <w:t>Tenant</w:t>
      </w:r>
      <w:r>
        <w:rPr>
          <w:rFonts w:ascii="Arial" w:cs="Arial" w:eastAsia="Arial" w:hAnsi="Arial"/>
          <w:sz w:val="16"/>
          <w:szCs w:val="16"/>
          <w:color w:val="auto"/>
        </w:rPr>
        <w: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8" w:lineRule="exact"/>
        <w:rPr>
          <w:sz w:val="20"/>
          <w:szCs w:val="20"/>
          <w:color w:val="auto"/>
        </w:rPr>
      </w:pPr>
    </w:p>
    <w:p>
      <w:pPr>
        <w:ind w:left="460" w:right="20" w:hanging="452"/>
        <w:spacing w:after="0" w:line="291"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Landlord (as successor in interest to Joe Shekou, as Trustee of the J.H.S. Trust and Heidi Shekou, as Trustee of the J.H.S. Trust) and Tenant (as successor in interest to Autodesk, Inc., a California corporation) are parties to that certain lease dated October 5, 1993 (“</w:t>
      </w:r>
      <w:r>
        <w:rPr>
          <w:rFonts w:ascii="Arial" w:cs="Arial" w:eastAsia="Arial" w:hAnsi="Arial"/>
          <w:sz w:val="16"/>
          <w:szCs w:val="16"/>
          <w:b w:val="1"/>
          <w:bCs w:val="1"/>
          <w:color w:val="auto"/>
        </w:rPr>
        <w:t>Original Lease</w:t>
      </w:r>
      <w:r>
        <w:rPr>
          <w:rFonts w:ascii="Arial" w:cs="Arial" w:eastAsia="Arial" w:hAnsi="Arial"/>
          <w:sz w:val="16"/>
          <w:szCs w:val="16"/>
          <w:color w:val="auto"/>
        </w:rPr>
        <w:t>”) which Original Lease has been previously amended by that certain First Amendment to Lease dated November 12, 1993, that certain Second Amendment to Lease dated March 3, 1994, and that certain Third Amendment to Lease (“</w:t>
      </w:r>
      <w:r>
        <w:rPr>
          <w:rFonts w:ascii="Arial" w:cs="Arial" w:eastAsia="Arial" w:hAnsi="Arial"/>
          <w:sz w:val="16"/>
          <w:szCs w:val="16"/>
          <w:b w:val="1"/>
          <w:bCs w:val="1"/>
          <w:color w:val="auto"/>
        </w:rPr>
        <w:t>Third Amendment</w:t>
      </w:r>
      <w:r>
        <w:rPr>
          <w:rFonts w:ascii="Arial" w:cs="Arial" w:eastAsia="Arial" w:hAnsi="Arial"/>
          <w:sz w:val="16"/>
          <w:szCs w:val="16"/>
          <w:color w:val="auto"/>
        </w:rPr>
        <w:t>”) dated as of October 28, 2004 (collectively, the “</w:t>
      </w:r>
      <w:r>
        <w:rPr>
          <w:rFonts w:ascii="Arial" w:cs="Arial" w:eastAsia="Arial" w:hAnsi="Arial"/>
          <w:sz w:val="16"/>
          <w:szCs w:val="16"/>
          <w:b w:val="1"/>
          <w:bCs w:val="1"/>
          <w:color w:val="auto"/>
        </w:rPr>
        <w:t>Lease</w:t>
      </w:r>
      <w:r>
        <w:rPr>
          <w:rFonts w:ascii="Arial" w:cs="Arial" w:eastAsia="Arial" w:hAnsi="Arial"/>
          <w:sz w:val="16"/>
          <w:szCs w:val="16"/>
          <w:color w:val="auto"/>
        </w:rPr>
        <w:t>”). Pursuant to the Lease, Landlord has leased to Tenant space currently containing approximately 115,514 rentable square feet (the “</w:t>
      </w:r>
      <w:r>
        <w:rPr>
          <w:rFonts w:ascii="Arial" w:cs="Arial" w:eastAsia="Arial" w:hAnsi="Arial"/>
          <w:sz w:val="16"/>
          <w:szCs w:val="16"/>
          <w:b w:val="1"/>
          <w:bCs w:val="1"/>
          <w:color w:val="auto"/>
        </w:rPr>
        <w:t>Premises</w:t>
      </w:r>
      <w:r>
        <w:rPr>
          <w:rFonts w:ascii="Arial" w:cs="Arial" w:eastAsia="Arial" w:hAnsi="Arial"/>
          <w:sz w:val="16"/>
          <w:szCs w:val="16"/>
          <w:color w:val="auto"/>
        </w:rPr>
        <w:t>”) described as the building located at 111 McInnis Parkway, San Rafael, California (the “</w:t>
      </w:r>
      <w:r>
        <w:rPr>
          <w:rFonts w:ascii="Arial" w:cs="Arial" w:eastAsia="Arial" w:hAnsi="Arial"/>
          <w:sz w:val="16"/>
          <w:szCs w:val="16"/>
          <w:b w:val="1"/>
          <w:bCs w:val="1"/>
          <w:color w:val="auto"/>
        </w:rPr>
        <w:t>Building</w:t>
      </w:r>
      <w:r>
        <w:rPr>
          <w:rFonts w:ascii="Arial" w:cs="Arial" w:eastAsia="Arial" w:hAnsi="Arial"/>
          <w:sz w:val="16"/>
          <w:szCs w:val="16"/>
          <w:color w:val="auto"/>
        </w:rPr>
        <w:t>”).</w:t>
      </w:r>
    </w:p>
    <w:p>
      <w:pPr>
        <w:spacing w:after="0" w:line="33" w:lineRule="exact"/>
        <w:rPr>
          <w:rFonts w:ascii="Arial" w:cs="Arial" w:eastAsia="Arial" w:hAnsi="Arial"/>
          <w:sz w:val="16"/>
          <w:szCs w:val="16"/>
          <w:color w:val="auto"/>
        </w:rPr>
      </w:pPr>
    </w:p>
    <w:p>
      <w:pPr>
        <w:ind w:left="460" w:right="260" w:hanging="452"/>
        <w:spacing w:after="0" w:line="339"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Lease by its terms shall expire on December 31, 2009 (“</w:t>
      </w:r>
      <w:r>
        <w:rPr>
          <w:rFonts w:ascii="Arial" w:cs="Arial" w:eastAsia="Arial" w:hAnsi="Arial"/>
          <w:sz w:val="16"/>
          <w:szCs w:val="16"/>
          <w:b w:val="1"/>
          <w:bCs w:val="1"/>
          <w:color w:val="auto"/>
        </w:rPr>
        <w:t>Prior Termination Date</w:t>
      </w:r>
      <w:r>
        <w:rPr>
          <w:rFonts w:ascii="Arial" w:cs="Arial" w:eastAsia="Arial" w:hAnsi="Arial"/>
          <w:sz w:val="16"/>
          <w:szCs w:val="16"/>
          <w:color w:val="auto"/>
        </w:rPr>
        <w:t>”), and Tenant has elected to exercise its Second Extension Option pursuant to the Lease. Accordingly, the parties desire to extend the Term of the Lease, all on the following terms and conditions.</w:t>
      </w:r>
    </w:p>
    <w:p>
      <w:pPr>
        <w:spacing w:after="0" w:line="74"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and agreements herein contained and other good and valuable consideration,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sufficiency of which are hereby acknowledged, Landlord and Tenant agree as follows:</w:t>
      </w:r>
    </w:p>
    <w:p>
      <w:pPr>
        <w:spacing w:after="0" w:line="39" w:lineRule="exact"/>
        <w:rPr>
          <w:sz w:val="20"/>
          <w:szCs w:val="20"/>
          <w:color w:val="auto"/>
        </w:rPr>
      </w:pPr>
    </w:p>
    <w:p>
      <w:pPr>
        <w:ind w:left="460" w:right="180" w:hanging="452"/>
        <w:spacing w:after="0" w:line="25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Second Extension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the Lease is hereby extended for a period of 120 months and shall expire on December 31, 2019 (“</w:t>
      </w:r>
      <w:r>
        <w:rPr>
          <w:rFonts w:ascii="Arial" w:cs="Arial" w:eastAsia="Arial" w:hAnsi="Arial"/>
          <w:sz w:val="18"/>
          <w:szCs w:val="18"/>
          <w:b w:val="1"/>
          <w:bCs w:val="1"/>
          <w:color w:val="auto"/>
        </w:rPr>
        <w:t>Second Extended Termination Date</w:t>
      </w:r>
      <w:r>
        <w:rPr>
          <w:rFonts w:ascii="Arial" w:cs="Arial" w:eastAsia="Arial" w:hAnsi="Arial"/>
          <w:sz w:val="18"/>
          <w:szCs w:val="18"/>
          <w:color w:val="auto"/>
        </w:rPr>
        <w:t>”), unless sooner terminated in accordance with the terms of the Lease. That portion of the Term commencing the day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Prior Termination Date (“</w:t>
      </w:r>
      <w:r>
        <w:rPr>
          <w:rFonts w:ascii="Arial" w:cs="Arial" w:eastAsia="Arial" w:hAnsi="Arial"/>
          <w:sz w:val="18"/>
          <w:szCs w:val="18"/>
          <w:b w:val="1"/>
          <w:bCs w:val="1"/>
          <w:color w:val="auto"/>
        </w:rPr>
        <w:t>Second Extension Date</w:t>
      </w:r>
      <w:r>
        <w:rPr>
          <w:rFonts w:ascii="Arial" w:cs="Arial" w:eastAsia="Arial" w:hAnsi="Arial"/>
          <w:sz w:val="18"/>
          <w:szCs w:val="18"/>
          <w:color w:val="auto"/>
        </w:rPr>
        <w:t>”) and ending on the Second Extended Termination Date shall be referred to herein as the “</w:t>
      </w:r>
      <w:r>
        <w:rPr>
          <w:rFonts w:ascii="Arial" w:cs="Arial" w:eastAsia="Arial" w:hAnsi="Arial"/>
          <w:sz w:val="18"/>
          <w:szCs w:val="18"/>
          <w:b w:val="1"/>
          <w:bCs w:val="1"/>
          <w:color w:val="auto"/>
        </w:rPr>
        <w:t>Second Extended Term</w:t>
      </w:r>
      <w:r>
        <w:rPr>
          <w:rFonts w:ascii="Arial" w:cs="Arial" w:eastAsia="Arial" w:hAnsi="Arial"/>
          <w:sz w:val="18"/>
          <w:szCs w:val="18"/>
          <w:color w:val="auto"/>
        </w:rPr>
        <w:t>.”</w:t>
      </w:r>
    </w:p>
    <w:p>
      <w:pPr>
        <w:spacing w:after="0" w:line="257"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Rent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460" w:hanging="446"/>
        <w:spacing w:after="0" w:line="275"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Monthly Rent. </w:t>
      </w:r>
      <w:r>
        <w:rPr>
          <w:rFonts w:ascii="Arial" w:cs="Arial" w:eastAsia="Arial" w:hAnsi="Arial"/>
          <w:sz w:val="18"/>
          <w:szCs w:val="18"/>
          <w:color w:val="auto"/>
        </w:rPr>
        <w:t>As of the Second Extension Date, the schedule of monthly Rent (“</w:t>
      </w:r>
      <w:r>
        <w:rPr>
          <w:rFonts w:ascii="Arial" w:cs="Arial" w:eastAsia="Arial" w:hAnsi="Arial"/>
          <w:sz w:val="18"/>
          <w:szCs w:val="18"/>
          <w:b w:val="1"/>
          <w:bCs w:val="1"/>
          <w:color w:val="auto"/>
        </w:rPr>
        <w:t>Base Rent</w:t>
      </w:r>
      <w:r>
        <w:rPr>
          <w:rFonts w:ascii="Arial" w:cs="Arial" w:eastAsia="Arial" w:hAnsi="Arial"/>
          <w:sz w:val="18"/>
          <w:szCs w:val="18"/>
          <w:color w:val="auto"/>
        </w:rPr>
        <w:t>”) payable with respect to the Premises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Extended Term is as follows:</w:t>
      </w:r>
    </w:p>
    <w:p>
      <w:pPr>
        <w:spacing w:after="0" w:line="15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Monthly Rate</w:t>
            </w:r>
          </w:p>
        </w:tc>
        <w:tc>
          <w:tcPr>
            <w:tcW w:w="7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6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3300" w:type="dxa"/>
            <w:vAlign w:val="bottom"/>
            <w:gridSpan w:val="3"/>
          </w:tcPr>
          <w:p>
            <w:pPr>
              <w:ind w:left="2360"/>
              <w:spacing w:after="0"/>
              <w:rPr>
                <w:sz w:val="20"/>
                <w:szCs w:val="20"/>
                <w:color w:val="auto"/>
              </w:rPr>
            </w:pPr>
            <w:r>
              <w:rPr>
                <w:rFonts w:ascii="Arial" w:cs="Arial" w:eastAsia="Arial" w:hAnsi="Arial"/>
                <w:sz w:val="14"/>
                <w:szCs w:val="14"/>
                <w:b w:val="1"/>
                <w:bCs w:val="1"/>
                <w:color w:val="auto"/>
                <w:w w:val="85"/>
              </w:rPr>
              <w:t>Per Square Foot</w:t>
            </w:r>
          </w:p>
        </w:tc>
        <w:tc>
          <w:tcPr>
            <w:tcW w:w="7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4"/>
              </w:rPr>
              <w:t>Base Rent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01/01/10 – 12/31/10</w:t>
            </w:r>
          </w:p>
        </w:tc>
        <w:tc>
          <w:tcPr>
            <w:tcW w:w="272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w w:val="87"/>
              </w:rPr>
              <w:t>$236,803.70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01/01/11 – 12/31/11</w:t>
            </w:r>
          </w:p>
        </w:tc>
        <w:tc>
          <w:tcPr>
            <w:tcW w:w="272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1600" w:type="dxa"/>
            <w:vAlign w:val="bottom"/>
            <w:gridSpan w:val="2"/>
          </w:tcPr>
          <w:p>
            <w:pPr>
              <w:jc w:val="center"/>
              <w:ind w:left="592"/>
              <w:spacing w:after="0"/>
              <w:rPr>
                <w:sz w:val="20"/>
                <w:szCs w:val="20"/>
                <w:color w:val="auto"/>
              </w:rPr>
            </w:pPr>
            <w:r>
              <w:rPr>
                <w:rFonts w:ascii="Arial" w:cs="Arial" w:eastAsia="Arial" w:hAnsi="Arial"/>
                <w:sz w:val="18"/>
                <w:szCs w:val="18"/>
                <w:color w:val="auto"/>
                <w:w w:val="87"/>
              </w:rPr>
              <w:t>$243,734.54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01/01/12 – 12/31/12</w:t>
            </w:r>
          </w:p>
        </w:tc>
        <w:tc>
          <w:tcPr>
            <w:tcW w:w="272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w w:val="87"/>
              </w:rPr>
              <w:t>$250,665.38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01/01/13 – 12/31/13</w:t>
            </w:r>
          </w:p>
        </w:tc>
        <w:tc>
          <w:tcPr>
            <w:tcW w:w="272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1600" w:type="dxa"/>
            <w:vAlign w:val="bottom"/>
            <w:gridSpan w:val="2"/>
          </w:tcPr>
          <w:p>
            <w:pPr>
              <w:jc w:val="center"/>
              <w:ind w:left="592"/>
              <w:spacing w:after="0"/>
              <w:rPr>
                <w:sz w:val="20"/>
                <w:szCs w:val="20"/>
                <w:color w:val="auto"/>
              </w:rPr>
            </w:pPr>
            <w:r>
              <w:rPr>
                <w:rFonts w:ascii="Arial" w:cs="Arial" w:eastAsia="Arial" w:hAnsi="Arial"/>
                <w:sz w:val="18"/>
                <w:szCs w:val="18"/>
                <w:color w:val="auto"/>
                <w:w w:val="87"/>
              </w:rPr>
              <w:t>$258,751.36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01/01/14 – 12/31/14</w:t>
            </w:r>
          </w:p>
        </w:tc>
        <w:tc>
          <w:tcPr>
            <w:tcW w:w="272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w w:val="87"/>
              </w:rPr>
              <w:t>$266,837.34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01/01/15 – 12/31/15</w:t>
            </w:r>
          </w:p>
        </w:tc>
        <w:tc>
          <w:tcPr>
            <w:tcW w:w="272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2.38</w:t>
            </w:r>
          </w:p>
        </w:tc>
        <w:tc>
          <w:tcPr>
            <w:tcW w:w="1600" w:type="dxa"/>
            <w:vAlign w:val="bottom"/>
            <w:gridSpan w:val="2"/>
          </w:tcPr>
          <w:p>
            <w:pPr>
              <w:jc w:val="center"/>
              <w:ind w:left="592"/>
              <w:spacing w:after="0"/>
              <w:rPr>
                <w:sz w:val="20"/>
                <w:szCs w:val="20"/>
                <w:color w:val="auto"/>
              </w:rPr>
            </w:pPr>
            <w:r>
              <w:rPr>
                <w:rFonts w:ascii="Arial" w:cs="Arial" w:eastAsia="Arial" w:hAnsi="Arial"/>
                <w:sz w:val="18"/>
                <w:szCs w:val="18"/>
                <w:color w:val="auto"/>
                <w:w w:val="87"/>
              </w:rPr>
              <w:t>$274,923.32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01/01/16 – 12/31/16</w:t>
            </w:r>
          </w:p>
        </w:tc>
        <w:tc>
          <w:tcPr>
            <w:tcW w:w="272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60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w w:val="87"/>
              </w:rPr>
              <w:t>$283,009.30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01/01/17 – 12/31/17</w:t>
            </w:r>
          </w:p>
        </w:tc>
        <w:tc>
          <w:tcPr>
            <w:tcW w:w="272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2.52</w:t>
            </w:r>
          </w:p>
        </w:tc>
        <w:tc>
          <w:tcPr>
            <w:tcW w:w="1600" w:type="dxa"/>
            <w:vAlign w:val="bottom"/>
            <w:gridSpan w:val="2"/>
          </w:tcPr>
          <w:p>
            <w:pPr>
              <w:jc w:val="center"/>
              <w:ind w:left="592"/>
              <w:spacing w:after="0"/>
              <w:rPr>
                <w:sz w:val="20"/>
                <w:szCs w:val="20"/>
                <w:color w:val="auto"/>
              </w:rPr>
            </w:pPr>
            <w:r>
              <w:rPr>
                <w:rFonts w:ascii="Arial" w:cs="Arial" w:eastAsia="Arial" w:hAnsi="Arial"/>
                <w:sz w:val="18"/>
                <w:szCs w:val="18"/>
                <w:color w:val="auto"/>
                <w:w w:val="87"/>
              </w:rPr>
              <w:t>$291,095.28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01/01/18 – 12/31/18</w:t>
            </w:r>
          </w:p>
        </w:tc>
        <w:tc>
          <w:tcPr>
            <w:tcW w:w="272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w w:val="87"/>
              </w:rPr>
              <w:t>$300,336.40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01/01/19 – 12/31/19</w:t>
            </w:r>
          </w:p>
        </w:tc>
        <w:tc>
          <w:tcPr>
            <w:tcW w:w="272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2.68</w:t>
            </w:r>
          </w:p>
        </w:tc>
        <w:tc>
          <w:tcPr>
            <w:tcW w:w="1600" w:type="dxa"/>
            <w:vAlign w:val="bottom"/>
            <w:gridSpan w:val="2"/>
          </w:tcPr>
          <w:p>
            <w:pPr>
              <w:jc w:val="center"/>
              <w:ind w:left="592"/>
              <w:spacing w:after="0"/>
              <w:rPr>
                <w:sz w:val="20"/>
                <w:szCs w:val="20"/>
                <w:color w:val="auto"/>
              </w:rPr>
            </w:pPr>
            <w:r>
              <w:rPr>
                <w:rFonts w:ascii="Arial" w:cs="Arial" w:eastAsia="Arial" w:hAnsi="Arial"/>
                <w:sz w:val="18"/>
                <w:szCs w:val="18"/>
                <w:color w:val="auto"/>
                <w:w w:val="87"/>
              </w:rPr>
              <w:t>$309,577.52</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900" w:right="20" w:hanging="446"/>
        <w:spacing w:after="0" w:line="256"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Additional Rent. </w:t>
      </w:r>
      <w:r>
        <w:rPr>
          <w:rFonts w:ascii="Arial" w:cs="Arial" w:eastAsia="Arial" w:hAnsi="Arial"/>
          <w:sz w:val="18"/>
          <w:szCs w:val="18"/>
          <w:color w:val="auto"/>
        </w:rPr>
        <w:t>In addition to the Base Rent payable in accordance with the above schedule, during the Second Extended Term, Tenant shall pay</w:t>
      </w:r>
      <w:r>
        <w:rPr>
          <w:rFonts w:ascii="Arial" w:cs="Arial" w:eastAsia="Arial" w:hAnsi="Arial"/>
          <w:sz w:val="18"/>
          <w:szCs w:val="18"/>
          <w:b w:val="1"/>
          <w:bCs w:val="1"/>
          <w:color w:val="auto"/>
        </w:rPr>
        <w:t xml:space="preserve"> </w:t>
      </w:r>
      <w:r>
        <w:rPr>
          <w:rFonts w:ascii="Arial" w:cs="Arial" w:eastAsia="Arial" w:hAnsi="Arial"/>
          <w:sz w:val="18"/>
          <w:szCs w:val="18"/>
          <w:color w:val="auto"/>
        </w:rPr>
        <w:t>all other Rent and other amounts payable by Tenant under the Lease, as amended hereby, including without limitation, the cost of all gas and electricity furnished to the Premises in accordance with Section 14.2 of the Original Lease. Base Rent and all other amounts payable under the Lease, as amended hereby, shall constitute “Rent” under the Lease, as amended hereby, and shall be payable by Tenant in accordance with the terms of the Lease, as amended hereby.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13" w:name="page114"/>
    <w:bookmarkEnd w:id="113"/>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Improvements to Premises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360" w:hanging="446"/>
        <w:spacing w:after="0" w:line="256"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Condition of Premises. </w:t>
      </w:r>
      <w:r>
        <w:rPr>
          <w:rFonts w:ascii="Arial" w:cs="Arial" w:eastAsia="Arial" w:hAnsi="Arial"/>
          <w:sz w:val="18"/>
          <w:szCs w:val="18"/>
          <w:color w:val="auto"/>
        </w:rPr>
        <w:t>Tenant is in possession of the Premises and accepts the same “as is” without any agreements,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understandings or obligations on the part of Landlord to perform any alterations, repairs (other than Landlord’s on-going repair and maintenance obligations set forth in the Lease, as amended hereby) or improvements. Tenant acknowledges that, as of the Reference Date, Landlord has fully performed and discharged all of its obligations with respect to the tenant improvements and the improvement allowances set forth in the Third Amendment.</w:t>
      </w:r>
    </w:p>
    <w:p>
      <w:pPr>
        <w:spacing w:after="0" w:line="57" w:lineRule="exact"/>
        <w:rPr>
          <w:rFonts w:ascii="Arial" w:cs="Arial" w:eastAsia="Arial" w:hAnsi="Arial"/>
          <w:sz w:val="18"/>
          <w:szCs w:val="18"/>
          <w:color w:val="auto"/>
        </w:rPr>
      </w:pPr>
    </w:p>
    <w:p>
      <w:pPr>
        <w:ind w:left="900" w:right="100" w:hanging="446"/>
        <w:spacing w:after="0" w:line="25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Responsibility for Improvements to Premises</w:t>
      </w:r>
      <w:r>
        <w:rPr>
          <w:rFonts w:ascii="Arial" w:cs="Arial" w:eastAsia="Arial" w:hAnsi="Arial"/>
          <w:sz w:val="18"/>
          <w:szCs w:val="18"/>
          <w:color w:val="auto"/>
        </w:rPr>
        <w:t>. During the Second Extended Term, Tenant may perform improvements to the Premises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accordance with </w:t>
      </w:r>
      <w:r>
        <w:rPr>
          <w:rFonts w:ascii="Arial" w:cs="Arial" w:eastAsia="Arial" w:hAnsi="Arial"/>
          <w:sz w:val="18"/>
          <w:szCs w:val="18"/>
          <w:b w:val="1"/>
          <w:bCs w:val="1"/>
          <w:color w:val="auto"/>
        </w:rPr>
        <w:t>Exhibits A</w:t>
      </w:r>
      <w:r>
        <w:rPr>
          <w:rFonts w:ascii="Arial" w:cs="Arial" w:eastAsia="Arial" w:hAnsi="Arial"/>
          <w:sz w:val="18"/>
          <w:szCs w:val="18"/>
          <w:color w:val="auto"/>
        </w:rPr>
        <w:t xml:space="preserve"> and </w:t>
      </w:r>
      <w:r>
        <w:rPr>
          <w:rFonts w:ascii="Arial" w:cs="Arial" w:eastAsia="Arial" w:hAnsi="Arial"/>
          <w:sz w:val="18"/>
          <w:szCs w:val="18"/>
          <w:b w:val="1"/>
          <w:bCs w:val="1"/>
          <w:color w:val="auto"/>
        </w:rPr>
        <w:t>B</w:t>
      </w:r>
      <w:r>
        <w:rPr>
          <w:rFonts w:ascii="Arial" w:cs="Arial" w:eastAsia="Arial" w:hAnsi="Arial"/>
          <w:sz w:val="18"/>
          <w:szCs w:val="18"/>
          <w:color w:val="auto"/>
        </w:rPr>
        <w:t xml:space="preserve"> attached hereto and Tenant shall be entitled to improvement allowances in connection with such work as more fully described in </w:t>
      </w:r>
      <w:r>
        <w:rPr>
          <w:rFonts w:ascii="Arial" w:cs="Arial" w:eastAsia="Arial" w:hAnsi="Arial"/>
          <w:sz w:val="18"/>
          <w:szCs w:val="18"/>
          <w:b w:val="1"/>
          <w:bCs w:val="1"/>
          <w:color w:val="auto"/>
        </w:rPr>
        <w:t>Exhibits A</w:t>
      </w:r>
      <w:r>
        <w:rPr>
          <w:rFonts w:ascii="Arial" w:cs="Arial" w:eastAsia="Arial" w:hAnsi="Arial"/>
          <w:sz w:val="18"/>
          <w:szCs w:val="18"/>
          <w:color w:val="auto"/>
        </w:rPr>
        <w:t xml:space="preserve"> and </w:t>
      </w:r>
      <w:r>
        <w:rPr>
          <w:rFonts w:ascii="Arial" w:cs="Arial" w:eastAsia="Arial" w:hAnsi="Arial"/>
          <w:sz w:val="18"/>
          <w:szCs w:val="18"/>
          <w:b w:val="1"/>
          <w:bCs w:val="1"/>
          <w:color w:val="auto"/>
        </w:rPr>
        <w:t>B</w:t>
      </w:r>
      <w:r>
        <w:rPr>
          <w:rFonts w:ascii="Arial" w:cs="Arial" w:eastAsia="Arial" w:hAnsi="Arial"/>
          <w:sz w:val="18"/>
          <w:szCs w:val="18"/>
          <w:color w:val="auto"/>
        </w:rPr>
        <w:t>. Notwithstanding anything to the contrary set forth in the Lease, as amended hereby, in the event that the performance of any improvements, alterations or additions performed by or on behalf of Tenant results in an increase in the real property taxes or assessment payable with respect to the Building, Tenant shall be solely responsible for such increase in taxes (but only as to the portion of such increase arising solely out of any alterations, additions or improvements performed by or on behalf of Tenant) and such amount shall constitute Rent pursuant to the Lease.</w:t>
      </w:r>
    </w:p>
    <w:p>
      <w:pPr>
        <w:spacing w:after="0" w:line="60" w:lineRule="exact"/>
        <w:rPr>
          <w:rFonts w:ascii="Arial" w:cs="Arial" w:eastAsia="Arial" w:hAnsi="Arial"/>
          <w:sz w:val="18"/>
          <w:szCs w:val="18"/>
          <w:color w:val="auto"/>
        </w:rPr>
      </w:pPr>
    </w:p>
    <w:p>
      <w:pPr>
        <w:ind w:left="900" w:hanging="446"/>
        <w:spacing w:after="0" w:line="283"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Removal of Alterations. </w:t>
      </w:r>
      <w:r>
        <w:rPr>
          <w:rFonts w:ascii="Arial" w:cs="Arial" w:eastAsia="Arial" w:hAnsi="Arial"/>
          <w:sz w:val="16"/>
          <w:szCs w:val="16"/>
          <w:color w:val="auto"/>
        </w:rPr>
        <w:t>The last two sentences of Section 7.2 of the Original Lease notwithstanding, Tenant shall have no right or obligation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remove any of the existing improvements, Tenant Improvements, Alterations (including any life-safety and fire suppression systems) or signage located in the Premises as of the Effective Date (as defined in Section 8(k) below) (collectively, the “</w:t>
      </w:r>
      <w:r>
        <w:rPr>
          <w:rFonts w:ascii="Arial" w:cs="Arial" w:eastAsia="Arial" w:hAnsi="Arial"/>
          <w:sz w:val="16"/>
          <w:szCs w:val="16"/>
          <w:b w:val="1"/>
          <w:bCs w:val="1"/>
          <w:color w:val="auto"/>
        </w:rPr>
        <w:t>Existing Leasehold Improvements</w:t>
      </w:r>
      <w:r>
        <w:rPr>
          <w:rFonts w:ascii="Arial" w:cs="Arial" w:eastAsia="Arial" w:hAnsi="Arial"/>
          <w:sz w:val="16"/>
          <w:szCs w:val="16"/>
          <w:color w:val="auto"/>
        </w:rPr>
        <w:t>”) and such Existing Leasehold Improvements shall remain upon the Premises at the end of the Term without compensation to Tenant; provided however that Tenant shall have the right to remove Tenant’s signage installed in the interior of the Building, and Tenant shall remove not later than the expiration or earlier termination of the Lease, all of Tenant’s furniture, Trade Fixtures, equipment, telephone systems, computers and other personal property from the Premises and repair any damage caused by such removal. “</w:t>
      </w:r>
      <w:r>
        <w:rPr>
          <w:rFonts w:ascii="Arial" w:cs="Arial" w:eastAsia="Arial" w:hAnsi="Arial"/>
          <w:sz w:val="16"/>
          <w:szCs w:val="16"/>
          <w:b w:val="1"/>
          <w:bCs w:val="1"/>
          <w:color w:val="auto"/>
        </w:rPr>
        <w:t>Trade Fixtures</w:t>
      </w:r>
      <w:r>
        <w:rPr>
          <w:rFonts w:ascii="Arial" w:cs="Arial" w:eastAsia="Arial" w:hAnsi="Arial"/>
          <w:sz w:val="16"/>
          <w:szCs w:val="16"/>
          <w:color w:val="auto"/>
        </w:rPr>
        <w:t>” means anything affixed to the Building by Tenant at its sole cost and expense for purposes of Tenant’s business, trade, manufacture, ornament or domestic use but shall not include any Existing Leasehold Improvements. Notwithstanding anything to the contrary set forth in this Section, Tenant shall have the right, but not the obligation, to request in writing, not earlier than sixty (60) days prior to the termination of the Lease, that Landlord notify Tenant whether Tenant is required to remove Tenant’s computer peripheral equipment and tape and disk vaults, projectors and projection screens and related equipment, audio and visual equipment, telepresence equipment, electronic security systems, phone systems and phone systems, equipment, patch panel and subfeed panel locations for such phone equipment, CRT patch panels, and all other similar equipment (collectively, “</w:t>
      </w:r>
      <w:r>
        <w:rPr>
          <w:rFonts w:ascii="Arial" w:cs="Arial" w:eastAsia="Arial" w:hAnsi="Arial"/>
          <w:sz w:val="16"/>
          <w:szCs w:val="16"/>
          <w:b w:val="1"/>
          <w:bCs w:val="1"/>
          <w:color w:val="auto"/>
        </w:rPr>
        <w:t>Tenant’s Equipment</w:t>
      </w:r>
      <w:r>
        <w:rPr>
          <w:rFonts w:ascii="Arial" w:cs="Arial" w:eastAsia="Arial" w:hAnsi="Arial"/>
          <w:sz w:val="16"/>
          <w:szCs w:val="16"/>
          <w:color w:val="auto"/>
        </w:rPr>
        <w:t xml:space="preserve">”). If Landlord, within ten (10) business days following receipt such written request notifies Tenant in writing that Tenant is not required to remove some or all of Tenant’s Equipment, as identified in Landlord’s notice (the </w:t>
      </w:r>
      <w:r>
        <w:rPr>
          <w:rFonts w:ascii="Arial" w:cs="Arial" w:eastAsia="Arial" w:hAnsi="Arial"/>
          <w:sz w:val="16"/>
          <w:szCs w:val="16"/>
          <w:b w:val="1"/>
          <w:bCs w:val="1"/>
          <w:color w:val="auto"/>
        </w:rPr>
        <w:t>“No Removal Notice”</w:t>
      </w:r>
      <w:r>
        <w:rPr>
          <w:rFonts w:ascii="Arial" w:cs="Arial" w:eastAsia="Arial" w:hAnsi="Arial"/>
          <w:sz w:val="16"/>
          <w:szCs w:val="16"/>
          <w:color w:val="auto"/>
        </w:rPr>
        <w:t>), Tenant shall have no obligation to remove those portion of Tenant’s Equipment (if any) identified in the No Removal Notice. If Landlord fails to so notify Tenant within the ten (10) business day period set forth above, it shall be presumed that Tenant is required to remove all of Tenant’s Equipment not later than the expiration or earlier termination of the Lease and repair any damage caused by such removal. In the alternative, Tenant may elect to remove all of the Tenant’s Equipment and not request the right to leave all or a portion of the Tenant’s Equipment from the Premises. The provisions of this Section 3(c) shall not be deemed to prohibit Tenant from ceasing operation of either the Fitness Center and/or the Dining Facilities during the Term, converting those areas to office or other uses permitted by the Lease and removing the alterations or improvements necessary to the then- discontinued Fitness Center or Dining Facilities uses, or to prohibit Tenant from removing any Trade Fixtures, Tenant’s Equipment, or Tenant’s furniture, equipment and other personal property, whether by law deemed to be a part of the realty or not, at any time during the Term, as it may be extended. As to any Alterations made by or on behalf of Tenant following the Effective Date, notwithstanding anything to the contrary set forth in the Lease, such Alterations shall remain upon the Premises at the end of the Term without compensation to Tenant, provided that with respect to any Alterations for which Landlord’s consent is not required, Landlord, by written notice to Tenant at least sixty (60) days prior to the termination of the Lease (or, where Landlord’s consent is required for any Alteration, by written notice given to Tenant at the time Landlord approves such Alteration), may require Tenant, at its expense, to remove (and repair any damage caused by such removal) any Alterations perform by or on behalf of Tenant following the Effective Date that, in Landlord’s reasonable judgment, are of a nature that would require removal and repair costs that are materially in excess of the removal and repair costs associated with standard office improvements such as internal stairways, raised floors, vaults and rolling file systems. The removal of such Alterations shall be a part of Tenant’s surrender obligations pursuant to Section 20 of the Original Lease.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14" w:name="page115"/>
    <w:bookmarkEnd w:id="114"/>
    <w:p>
      <w:pPr>
        <w:ind w:left="452" w:hanging="452"/>
        <w:spacing w:after="0"/>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Repairs and Maintenance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20" w:hanging="446"/>
        <w:spacing w:after="0" w:line="284" w:lineRule="auto"/>
        <w:tabs>
          <w:tab w:leader="none" w:pos="892" w:val="left"/>
        </w:tabs>
        <w:numPr>
          <w:ilvl w:val="1"/>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Tenant’s Responsibility. </w:t>
      </w:r>
      <w:r>
        <w:rPr>
          <w:rFonts w:ascii="Arial" w:cs="Arial" w:eastAsia="Arial" w:hAnsi="Arial"/>
          <w:sz w:val="16"/>
          <w:szCs w:val="16"/>
          <w:color w:val="auto"/>
        </w:rPr>
        <w:t>Tenant hereby acknowledges and agrees that from and after the Effective Date, in addition to Tenant’s express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maintenance, repair and replacement obligations set forth in the Lease, the maintenance, repair, and replacement of the following items shall be performed by Tenant at its sole cost and expense throughout the Second Extended Term and any further extension of the Term of the Lease, and Landlord shall have no obligation to perform any maintenance, repairs or replacements related thereto: (i) Tenant’s IT and computer facilities and equipment, data and telecommunications cabling systems; (ii) electrical outlets and the specialty or auxiliary electrical systems installed by Tenant and described on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attached hereto (and any other similar specialty or auxiliary systems installed by Tenant after the Effective Date), additional electrical panels installed by Tenant after the Effective Date, and any other special or auxiliary electrical improvements added by Tenant to the Premises from and after the Effective Date; (iii) any fixtures, Alterations, appliances or equipment contained in the Dining Facilities or Fitness Center (as such terms are defined below), provided that the maintenance, repair and replacement of the following Building Systems serving the Dining Facilities and/or the Fitness Center shall remain Landlord’s responsibility (collectively, “</w:t>
      </w:r>
      <w:r>
        <w:rPr>
          <w:rFonts w:ascii="Arial" w:cs="Arial" w:eastAsia="Arial" w:hAnsi="Arial"/>
          <w:sz w:val="16"/>
          <w:szCs w:val="16"/>
          <w:b w:val="1"/>
          <w:bCs w:val="1"/>
          <w:color w:val="auto"/>
        </w:rPr>
        <w:t>Landlord’s Dining and Fitness Center</w:t>
      </w:r>
      <w:r>
        <w:rPr>
          <w:rFonts w:ascii="Arial" w:cs="Arial" w:eastAsia="Arial" w:hAnsi="Arial"/>
          <w:sz w:val="16"/>
          <w:szCs w:val="16"/>
          <w:color w:val="auto"/>
        </w:rPr>
        <w:t xml:space="preserve"> </w:t>
      </w:r>
      <w:r>
        <w:rPr>
          <w:rFonts w:ascii="Arial" w:cs="Arial" w:eastAsia="Arial" w:hAnsi="Arial"/>
          <w:sz w:val="16"/>
          <w:szCs w:val="16"/>
          <w:b w:val="1"/>
          <w:bCs w:val="1"/>
          <w:color w:val="auto"/>
        </w:rPr>
        <w:t>Obligations</w:t>
      </w:r>
      <w:r>
        <w:rPr>
          <w:rFonts w:ascii="Arial" w:cs="Arial" w:eastAsia="Arial" w:hAnsi="Arial"/>
          <w:sz w:val="16"/>
          <w:szCs w:val="16"/>
          <w:color w:val="auto"/>
        </w:rPr>
        <w:t>”): (A) the five (5) HVAC units serving the Building in general (i.e., the rooftop AHU units for four (4) zones plus the AHU unit serving</w:t>
      </w:r>
      <w:r>
        <w:rPr>
          <w:rFonts w:ascii="Arial" w:cs="Arial" w:eastAsia="Arial" w:hAnsi="Arial"/>
          <w:sz w:val="16"/>
          <w:szCs w:val="16"/>
          <w:b w:val="1"/>
          <w:bCs w:val="1"/>
          <w:color w:val="auto"/>
        </w:rPr>
        <w:t xml:space="preserve"> </w:t>
      </w:r>
      <w:r>
        <w:rPr>
          <w:rFonts w:ascii="Arial" w:cs="Arial" w:eastAsia="Arial" w:hAnsi="Arial"/>
          <w:sz w:val="16"/>
          <w:szCs w:val="16"/>
          <w:color w:val="auto"/>
        </w:rPr>
        <w:t>the Building in general (collectively, the “</w:t>
      </w:r>
      <w:r>
        <w:rPr>
          <w:rFonts w:ascii="Arial" w:cs="Arial" w:eastAsia="Arial" w:hAnsi="Arial"/>
          <w:sz w:val="16"/>
          <w:szCs w:val="16"/>
          <w:b w:val="1"/>
          <w:bCs w:val="1"/>
          <w:color w:val="auto"/>
        </w:rPr>
        <w:t>Building HVAC Units</w:t>
      </w:r>
      <w:r>
        <w:rPr>
          <w:rFonts w:ascii="Arial" w:cs="Arial" w:eastAsia="Arial" w:hAnsi="Arial"/>
          <w:sz w:val="16"/>
          <w:szCs w:val="16"/>
          <w:color w:val="auto"/>
        </w:rPr>
        <w:t xml:space="preserve">”), the one (1) rooftop boiler and its boiler control unit and any boiler-related equipment, all as more particularly described on </w:t>
      </w:r>
      <w:r>
        <w:rPr>
          <w:rFonts w:ascii="Arial" w:cs="Arial" w:eastAsia="Arial" w:hAnsi="Arial"/>
          <w:sz w:val="16"/>
          <w:szCs w:val="16"/>
          <w:b w:val="1"/>
          <w:bCs w:val="1"/>
          <w:color w:val="auto"/>
        </w:rPr>
        <w:t>Exhibit G</w:t>
      </w:r>
      <w:r>
        <w:rPr>
          <w:rFonts w:ascii="Arial" w:cs="Arial" w:eastAsia="Arial" w:hAnsi="Arial"/>
          <w:sz w:val="16"/>
          <w:szCs w:val="16"/>
          <w:color w:val="auto"/>
        </w:rPr>
        <w:t xml:space="preserve"> attached hereto, (B) the base Building fire and life safety systems, (C) the replacement of light bulbs and ballasts, subject to Section 4(d) below), and (D) the base Building plumbing, and the mechanical and electrical systems that serve the Building in general and are a part of the Building Systems, excluding all fixtures and plumbing installed to serve specifically the Dining Facilities and the Fitness Center, which shall be the obligation of Tenant to maintain, repair and replace; and (iv) any of Tenant’s Trade Fixtures, Tenant’s Equipment, Communications Equipment and related appurtenances and conduits, any generators or uninterrupted power supplies installed by Tenant, all HVAC units and related equipment and appurtenances described on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the auxiliary fire suppression equipment described on </w:t>
      </w:r>
      <w:r>
        <w:rPr>
          <w:rFonts w:ascii="Arial" w:cs="Arial" w:eastAsia="Arial" w:hAnsi="Arial"/>
          <w:sz w:val="16"/>
          <w:szCs w:val="16"/>
          <w:b w:val="1"/>
          <w:bCs w:val="1"/>
          <w:color w:val="auto"/>
        </w:rPr>
        <w:t>Exhibit C</w:t>
      </w:r>
      <w:r>
        <w:rPr>
          <w:rFonts w:ascii="Arial" w:cs="Arial" w:eastAsia="Arial" w:hAnsi="Arial"/>
          <w:sz w:val="16"/>
          <w:szCs w:val="16"/>
          <w:color w:val="auto"/>
        </w:rPr>
        <w:t>, and any other similar supplemental or specialized systems installed by Tenant from and after the Effective Date (all of the foregoing, the “</w:t>
      </w:r>
      <w:r>
        <w:rPr>
          <w:rFonts w:ascii="Arial" w:cs="Arial" w:eastAsia="Arial" w:hAnsi="Arial"/>
          <w:sz w:val="16"/>
          <w:szCs w:val="16"/>
          <w:b w:val="1"/>
          <w:bCs w:val="1"/>
          <w:color w:val="auto"/>
        </w:rPr>
        <w:t>Tenant’s</w:t>
      </w:r>
      <w:r>
        <w:rPr>
          <w:rFonts w:ascii="Arial" w:cs="Arial" w:eastAsia="Arial" w:hAnsi="Arial"/>
          <w:sz w:val="16"/>
          <w:szCs w:val="16"/>
          <w:color w:val="auto"/>
        </w:rPr>
        <w:t xml:space="preserve"> </w:t>
      </w:r>
      <w:r>
        <w:rPr>
          <w:rFonts w:ascii="Arial" w:cs="Arial" w:eastAsia="Arial" w:hAnsi="Arial"/>
          <w:sz w:val="16"/>
          <w:szCs w:val="16"/>
          <w:b w:val="1"/>
          <w:bCs w:val="1"/>
          <w:color w:val="auto"/>
        </w:rPr>
        <w:t>Special Needs Equipment</w:t>
      </w:r>
      <w:r>
        <w:rPr>
          <w:rFonts w:ascii="Arial" w:cs="Arial" w:eastAsia="Arial" w:hAnsi="Arial"/>
          <w:sz w:val="16"/>
          <w:szCs w:val="16"/>
          <w:color w:val="auto"/>
        </w:rPr>
        <w:t>”). In addition, Tenant shall be responsible for maintenance, repair and replacement of the Building electrical panels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described on </w:t>
      </w:r>
      <w:r>
        <w:rPr>
          <w:rFonts w:ascii="Arial" w:cs="Arial" w:eastAsia="Arial" w:hAnsi="Arial"/>
          <w:sz w:val="16"/>
          <w:szCs w:val="16"/>
          <w:b w:val="1"/>
          <w:bCs w:val="1"/>
          <w:color w:val="auto"/>
        </w:rPr>
        <w:t>Exhibit C</w:t>
      </w:r>
      <w:r>
        <w:rPr>
          <w:rFonts w:ascii="Arial" w:cs="Arial" w:eastAsia="Arial" w:hAnsi="Arial"/>
          <w:sz w:val="16"/>
          <w:szCs w:val="16"/>
          <w:color w:val="auto"/>
        </w:rPr>
        <w:t>. Notwithstanding anything to the contrary contained herein or in the Lease, Tenant shall have no obligation to perform any maintenance, repair, or replacement of items that are Tenant’s responsibility pursuant to this Section 4(a) or the Lease if the need for such maintenance, repair or replacement arises as a result of the negligent acts or willful misconduct of Landlord or any Landlord Parties (as defined in Section 7(e) below).</w:t>
      </w:r>
    </w:p>
    <w:p>
      <w:pPr>
        <w:spacing w:after="0" w:line="259" w:lineRule="exact"/>
        <w:rPr>
          <w:rFonts w:ascii="Arial" w:cs="Arial" w:eastAsia="Arial" w:hAnsi="Arial"/>
          <w:sz w:val="16"/>
          <w:szCs w:val="16"/>
          <w:color w:val="auto"/>
        </w:rPr>
      </w:pPr>
    </w:p>
    <w:p>
      <w:pPr>
        <w:ind w:left="892" w:hanging="446"/>
        <w:spacing w:after="0"/>
        <w:tabs>
          <w:tab w:leader="none" w:pos="892" w:val="left"/>
        </w:tabs>
        <w:numPr>
          <w:ilvl w:val="1"/>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Landlord’s Responsibility. </w:t>
      </w:r>
      <w:r>
        <w:rPr>
          <w:rFonts w:ascii="Arial" w:cs="Arial" w:eastAsia="Arial" w:hAnsi="Arial"/>
          <w:sz w:val="16"/>
          <w:szCs w:val="16"/>
          <w:color w:val="auto"/>
        </w:rPr>
        <w:t>Except for (i) Tenant’s express maintenance, repair, and replacement obligations set forth in the Lease and in</w:t>
      </w:r>
    </w:p>
    <w:p>
      <w:pPr>
        <w:spacing w:after="0" w:line="44" w:lineRule="exact"/>
        <w:rPr>
          <w:rFonts w:ascii="Arial" w:cs="Arial" w:eastAsia="Arial" w:hAnsi="Arial"/>
          <w:sz w:val="16"/>
          <w:szCs w:val="16"/>
          <w:color w:val="auto"/>
        </w:rPr>
      </w:pPr>
    </w:p>
    <w:p>
      <w:pPr>
        <w:ind w:left="892"/>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Section 4(a) above, (ii) the exterior doors to the Premises, which shall be maintained, repaired and replaced by Landlord, (iii) the thermostat controls in the Premises, the maintenance, repair and replacement of which shall be governed by Section 4(i) below, Landlord’s express maintenance, repair and replacement obligations shall remain as set forth in the Original Lease, and (iv) Landlord’s Dining and Fitness Center Obligations as set forth in Section 4(a) above. For purposes of clarifying only Landlord’s obligation to maintain, repair and replace any Building Systems pursuant to the Original Lease, (A) Landlord’s obligation to maintain, repair, and replace the Building electrical panels, the transformers and the switch gear/meter set located outside the Building shall be limited to those items more particularly described as the obligation of Landlord pursuant to </w:t>
      </w:r>
      <w:r>
        <w:rPr>
          <w:rFonts w:ascii="Arial" w:cs="Arial" w:eastAsia="Arial" w:hAnsi="Arial"/>
          <w:sz w:val="16"/>
          <w:szCs w:val="16"/>
          <w:b w:val="1"/>
          <w:bCs w:val="1"/>
          <w:color w:val="auto"/>
        </w:rPr>
        <w:t>Exhibit G</w:t>
      </w:r>
      <w:r>
        <w:rPr>
          <w:rFonts w:ascii="Arial" w:cs="Arial" w:eastAsia="Arial" w:hAnsi="Arial"/>
          <w:sz w:val="16"/>
          <w:szCs w:val="16"/>
          <w:color w:val="auto"/>
        </w:rPr>
        <w:t xml:space="preserve"> attached to this Amendment (provided, however, that the foregoing shall not be deemed to modify Landlord’s obligation to maintain the delivery of electrical service from the street to the Building); and (B) Landlord shall have no obligation to perform any repairs to or maintenance or replacements of any appliances (including garbage disposals and “insta-hot” equipment) located in any kitchenettes or breakrooms within the Building. Notwithstanding anything to the contrary set forth in the Lease, Landlord shall have no obligation to perform any maintenance, repair, or replacement of items that are Landlord’s responsibility pursuant to the Lease, this Section 4(b) or Section 4(i) below if the need for such maintenance, repair or replacement arises as a result of the negligent acts or willful misconduct of Tenant or any Tenant Parties.</w:t>
      </w:r>
    </w:p>
    <w:p>
      <w:pPr>
        <w:spacing w:after="0" w:line="39" w:lineRule="exact"/>
        <w:rPr>
          <w:rFonts w:ascii="Arial" w:cs="Arial" w:eastAsia="Arial" w:hAnsi="Arial"/>
          <w:sz w:val="16"/>
          <w:szCs w:val="16"/>
          <w:color w:val="auto"/>
        </w:rPr>
      </w:pPr>
    </w:p>
    <w:p>
      <w:pPr>
        <w:ind w:left="892" w:hanging="446"/>
        <w:spacing w:after="0"/>
        <w:tabs>
          <w:tab w:leader="none" w:pos="892" w:val="left"/>
        </w:tabs>
        <w:numPr>
          <w:ilvl w:val="1"/>
          <w:numId w:val="50"/>
        </w:numPr>
        <w:rPr>
          <w:rFonts w:ascii="Arial" w:cs="Arial" w:eastAsia="Arial" w:hAnsi="Arial"/>
          <w:sz w:val="16"/>
          <w:szCs w:val="16"/>
          <w:color w:val="auto"/>
        </w:rPr>
      </w:pPr>
      <w:r>
        <w:rPr>
          <w:rFonts w:ascii="Arial" w:cs="Arial" w:eastAsia="Arial" w:hAnsi="Arial"/>
          <w:sz w:val="16"/>
          <w:szCs w:val="16"/>
          <w:b w:val="1"/>
          <w:bCs w:val="1"/>
          <w:color w:val="auto"/>
        </w:rPr>
        <w:t>Shared Electrical Panels</w:t>
      </w:r>
      <w:r>
        <w:rPr>
          <w:rFonts w:ascii="Arial" w:cs="Arial" w:eastAsia="Arial" w:hAnsi="Arial"/>
          <w:sz w:val="16"/>
          <w:szCs w:val="16"/>
          <w:color w:val="auto"/>
        </w:rPr>
        <w:t>. The current configuration of the electrical panels serving the Building, color-coded on page 1 of</w:t>
      </w:r>
      <w:r>
        <w:rPr>
          <w:rFonts w:ascii="Arial" w:cs="Arial" w:eastAsia="Arial" w:hAnsi="Arial"/>
          <w:sz w:val="16"/>
          <w:szCs w:val="16"/>
          <w:b w:val="1"/>
          <w:bCs w:val="1"/>
          <w:color w:val="auto"/>
        </w:rPr>
        <w:t xml:space="preserve"> Exhibit H </w:t>
      </w:r>
      <w:r>
        <w:rPr>
          <w:rFonts w:ascii="Arial" w:cs="Arial" w:eastAsia="Arial" w:hAnsi="Arial"/>
          <w:sz w:val="16"/>
          <w:szCs w:val="16"/>
          <w:color w:val="auto"/>
        </w:rPr>
        <w:t>to show</w:t>
      </w:r>
    </w:p>
    <w:p>
      <w:pPr>
        <w:spacing w:after="0" w:line="44" w:lineRule="exact"/>
        <w:rPr>
          <w:rFonts w:ascii="Arial" w:cs="Arial" w:eastAsia="Arial" w:hAnsi="Arial"/>
          <w:sz w:val="16"/>
          <w:szCs w:val="16"/>
          <w:color w:val="auto"/>
        </w:rPr>
      </w:pPr>
    </w:p>
    <w:p>
      <w:pPr>
        <w:ind w:left="892" w:right="80"/>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(y) the feeds and panels defined in </w:t>
      </w:r>
      <w:r>
        <w:rPr>
          <w:rFonts w:ascii="Arial" w:cs="Arial" w:eastAsia="Arial" w:hAnsi="Arial"/>
          <w:sz w:val="16"/>
          <w:szCs w:val="16"/>
          <w:b w:val="1"/>
          <w:bCs w:val="1"/>
          <w:color w:val="auto"/>
        </w:rPr>
        <w:t>Exhibit G</w:t>
      </w:r>
      <w:r>
        <w:rPr>
          <w:rFonts w:ascii="Arial" w:cs="Arial" w:eastAsia="Arial" w:hAnsi="Arial"/>
          <w:sz w:val="16"/>
          <w:szCs w:val="16"/>
          <w:color w:val="auto"/>
        </w:rPr>
        <w:t xml:space="preserve"> as “</w:t>
      </w:r>
      <w:r>
        <w:rPr>
          <w:rFonts w:ascii="Arial" w:cs="Arial" w:eastAsia="Arial" w:hAnsi="Arial"/>
          <w:sz w:val="16"/>
          <w:szCs w:val="16"/>
          <w:b w:val="1"/>
          <w:bCs w:val="1"/>
          <w:color w:val="auto"/>
        </w:rPr>
        <w:t>Landlord’s Panels</w:t>
      </w:r>
      <w:r>
        <w:rPr>
          <w:rFonts w:ascii="Arial" w:cs="Arial" w:eastAsia="Arial" w:hAnsi="Arial"/>
          <w:sz w:val="16"/>
          <w:szCs w:val="16"/>
          <w:color w:val="auto"/>
        </w:rPr>
        <w:t xml:space="preserve">”, and the breakers and circuits described in </w:t>
      </w:r>
      <w:r>
        <w:rPr>
          <w:rFonts w:ascii="Arial" w:cs="Arial" w:eastAsia="Arial" w:hAnsi="Arial"/>
          <w:sz w:val="16"/>
          <w:szCs w:val="16"/>
          <w:b w:val="1"/>
          <w:bCs w:val="1"/>
          <w:color w:val="auto"/>
        </w:rPr>
        <w:t>Exhibit G</w:t>
      </w:r>
      <w:r>
        <w:rPr>
          <w:rFonts w:ascii="Arial" w:cs="Arial" w:eastAsia="Arial" w:hAnsi="Arial"/>
          <w:sz w:val="16"/>
          <w:szCs w:val="16"/>
          <w:color w:val="auto"/>
        </w:rPr>
        <w:t>, and (z) the feeds and panels for which Tenant is responsible to maintain, repair and replace, defined in Exhibit C as “</w:t>
      </w:r>
      <w:r>
        <w:rPr>
          <w:rFonts w:ascii="Arial" w:cs="Arial" w:eastAsia="Arial" w:hAnsi="Arial"/>
          <w:sz w:val="16"/>
          <w:szCs w:val="16"/>
          <w:b w:val="1"/>
          <w:bCs w:val="1"/>
          <w:color w:val="auto"/>
        </w:rPr>
        <w:t>Tenant’s Panels</w:t>
      </w:r>
      <w:r>
        <w:rPr>
          <w:rFonts w:ascii="Arial" w:cs="Arial" w:eastAsia="Arial" w:hAnsi="Arial"/>
          <w:sz w:val="16"/>
          <w:szCs w:val="16"/>
          <w:color w:val="auto"/>
        </w:rPr>
        <w:t xml:space="preserve">”, and the breakers and circuits described in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is attached hereto as </w:t>
      </w:r>
      <w:r>
        <w:rPr>
          <w:rFonts w:ascii="Arial" w:cs="Arial" w:eastAsia="Arial" w:hAnsi="Arial"/>
          <w:sz w:val="16"/>
          <w:szCs w:val="16"/>
          <w:b w:val="1"/>
          <w:bCs w:val="1"/>
          <w:color w:val="auto"/>
        </w:rPr>
        <w:t>Exhibit H</w:t>
      </w:r>
      <w:r>
        <w:rPr>
          <w:rFonts w:ascii="Arial" w:cs="Arial" w:eastAsia="Arial" w:hAnsi="Arial"/>
          <w:sz w:val="16"/>
          <w:szCs w:val="16"/>
          <w:color w:val="auto"/>
        </w:rPr>
        <w:t xml:space="preserve"> and incorporated by reference herein. Landlord and Tenant agree that, whenever either party modifies a panel for which it is responsible, or installs a new feed, panel, breaker or circuit or replaces a feed, panel, breaker or circuit for which it is responsible, that party shall update </w:t>
      </w:r>
      <w:r>
        <w:rPr>
          <w:rFonts w:ascii="Arial" w:cs="Arial" w:eastAsia="Arial" w:hAnsi="Arial"/>
          <w:sz w:val="16"/>
          <w:szCs w:val="16"/>
          <w:b w:val="1"/>
          <w:bCs w:val="1"/>
          <w:color w:val="auto"/>
        </w:rPr>
        <w:t>Exhibit H</w:t>
      </w:r>
      <w:r>
        <w:rPr>
          <w:rFonts w:ascii="Arial" w:cs="Arial" w:eastAsia="Arial" w:hAnsi="Arial"/>
          <w:sz w:val="16"/>
          <w:szCs w:val="16"/>
          <w:color w:val="auto"/>
        </w:rPr>
        <w:t xml:space="preserve"> to reflect the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4" w:right="239" w:bottom="1440" w:gutter="0" w:footer="0" w:header="0"/>
        </w:sectPr>
      </w:pPr>
    </w:p>
    <w:bookmarkStart w:id="115" w:name="page116"/>
    <w:bookmarkEnd w:id="115"/>
    <w:p>
      <w:pPr>
        <w:ind w:left="7" w:right="20"/>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modification, installation or replacement and deliver a copy of the updated </w:t>
      </w:r>
      <w:r>
        <w:rPr>
          <w:rFonts w:ascii="Arial" w:cs="Arial" w:eastAsia="Arial" w:hAnsi="Arial"/>
          <w:sz w:val="16"/>
          <w:szCs w:val="16"/>
          <w:b w:val="1"/>
          <w:bCs w:val="1"/>
          <w:color w:val="auto"/>
        </w:rPr>
        <w:t>Exhibit H</w:t>
      </w:r>
      <w:r>
        <w:rPr>
          <w:rFonts w:ascii="Arial" w:cs="Arial" w:eastAsia="Arial" w:hAnsi="Arial"/>
          <w:sz w:val="16"/>
          <w:szCs w:val="16"/>
          <w:color w:val="auto"/>
        </w:rPr>
        <w:t xml:space="preserve"> to the other party within twenty (20) days after the date of the modification, installation or replacement. In addition,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shall be deemed to include any panel modification, installation or replacement made by Tenant, and </w:t>
      </w:r>
      <w:r>
        <w:rPr>
          <w:rFonts w:ascii="Arial" w:cs="Arial" w:eastAsia="Arial" w:hAnsi="Arial"/>
          <w:sz w:val="16"/>
          <w:szCs w:val="16"/>
          <w:b w:val="1"/>
          <w:bCs w:val="1"/>
          <w:color w:val="auto"/>
        </w:rPr>
        <w:t>Exhibit G</w:t>
      </w:r>
      <w:r>
        <w:rPr>
          <w:rFonts w:ascii="Arial" w:cs="Arial" w:eastAsia="Arial" w:hAnsi="Arial"/>
          <w:sz w:val="16"/>
          <w:szCs w:val="16"/>
          <w:color w:val="auto"/>
        </w:rPr>
        <w:t xml:space="preserve"> shall be deemed to include any panel modification, installation or replacement made by Landlord.</w:t>
      </w:r>
    </w:p>
    <w:p>
      <w:pPr>
        <w:spacing w:after="0" w:line="22" w:lineRule="exact"/>
        <w:rPr>
          <w:sz w:val="20"/>
          <w:szCs w:val="20"/>
          <w:color w:val="auto"/>
        </w:rPr>
      </w:pPr>
    </w:p>
    <w:p>
      <w:pPr>
        <w:ind w:left="567" w:right="20" w:hanging="567"/>
        <w:spacing w:after="0" w:line="312" w:lineRule="auto"/>
        <w:tabs>
          <w:tab w:leader="none" w:pos="567" w:val="left"/>
        </w:tabs>
        <w:numPr>
          <w:ilvl w:val="0"/>
          <w:numId w:val="51"/>
        </w:numPr>
        <w:rPr>
          <w:rFonts w:ascii="Arial" w:cs="Arial" w:eastAsia="Arial" w:hAnsi="Arial"/>
          <w:sz w:val="15"/>
          <w:szCs w:val="15"/>
          <w:color w:val="auto"/>
        </w:rPr>
      </w:pPr>
      <w:r>
        <w:rPr>
          <w:rFonts w:ascii="Arial" w:cs="Arial" w:eastAsia="Arial" w:hAnsi="Arial"/>
          <w:sz w:val="15"/>
          <w:szCs w:val="15"/>
          <w:u w:val="single" w:color="auto"/>
          <w:color w:val="auto"/>
        </w:rPr>
        <w:t>Repair of Panels</w:t>
      </w:r>
      <w:r>
        <w:rPr>
          <w:rFonts w:ascii="Arial" w:cs="Arial" w:eastAsia="Arial" w:hAnsi="Arial"/>
          <w:sz w:val="15"/>
          <w:szCs w:val="15"/>
          <w:color w:val="auto"/>
        </w:rPr>
        <w:t>. Notwithstanding anything to the contrary contained in the Lease or this Amendment, from and after the Effective Date, in the event of a malfunction of any Landlord’s Panel (or breaker or circuit for which Landlord is responsible) or any Tenant’s Panel (or breaker or circuit for which Tenant is responsible) (such Landlord’s Panel and breakers and circuits and such Tenant’s Panel and breakers and circuits hereinafter collectively shall be referred to as a “</w:t>
      </w:r>
      <w:r>
        <w:rPr>
          <w:rFonts w:ascii="Arial" w:cs="Arial" w:eastAsia="Arial" w:hAnsi="Arial"/>
          <w:sz w:val="15"/>
          <w:szCs w:val="15"/>
          <w:b w:val="1"/>
          <w:bCs w:val="1"/>
          <w:color w:val="auto"/>
        </w:rPr>
        <w:t>Panel</w:t>
      </w:r>
      <w:r>
        <w:rPr>
          <w:rFonts w:ascii="Arial" w:cs="Arial" w:eastAsia="Arial" w:hAnsi="Arial"/>
          <w:sz w:val="15"/>
          <w:szCs w:val="15"/>
          <w:color w:val="auto"/>
        </w:rPr>
        <w:t>” or “</w:t>
      </w:r>
      <w:r>
        <w:rPr>
          <w:rFonts w:ascii="Arial" w:cs="Arial" w:eastAsia="Arial" w:hAnsi="Arial"/>
          <w:sz w:val="15"/>
          <w:szCs w:val="15"/>
          <w:b w:val="1"/>
          <w:bCs w:val="1"/>
          <w:color w:val="auto"/>
        </w:rPr>
        <w:t>Panels</w:t>
      </w:r>
      <w:r>
        <w:rPr>
          <w:rFonts w:ascii="Arial" w:cs="Arial" w:eastAsia="Arial" w:hAnsi="Arial"/>
          <w:sz w:val="15"/>
          <w:szCs w:val="15"/>
          <w:color w:val="auto"/>
        </w:rPr>
        <w:t>”), Tenant shall have its vendor repair or replace the malfunctioning Panel and to restore power to the Building Systems and Tenant’s Special Needs Equipment served by the Panel. Tenant promptly shall notify Landlord of the malfunction and the name of its vendor, but shall not be obligated to use Landlord’s vendor or obtain Landlord’s consent to using its own vendor to repair or replace the malfunctioning Panel; provided that such vendor shall be a licensed electrician.</w:t>
      </w:r>
    </w:p>
    <w:p>
      <w:pPr>
        <w:spacing w:after="0" w:line="24" w:lineRule="exact"/>
        <w:rPr>
          <w:rFonts w:ascii="Arial" w:cs="Arial" w:eastAsia="Arial" w:hAnsi="Arial"/>
          <w:sz w:val="15"/>
          <w:szCs w:val="15"/>
          <w:color w:val="auto"/>
        </w:rPr>
      </w:pPr>
    </w:p>
    <w:p>
      <w:pPr>
        <w:ind w:left="567" w:hanging="567"/>
        <w:spacing w:after="0" w:line="303" w:lineRule="auto"/>
        <w:tabs>
          <w:tab w:leader="none" w:pos="567" w:val="left"/>
        </w:tabs>
        <w:numPr>
          <w:ilvl w:val="0"/>
          <w:numId w:val="51"/>
        </w:numPr>
        <w:rPr>
          <w:rFonts w:ascii="Arial" w:cs="Arial" w:eastAsia="Arial" w:hAnsi="Arial"/>
          <w:sz w:val="15"/>
          <w:szCs w:val="15"/>
          <w:color w:val="auto"/>
        </w:rPr>
      </w:pPr>
      <w:r>
        <w:rPr>
          <w:rFonts w:ascii="Arial" w:cs="Arial" w:eastAsia="Arial" w:hAnsi="Arial"/>
          <w:sz w:val="15"/>
          <w:szCs w:val="15"/>
          <w:u w:val="single" w:color="auto"/>
          <w:color w:val="auto"/>
        </w:rPr>
        <w:t>Reimbursement</w:t>
      </w:r>
      <w:r>
        <w:rPr>
          <w:rFonts w:ascii="Arial" w:cs="Arial" w:eastAsia="Arial" w:hAnsi="Arial"/>
          <w:sz w:val="15"/>
          <w:szCs w:val="15"/>
          <w:color w:val="auto"/>
        </w:rPr>
        <w:t>. In the event that Tenant determines that the repair to be performed by Tenant pursuant to subparagraph (i) above is Landlord’s responsibility to repair pursuant to the terms of this Amendment, Tenant promptly shall notify Landlord of the same in Tenant’s notice delivered pursuant to subparagraph (i) above and shall provide Landlord an estimate of the cost of such work to be performed. Except in the case of an emergency, Landlord shall have the right, by notice to Tenant (which may be oral or by electronic transmission) within a reasonable period of time (but no later than 24 hours after such notice from Tenant) to inspect the Panel to verify that such repair is Landlord’s responsibility and to either approve the estimated cost of such work or, if Landlord disapproves such cost, to have Landlord’s licensed electrician who performs the repairs on Landlord’s Panels provide an estimate to perform such work on Landlord’s behalf if such vendor can perform the work at a lower cost (unless Tenant agrees to pay the cost differential between the vendors). Tenant shall have the right either to have Landlord’s licensed electrician perform the work at the lower cost or to have Tenant’s licensed electrician perform the work, in which case Landlord’s reimbursement shall not exceed the estimate provided by Landlord’s licensed electrician to perform the work. If, Tenant performs any repairs that are Landlord’s responsibility pursuant to this Section, Landlord shall reimburse Tenant for its reasonable and documented third party out-of-pocket costs and expenses in performing such repairs (or the costs and expenses, not to exceed Landlord’s electrician’s estimate, if Tenant elects to proceed pursuant to the preceding sentence) within thirty (30) days after receipt by Landlord of an invoice from Tenant which sets forth a reasonably particularized breakdown of its costs and expenses in connection with performing such repair o or replacement of the malfunctioning Panel required to restore power to the Building Systems and Tenant’s Special Needs Equipment served by the Panel (the “</w:t>
      </w:r>
      <w:r>
        <w:rPr>
          <w:rFonts w:ascii="Arial" w:cs="Arial" w:eastAsia="Arial" w:hAnsi="Arial"/>
          <w:sz w:val="15"/>
          <w:szCs w:val="15"/>
          <w:b w:val="1"/>
          <w:bCs w:val="1"/>
          <w:color w:val="auto"/>
        </w:rPr>
        <w:t>Repair Invoice</w:t>
      </w:r>
      <w:r>
        <w:rPr>
          <w:rFonts w:ascii="Arial" w:cs="Arial" w:eastAsia="Arial" w:hAnsi="Arial"/>
          <w:sz w:val="15"/>
          <w:szCs w:val="15"/>
          <w:color w:val="auto"/>
        </w:rPr>
        <w:t>”); provided, however, that Landlord shall not be obligated to reimburse Tenant for any repair or replacement of any Panel or restoration of power to any Building System or Tenant’s Special Needs Equipment served by the Panel to the extent made necessary by the negligent acts or willful misconduct of Tenant, its agents, employees or contractors, by Tenant’s breach of the Lease, as amended hereby, or by any malfunction or damage caused by Tenant’s equipment or Tenant’s Panels. Notwithstanding the foregoing provisions of this paragraph to the contrary, Landlord may deliver to Tenant within five (5) days after receipt of the Repair Invoice, a written objection to the payment of such invoice, setting forth with reasonable particularity Landlord’s reason for its claim that the repairs were not Landlord’s responsibility pursuant to the terms of this Amendment or, if Landlord did not approve the cost of such work prior to Tenant’s performance of such work (for example, in the event of an emergency), that the charges are excessive (in which case Landlord shall pay the amount it contends would not have been excessive). In such event, if the parties cannot in good faith resolve such dispute within thirty (30) days following Landlord’s objection notice, the dispute may be submitted to arbitration for resolution in accordance with the terms of this Amendment by the American Arbitration Association (the “</w:t>
      </w:r>
      <w:r>
        <w:rPr>
          <w:rFonts w:ascii="Arial" w:cs="Arial" w:eastAsia="Arial" w:hAnsi="Arial"/>
          <w:sz w:val="15"/>
          <w:szCs w:val="15"/>
          <w:b w:val="1"/>
          <w:bCs w:val="1"/>
          <w:color w:val="auto"/>
        </w:rPr>
        <w:t>AAA</w:t>
      </w:r>
      <w:r>
        <w:rPr>
          <w:rFonts w:ascii="Arial" w:cs="Arial" w:eastAsia="Arial" w:hAnsi="Arial"/>
          <w:sz w:val="15"/>
          <w:szCs w:val="15"/>
          <w:color w:val="auto"/>
        </w:rPr>
        <w:t>”) in San Francisco, California, in accordance with the Commercial Arbitration Rules of the AAA in accordance with the “Expedited Procedures” of the AAA’s Commercial Arbitration Rules.</w:t>
      </w:r>
    </w:p>
    <w:p>
      <w:pPr>
        <w:spacing w:after="0" w:line="253" w:lineRule="exact"/>
        <w:rPr>
          <w:rFonts w:ascii="Arial" w:cs="Arial" w:eastAsia="Arial" w:hAnsi="Arial"/>
          <w:sz w:val="15"/>
          <w:szCs w:val="15"/>
          <w:color w:val="auto"/>
        </w:rPr>
      </w:pPr>
    </w:p>
    <w:p>
      <w:pPr>
        <w:ind w:left="567" w:right="240" w:hanging="567"/>
        <w:spacing w:after="0" w:line="291" w:lineRule="auto"/>
        <w:tabs>
          <w:tab w:leader="none" w:pos="567"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No Rent Abatement</w:t>
      </w:r>
      <w:r>
        <w:rPr>
          <w:rFonts w:ascii="Arial" w:cs="Arial" w:eastAsia="Arial" w:hAnsi="Arial"/>
          <w:sz w:val="16"/>
          <w:szCs w:val="16"/>
          <w:color w:val="auto"/>
        </w:rPr>
        <w:t>. If pursuant to this Section 4(c) Tenant exercises the right to repair or replace any malfunctioning Panel and restore service to any Building System or Tenant’s Special Needs Equipment served thereby, Tenant’s right to abatement of Rent as a result of the interruption in service as set forth in Section 14.4 of the Original Lease, “Cessation of Services”, shall not apply; provided, however, that nothing in this Amendment shall be deemed to waive any right or remedy Tenant may have under the Lease if the malfunction and/or interruption is caused by Landlord’s or any of its agents’, employees’ or contractors’ negligence or willful misconduct or a breach of Landlord’s obligations under the Lease, as amended hereby.</w:t>
      </w:r>
    </w:p>
    <w:p>
      <w:pPr>
        <w:spacing w:after="0" w:line="107"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7"/>
          </w:cols>
          <w:pgMar w:left="1153" w:top="274" w:right="239" w:bottom="1440" w:gutter="0" w:footer="0" w:header="0"/>
        </w:sectPr>
      </w:pPr>
    </w:p>
    <w:bookmarkStart w:id="116" w:name="page117"/>
    <w:bookmarkEnd w:id="116"/>
    <w:p>
      <w:pPr>
        <w:ind w:left="446" w:right="40" w:hanging="446"/>
        <w:spacing w:after="0" w:line="291" w:lineRule="auto"/>
        <w:tabs>
          <w:tab w:leader="none" w:pos="446"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Lighting. </w:t>
      </w:r>
      <w:r>
        <w:rPr>
          <w:rFonts w:ascii="Arial" w:cs="Arial" w:eastAsia="Arial" w:hAnsi="Arial"/>
          <w:sz w:val="16"/>
          <w:szCs w:val="16"/>
          <w:color w:val="auto"/>
        </w:rPr>
        <w:t>Notwithstanding anything to the contrary set forth in the Lease, the parties hereby agree, from and after the Effective Date, Tenant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pay the cost of replacing any light bulbs or ballasts that are not “Building standard lighting”. For purposes of this Section “Building standard lighting” is defined as four (4) foot long T8 and T12 fluorescent lamps, which lighting shall be replaced by Landlord as necessary at its sole cost and expense in accordance with the Lease. For all other bulbs and ballasts used in the Premises by Tenant, Tenant shall specify and request such specialty bulbs and ballasts, Landlord shall provide the special bulbs and ballasts, and Tenant shall reimburse Landlord for the difference between the cost to Landlord for the Building standard lighting and the cost to Landlord for the special bulbs and ballasts. Tenant shall not be required to pay any labor costs associated with the replacement of any Building standard or non-Building standard lighting.</w:t>
      </w:r>
    </w:p>
    <w:p>
      <w:pPr>
        <w:spacing w:after="0" w:line="32" w:lineRule="exact"/>
        <w:rPr>
          <w:rFonts w:ascii="Arial" w:cs="Arial" w:eastAsia="Arial" w:hAnsi="Arial"/>
          <w:sz w:val="16"/>
          <w:szCs w:val="16"/>
          <w:color w:val="auto"/>
        </w:rPr>
      </w:pPr>
    </w:p>
    <w:p>
      <w:pPr>
        <w:ind w:left="446" w:right="20" w:hanging="446"/>
        <w:spacing w:after="0" w:line="255" w:lineRule="auto"/>
        <w:tabs>
          <w:tab w:leader="none" w:pos="446"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Janitorial. </w:t>
      </w:r>
      <w:r>
        <w:rPr>
          <w:rFonts w:ascii="Arial" w:cs="Arial" w:eastAsia="Arial" w:hAnsi="Arial"/>
          <w:sz w:val="18"/>
          <w:szCs w:val="18"/>
          <w:color w:val="auto"/>
        </w:rPr>
        <w:t>From and after the Effective Date, Landlord shall use commercially reasonable efforts to implement any additional recycling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“green” cleaning specifications of Tenant, as described in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attached hereto, provided that any additional costs associated with such cleaning specifications in excess of the cost of the standard janitorial specifications (as set forth in the Lease) being paid by Landlord as of the date hereof shall be paid by Tenant. In addition, from and after the Effective Date, Tenant shall be responsible for any additional cleaning costs and all other costs which may arise from the presence of dogs in the Building in excess of the costs that would have been incurred had dogs not been allowed in or around the Building.</w:t>
      </w:r>
    </w:p>
    <w:p>
      <w:pPr>
        <w:spacing w:after="0" w:line="58" w:lineRule="exact"/>
        <w:rPr>
          <w:rFonts w:ascii="Arial" w:cs="Arial" w:eastAsia="Arial" w:hAnsi="Arial"/>
          <w:sz w:val="18"/>
          <w:szCs w:val="18"/>
          <w:color w:val="auto"/>
        </w:rPr>
      </w:pPr>
    </w:p>
    <w:p>
      <w:pPr>
        <w:ind w:left="446" w:right="20" w:hanging="446"/>
        <w:spacing w:after="0" w:line="296" w:lineRule="auto"/>
        <w:tabs>
          <w:tab w:leader="none" w:pos="446"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Water. </w:t>
      </w:r>
      <w:r>
        <w:rPr>
          <w:rFonts w:ascii="Arial" w:cs="Arial" w:eastAsia="Arial" w:hAnsi="Arial"/>
          <w:sz w:val="16"/>
          <w:szCs w:val="16"/>
          <w:color w:val="auto"/>
        </w:rPr>
        <w:t>From and after the Effective Date, Tenant shall pay as Rent fifty percent (50%) of the actual cost of domestic water and fifty percent (50%) of</w:t>
      </w:r>
      <w:r>
        <w:rPr>
          <w:rFonts w:ascii="Arial" w:cs="Arial" w:eastAsia="Arial" w:hAnsi="Arial"/>
          <w:sz w:val="16"/>
          <w:szCs w:val="16"/>
          <w:b w:val="1"/>
          <w:bCs w:val="1"/>
          <w:color w:val="auto"/>
        </w:rPr>
        <w:t xml:space="preserve"> </w:t>
      </w:r>
      <w:r>
        <w:rPr>
          <w:rFonts w:ascii="Arial" w:cs="Arial" w:eastAsia="Arial" w:hAnsi="Arial"/>
          <w:sz w:val="16"/>
          <w:szCs w:val="16"/>
          <w:color w:val="auto"/>
        </w:rPr>
        <w:t>the non-potable water furnished to the Building during the Term of the Lease (as the same may be further extended), but Tenant shall have no obligation to pay for non-potable water used for landscaping purposes. Landlord shall furnish Tenant with a copy of each such water bill promptly and on a monthly basis, and Tenant shall be responsible for paying fifty percent (50%) of such water bills for domestic water and non-potable water (excluding non-potable water for landscaping) in accordance with Section 4(j) below.</w:t>
      </w:r>
    </w:p>
    <w:p>
      <w:pPr>
        <w:spacing w:after="0" w:line="26" w:lineRule="exact"/>
        <w:rPr>
          <w:rFonts w:ascii="Arial" w:cs="Arial" w:eastAsia="Arial" w:hAnsi="Arial"/>
          <w:sz w:val="16"/>
          <w:szCs w:val="16"/>
          <w:color w:val="auto"/>
        </w:rPr>
      </w:pPr>
    </w:p>
    <w:p>
      <w:pPr>
        <w:ind w:left="446" w:hanging="446"/>
        <w:spacing w:after="0" w:line="289" w:lineRule="auto"/>
        <w:tabs>
          <w:tab w:leader="none" w:pos="446"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HVAC Usage. </w:t>
      </w:r>
      <w:r>
        <w:rPr>
          <w:rFonts w:ascii="Arial" w:cs="Arial" w:eastAsia="Arial" w:hAnsi="Arial"/>
          <w:sz w:val="16"/>
          <w:szCs w:val="16"/>
          <w:color w:val="auto"/>
        </w:rPr>
        <w:t>Pursuant to the Lease, Tenant is required to pay for excess and after-hours heating, ventilation and air conditioning (“</w:t>
      </w:r>
      <w:r>
        <w:rPr>
          <w:rFonts w:ascii="Arial" w:cs="Arial" w:eastAsia="Arial" w:hAnsi="Arial"/>
          <w:sz w:val="16"/>
          <w:szCs w:val="16"/>
          <w:b w:val="1"/>
          <w:bCs w:val="1"/>
          <w:color w:val="auto"/>
        </w:rPr>
        <w:t>HVAC</w:t>
      </w:r>
      <w:r>
        <w:rPr>
          <w:rFonts w:ascii="Arial" w:cs="Arial" w:eastAsia="Arial" w:hAnsi="Arial"/>
          <w:sz w:val="16"/>
          <w:szCs w:val="16"/>
          <w:color w:val="auto"/>
        </w:rPr>
        <w:t>”)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usage beyond the hours of 8:00 am to 6:00 pm, Monday through Friday. During such hours and any after-hours use the temperatures in the Premises shall be between the ranges set forth in Section 14.1.3 of the Original Lease. From and after the Effective Date and continuing throughout the Term (as the same may be further extended), Tenant shall pay as additional Rent $40.00 per hour for each Building HVAC Unit on and running after hours for such after-hour HVAC usage. The hourly rate set forth above shall increase at such times and in such amounts as the hourly rate is increased by owners of other Comparable Buildings during the Term (as the same may be further extended). Tenant shall provide Landlord and its agents with “read-only” reasonable access to Tenant’s BMS system as of January 1, 2010, and commencing as of the Effective Date, copies of any related reports with respect to Tenant’s usage of the Building HVAC Units, for Landlord to verify the actual hours of HVAC usage, which access and reports shall be provided upon not less than five (5) business days’ prior notice (which may be oral) from Landlord.</w:t>
      </w:r>
    </w:p>
    <w:p>
      <w:pPr>
        <w:spacing w:after="0" w:line="31" w:lineRule="exact"/>
        <w:rPr>
          <w:rFonts w:ascii="Arial" w:cs="Arial" w:eastAsia="Arial" w:hAnsi="Arial"/>
          <w:sz w:val="16"/>
          <w:szCs w:val="16"/>
          <w:color w:val="auto"/>
        </w:rPr>
      </w:pPr>
    </w:p>
    <w:p>
      <w:pPr>
        <w:ind w:left="446" w:right="20" w:hanging="446"/>
        <w:spacing w:after="0" w:line="275" w:lineRule="auto"/>
        <w:tabs>
          <w:tab w:leader="none" w:pos="446"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Elevator. </w:t>
      </w:r>
      <w:r>
        <w:rPr>
          <w:rFonts w:ascii="Arial" w:cs="Arial" w:eastAsia="Arial" w:hAnsi="Arial"/>
          <w:sz w:val="18"/>
          <w:szCs w:val="18"/>
          <w:color w:val="auto"/>
        </w:rPr>
        <w:t>From and after the Effective Date, Landlord, at Landlord’s sole cost, shall provide 24/7 emergency phone answering and mandated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inspections for the elevator serving the Building.</w:t>
      </w:r>
    </w:p>
    <w:p>
      <w:pPr>
        <w:spacing w:after="0" w:line="38" w:lineRule="exact"/>
        <w:rPr>
          <w:rFonts w:ascii="Arial" w:cs="Arial" w:eastAsia="Arial" w:hAnsi="Arial"/>
          <w:sz w:val="18"/>
          <w:szCs w:val="18"/>
          <w:color w:val="auto"/>
        </w:rPr>
      </w:pPr>
    </w:p>
    <w:p>
      <w:pPr>
        <w:ind w:left="446" w:right="20" w:hanging="446"/>
        <w:spacing w:after="0" w:line="287" w:lineRule="auto"/>
        <w:tabs>
          <w:tab w:leader="none" w:pos="446"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Thermostat Controls. </w:t>
      </w:r>
      <w:r>
        <w:rPr>
          <w:rFonts w:ascii="Arial" w:cs="Arial" w:eastAsia="Arial" w:hAnsi="Arial"/>
          <w:sz w:val="16"/>
          <w:szCs w:val="16"/>
          <w:color w:val="auto"/>
        </w:rPr>
        <w:t>In addition to Tenant’s obligations set forth in Section 4(a) above, Tenant shall, as a part of the Phase I Tenant Alterations,</w:t>
      </w:r>
      <w:r>
        <w:rPr>
          <w:rFonts w:ascii="Arial" w:cs="Arial" w:eastAsia="Arial" w:hAnsi="Arial"/>
          <w:sz w:val="16"/>
          <w:szCs w:val="16"/>
          <w:b w:val="1"/>
          <w:bCs w:val="1"/>
          <w:color w:val="auto"/>
        </w:rPr>
        <w:t xml:space="preserve"> </w:t>
      </w:r>
      <w:r>
        <w:rPr>
          <w:rFonts w:ascii="Arial" w:cs="Arial" w:eastAsia="Arial" w:hAnsi="Arial"/>
          <w:sz w:val="16"/>
          <w:szCs w:val="16"/>
          <w:color w:val="auto"/>
        </w:rPr>
        <w:t>replace all of the wall-mounted thermostat controls serving the Premises with digital thermostat controls that can be adjusted only by way of programming by Tenant’s designated employees or contractors and which cannot be adjusted manually in any room (collectively, the “</w:t>
      </w:r>
      <w:r>
        <w:rPr>
          <w:rFonts w:ascii="Arial" w:cs="Arial" w:eastAsia="Arial" w:hAnsi="Arial"/>
          <w:sz w:val="16"/>
          <w:szCs w:val="16"/>
          <w:b w:val="1"/>
          <w:bCs w:val="1"/>
          <w:color w:val="auto"/>
        </w:rPr>
        <w:t>Replacement</w:t>
      </w:r>
      <w:r>
        <w:rPr>
          <w:rFonts w:ascii="Arial" w:cs="Arial" w:eastAsia="Arial" w:hAnsi="Arial"/>
          <w:sz w:val="16"/>
          <w:szCs w:val="16"/>
          <w:color w:val="auto"/>
        </w:rPr>
        <w:t xml:space="preserve"> </w:t>
      </w:r>
      <w:r>
        <w:rPr>
          <w:rFonts w:ascii="Arial" w:cs="Arial" w:eastAsia="Arial" w:hAnsi="Arial"/>
          <w:sz w:val="16"/>
          <w:szCs w:val="16"/>
          <w:b w:val="1"/>
          <w:bCs w:val="1"/>
          <w:color w:val="auto"/>
        </w:rPr>
        <w:t>Thermostat Controls</w:t>
      </w:r>
      <w:r>
        <w:rPr>
          <w:rFonts w:ascii="Arial" w:cs="Arial" w:eastAsia="Arial" w:hAnsi="Arial"/>
          <w:sz w:val="16"/>
          <w:szCs w:val="16"/>
          <w:color w:val="auto"/>
        </w:rPr>
        <w:t>”). The type of Replacement Thermostat Controls, as well as the vendor installing such Replacement Thermostat Controls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subject to Landlord’s prior written consent, which shall not be unreasonably withheld, conditioned or delayed and shall be granted or denied within the same time frames and through the same procedures as set forth in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with respect to Landlord’s review and approval of the Space Plans for the Phase I Alterations (as such terms are defined in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Tenant shall use commercially reasonable efforts to install all of the Replacement Thermostat Controls within four (4) months following the Effective Date, but Tenant shall not be penalized if the installation has not been completed within four (4) months. Tenant shall provide Landlord written notice promptly upon completion of the installation of all Replacement Thermostat Controls and provide Landlord reasonable access to inspect the same within five (5) business days following such installation. Provided that Tenant has provided Landlord with access to perform such inspection, if Landlord has not inspected the Replacement Thermostat Controls within the five (5)- business day period, Landlord shall be deemed to have</w:t>
      </w:r>
    </w:p>
    <w:p>
      <w:pPr>
        <w:spacing w:after="0" w:line="10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6"/>
          </w:cols>
          <w:pgMar w:left="694" w:top="274" w:right="239" w:bottom="1440" w:gutter="0" w:footer="0" w:header="0"/>
        </w:sectPr>
      </w:pPr>
    </w:p>
    <w:bookmarkStart w:id="117" w:name="page118"/>
    <w:bookmarkEnd w:id="117"/>
    <w:p>
      <w:pPr>
        <w:ind w:left="912" w:right="60"/>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waived its inspection rights. From and after the date that Landlord inspects (or is deemed to have inspected) the Replacement Thermostat Controls, Landlord shall be responsible for the repair and maintenance of such Replacement Thermostat controls. Following the installation of the Replacement Thermostat Controls, Tenant shall use commercially reasonable efforts to ensure that the Replacement Thermostat Controls shall be accessed and/or programmed only by designated employees or contractors of Tenant responsible for making appropriate adjustments to the Replacement Thermostat Controls, and no other Tenant Parties shall have access to make any adjustments, or otherwise modify or tamper with the Replacement Thermostat Controls. Notwithstanding anything to the contrary set forth in this Amendment or in the Lease, until such time as Tenant installs all of the Replacement Thermostat Controls in accordance with this Section, effective as of the Effective Date, Landlord agrees to pay an amount not to exceed $4,000.00 in the aggregate over the four (4)- month period commencing with the Effective Date for the cost of performing any required repairs to existing malfunctioning thermostat controls serving the Premises. After the earliest to occur of (i) the last day of the four (4)-month period, or (ii) the date that Landlord has incurred $4,000.00 in costs to repair existing malfunctioning thermostat controls, any repair or replacement thereof from such date until the date that the Replacement Thermostat Controls have been installed shall performed by Landlord at Tenant’s cost, payable by Tenant as additional Rent in accordance with Section 4(j) below. For avoidance of doubt, Tenant shall have the right, but not the obligation, to use either its own funds or all or any portion of the Phase I Allowance to install the Replacement Thermostat Controls.</w:t>
      </w:r>
    </w:p>
    <w:p>
      <w:pPr>
        <w:spacing w:after="0" w:line="25" w:lineRule="exact"/>
        <w:rPr>
          <w:sz w:val="20"/>
          <w:szCs w:val="20"/>
          <w:color w:val="auto"/>
        </w:rPr>
      </w:pPr>
    </w:p>
    <w:p>
      <w:pPr>
        <w:jc w:val="both"/>
        <w:ind w:left="892" w:hanging="446"/>
        <w:spacing w:after="0" w:line="262" w:lineRule="auto"/>
        <w:tabs>
          <w:tab w:leader="none" w:pos="892" w:val="left"/>
        </w:tabs>
        <w:numPr>
          <w:ilvl w:val="1"/>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Payment. </w:t>
      </w:r>
      <w:r>
        <w:rPr>
          <w:rFonts w:ascii="Arial" w:cs="Arial" w:eastAsia="Arial" w:hAnsi="Arial"/>
          <w:sz w:val="18"/>
          <w:szCs w:val="18"/>
          <w:color w:val="auto"/>
        </w:rPr>
        <w:t>Not later than thirty (30) days following delivery to Tenant of Landlord’s invoice for the same, together with reasonably supporting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invoices and/or utility bills (as applicable), Tenant shall pay to Landlord the additional costs and expenses payable pursuant to this Section 4 and such amounts shall constitute Rent under the Lease.</w:t>
      </w:r>
    </w:p>
    <w:p>
      <w:pPr>
        <w:spacing w:after="0" w:line="253" w:lineRule="exact"/>
        <w:rPr>
          <w:rFonts w:ascii="Arial" w:cs="Arial" w:eastAsia="Arial" w:hAnsi="Arial"/>
          <w:sz w:val="18"/>
          <w:szCs w:val="18"/>
          <w:color w:val="auto"/>
        </w:rPr>
      </w:pPr>
    </w:p>
    <w:p>
      <w:pPr>
        <w:ind w:left="452" w:hanging="452"/>
        <w:spacing w:after="0"/>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Options to Renew</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320" w:hanging="446"/>
        <w:spacing w:after="0" w:line="301" w:lineRule="auto"/>
        <w:tabs>
          <w:tab w:leader="none" w:pos="892" w:val="left"/>
        </w:tabs>
        <w:numPr>
          <w:ilvl w:val="1"/>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Grant of Option. </w:t>
      </w:r>
      <w:r>
        <w:rPr>
          <w:rFonts w:ascii="Arial" w:cs="Arial" w:eastAsia="Arial" w:hAnsi="Arial"/>
          <w:sz w:val="16"/>
          <w:szCs w:val="16"/>
          <w:color w:val="auto"/>
        </w:rPr>
        <w:t>Tenant shall have the right to extend the Term (each a “</w:t>
      </w:r>
      <w:r>
        <w:rPr>
          <w:rFonts w:ascii="Arial" w:cs="Arial" w:eastAsia="Arial" w:hAnsi="Arial"/>
          <w:sz w:val="16"/>
          <w:szCs w:val="16"/>
          <w:b w:val="1"/>
          <w:bCs w:val="1"/>
          <w:color w:val="auto"/>
        </w:rPr>
        <w:t>Renewal Option</w:t>
      </w:r>
      <w:r>
        <w:rPr>
          <w:rFonts w:ascii="Arial" w:cs="Arial" w:eastAsia="Arial" w:hAnsi="Arial"/>
          <w:sz w:val="16"/>
          <w:szCs w:val="16"/>
          <w:color w:val="auto"/>
        </w:rPr>
        <w:t>”) as to the entire Premises only for two (2)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of five (5) years each (each, a “</w:t>
      </w:r>
      <w:r>
        <w:rPr>
          <w:rFonts w:ascii="Arial" w:cs="Arial" w:eastAsia="Arial" w:hAnsi="Arial"/>
          <w:sz w:val="16"/>
          <w:szCs w:val="16"/>
          <w:b w:val="1"/>
          <w:bCs w:val="1"/>
          <w:color w:val="auto"/>
        </w:rPr>
        <w:t>Renewal Term</w:t>
      </w:r>
      <w:r>
        <w:rPr>
          <w:rFonts w:ascii="Arial" w:cs="Arial" w:eastAsia="Arial" w:hAnsi="Arial"/>
          <w:sz w:val="16"/>
          <w:szCs w:val="16"/>
          <w:color w:val="auto"/>
        </w:rPr>
        <w:t>”), the first such Renewal Term commencing on the day following the Second Extended Termination Date and ending on the fifth (5th) anniversary of the Second Extended Termination Date and the second such Renewal Term commencing on the day following the last day of the first Renewal Term and ending on the fifth (5th) anniversary thereof, if:</w:t>
      </w:r>
    </w:p>
    <w:p>
      <w:pPr>
        <w:spacing w:after="0" w:line="22" w:lineRule="exact"/>
        <w:rPr>
          <w:rFonts w:ascii="Arial" w:cs="Arial" w:eastAsia="Arial" w:hAnsi="Arial"/>
          <w:sz w:val="16"/>
          <w:szCs w:val="16"/>
          <w:color w:val="auto"/>
        </w:rPr>
      </w:pPr>
    </w:p>
    <w:p>
      <w:pPr>
        <w:ind w:left="1472" w:right="120" w:hanging="567"/>
        <w:spacing w:after="0" w:line="262" w:lineRule="auto"/>
        <w:tabs>
          <w:tab w:leader="none" w:pos="1472" w:val="left"/>
        </w:tabs>
        <w:numPr>
          <w:ilvl w:val="2"/>
          <w:numId w:val="54"/>
        </w:numPr>
        <w:rPr>
          <w:rFonts w:ascii="Arial" w:cs="Arial" w:eastAsia="Arial" w:hAnsi="Arial"/>
          <w:sz w:val="18"/>
          <w:szCs w:val="18"/>
          <w:color w:val="auto"/>
        </w:rPr>
      </w:pPr>
      <w:r>
        <w:rPr>
          <w:rFonts w:ascii="Arial" w:cs="Arial" w:eastAsia="Arial" w:hAnsi="Arial"/>
          <w:sz w:val="18"/>
          <w:szCs w:val="18"/>
          <w:color w:val="auto"/>
        </w:rPr>
        <w:t>Landlord receives notice of exercise (“</w:t>
      </w:r>
      <w:r>
        <w:rPr>
          <w:rFonts w:ascii="Arial" w:cs="Arial" w:eastAsia="Arial" w:hAnsi="Arial"/>
          <w:sz w:val="18"/>
          <w:szCs w:val="18"/>
          <w:b w:val="1"/>
          <w:bCs w:val="1"/>
          <w:color w:val="auto"/>
        </w:rPr>
        <w:t>Initial Renewal Notice</w:t>
      </w:r>
      <w:r>
        <w:rPr>
          <w:rFonts w:ascii="Arial" w:cs="Arial" w:eastAsia="Arial" w:hAnsi="Arial"/>
          <w:sz w:val="18"/>
          <w:szCs w:val="18"/>
          <w:color w:val="auto"/>
        </w:rPr>
        <w:t>”) not less than twelve (12) full calendar months prior to the expiration of the Second Extended Term or the first Renewal Term, as the case may be, and not more than fifteen (15) full calendar months prior to the expiration of the Second Extended Term or the first Renewal Term, as the case may be; and</w:t>
      </w:r>
    </w:p>
    <w:p>
      <w:pPr>
        <w:spacing w:after="0" w:line="57" w:lineRule="exact"/>
        <w:rPr>
          <w:rFonts w:ascii="Arial" w:cs="Arial" w:eastAsia="Arial" w:hAnsi="Arial"/>
          <w:sz w:val="18"/>
          <w:szCs w:val="18"/>
          <w:color w:val="auto"/>
        </w:rPr>
      </w:pPr>
    </w:p>
    <w:p>
      <w:pPr>
        <w:ind w:left="1472" w:right="140" w:hanging="567"/>
        <w:spacing w:after="0" w:line="268" w:lineRule="auto"/>
        <w:tabs>
          <w:tab w:leader="none" w:pos="1472" w:val="left"/>
        </w:tabs>
        <w:numPr>
          <w:ilvl w:val="2"/>
          <w:numId w:val="54"/>
        </w:numPr>
        <w:rPr>
          <w:rFonts w:ascii="Arial" w:cs="Arial" w:eastAsia="Arial" w:hAnsi="Arial"/>
          <w:sz w:val="18"/>
          <w:szCs w:val="18"/>
          <w:color w:val="auto"/>
        </w:rPr>
      </w:pPr>
      <w:r>
        <w:rPr>
          <w:rFonts w:ascii="Arial" w:cs="Arial" w:eastAsia="Arial" w:hAnsi="Arial"/>
          <w:sz w:val="18"/>
          <w:szCs w:val="18"/>
          <w:color w:val="auto"/>
        </w:rPr>
        <w:t>Tenant is not in default under the Lease, as amended hereby, beyond any applicable notice and cure periods, at the time that Tenant delivers its Initial Renewal Notice or at the time Tenant delivers its Binding Notice (as defined below); and</w:t>
      </w:r>
    </w:p>
    <w:p>
      <w:pPr>
        <w:spacing w:after="0" w:line="50" w:lineRule="exact"/>
        <w:rPr>
          <w:rFonts w:ascii="Arial" w:cs="Arial" w:eastAsia="Arial" w:hAnsi="Arial"/>
          <w:sz w:val="18"/>
          <w:szCs w:val="18"/>
          <w:color w:val="auto"/>
        </w:rPr>
      </w:pPr>
    </w:p>
    <w:p>
      <w:pPr>
        <w:ind w:left="1472" w:right="140" w:hanging="567"/>
        <w:spacing w:after="0" w:line="268" w:lineRule="auto"/>
        <w:tabs>
          <w:tab w:leader="none" w:pos="1472"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Lease, as amended hereby, has not been assigned (other than pursuant to Section 6.2 of the Original Lease) prior to the date that Tenant delivers its Initial Renewal Notice or prior to the date Tenant delivers its Binding Notice.</w:t>
      </w:r>
    </w:p>
    <w:p>
      <w:pPr>
        <w:spacing w:after="0" w:line="50" w:lineRule="exact"/>
        <w:rPr>
          <w:rFonts w:ascii="Arial" w:cs="Arial" w:eastAsia="Arial" w:hAnsi="Arial"/>
          <w:sz w:val="18"/>
          <w:szCs w:val="18"/>
          <w:color w:val="auto"/>
        </w:rPr>
      </w:pPr>
    </w:p>
    <w:p>
      <w:pPr>
        <w:ind w:left="1472" w:hanging="567"/>
        <w:spacing w:after="0"/>
        <w:tabs>
          <w:tab w:leader="none" w:pos="1472" w:val="left"/>
        </w:tabs>
        <w:numPr>
          <w:ilvl w:val="2"/>
          <w:numId w:val="54"/>
        </w:numPr>
        <w:rPr>
          <w:rFonts w:ascii="Arial" w:cs="Arial" w:eastAsia="Arial" w:hAnsi="Arial"/>
          <w:sz w:val="18"/>
          <w:szCs w:val="18"/>
          <w:color w:val="auto"/>
        </w:rPr>
      </w:pPr>
      <w:r>
        <w:rPr>
          <w:rFonts w:ascii="Arial" w:cs="Arial" w:eastAsia="Arial" w:hAnsi="Arial"/>
          <w:sz w:val="18"/>
          <w:szCs w:val="18"/>
          <w:color w:val="auto"/>
        </w:rPr>
        <w:t>With respect to the second Renewal Option, Tenant validly exercised its first Renewal Option.</w:t>
      </w:r>
    </w:p>
    <w:p>
      <w:pPr>
        <w:spacing w:after="0" w:line="286" w:lineRule="exact"/>
        <w:rPr>
          <w:rFonts w:ascii="Arial" w:cs="Arial" w:eastAsia="Arial" w:hAnsi="Arial"/>
          <w:sz w:val="18"/>
          <w:szCs w:val="18"/>
          <w:color w:val="auto"/>
        </w:rPr>
      </w:pPr>
    </w:p>
    <w:p>
      <w:pPr>
        <w:ind w:left="892" w:hanging="446"/>
        <w:spacing w:after="0"/>
        <w:tabs>
          <w:tab w:leader="none" w:pos="892" w:val="left"/>
        </w:tabs>
        <w:numPr>
          <w:ilvl w:val="1"/>
          <w:numId w:val="54"/>
        </w:numPr>
        <w:rPr>
          <w:rFonts w:ascii="Arial" w:cs="Arial" w:eastAsia="Arial" w:hAnsi="Arial"/>
          <w:sz w:val="18"/>
          <w:szCs w:val="18"/>
          <w:color w:val="auto"/>
        </w:rPr>
      </w:pPr>
      <w:r>
        <w:rPr>
          <w:rFonts w:ascii="Arial" w:cs="Arial" w:eastAsia="Arial" w:hAnsi="Arial"/>
          <w:sz w:val="18"/>
          <w:szCs w:val="18"/>
          <w:b w:val="1"/>
          <w:bCs w:val="1"/>
          <w:color w:val="auto"/>
        </w:rPr>
        <w:t>Terms Applicable to Premises During Each Renewal Term</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472" w:right="60" w:hanging="567"/>
        <w:spacing w:after="0" w:line="298" w:lineRule="auto"/>
        <w:tabs>
          <w:tab w:leader="none" w:pos="1472" w:val="left"/>
        </w:tabs>
        <w:numPr>
          <w:ilvl w:val="2"/>
          <w:numId w:val="54"/>
        </w:numPr>
        <w:rPr>
          <w:rFonts w:ascii="Arial" w:cs="Arial" w:eastAsia="Arial" w:hAnsi="Arial"/>
          <w:sz w:val="16"/>
          <w:szCs w:val="16"/>
          <w:color w:val="auto"/>
        </w:rPr>
      </w:pPr>
      <w:r>
        <w:rPr>
          <w:rFonts w:ascii="Arial" w:cs="Arial" w:eastAsia="Arial" w:hAnsi="Arial"/>
          <w:sz w:val="16"/>
          <w:szCs w:val="16"/>
          <w:color w:val="auto"/>
        </w:rPr>
        <w:t>The initial Base Rent rate per rentable square foot for the Premises during a Renewal Term shall equal ninety-four percent (94%) of the Prevailing Market rate (hereinafter defined) per rentable square foot for the Premises. Base Rent during each Renewal Term shall increase in accordance with the increases assumed in the determination of Prevailing Market rate. Base Rent attributable to the Premises shall be payable in monthly installments in accordance with the terms and conditions of the Lease, as amended hereby.</w:t>
      </w:r>
    </w:p>
    <w:p>
      <w:pPr>
        <w:spacing w:after="0" w:line="31" w:lineRule="exact"/>
        <w:rPr>
          <w:rFonts w:ascii="Arial" w:cs="Arial" w:eastAsia="Arial" w:hAnsi="Arial"/>
          <w:sz w:val="16"/>
          <w:szCs w:val="16"/>
          <w:color w:val="auto"/>
        </w:rPr>
      </w:pPr>
    </w:p>
    <w:p>
      <w:pPr>
        <w:ind w:left="1472" w:right="60" w:hanging="567"/>
        <w:spacing w:after="0" w:line="256" w:lineRule="auto"/>
        <w:tabs>
          <w:tab w:leader="none" w:pos="1472" w:val="left"/>
        </w:tabs>
        <w:numPr>
          <w:ilvl w:val="2"/>
          <w:numId w:val="54"/>
        </w:numPr>
        <w:rPr>
          <w:rFonts w:ascii="Arial" w:cs="Arial" w:eastAsia="Arial" w:hAnsi="Arial"/>
          <w:sz w:val="18"/>
          <w:szCs w:val="18"/>
          <w:color w:val="auto"/>
        </w:rPr>
      </w:pPr>
      <w:r>
        <w:rPr>
          <w:rFonts w:ascii="Arial" w:cs="Arial" w:eastAsia="Arial" w:hAnsi="Arial"/>
          <w:sz w:val="18"/>
          <w:szCs w:val="18"/>
          <w:color w:val="auto"/>
        </w:rPr>
        <w:t>Tenant shall pay all other Rent and other amounts payable under the Lease, as amended hereby (such as the costs of all electricity and gas, fifty percent (50%) of the cost of domestic and non-potable water (excluding non-potable water used for landscaping) as describe in Section 4(f) above and the cost of after-hours HVAC) for the Premises during each Renewal Term in accordance with the terms of the Lease, as amended hereby.</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80" w:right="239" w:bottom="1440" w:gutter="0" w:footer="0" w:header="0"/>
        </w:sectPr>
      </w:pPr>
    </w:p>
    <w:bookmarkStart w:id="118" w:name="page119"/>
    <w:bookmarkEnd w:id="118"/>
    <w:p>
      <w:pPr>
        <w:ind w:left="1026" w:right="80" w:hanging="567"/>
        <w:spacing w:after="0" w:line="268" w:lineRule="auto"/>
        <w:tabs>
          <w:tab w:leader="none" w:pos="1026" w:val="left"/>
        </w:tabs>
        <w:numPr>
          <w:ilvl w:val="1"/>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Premises (including improvements and personalty, if any) shall be accepted by Tenant in its “as-built” condition and configuration as of the date each Renewal Term commences.</w:t>
      </w:r>
    </w:p>
    <w:p>
      <w:pPr>
        <w:spacing w:after="0" w:line="44" w:lineRule="exact"/>
        <w:rPr>
          <w:rFonts w:ascii="Arial" w:cs="Arial" w:eastAsia="Arial" w:hAnsi="Arial"/>
          <w:sz w:val="18"/>
          <w:szCs w:val="18"/>
          <w:color w:val="auto"/>
        </w:rPr>
      </w:pPr>
    </w:p>
    <w:p>
      <w:pPr>
        <w:ind w:left="446" w:hanging="446"/>
        <w:spacing w:after="0" w:line="285" w:lineRule="auto"/>
        <w:tabs>
          <w:tab w:leader="none" w:pos="446"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Initial Procedure for Determining Prevailing Market</w:t>
      </w:r>
      <w:r>
        <w:rPr>
          <w:rFonts w:ascii="Arial" w:cs="Arial" w:eastAsia="Arial" w:hAnsi="Arial"/>
          <w:sz w:val="16"/>
          <w:szCs w:val="16"/>
          <w:color w:val="auto"/>
        </w:rPr>
        <w:t>. Within thirty (30) days after receipt of Tenant’s Initial Renewal Notice, Landlord shall</w:t>
      </w:r>
      <w:r>
        <w:rPr>
          <w:rFonts w:ascii="Arial" w:cs="Arial" w:eastAsia="Arial" w:hAnsi="Arial"/>
          <w:sz w:val="16"/>
          <w:szCs w:val="16"/>
          <w:b w:val="1"/>
          <w:bCs w:val="1"/>
          <w:color w:val="auto"/>
        </w:rPr>
        <w:t xml:space="preserve"> </w:t>
      </w:r>
      <w:r>
        <w:rPr>
          <w:rFonts w:ascii="Arial" w:cs="Arial" w:eastAsia="Arial" w:hAnsi="Arial"/>
          <w:sz w:val="16"/>
          <w:szCs w:val="16"/>
          <w:color w:val="auto"/>
        </w:rPr>
        <w:t>advise Tenant in writing (“</w:t>
      </w:r>
      <w:r>
        <w:rPr>
          <w:rFonts w:ascii="Arial" w:cs="Arial" w:eastAsia="Arial" w:hAnsi="Arial"/>
          <w:sz w:val="16"/>
          <w:szCs w:val="16"/>
          <w:b w:val="1"/>
          <w:bCs w:val="1"/>
          <w:color w:val="auto"/>
        </w:rPr>
        <w:t>Landlord’s Notice</w:t>
      </w:r>
      <w:r>
        <w:rPr>
          <w:rFonts w:ascii="Arial" w:cs="Arial" w:eastAsia="Arial" w:hAnsi="Arial"/>
          <w:sz w:val="16"/>
          <w:szCs w:val="16"/>
          <w:color w:val="auto"/>
        </w:rPr>
        <w:t>”) of Landlord’s good faith estimate of the applicable Base Rent rate for the Premises for the subject Renewal Term. Tenant, within thirty (30) days after the date on which Landlord advises Tenant of the applicable Base Rent rate for the Renewal Term, shall either (i) give Landlord final binding written notice (“</w:t>
      </w:r>
      <w:r>
        <w:rPr>
          <w:rFonts w:ascii="Arial" w:cs="Arial" w:eastAsia="Arial" w:hAnsi="Arial"/>
          <w:sz w:val="16"/>
          <w:szCs w:val="16"/>
          <w:b w:val="1"/>
          <w:bCs w:val="1"/>
          <w:color w:val="auto"/>
        </w:rPr>
        <w:t>Binding Notice</w:t>
      </w:r>
      <w:r>
        <w:rPr>
          <w:rFonts w:ascii="Arial" w:cs="Arial" w:eastAsia="Arial" w:hAnsi="Arial"/>
          <w:sz w:val="16"/>
          <w:szCs w:val="16"/>
          <w:color w:val="auto"/>
        </w:rPr>
        <w:t>”) of Tenant’s exercise of its Renewal Option based on the terms set forth in Landlord’s Notice, or (ii) if Tenant disagrees with Landlord’s determination, provide Landlord with written notice of rejection (the “</w:t>
      </w:r>
      <w:r>
        <w:rPr>
          <w:rFonts w:ascii="Arial" w:cs="Arial" w:eastAsia="Arial" w:hAnsi="Arial"/>
          <w:sz w:val="16"/>
          <w:szCs w:val="16"/>
          <w:b w:val="1"/>
          <w:bCs w:val="1"/>
          <w:color w:val="auto"/>
        </w:rPr>
        <w:t>Rejection Notice</w:t>
      </w:r>
      <w:r>
        <w:rPr>
          <w:rFonts w:ascii="Arial" w:cs="Arial" w:eastAsia="Arial" w:hAnsi="Arial"/>
          <w:sz w:val="16"/>
          <w:szCs w:val="16"/>
          <w:color w:val="auto"/>
        </w:rPr>
        <w:t>”). If Tenant fails to provide Landlord with either a Binding Notice or Rejection Notice within such twenty (20) day period, Tenant shall be deemed to have delivered a Rejection Notice. If Tenant provides Landlord with a Binding Notice, Landlord and Tenant shall enter into the Renewal Amendment (as defined below) upon the terms and conditions set forth herein. If Tenant provides (or is deemed to have provided) Landlord with a Rejection Notice, Landlord and Tenant shall work together in good faith to agree upon the Prevailing Market rate for the Premises during the Renewal Term. Upon agreement, Landlord and Tenant shall enter into the Renewal Amendment in accordance with the terms and conditions hereof. Notwithstanding the foregoing, if Landlord and Tenant fail to agree upon the Prevailing Market rate within thirty (30) days after the date Tenant provides Landlord with the Rejection Notice, Tenant, by written notice to Landlord may either require that the Prevailing Market rate be determined in accordance with the arbitration procedures described in subparagraph (d) below (the “</w:t>
      </w:r>
      <w:r>
        <w:rPr>
          <w:rFonts w:ascii="Arial" w:cs="Arial" w:eastAsia="Arial" w:hAnsi="Arial"/>
          <w:sz w:val="16"/>
          <w:szCs w:val="16"/>
          <w:b w:val="1"/>
          <w:bCs w:val="1"/>
          <w:color w:val="auto"/>
        </w:rPr>
        <w:t>Arbitration Notice</w:t>
      </w:r>
      <w:r>
        <w:rPr>
          <w:rFonts w:ascii="Arial" w:cs="Arial" w:eastAsia="Arial" w:hAnsi="Arial"/>
          <w:sz w:val="16"/>
          <w:szCs w:val="16"/>
          <w:color w:val="auto"/>
        </w:rPr>
        <w:t>”), or rescind the Initial Renewal Notice (“</w:t>
      </w:r>
      <w:r>
        <w:rPr>
          <w:rFonts w:ascii="Arial" w:cs="Arial" w:eastAsia="Arial" w:hAnsi="Arial"/>
          <w:sz w:val="16"/>
          <w:szCs w:val="16"/>
          <w:b w:val="1"/>
          <w:bCs w:val="1"/>
          <w:color w:val="auto"/>
        </w:rPr>
        <w:t>Rescission Notice</w:t>
      </w:r>
      <w:r>
        <w:rPr>
          <w:rFonts w:ascii="Arial" w:cs="Arial" w:eastAsia="Arial" w:hAnsi="Arial"/>
          <w:sz w:val="16"/>
          <w:szCs w:val="16"/>
          <w:color w:val="auto"/>
        </w:rPr>
        <w:t>”) within ten (10) days after the expiration of such thirty (30) day period. If Landlord and Tenant fail to agree upon the Prevailing Market rate within the thirty (30) day period described and Tenant fails to timely exercise its right to arbitrate or its right to rescind the Initial Renewal Notice, Tenant shall be deemed to have provided Landlord with an Arbitration Notice.</w:t>
      </w:r>
    </w:p>
    <w:p>
      <w:pPr>
        <w:spacing w:after="0" w:line="245" w:lineRule="exact"/>
        <w:rPr>
          <w:rFonts w:ascii="Arial" w:cs="Arial" w:eastAsia="Arial" w:hAnsi="Arial"/>
          <w:sz w:val="16"/>
          <w:szCs w:val="16"/>
          <w:color w:val="auto"/>
        </w:rPr>
      </w:pPr>
    </w:p>
    <w:p>
      <w:pPr>
        <w:ind w:left="446" w:hanging="446"/>
        <w:spacing w:after="0"/>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Arbitration Procedure</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026" w:hanging="567"/>
        <w:spacing w:after="0" w:line="286" w:lineRule="auto"/>
        <w:tabs>
          <w:tab w:leader="none" w:pos="1026" w:val="left"/>
        </w:tabs>
        <w:numPr>
          <w:ilvl w:val="1"/>
          <w:numId w:val="56"/>
        </w:numPr>
        <w:rPr>
          <w:rFonts w:ascii="Arial" w:cs="Arial" w:eastAsia="Arial" w:hAnsi="Arial"/>
          <w:sz w:val="16"/>
          <w:szCs w:val="16"/>
          <w:color w:val="auto"/>
        </w:rPr>
      </w:pPr>
      <w:r>
        <w:rPr>
          <w:rFonts w:ascii="Arial" w:cs="Arial" w:eastAsia="Arial" w:hAnsi="Arial"/>
          <w:sz w:val="16"/>
          <w:szCs w:val="16"/>
          <w:color w:val="auto"/>
        </w:rPr>
        <w:t>If Tenant provides (or is deemed to have provided) Landlord with an Arbitration Notice, Landlord and Tenant, within ten (10) days after the date of the Arbitration Notice, shall each simultaneously submit to the other, in a sealed envelope, its good faith estimate of the Prevailing Market rate for the Premises during the Renewal Term (collectively referred to as the “</w:t>
      </w:r>
      <w:r>
        <w:rPr>
          <w:rFonts w:ascii="Arial" w:cs="Arial" w:eastAsia="Arial" w:hAnsi="Arial"/>
          <w:sz w:val="16"/>
          <w:szCs w:val="16"/>
          <w:b w:val="1"/>
          <w:bCs w:val="1"/>
          <w:color w:val="auto"/>
        </w:rPr>
        <w:t>Estimates</w:t>
      </w:r>
      <w:r>
        <w:rPr>
          <w:rFonts w:ascii="Arial" w:cs="Arial" w:eastAsia="Arial" w:hAnsi="Arial"/>
          <w:sz w:val="16"/>
          <w:szCs w:val="16"/>
          <w:color w:val="auto"/>
        </w:rPr>
        <w:t>”). If the higher of such Estimates is not more than 105% of the lower of such Estimates, then Prevailing Market rate shall be the average of the two Estimates. If the Prevailing Market rate is not resolved by the exchange of Estimates, then, within ten (10) days after the exchange of Estimates, Landlord and Tenant shall each select an appraiser to determine which of the two Estimates most closely reflects the Prevailing Market rate for the Premises during the Renewal Term. Each appraiser so selected shall be certified as an MAI appraiser or as an ASA appraiser and shall have had at least five (5) years experience within the previous ten (10) years as a real estate appraiser working in Marin County, California, with working knowledge of current rental rates and practices. For purposes hereof, an “</w:t>
      </w:r>
      <w:r>
        <w:rPr>
          <w:rFonts w:ascii="Arial" w:cs="Arial" w:eastAsia="Arial" w:hAnsi="Arial"/>
          <w:sz w:val="16"/>
          <w:szCs w:val="16"/>
          <w:b w:val="1"/>
          <w:bCs w:val="1"/>
          <w:color w:val="auto"/>
        </w:rPr>
        <w:t>MAI</w:t>
      </w:r>
      <w:r>
        <w:rPr>
          <w:rFonts w:ascii="Arial" w:cs="Arial" w:eastAsia="Arial" w:hAnsi="Arial"/>
          <w:sz w:val="16"/>
          <w:szCs w:val="16"/>
          <w:color w:val="auto"/>
        </w:rPr>
        <w:t>” appraiser means an individual who holds an MAI designation conferred by, and is an independent member of, the American Institute of Real Estate Appraisers (or its successor organization, or in the event there is no successor organization, the organization and designation most similar), and an “</w:t>
      </w:r>
      <w:r>
        <w:rPr>
          <w:rFonts w:ascii="Arial" w:cs="Arial" w:eastAsia="Arial" w:hAnsi="Arial"/>
          <w:sz w:val="16"/>
          <w:szCs w:val="16"/>
          <w:b w:val="1"/>
          <w:bCs w:val="1"/>
          <w:color w:val="auto"/>
        </w:rPr>
        <w:t>ASA</w:t>
      </w:r>
      <w:r>
        <w:rPr>
          <w:rFonts w:ascii="Arial" w:cs="Arial" w:eastAsia="Arial" w:hAnsi="Arial"/>
          <w:sz w:val="16"/>
          <w:szCs w:val="16"/>
          <w:color w:val="auto"/>
        </w:rPr>
        <w:t>” appraiser means an individual who holds the Senior Member designation conferred by, and is an independent member of, the American Society of Appraisers (or its successor organization, or, in the event there is no successor organization, the organization and designation most similar).</w:t>
      </w:r>
    </w:p>
    <w:p>
      <w:pPr>
        <w:spacing w:after="0" w:line="40" w:lineRule="exact"/>
        <w:rPr>
          <w:sz w:val="20"/>
          <w:szCs w:val="20"/>
          <w:color w:val="auto"/>
        </w:rPr>
      </w:pPr>
    </w:p>
    <w:p>
      <w:pPr>
        <w:ind w:left="1026" w:right="20" w:hanging="567"/>
        <w:spacing w:after="0" w:line="289" w:lineRule="auto"/>
        <w:tabs>
          <w:tab w:leader="none" w:pos="1026" w:val="left"/>
        </w:tabs>
        <w:numPr>
          <w:ilvl w:val="0"/>
          <w:numId w:val="57"/>
        </w:numPr>
        <w:rPr>
          <w:rFonts w:ascii="Arial" w:cs="Arial" w:eastAsia="Arial" w:hAnsi="Arial"/>
          <w:sz w:val="16"/>
          <w:szCs w:val="16"/>
          <w:color w:val="auto"/>
        </w:rPr>
      </w:pPr>
      <w:r>
        <w:rPr>
          <w:rFonts w:ascii="Arial" w:cs="Arial" w:eastAsia="Arial" w:hAnsi="Arial"/>
          <w:sz w:val="16"/>
          <w:szCs w:val="16"/>
          <w:color w:val="auto"/>
        </w:rPr>
        <w:t>Upon selection, Landlord’s and Tenant’s appraisers shall work together in good faith to agree upon which of the two Estimates most closely reflects the Prevailing Market rate for the Premises. The Estimate chosen by such appraisers shall be binding on both Landlord and Tenant as the Base Rent rate for the Premises during the subject Renewal Term. If either Landlord or Tenant fails to appoint an appraiser within the ten (10) day period referred to above, the appraiser appointed by the other party shall be the sole appraiser for the purposes hereof. If the two appraisers cannot agree upon which of the two Estimates most closely reflects the Prevailing Market within twenty (20) days after their appointment, then, within ten (10) days after the expiration of such twenty (20) day period, the two appraisers shall select a third appraiser meeting the aforementioned criteria. Once the third appraiser (i.e. arbitrator) has been selected as provided for above, then, as soon thereafter as practicable but in any case within 14 days, the arbitrator shall make</w:t>
      </w:r>
    </w:p>
    <w:p>
      <w:pPr>
        <w:spacing w:after="0" w:line="10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6"/>
          </w:cols>
          <w:pgMar w:left="694" w:top="280" w:right="239" w:bottom="1440" w:gutter="0" w:footer="0" w:header="0"/>
        </w:sectPr>
      </w:pPr>
    </w:p>
    <w:bookmarkStart w:id="119" w:name="page120"/>
    <w:bookmarkEnd w:id="119"/>
    <w:p>
      <w:pPr>
        <w:ind w:left="1472"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his determination of which of the two Estimates most closely reflects the Prevailing Market rate and such Estimate shall be binding on both Landlord and Tenant as the Base Rent rate for the Premises. If the arbitrator believes that expert advice would materially assist him or her, he or she may retain one or more qualified persons to provide such expert advice. The parties shall share equally in the costs of the arbitrator and of any experts retained by the arbitrator. Any fees of any appraiser, counsel or experts engaged directly by Landlord or Tenant, however, shall be borne by the party retaining such appraiser, counsel or expert.</w:t>
      </w:r>
    </w:p>
    <w:p>
      <w:pPr>
        <w:spacing w:after="0" w:line="35" w:lineRule="exact"/>
        <w:rPr>
          <w:sz w:val="20"/>
          <w:szCs w:val="20"/>
          <w:color w:val="auto"/>
        </w:rPr>
      </w:pPr>
    </w:p>
    <w:p>
      <w:pPr>
        <w:ind w:left="1472" w:right="60" w:hanging="567"/>
        <w:spacing w:after="0" w:line="312" w:lineRule="auto"/>
        <w:tabs>
          <w:tab w:leader="none" w:pos="1472" w:val="left"/>
        </w:tabs>
        <w:numPr>
          <w:ilvl w:val="2"/>
          <w:numId w:val="58"/>
        </w:numPr>
        <w:rPr>
          <w:rFonts w:ascii="Arial" w:cs="Arial" w:eastAsia="Arial" w:hAnsi="Arial"/>
          <w:sz w:val="15"/>
          <w:szCs w:val="15"/>
          <w:color w:val="auto"/>
        </w:rPr>
      </w:pPr>
      <w:r>
        <w:rPr>
          <w:rFonts w:ascii="Arial" w:cs="Arial" w:eastAsia="Arial" w:hAnsi="Arial"/>
          <w:sz w:val="15"/>
          <w:szCs w:val="15"/>
          <w:color w:val="auto"/>
        </w:rPr>
        <w:t>If the Prevailing Market rate has not been determined by the commencement date of the subject Renewal Term, Tenant shall pay Base Rent upon the terms and conditions in effect during the last month of the then current Term, until such time as the Prevailing Market rate has been determined. Upon such determination, the Base Rent for the Premises shall be retroactively adjusted to the commencement of such Renewal Term for the Premises. If such adjustment results in an underpayment of Base Rent by Tenant, Tenant shall pay Landlord the amount of such underpayment within thirty (30) days after the determination thereof. If such adjustment results in an overpayment of Base Rent by Tenant, Landlord shall credit such overpayment against the next installment of Base Rent due under the Lease, as amended hereby, and, to the extent necessary, any subsequent installments, until the entire amount of such overpayment has been credited against Base Rent.</w:t>
      </w:r>
    </w:p>
    <w:p>
      <w:pPr>
        <w:spacing w:after="0" w:line="18" w:lineRule="exact"/>
        <w:rPr>
          <w:rFonts w:ascii="Arial" w:cs="Arial" w:eastAsia="Arial" w:hAnsi="Arial"/>
          <w:sz w:val="15"/>
          <w:szCs w:val="15"/>
          <w:color w:val="auto"/>
        </w:rPr>
      </w:pPr>
    </w:p>
    <w:p>
      <w:pPr>
        <w:ind w:left="892" w:right="40" w:hanging="446"/>
        <w:spacing w:after="0" w:line="284" w:lineRule="auto"/>
        <w:tabs>
          <w:tab w:leader="none" w:pos="892" w:val="left"/>
        </w:tabs>
        <w:numPr>
          <w:ilvl w:val="1"/>
          <w:numId w:val="59"/>
        </w:numPr>
        <w:rPr>
          <w:rFonts w:ascii="Arial" w:cs="Arial" w:eastAsia="Arial" w:hAnsi="Arial"/>
          <w:sz w:val="16"/>
          <w:szCs w:val="16"/>
          <w:color w:val="auto"/>
        </w:rPr>
      </w:pPr>
      <w:r>
        <w:rPr>
          <w:rFonts w:ascii="Arial" w:cs="Arial" w:eastAsia="Arial" w:hAnsi="Arial"/>
          <w:sz w:val="16"/>
          <w:szCs w:val="16"/>
          <w:b w:val="1"/>
          <w:bCs w:val="1"/>
          <w:color w:val="auto"/>
        </w:rPr>
        <w:t>Renewal Amendment</w:t>
      </w:r>
      <w:r>
        <w:rPr>
          <w:rFonts w:ascii="Arial" w:cs="Arial" w:eastAsia="Arial" w:hAnsi="Arial"/>
          <w:sz w:val="16"/>
          <w:szCs w:val="16"/>
          <w:color w:val="auto"/>
        </w:rPr>
        <w:t>. If Landlord and Tenant agree upon the Base Rent for the subject Renewal Term or if the Base Rent for the Renewal Term is</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established by arbitration as set forth herein, Landlord shall prepare an amendment (the “</w:t>
      </w:r>
      <w:r>
        <w:rPr>
          <w:rFonts w:ascii="Arial" w:cs="Arial" w:eastAsia="Arial" w:hAnsi="Arial"/>
          <w:sz w:val="16"/>
          <w:szCs w:val="16"/>
          <w:b w:val="1"/>
          <w:bCs w:val="1"/>
          <w:color w:val="auto"/>
        </w:rPr>
        <w:t>Renewal Amendment</w:t>
      </w:r>
      <w:r>
        <w:rPr>
          <w:rFonts w:ascii="Arial" w:cs="Arial" w:eastAsia="Arial" w:hAnsi="Arial"/>
          <w:sz w:val="16"/>
          <w:szCs w:val="16"/>
          <w:color w:val="auto"/>
        </w:rPr>
        <w:t>”) to reflect only changes in the Base Rent, Term, deletion of any used option rights, acknowledgement of any satisfied tenant improvement or allowance obligations, any applicable changes to the cost of after-hours HVAC charges (subject to the limitation on increases set forth in Section 4(g) above), the termination date of the Lease and any other substantially similar changes mutually agreed to by the parties hereto. The Renewal Amendment shall be sent to Tenant within a reasonable time after receipt of the Binding Notice and Tenant shall execute and return the Renewal Amendment to Landlord within fifteen</w:t>
      </w:r>
    </w:p>
    <w:p>
      <w:pPr>
        <w:spacing w:after="0" w:line="2" w:lineRule="exact"/>
        <w:rPr>
          <w:rFonts w:ascii="Arial" w:cs="Arial" w:eastAsia="Arial" w:hAnsi="Arial"/>
          <w:sz w:val="16"/>
          <w:szCs w:val="16"/>
          <w:color w:val="auto"/>
        </w:rPr>
      </w:pPr>
    </w:p>
    <w:p>
      <w:pPr>
        <w:ind w:left="892"/>
        <w:spacing w:after="0" w:line="255" w:lineRule="auto"/>
        <w:rPr>
          <w:rFonts w:ascii="Arial" w:cs="Arial" w:eastAsia="Arial" w:hAnsi="Arial"/>
          <w:sz w:val="16"/>
          <w:szCs w:val="16"/>
          <w:color w:val="auto"/>
        </w:rPr>
      </w:pPr>
      <w:r>
        <w:rPr>
          <w:rFonts w:ascii="Arial" w:cs="Arial" w:eastAsia="Arial" w:hAnsi="Arial"/>
          <w:sz w:val="18"/>
          <w:szCs w:val="18"/>
          <w:color w:val="auto"/>
        </w:rPr>
        <w:t>(15) business days after Tenant’s receipt of same, but, upon final determination of the Prevailing Market rate applicable during such Renewal Term as described herein, an otherwise valid exercise of a Renewal Option shall be fully effective whether or not the related Renewal Amendment is executed.</w:t>
      </w:r>
    </w:p>
    <w:p>
      <w:pPr>
        <w:spacing w:after="0" w:line="57" w:lineRule="exact"/>
        <w:rPr>
          <w:rFonts w:ascii="Arial" w:cs="Arial" w:eastAsia="Arial" w:hAnsi="Arial"/>
          <w:sz w:val="16"/>
          <w:szCs w:val="16"/>
          <w:color w:val="auto"/>
        </w:rPr>
      </w:pPr>
    </w:p>
    <w:p>
      <w:pPr>
        <w:ind w:left="892" w:right="80" w:hanging="446"/>
        <w:spacing w:after="0" w:line="290" w:lineRule="auto"/>
        <w:tabs>
          <w:tab w:leader="none" w:pos="892" w:val="left"/>
        </w:tabs>
        <w:numPr>
          <w:ilvl w:val="1"/>
          <w:numId w:val="59"/>
        </w:numPr>
        <w:rPr>
          <w:rFonts w:ascii="Arial" w:cs="Arial" w:eastAsia="Arial" w:hAnsi="Arial"/>
          <w:sz w:val="16"/>
          <w:szCs w:val="16"/>
          <w:color w:val="auto"/>
        </w:rPr>
      </w:pPr>
      <w:r>
        <w:rPr>
          <w:rFonts w:ascii="Arial" w:cs="Arial" w:eastAsia="Arial" w:hAnsi="Arial"/>
          <w:sz w:val="16"/>
          <w:szCs w:val="16"/>
          <w:b w:val="1"/>
          <w:bCs w:val="1"/>
          <w:color w:val="auto"/>
        </w:rPr>
        <w:t>Prevailing Market</w:t>
      </w:r>
      <w:r>
        <w:rPr>
          <w:rFonts w:ascii="Arial" w:cs="Arial" w:eastAsia="Arial" w:hAnsi="Arial"/>
          <w:sz w:val="16"/>
          <w:szCs w:val="16"/>
          <w:color w:val="auto"/>
        </w:rPr>
        <w:t>. For purposes hereof, “</w:t>
      </w:r>
      <w:r>
        <w:rPr>
          <w:rFonts w:ascii="Arial" w:cs="Arial" w:eastAsia="Arial" w:hAnsi="Arial"/>
          <w:sz w:val="16"/>
          <w:szCs w:val="16"/>
          <w:b w:val="1"/>
          <w:bCs w:val="1"/>
          <w:color w:val="auto"/>
        </w:rPr>
        <w:t>Prevailing Market</w:t>
      </w:r>
      <w:r>
        <w:rPr>
          <w:rFonts w:ascii="Arial" w:cs="Arial" w:eastAsia="Arial" w:hAnsi="Arial"/>
          <w:sz w:val="16"/>
          <w:szCs w:val="16"/>
          <w:color w:val="auto"/>
        </w:rPr>
        <w:t>” shall mean the arms length fair market annual rental rate per rentable square foot</w:t>
      </w:r>
      <w:r>
        <w:rPr>
          <w:rFonts w:ascii="Arial" w:cs="Arial" w:eastAsia="Arial" w:hAnsi="Arial"/>
          <w:sz w:val="16"/>
          <w:szCs w:val="16"/>
          <w:b w:val="1"/>
          <w:bCs w:val="1"/>
          <w:color w:val="auto"/>
        </w:rPr>
        <w:t xml:space="preserve"> </w:t>
      </w:r>
      <w:r>
        <w:rPr>
          <w:rFonts w:ascii="Arial" w:cs="Arial" w:eastAsia="Arial" w:hAnsi="Arial"/>
          <w:sz w:val="16"/>
          <w:szCs w:val="16"/>
          <w:color w:val="auto"/>
        </w:rPr>
        <w:t>under new and renewal leases and amendments entered into on or about the date on which the Prevailing Market is being determined hereunder for space comparable to the Premises in the Building and office buildings comparable to the Building in Marin County, California. The determination of Prevailing Market shall take into account all relevant factors such as any material economic differences between the terms of the Lease, as amended hereby, and any comparison lease or amendment, such as rent abatements, construction costs and other concessions and the manner, if any, in which the landlord under any such lease is reimbursed for services and utility expenses, operating expenses and taxes, the credit-worthiness of the tenant, the duration of the term, any rental or other concessions granted, whether a broker’s commission or finder’s fee with be paid and the tenant improvement allowance, if any, required for an extended term.</w:t>
      </w:r>
    </w:p>
    <w:p>
      <w:pPr>
        <w:spacing w:after="0" w:line="233" w:lineRule="exact"/>
        <w:rPr>
          <w:rFonts w:ascii="Arial" w:cs="Arial" w:eastAsia="Arial" w:hAnsi="Arial"/>
          <w:sz w:val="16"/>
          <w:szCs w:val="16"/>
          <w:color w:val="auto"/>
        </w:rPr>
      </w:pPr>
    </w:p>
    <w:p>
      <w:pPr>
        <w:ind w:left="452" w:hanging="452"/>
        <w:spacing w:after="0"/>
        <w:tabs>
          <w:tab w:leader="none" w:pos="452"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Ancillary Facilities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40" w:hanging="446"/>
        <w:spacing w:after="0" w:line="307" w:lineRule="auto"/>
        <w:tabs>
          <w:tab w:leader="none" w:pos="892" w:val="left"/>
        </w:tabs>
        <w:numPr>
          <w:ilvl w:val="1"/>
          <w:numId w:val="60"/>
        </w:numPr>
        <w:rPr>
          <w:rFonts w:ascii="Arial" w:cs="Arial" w:eastAsia="Arial" w:hAnsi="Arial"/>
          <w:sz w:val="15"/>
          <w:szCs w:val="15"/>
          <w:color w:val="auto"/>
        </w:rPr>
      </w:pPr>
      <w:r>
        <w:rPr>
          <w:rFonts w:ascii="Arial" w:cs="Arial" w:eastAsia="Arial" w:hAnsi="Arial"/>
          <w:sz w:val="15"/>
          <w:szCs w:val="15"/>
          <w:b w:val="1"/>
          <w:bCs w:val="1"/>
          <w:color w:val="auto"/>
        </w:rPr>
        <w:t xml:space="preserve">Dining Facilities. </w:t>
      </w:r>
      <w:r>
        <w:rPr>
          <w:rFonts w:ascii="Arial" w:cs="Arial" w:eastAsia="Arial" w:hAnsi="Arial"/>
          <w:sz w:val="15"/>
          <w:szCs w:val="15"/>
          <w:color w:val="auto"/>
        </w:rPr>
        <w:t>During the Term and any extension of the Term, Tenant shall be entitled to use, maintain and operate the commercial kitchen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dining facilities previously constructed by Tenant at the Premises, which commercial kitchen and dining facilities do not include the Atrium, and which commercial kitchen and dining facilities are more particularly described in the cross-hatched area shown on </w:t>
      </w:r>
      <w:r>
        <w:rPr>
          <w:rFonts w:ascii="Arial" w:cs="Arial" w:eastAsia="Arial" w:hAnsi="Arial"/>
          <w:sz w:val="15"/>
          <w:szCs w:val="15"/>
          <w:b w:val="1"/>
          <w:bCs w:val="1"/>
          <w:color w:val="auto"/>
        </w:rPr>
        <w:t>Exhibit E</w:t>
      </w:r>
      <w:r>
        <w:rPr>
          <w:rFonts w:ascii="Arial" w:cs="Arial" w:eastAsia="Arial" w:hAnsi="Arial"/>
          <w:sz w:val="15"/>
          <w:szCs w:val="15"/>
          <w:color w:val="auto"/>
        </w:rPr>
        <w:t xml:space="preserve"> (the “</w:t>
      </w:r>
      <w:r>
        <w:rPr>
          <w:rFonts w:ascii="Arial" w:cs="Arial" w:eastAsia="Arial" w:hAnsi="Arial"/>
          <w:sz w:val="15"/>
          <w:szCs w:val="15"/>
          <w:b w:val="1"/>
          <w:bCs w:val="1"/>
          <w:color w:val="auto"/>
        </w:rPr>
        <w:t>Dining</w:t>
      </w:r>
      <w:r>
        <w:rPr>
          <w:rFonts w:ascii="Arial" w:cs="Arial" w:eastAsia="Arial" w:hAnsi="Arial"/>
          <w:sz w:val="15"/>
          <w:szCs w:val="15"/>
          <w:color w:val="auto"/>
        </w:rPr>
        <w:t xml:space="preserve"> </w:t>
      </w:r>
      <w:r>
        <w:rPr>
          <w:rFonts w:ascii="Arial" w:cs="Arial" w:eastAsia="Arial" w:hAnsi="Arial"/>
          <w:sz w:val="15"/>
          <w:szCs w:val="15"/>
          <w:b w:val="1"/>
          <w:bCs w:val="1"/>
          <w:color w:val="auto"/>
        </w:rPr>
        <w:t>Facilities</w:t>
      </w:r>
      <w:r>
        <w:rPr>
          <w:rFonts w:ascii="Arial" w:cs="Arial" w:eastAsia="Arial" w:hAnsi="Arial"/>
          <w:sz w:val="15"/>
          <w:szCs w:val="15"/>
          <w:color w:val="auto"/>
        </w:rPr>
        <w:t>”), subject to Tenant’s compliance with the following terms and conditions: (i) Tenant shall maintain in all cooking areas chemical fire</w:t>
      </w:r>
      <w:r>
        <w:rPr>
          <w:rFonts w:ascii="Arial" w:cs="Arial" w:eastAsia="Arial" w:hAnsi="Arial"/>
          <w:sz w:val="15"/>
          <w:szCs w:val="15"/>
          <w:b w:val="1"/>
          <w:bCs w:val="1"/>
          <w:color w:val="auto"/>
        </w:rPr>
        <w:t xml:space="preserve"> </w:t>
      </w:r>
      <w:r>
        <w:rPr>
          <w:rFonts w:ascii="Arial" w:cs="Arial" w:eastAsia="Arial" w:hAnsi="Arial"/>
          <w:sz w:val="15"/>
          <w:szCs w:val="15"/>
          <w:color w:val="auto"/>
        </w:rPr>
        <w:t>extinguishing devices approved by the Five Insurance Rating Organization and any applicable governmental authority; (ii) Tenant shall prevent fat, grease or any other greasy substance from (A) entering the waste lines of the Building by using grease traps or similar devices, and (B) accumulating in the exhaust fans and hoods; (iii) Tenant shall handle and dispose of all rubbish, garbage and waste in accordance with applicable Laws; (iv) Tenant shall at all times keep and maintain the Dining Facilities and all equipment, fixtures and appliances located therein in a clean, safe, operable and sanitary condition in compliance with all applicable Laws and Landlord shall have no cleaning, maintenance or repair obligations related thereto, except with respect to Landlord’s Dining and Fitness Center Obligations described in Section 4(a) above; (v) the Dining Facilities may only be used by Tenant, its employees, agents and invitees and shall not be open to the public; and (vi) Tenant shall maintain, at its cost, a service contract with a qualified and licensed firm for the eradication and control of insects, rodents, vermin and other pests in accordance with applicable Law.</w:t>
      </w:r>
    </w:p>
    <w:p>
      <w:pPr>
        <w:spacing w:after="0" w:line="1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12"/>
          </w:cols>
          <w:pgMar w:left="248" w:top="280" w:right="239" w:bottom="1440" w:gutter="0" w:footer="0" w:header="0"/>
        </w:sectPr>
      </w:pPr>
    </w:p>
    <w:bookmarkStart w:id="120" w:name="page121"/>
    <w:bookmarkEnd w:id="120"/>
    <w:p>
      <w:pPr>
        <w:ind w:left="892" w:right="60" w:hanging="446"/>
        <w:spacing w:after="0" w:line="286" w:lineRule="auto"/>
        <w:tabs>
          <w:tab w:leader="none" w:pos="892" w:val="left"/>
        </w:tabs>
        <w:numPr>
          <w:ilvl w:val="1"/>
          <w:numId w:val="61"/>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Fitness Center. </w:t>
      </w:r>
      <w:r>
        <w:rPr>
          <w:rFonts w:ascii="Arial" w:cs="Arial" w:eastAsia="Arial" w:hAnsi="Arial"/>
          <w:sz w:val="16"/>
          <w:szCs w:val="16"/>
          <w:color w:val="auto"/>
        </w:rPr>
        <w:t>During the Second Extended Term and any extension of the Term, Tenant shall be entitled to use, maintain and operate the fitness</w:t>
      </w:r>
      <w:r>
        <w:rPr>
          <w:rFonts w:ascii="Arial" w:cs="Arial" w:eastAsia="Arial" w:hAnsi="Arial"/>
          <w:sz w:val="16"/>
          <w:szCs w:val="16"/>
          <w:b w:val="1"/>
          <w:bCs w:val="1"/>
          <w:color w:val="auto"/>
        </w:rPr>
        <w:t xml:space="preserve"> </w:t>
      </w:r>
      <w:r>
        <w:rPr>
          <w:rFonts w:ascii="Arial" w:cs="Arial" w:eastAsia="Arial" w:hAnsi="Arial"/>
          <w:sz w:val="16"/>
          <w:szCs w:val="16"/>
          <w:color w:val="auto"/>
        </w:rPr>
        <w:t>center previously constructed by Tenant in the Premises (the “</w:t>
      </w:r>
      <w:r>
        <w:rPr>
          <w:rFonts w:ascii="Arial" w:cs="Arial" w:eastAsia="Arial" w:hAnsi="Arial"/>
          <w:sz w:val="16"/>
          <w:szCs w:val="16"/>
          <w:b w:val="1"/>
          <w:bCs w:val="1"/>
          <w:color w:val="auto"/>
        </w:rPr>
        <w:t>Fitness Center</w:t>
      </w:r>
      <w:r>
        <w:rPr>
          <w:rFonts w:ascii="Arial" w:cs="Arial" w:eastAsia="Arial" w:hAnsi="Arial"/>
          <w:sz w:val="16"/>
          <w:szCs w:val="16"/>
          <w:color w:val="auto"/>
        </w:rPr>
        <w:t>”), subject to the terms and conditions set forth in this Section. Tenant shall comply and shall cause all Tenant Parties, including any operator of the Fitness Center, to comply, with all applicable Laws with respect to the use, operation and maintenance of the Fitness Center. In the event that Tenant retains a third party operator to operate the Fitness Center, such operator shall be a company licensed to do business in the State of California, and if Tenant changes such operator from Club One, any new operator will be subject to Landlord’s prior written approval, which shall not be unreasonably withheld, conditioned or delayed. Any service agreement between Tenant and a service provider shall terminate upon the expiration or any earlier expiration of the Lease. Tenant shall at all times keep and maintain the Fitness Center and any equipment and facilities located therein in a clean, safe and sanitary condition in compliance with all applicable Laws and Landlord shall have no cleaning, maintenance or repair obligations related thereto, except with respect to Landlord’s Dining and Fitness Center Obligations described in Section 4(a) above. Tenant and any Tenant Parties shall use the Fitness Center at their own risk, and Tenant shall indemnify, defend and hold Landlord and the Landlord Parties (as defined in Section 7(e) below) harmless from and against any claim, cost or expense (including reasonable attorneys’ fees and costs), demand, damages, liability, cause of action or suit of any kind or nature (including without limitation, any strict liability but excluding any indirect, consequential, special, incidental or punitive damages), arising out of, resulting from or incident to the use or occupancy of, or participation in, the Fitness Center by Tenant, any Tenant Parties or other persons. Tenant’s indemnity obligations hereunder shall survive the expiration or earlier termination of the Lease.</w:t>
      </w:r>
    </w:p>
    <w:p>
      <w:pPr>
        <w:spacing w:after="0" w:line="33" w:lineRule="exact"/>
        <w:rPr>
          <w:rFonts w:ascii="Arial" w:cs="Arial" w:eastAsia="Arial" w:hAnsi="Arial"/>
          <w:sz w:val="16"/>
          <w:szCs w:val="16"/>
          <w:color w:val="auto"/>
        </w:rPr>
      </w:pPr>
    </w:p>
    <w:p>
      <w:pPr>
        <w:ind w:left="892" w:hanging="446"/>
        <w:spacing w:after="0" w:line="290" w:lineRule="auto"/>
        <w:tabs>
          <w:tab w:leader="none" w:pos="892" w:val="left"/>
        </w:tabs>
        <w:numPr>
          <w:ilvl w:val="1"/>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Fitness Center Insurance. </w:t>
      </w:r>
      <w:r>
        <w:rPr>
          <w:rFonts w:ascii="Arial" w:cs="Arial" w:eastAsia="Arial" w:hAnsi="Arial"/>
          <w:sz w:val="16"/>
          <w:szCs w:val="16"/>
          <w:color w:val="auto"/>
        </w:rPr>
        <w:t>Tenant shall require that any operator of the Fitness Center carry Commercial General Liability Insurance,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product/completed operations, personal injury blanket contractual liability and broad form property damage with not less than $2,000,000 per occurrence and $2,000,000 in the aggregate combined single limit for bodily injury and property damage, naming Landlord and its lender and any other designees holding an interest in the Building as additional insureds with an insurance carrier satisfying the requirements of Section 16.1 of the Original Lease, as amended hereby. A certificate of such insurance, in form and substance reasonably satisfactory to Landlord, shall be delivered to Landlord within thirty (30) days of the Effective Date and thereafter as necessary to ensure that Landlord always has a current certificate of insurance from such service provider. No such insurance shall be terminated, cancelled or materially modified with less than ten (10) days prior written notice to Landlord.</w:t>
      </w:r>
    </w:p>
    <w:p>
      <w:pPr>
        <w:spacing w:after="0" w:line="31" w:lineRule="exact"/>
        <w:rPr>
          <w:rFonts w:ascii="Arial" w:cs="Arial" w:eastAsia="Arial" w:hAnsi="Arial"/>
          <w:sz w:val="16"/>
          <w:szCs w:val="16"/>
          <w:color w:val="auto"/>
        </w:rPr>
      </w:pPr>
    </w:p>
    <w:p>
      <w:pPr>
        <w:ind w:left="892" w:right="20" w:hanging="446"/>
        <w:spacing w:after="0" w:line="316" w:lineRule="auto"/>
        <w:tabs>
          <w:tab w:leader="none" w:pos="892" w:val="left"/>
        </w:tabs>
        <w:numPr>
          <w:ilvl w:val="1"/>
          <w:numId w:val="61"/>
        </w:numPr>
        <w:rPr>
          <w:rFonts w:ascii="Arial" w:cs="Arial" w:eastAsia="Arial" w:hAnsi="Arial"/>
          <w:sz w:val="15"/>
          <w:szCs w:val="15"/>
          <w:color w:val="auto"/>
        </w:rPr>
      </w:pPr>
      <w:r>
        <w:rPr>
          <w:rFonts w:ascii="Arial" w:cs="Arial" w:eastAsia="Arial" w:hAnsi="Arial"/>
          <w:sz w:val="15"/>
          <w:szCs w:val="15"/>
          <w:b w:val="1"/>
          <w:bCs w:val="1"/>
          <w:color w:val="auto"/>
        </w:rPr>
        <w:t>Cessation of Use</w:t>
      </w:r>
      <w:r>
        <w:rPr>
          <w:rFonts w:ascii="Arial" w:cs="Arial" w:eastAsia="Arial" w:hAnsi="Arial"/>
          <w:sz w:val="15"/>
          <w:szCs w:val="15"/>
          <w:color w:val="auto"/>
        </w:rPr>
        <w:t>. If during the Term, as the same may be further extended, Tenant decides to cease operation of either or both of the Fitness Center</w:t>
      </w:r>
      <w:r>
        <w:rPr>
          <w:rFonts w:ascii="Arial" w:cs="Arial" w:eastAsia="Arial" w:hAnsi="Arial"/>
          <w:sz w:val="15"/>
          <w:szCs w:val="15"/>
          <w:b w:val="1"/>
          <w:bCs w:val="1"/>
          <w:color w:val="auto"/>
        </w:rPr>
        <w:t xml:space="preserve"> </w:t>
      </w:r>
      <w:r>
        <w:rPr>
          <w:rFonts w:ascii="Arial" w:cs="Arial" w:eastAsia="Arial" w:hAnsi="Arial"/>
          <w:sz w:val="15"/>
          <w:szCs w:val="15"/>
          <w:color w:val="auto"/>
        </w:rPr>
        <w:t>and the Dining Facilities and converts, in accordance with Section 7 of the Original Lease, the Fitness Center or the Dining Facilities, as applicable, to office use as permitted by the Lease, Tenant’s obligations as set forth in this Section 6 with respect to the Fitness Center and the Dining Areas, as applicable, shall cease as of the date Tenant fully restores the Fitness Center and/or the Dining Facilities (as applicable) to office use (“</w:t>
      </w:r>
      <w:r>
        <w:rPr>
          <w:rFonts w:ascii="Arial" w:cs="Arial" w:eastAsia="Arial" w:hAnsi="Arial"/>
          <w:sz w:val="15"/>
          <w:szCs w:val="15"/>
          <w:b w:val="1"/>
          <w:bCs w:val="1"/>
          <w:color w:val="auto"/>
        </w:rPr>
        <w:t>Conversion</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 and effective as of the Conversion Date, Landlord shall bear the same responsibilities as set forth in the Original Lease for the converted area</w:t>
      </w:r>
      <w:r>
        <w:rPr>
          <w:rFonts w:ascii="Arial" w:cs="Arial" w:eastAsia="Arial" w:hAnsi="Arial"/>
          <w:sz w:val="15"/>
          <w:szCs w:val="15"/>
          <w:b w:val="1"/>
          <w:bCs w:val="1"/>
          <w:color w:val="auto"/>
        </w:rPr>
        <w:t xml:space="preserve"> </w:t>
      </w:r>
      <w:r>
        <w:rPr>
          <w:rFonts w:ascii="Arial" w:cs="Arial" w:eastAsia="Arial" w:hAnsi="Arial"/>
          <w:sz w:val="15"/>
          <w:szCs w:val="15"/>
          <w:color w:val="auto"/>
        </w:rPr>
        <w:t>as Landlord currently bears for those portions of the Building that do not comprise the Fitness Center and the Dining Facilities.</w:t>
      </w:r>
    </w:p>
    <w:p>
      <w:pPr>
        <w:spacing w:after="0" w:line="136" w:lineRule="exact"/>
        <w:rPr>
          <w:rFonts w:ascii="Arial" w:cs="Arial" w:eastAsia="Arial" w:hAnsi="Arial"/>
          <w:sz w:val="15"/>
          <w:szCs w:val="15"/>
          <w:color w:val="auto"/>
        </w:rPr>
      </w:pPr>
    </w:p>
    <w:p>
      <w:pPr>
        <w:ind w:left="452" w:right="320" w:hanging="452"/>
        <w:spacing w:after="0" w:line="275" w:lineRule="auto"/>
        <w:tabs>
          <w:tab w:leader="none" w:pos="452"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Pertinent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Tenant agree that, from and after the Effective Date, the Lease shall be amended in the following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w:t>
      </w:r>
    </w:p>
    <w:p>
      <w:pPr>
        <w:spacing w:after="0" w:line="38" w:lineRule="exact"/>
        <w:rPr>
          <w:rFonts w:ascii="Arial" w:cs="Arial" w:eastAsia="Arial" w:hAnsi="Arial"/>
          <w:sz w:val="18"/>
          <w:szCs w:val="18"/>
          <w:color w:val="auto"/>
        </w:rPr>
      </w:pPr>
    </w:p>
    <w:p>
      <w:pPr>
        <w:ind w:left="892" w:right="340" w:hanging="446"/>
        <w:spacing w:after="0" w:line="275" w:lineRule="auto"/>
        <w:tabs>
          <w:tab w:leader="none" w:pos="892" w:val="left"/>
        </w:tabs>
        <w:numPr>
          <w:ilvl w:val="1"/>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Landlord’s Address. </w:t>
      </w:r>
      <w:r>
        <w:rPr>
          <w:rFonts w:ascii="Arial" w:cs="Arial" w:eastAsia="Arial" w:hAnsi="Arial"/>
          <w:sz w:val="18"/>
          <w:szCs w:val="18"/>
          <w:color w:val="auto"/>
        </w:rPr>
        <w:t>Landlord’s address for payments of Rent and other charges and for notices set forth in Section 25 of the Original Lease,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the Third Amendment, is hereby deleted in its entirety and replaced by the following:</w:t>
      </w:r>
    </w:p>
    <w:p>
      <w:pPr>
        <w:sectPr>
          <w:pgSz w:w="11900" w:h="16838" w:orient="portrait"/>
          <w:cols w:equalWidth="0" w:num="1">
            <w:col w:w="11392"/>
          </w:cols>
          <w:pgMar w:left="248" w:top="274" w:right="259" w:bottom="1440" w:gutter="0" w:footer="0" w:header="0"/>
        </w:sectPr>
      </w:pPr>
    </w:p>
    <w:p>
      <w:pPr>
        <w:spacing w:after="0" w:line="45" w:lineRule="exact"/>
        <w:rPr>
          <w:sz w:val="20"/>
          <w:szCs w:val="20"/>
          <w:color w:val="auto"/>
        </w:rPr>
      </w:pPr>
    </w:p>
    <w:p>
      <w:pPr>
        <w:ind w:left="932"/>
        <w:spacing w:after="0"/>
        <w:rPr>
          <w:sz w:val="20"/>
          <w:szCs w:val="20"/>
          <w:color w:val="auto"/>
        </w:rPr>
      </w:pPr>
      <w:r>
        <w:rPr>
          <w:rFonts w:ascii="Arial" w:cs="Arial" w:eastAsia="Arial" w:hAnsi="Arial"/>
          <w:sz w:val="16"/>
          <w:szCs w:val="16"/>
          <w:color w:val="auto"/>
        </w:rPr>
        <w:t>“Landlord:</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JHS Holdings, L.P.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2167 E. Francisco Boulevard, Suite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Rafael, California 94901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Heidi Shekou”</w:t>
      </w:r>
    </w:p>
    <w:p>
      <w:pPr>
        <w:spacing w:after="0" w:line="91" w:lineRule="exact"/>
        <w:rPr>
          <w:sz w:val="20"/>
          <w:szCs w:val="20"/>
          <w:color w:val="auto"/>
        </w:rPr>
      </w:pPr>
    </w:p>
    <w:p>
      <w:pPr>
        <w:sectPr>
          <w:pgSz w:w="11900" w:h="16838" w:orient="portrait"/>
          <w:cols w:equalWidth="0" w:num="2">
            <w:col w:w="1712" w:space="360"/>
            <w:col w:w="9320"/>
          </w:cols>
          <w:pgMar w:left="248" w:top="274" w:right="259" w:bottom="1440" w:gutter="0" w:footer="0" w:header="0"/>
          <w:type w:val="continuous"/>
        </w:sectPr>
      </w:pPr>
    </w:p>
    <w:p>
      <w:pPr>
        <w:ind w:left="892" w:hanging="446"/>
        <w:spacing w:after="0"/>
        <w:tabs>
          <w:tab w:leader="none" w:pos="892"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Deletion. </w:t>
      </w:r>
      <w:r>
        <w:rPr>
          <w:rFonts w:ascii="Arial" w:cs="Arial" w:eastAsia="Arial" w:hAnsi="Arial"/>
          <w:sz w:val="18"/>
          <w:szCs w:val="18"/>
          <w:color w:val="auto"/>
        </w:rPr>
        <w:t>Section 3.2 of the Original Lease is hereby deleted in its entirety and of no further force and effect.</w:t>
      </w:r>
    </w:p>
    <w:p>
      <w:pPr>
        <w:spacing w:after="0" w:line="90" w:lineRule="exact"/>
        <w:rPr>
          <w:rFonts w:ascii="Arial" w:cs="Arial" w:eastAsia="Arial" w:hAnsi="Arial"/>
          <w:sz w:val="18"/>
          <w:szCs w:val="18"/>
          <w:color w:val="auto"/>
        </w:rPr>
      </w:pPr>
    </w:p>
    <w:p>
      <w:pPr>
        <w:ind w:left="892" w:right="460" w:hanging="446"/>
        <w:spacing w:after="0" w:line="275" w:lineRule="auto"/>
        <w:tabs>
          <w:tab w:leader="none" w:pos="892"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Dogs. </w:t>
      </w:r>
      <w:r>
        <w:rPr>
          <w:rFonts w:ascii="Arial" w:cs="Arial" w:eastAsia="Arial" w:hAnsi="Arial"/>
          <w:sz w:val="18"/>
          <w:szCs w:val="18"/>
          <w:color w:val="auto"/>
        </w:rPr>
        <w:t>During the Term (as the same may be further extended), Tenant shall be permitted to bring fully domesticated dogs, kept by the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as pets, to the Building, subject to Tenant’s obligation to pay for</w:t>
      </w:r>
    </w:p>
    <w:p>
      <w:pPr>
        <w:spacing w:after="0" w:line="11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74" w:right="259" w:bottom="1440" w:gutter="0" w:footer="0" w:header="0"/>
          <w:type w:val="continuous"/>
        </w:sectPr>
      </w:pPr>
    </w:p>
    <w:bookmarkStart w:id="121" w:name="page122"/>
    <w:bookmarkEnd w:id="121"/>
    <w:p>
      <w:pPr>
        <w:ind w:left="46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additional repair and janitorial costs associated with the presence of dogs at the Building, as set forth above. No dog with (or suspected of having) fleas is to be brought into the Building. Tenant shall comply with all applicable Laws associated with or governing the presence of a dog within the Premises. Tenant shall be liable for, and hereby agrees to indemnify, defend and hold Landlord and the Landlord Parties harmless from any and all claims (but excluding any indirect, consequential, special, incidental or punitive damages) arising from any and all acts (including but not limited to biting and causing bodily injury to, or damage to the property of Landlord or any of the Landlord Parties of, or the presence of, any dog in or about the Premises, the Building or the real property upon which the Building is located. Tenant’s indemnification obligation hereunder shall survive the expiration or earlier termination of the Lease.</w:t>
      </w:r>
    </w:p>
    <w:p>
      <w:pPr>
        <w:spacing w:after="0" w:line="153" w:lineRule="exact"/>
        <w:rPr>
          <w:sz w:val="20"/>
          <w:szCs w:val="20"/>
          <w:color w:val="auto"/>
        </w:rPr>
      </w:pPr>
    </w:p>
    <w:p>
      <w:pPr>
        <w:ind w:left="446" w:hanging="446"/>
        <w:spacing w:after="0"/>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Tenant’s Insurance</w:t>
      </w:r>
      <w:r>
        <w:rPr>
          <w:rFonts w:ascii="Arial" w:cs="Arial" w:eastAsia="Arial" w:hAnsi="Arial"/>
          <w:sz w:val="18"/>
          <w:szCs w:val="18"/>
          <w:color w:val="auto"/>
        </w:rPr>
        <w:t>. Section 16.1 of the Original Lease is hereby deleted in its entirety and replaced by the following:</w:t>
      </w:r>
    </w:p>
    <w:p>
      <w:pPr>
        <w:spacing w:after="0" w:line="90" w:lineRule="exact"/>
        <w:rPr>
          <w:sz w:val="20"/>
          <w:szCs w:val="20"/>
          <w:color w:val="auto"/>
        </w:rPr>
      </w:pPr>
    </w:p>
    <w:p>
      <w:pPr>
        <w:ind w:left="1046" w:right="40"/>
        <w:spacing w:after="0" w:line="286" w:lineRule="auto"/>
        <w:rPr>
          <w:sz w:val="20"/>
          <w:szCs w:val="20"/>
          <w:color w:val="auto"/>
        </w:rPr>
      </w:pPr>
      <w:r>
        <w:rPr>
          <w:rFonts w:ascii="Arial" w:cs="Arial" w:eastAsia="Arial" w:hAnsi="Arial"/>
          <w:sz w:val="16"/>
          <w:szCs w:val="16"/>
          <w:color w:val="auto"/>
        </w:rPr>
        <w:t>“16.1 “</w:t>
      </w:r>
      <w:r>
        <w:rPr>
          <w:rFonts w:ascii="Arial" w:cs="Arial" w:eastAsia="Arial" w:hAnsi="Arial"/>
          <w:sz w:val="16"/>
          <w:szCs w:val="16"/>
          <w:b w:val="1"/>
          <w:bCs w:val="1"/>
          <w:u w:val="single" w:color="auto"/>
          <w:color w:val="auto"/>
        </w:rPr>
        <w:t>Tenant’s Insurance</w:t>
      </w:r>
      <w:r>
        <w:rPr>
          <w:rFonts w:ascii="Arial" w:cs="Arial" w:eastAsia="Arial" w:hAnsi="Arial"/>
          <w:sz w:val="16"/>
          <w:szCs w:val="16"/>
          <w:b w:val="1"/>
          <w:bCs w:val="1"/>
          <w:color w:val="auto"/>
        </w:rPr>
        <w:t>.</w:t>
      </w:r>
      <w:r>
        <w:rPr>
          <w:rFonts w:ascii="Arial" w:cs="Arial" w:eastAsia="Arial" w:hAnsi="Arial"/>
          <w:sz w:val="16"/>
          <w:szCs w:val="16"/>
          <w:color w:val="auto"/>
        </w:rPr>
        <w:t xml:space="preserve"> Tenant shall maintain the following insurance (“Tenant’s Insurance”) during the Term (including any extension thereof): (a) Commercial General Liability Insurance applicable to the Premises and its appurtenances providing, on an occurrence basis, a minimum combined single limit of $5,000,000.00; (b) Property/Business Interruption Insurance written on an All Risk or Special Cause of Loss Form, including earthquake sprinkler leakage, at replacement cost value and with a replacement cost endorsement covering all of Tenant’s business and trade fixtures, equipment, movable partitions, furniture, merchandise and other personal property within the Premises (“Tenant’s Property”) and any Alterations performed by or for the benefit of Tenant; (c) Workers’ Compensation Insurance in amounts required by Law; and (d) Employers Liability Coverage of at least $1,000,000.00 per occurrence. Any company writing Tenant’s Insurance shall have an A.M. Best rating of not less than A-VIII. All Commercial General Liability Insurance policies shall name as additional insureds Landlord (or its successors and assignees) and its designees. In addition, Landlord shall be named as a loss payee with respect to Property/Business Interruption Insurance on the Alterations. All policies of Tenant’s Insurance shall contain endorsements that the insurer(s) shall give Landlord and its designees at least thirty (30) days’ advance written notice of any cancellation, termination, material change or lapse of insurance. Tenant shall provide Landlord with a certificate of insurance evidencing Tenant’s Insurance as necessary to assure that Landlord always has current certificates evidencing Tenant’s Insurance.”</w:t>
      </w:r>
    </w:p>
    <w:p>
      <w:pPr>
        <w:spacing w:after="0" w:line="46" w:lineRule="exact"/>
        <w:rPr>
          <w:sz w:val="20"/>
          <w:szCs w:val="20"/>
          <w:color w:val="auto"/>
        </w:rPr>
      </w:pPr>
    </w:p>
    <w:p>
      <w:pPr>
        <w:ind w:left="1046" w:right="40"/>
        <w:spacing w:after="0" w:line="268" w:lineRule="auto"/>
        <w:rPr>
          <w:sz w:val="20"/>
          <w:szCs w:val="20"/>
          <w:color w:val="auto"/>
        </w:rPr>
      </w:pPr>
      <w:r>
        <w:rPr>
          <w:rFonts w:ascii="Arial" w:cs="Arial" w:eastAsia="Arial" w:hAnsi="Arial"/>
          <w:sz w:val="18"/>
          <w:szCs w:val="18"/>
          <w:color w:val="auto"/>
        </w:rPr>
        <w:t>Tenant shall provide Landlord with a certificate of insurance evidencing Tenant’s Insurance, within five (5) business days following delivery of this Amendment, executed by Tenant to Landlord.</w:t>
      </w:r>
    </w:p>
    <w:p>
      <w:pPr>
        <w:spacing w:after="0" w:line="166" w:lineRule="exact"/>
        <w:rPr>
          <w:sz w:val="20"/>
          <w:szCs w:val="20"/>
          <w:color w:val="auto"/>
        </w:rPr>
      </w:pPr>
    </w:p>
    <w:p>
      <w:pPr>
        <w:ind w:left="446" w:hanging="446"/>
        <w:spacing w:after="0"/>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Indemnity. </w:t>
      </w:r>
      <w:r>
        <w:rPr>
          <w:rFonts w:ascii="Arial" w:cs="Arial" w:eastAsia="Arial" w:hAnsi="Arial"/>
          <w:sz w:val="18"/>
          <w:szCs w:val="18"/>
          <w:color w:val="auto"/>
        </w:rPr>
        <w:t>Section 11 of the Original Lease is hereby deleted in its entirety and replaced by the following:</w:t>
      </w:r>
    </w:p>
    <w:p>
      <w:pPr>
        <w:spacing w:after="0" w:line="90" w:lineRule="exact"/>
        <w:rPr>
          <w:sz w:val="20"/>
          <w:szCs w:val="20"/>
          <w:color w:val="auto"/>
        </w:rPr>
      </w:pPr>
    </w:p>
    <w:p>
      <w:pPr>
        <w:ind w:left="1046" w:right="40"/>
        <w:spacing w:after="0" w:line="301"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b w:val="1"/>
          <w:bCs w:val="1"/>
          <w:u w:val="single" w:color="auto"/>
          <w:color w:val="auto"/>
        </w:rPr>
        <w:t>Indemnity</w:t>
      </w:r>
      <w:r>
        <w:rPr>
          <w:rFonts w:ascii="Arial" w:cs="Arial" w:eastAsia="Arial" w:hAnsi="Arial"/>
          <w:sz w:val="15"/>
          <w:szCs w:val="15"/>
          <w:color w:val="auto"/>
        </w:rPr>
        <w:t>. Except to the extent caused by the negligence or willful misconduct of Landlord or any Landlord Parties, Tenant shall indemnify, defend and hold Landlord and Landlord’s officers, directors, beneficiaries, principals, partners, members, transferees, agents, invitees, contractors, licensees, employees, successors and assigns (collectively, the “Landlord Parties”) harmless against and from all liabilities, obligations, damages, penalties, claims, actions, costs, charges and expenses, including, without limitation, reasonable attorneys’ fees and court costs (collectively referred to as “Losses”), which are imposed upon, incurred by or asserted against Landlord or any of the Landlord Parties by any third party and arising out of or in connection with any damage or injury occurring in, on or about the Premises or any acts or omissions (including violations of Law) of Tenant and its employees, agents, members, partners, officers, directors, transferees, contractor invitees or licensees (collectively, the “Tenant Parties”). Except to the extent caused by the negligence or willful misconduct of Tenant or any Tenant Parties, Landlord shall indemnify, defend and hold Tenant and any Tenant Parties harmless against and from all Losses which are imposed upon, incurred by or asserted by a third party against Tenant and arising out of or in connection with the negligence or willful misconduct of Landlord or any Landlord Parties or the violation of Law pertaining to the Building by Landlord or any Landlord Parties The indemnity obligations set forth herein shall survive the expiration or earlier termination of this Lease. Notwithstanding the foregoing, in no event shall either party be liable to the other party for any indirect, consequential, special, incidental or punitive damages; provided that the foregoing shall not be deemed to limit Landlord’s remedies pursuant to California Civil Code Section 1951.2(a) though</w:t>
      </w:r>
    </w:p>
    <w:p>
      <w:pPr>
        <w:spacing w:after="0" w:line="9" w:lineRule="exact"/>
        <w:rPr>
          <w:sz w:val="20"/>
          <w:szCs w:val="20"/>
          <w:color w:val="auto"/>
        </w:rPr>
      </w:pPr>
    </w:p>
    <w:p>
      <w:pPr>
        <w:ind w:left="1286" w:hanging="248"/>
        <w:spacing w:after="0"/>
        <w:tabs>
          <w:tab w:leader="none" w:pos="1286" w:val="left"/>
        </w:tabs>
        <w:numPr>
          <w:ilvl w:val="1"/>
          <w:numId w:val="66"/>
        </w:numPr>
        <w:rPr>
          <w:rFonts w:ascii="Arial" w:cs="Arial" w:eastAsia="Arial" w:hAnsi="Arial"/>
          <w:sz w:val="18"/>
          <w:szCs w:val="18"/>
          <w:color w:val="auto"/>
        </w:rPr>
      </w:pPr>
      <w:r>
        <w:rPr>
          <w:rFonts w:ascii="Arial" w:cs="Arial" w:eastAsia="Arial" w:hAnsi="Arial"/>
          <w:sz w:val="18"/>
          <w:szCs w:val="18"/>
          <w:color w:val="auto"/>
        </w:rPr>
        <w:t>or any similar or successor statute.”</w:t>
      </w:r>
    </w:p>
    <w:p>
      <w:pPr>
        <w:spacing w:after="0" w:line="77" w:lineRule="exact"/>
        <w:rPr>
          <w:rFonts w:ascii="Arial" w:cs="Arial" w:eastAsia="Arial" w:hAnsi="Arial"/>
          <w:sz w:val="18"/>
          <w:szCs w:val="18"/>
          <w:color w:val="auto"/>
        </w:rPr>
      </w:pPr>
    </w:p>
    <w:p>
      <w:pPr>
        <w:ind w:left="446" w:right="160" w:hanging="446"/>
        <w:spacing w:after="0" w:line="258" w:lineRule="auto"/>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Entry by Landlord. </w:t>
      </w:r>
      <w:r>
        <w:rPr>
          <w:rFonts w:ascii="Arial" w:cs="Arial" w:eastAsia="Arial" w:hAnsi="Arial"/>
          <w:sz w:val="18"/>
          <w:szCs w:val="18"/>
          <w:color w:val="auto"/>
        </w:rPr>
        <w:t>The phrase “during the final six (6) months of Tenant’s occupancy of the Premises” set forth in the fourth sentence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15 of the Original Lease is hereby deleted in its entirety and replaced with “the last twelve (12) months of the then current Term.” The reference to “best efforts” in the fifth sentence of Section 15 of the Original Lease is hereby deleted in its entirety and replaced with “commercially reasonable efforts.”</w:t>
      </w:r>
    </w:p>
    <w:p>
      <w:pPr>
        <w:spacing w:after="0" w:line="12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6"/>
          </w:cols>
          <w:pgMar w:left="694" w:top="280" w:right="259" w:bottom="1440" w:gutter="0" w:footer="0" w:header="0"/>
        </w:sectPr>
      </w:pPr>
    </w:p>
    <w:bookmarkStart w:id="122" w:name="page123"/>
    <w:bookmarkEnd w:id="122"/>
    <w:p>
      <w:pPr>
        <w:ind w:left="892" w:hanging="446"/>
        <w:spacing w:after="0"/>
        <w:tabs>
          <w:tab w:leader="none" w:pos="892"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Holding Over. </w:t>
      </w:r>
      <w:r>
        <w:rPr>
          <w:rFonts w:ascii="Arial" w:cs="Arial" w:eastAsia="Arial" w:hAnsi="Arial"/>
          <w:sz w:val="18"/>
          <w:szCs w:val="18"/>
          <w:color w:val="auto"/>
        </w:rPr>
        <w:t>Section 21 of the Original Lease is hereby deleted in its entirety and replaced by the following:</w:t>
      </w:r>
    </w:p>
    <w:p>
      <w:pPr>
        <w:spacing w:after="0" w:line="90" w:lineRule="exact"/>
        <w:rPr>
          <w:sz w:val="20"/>
          <w:szCs w:val="20"/>
          <w:color w:val="auto"/>
        </w:rPr>
      </w:pPr>
    </w:p>
    <w:p>
      <w:pPr>
        <w:ind w:left="1492"/>
        <w:spacing w:after="0" w:line="28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color w:val="auto"/>
        </w:rPr>
        <w:t>HOLDING OVER.</w:t>
      </w:r>
      <w:r>
        <w:rPr>
          <w:rFonts w:ascii="Arial" w:cs="Arial" w:eastAsia="Arial" w:hAnsi="Arial"/>
          <w:sz w:val="16"/>
          <w:szCs w:val="16"/>
          <w:color w:val="auto"/>
        </w:rPr>
        <w:t xml:space="preserve"> Except in the case of a Permitted Holdover (defined below), if Tenant fails to surrender all or any part of the Premises at the termination of this Lease, occupancy of the Premises after termination shall be that of a tenancy at sufferance. Tenant’s occupancy of the Premises during such holding over shall be subject to all the terms and provisions of this Lease, and Tenant shall pay an amount (on a per month basis without reduction for partial months during the holdover) equal to 125% of the Base Rent due for the period immediately preceding the holdover, plus any other Rent payable by Tenant under the Lease, as amended hereby. No holdover by Tenant or payment by Tenant after the termination of this Lease shall be construed to extend the Term or prevent Landlord from immediate recovery of possession of the Premises by summary proceedings or otherwise. If Landlord is unable to deliver possession of the Premises to a new tenant or to perform improvements for a new tenant as a result of Tenant’s holdover and Tenant fails to vacate the Premises within fifteen (15) days after notice from Landlord, Tenant shall be liable for all actual damages that Landlord suffers from the holdover. Notwithstanding anything to the contrary set forth in this Section 21, so long as Tenant is not in default beyond any applicable notice and cure period under this Lease, Tenant shall have the right to holdover (the “Permitted Holdover”) in the entire Premises only, for twelve (12) consecutive months, commencing as of the expiration of the then current Term (the “Permitted Holdover Period”), subject to the remaining terms of this Section, if Tenant delivers to Landlord prior written notice of Tenant’s intent to so occupy the Premises on or before the date that is twelve (12) full calendar months prior to the expiration of the then current Term. If Tenant engages in a Permitted Holdover, then during the Permitted Holdover Period, Tenant shall occupy the Premises in its as-is condition and configuration subject to all the terms and conditions of this Lease, provided that solely during the Permitted Holdover Period, Tenant shall pay an amount equal to 110% of the Rent in effect under this Lease during the month immediately preceding the Permitted Holdover Period for the entire twelve (12) month Permitted Holdover Period. If Tenant engages in a Permitted Holdover, then if Tenant fails to vacate and surrender the Premises on or prior to expiration or earlier termination of the Permitted Holdover Period, Tenant shall be deemed in holdover of the Premises and such holdover shall be subject to the provisions of this Section. Nothing herein shall grant Tenant the right to hold over or otherwise occupy the Premises at any time following the expiration or earlier termination of the Permitted Holdover Period.”</w:t>
      </w:r>
    </w:p>
    <w:p>
      <w:pPr>
        <w:spacing w:after="0" w:line="47" w:lineRule="exact"/>
        <w:rPr>
          <w:sz w:val="20"/>
          <w:szCs w:val="20"/>
          <w:color w:val="auto"/>
        </w:rPr>
      </w:pPr>
    </w:p>
    <w:p>
      <w:pPr>
        <w:ind w:left="892" w:hanging="446"/>
        <w:spacing w:after="0"/>
        <w:tabs>
          <w:tab w:leader="none" w:pos="892" w:val="left"/>
        </w:tabs>
        <w:numPr>
          <w:ilvl w:val="1"/>
          <w:numId w:val="69"/>
        </w:numPr>
        <w:rPr>
          <w:rFonts w:ascii="Arial" w:cs="Arial" w:eastAsia="Arial" w:hAnsi="Arial"/>
          <w:sz w:val="18"/>
          <w:szCs w:val="18"/>
          <w:color w:val="auto"/>
        </w:rPr>
      </w:pPr>
      <w:r>
        <w:rPr>
          <w:rFonts w:ascii="Arial" w:cs="Arial" w:eastAsia="Arial" w:hAnsi="Arial"/>
          <w:sz w:val="18"/>
          <w:szCs w:val="18"/>
          <w:b w:val="1"/>
          <w:bCs w:val="1"/>
          <w:color w:val="auto"/>
        </w:rPr>
        <w:t>Floor Plans</w:t>
      </w:r>
      <w:r>
        <w:rPr>
          <w:rFonts w:ascii="Arial" w:cs="Arial" w:eastAsia="Arial" w:hAnsi="Arial"/>
          <w:sz w:val="18"/>
          <w:szCs w:val="18"/>
          <w:color w:val="auto"/>
        </w:rPr>
        <w:t>. A current copy of the floor plans for the Building are attached hereto as</w:t>
      </w:r>
      <w:r>
        <w:rPr>
          <w:rFonts w:ascii="Arial" w:cs="Arial" w:eastAsia="Arial" w:hAnsi="Arial"/>
          <w:sz w:val="18"/>
          <w:szCs w:val="18"/>
          <w:b w:val="1"/>
          <w:bCs w:val="1"/>
          <w:color w:val="auto"/>
        </w:rPr>
        <w:t xml:space="preserve"> Exhibit F</w:t>
      </w:r>
      <w:r>
        <w:rPr>
          <w:rFonts w:ascii="Arial" w:cs="Arial" w:eastAsia="Arial" w:hAnsi="Arial"/>
          <w:sz w:val="18"/>
          <w:szCs w:val="18"/>
          <w:color w:val="auto"/>
        </w:rPr>
        <w:t>.</w:t>
      </w:r>
    </w:p>
    <w:p>
      <w:pPr>
        <w:spacing w:after="0" w:line="292" w:lineRule="exact"/>
        <w:rPr>
          <w:rFonts w:ascii="Arial" w:cs="Arial" w:eastAsia="Arial" w:hAnsi="Arial"/>
          <w:sz w:val="18"/>
          <w:szCs w:val="18"/>
          <w:color w:val="auto"/>
        </w:rPr>
      </w:pPr>
    </w:p>
    <w:p>
      <w:pPr>
        <w:ind w:left="452" w:hanging="452"/>
        <w:spacing w:after="0"/>
        <w:tabs>
          <w:tab w:leader="none" w:pos="452"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20" w:hanging="446"/>
        <w:spacing w:after="0" w:line="288" w:lineRule="auto"/>
        <w:tabs>
          <w:tab w:leader="none" w:pos="892"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This Amendment, including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(Phase I Work Letter)</w:t>
      </w:r>
      <w:r>
        <w:rPr>
          <w:rFonts w:ascii="Arial" w:cs="Arial" w:eastAsia="Arial" w:hAnsi="Arial"/>
          <w:sz w:val="16"/>
          <w:szCs w:val="16"/>
          <w:b w:val="1"/>
          <w:bCs w:val="1"/>
          <w:color w:val="auto"/>
        </w:rPr>
        <w:t>, Exhibit B</w:t>
      </w:r>
      <w:r>
        <w:rPr>
          <w:rFonts w:ascii="Arial" w:cs="Arial" w:eastAsia="Arial" w:hAnsi="Arial"/>
          <w:sz w:val="16"/>
          <w:szCs w:val="16"/>
          <w:color w:val="auto"/>
        </w:rPr>
        <w:t xml:space="preserve"> (Phase II Work Letter)</w:t>
      </w:r>
      <w:r>
        <w:rPr>
          <w:rFonts w:ascii="Arial" w:cs="Arial" w:eastAsia="Arial" w:hAnsi="Arial"/>
          <w:sz w:val="16"/>
          <w:szCs w:val="16"/>
          <w:b w:val="1"/>
          <w:bCs w:val="1"/>
          <w:color w:val="auto"/>
        </w:rPr>
        <w:t>, Exhibit C</w:t>
      </w:r>
      <w:r>
        <w:rPr>
          <w:rFonts w:ascii="Arial" w:cs="Arial" w:eastAsia="Arial" w:hAnsi="Arial"/>
          <w:sz w:val="16"/>
          <w:szCs w:val="16"/>
          <w:color w:val="auto"/>
        </w:rPr>
        <w:t xml:space="preserve"> (List of Auxiliary Electrical, HVAC and Fire Suppression Equipment and Building Electrical Panels to be Maintained by Tenant), </w:t>
      </w:r>
      <w:r>
        <w:rPr>
          <w:rFonts w:ascii="Arial" w:cs="Arial" w:eastAsia="Arial" w:hAnsi="Arial"/>
          <w:sz w:val="16"/>
          <w:szCs w:val="16"/>
          <w:b w:val="1"/>
          <w:bCs w:val="1"/>
          <w:color w:val="auto"/>
        </w:rPr>
        <w:t>Exhibit D</w:t>
      </w:r>
      <w:r>
        <w:rPr>
          <w:rFonts w:ascii="Arial" w:cs="Arial" w:eastAsia="Arial" w:hAnsi="Arial"/>
          <w:sz w:val="16"/>
          <w:szCs w:val="16"/>
          <w:color w:val="auto"/>
        </w:rPr>
        <w:t xml:space="preserve"> (Green Cleaning Specifications), </w:t>
      </w:r>
      <w:r>
        <w:rPr>
          <w:rFonts w:ascii="Arial" w:cs="Arial" w:eastAsia="Arial" w:hAnsi="Arial"/>
          <w:sz w:val="16"/>
          <w:szCs w:val="16"/>
          <w:b w:val="1"/>
          <w:bCs w:val="1"/>
          <w:color w:val="auto"/>
        </w:rPr>
        <w:t>Exhibit E</w:t>
      </w:r>
      <w:r>
        <w:rPr>
          <w:rFonts w:ascii="Arial" w:cs="Arial" w:eastAsia="Arial" w:hAnsi="Arial"/>
          <w:sz w:val="16"/>
          <w:szCs w:val="16"/>
          <w:color w:val="auto"/>
        </w:rPr>
        <w:t xml:space="preserve"> (Location of Dining Facilities),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(Current Floor Plans for the Premises), </w:t>
      </w:r>
      <w:r>
        <w:rPr>
          <w:rFonts w:ascii="Arial" w:cs="Arial" w:eastAsia="Arial" w:hAnsi="Arial"/>
          <w:sz w:val="16"/>
          <w:szCs w:val="16"/>
          <w:b w:val="1"/>
          <w:bCs w:val="1"/>
          <w:color w:val="auto"/>
        </w:rPr>
        <w:t>Exhibit G</w:t>
      </w:r>
      <w:r>
        <w:rPr>
          <w:rFonts w:ascii="Arial" w:cs="Arial" w:eastAsia="Arial" w:hAnsi="Arial"/>
          <w:sz w:val="16"/>
          <w:szCs w:val="16"/>
          <w:color w:val="auto"/>
        </w:rPr>
        <w:t xml:space="preserve"> (List of Landlord’s Transformers, Electrical Panels and Switch Gear/Meter Set) and </w:t>
      </w:r>
      <w:r>
        <w:rPr>
          <w:rFonts w:ascii="Arial" w:cs="Arial" w:eastAsia="Arial" w:hAnsi="Arial"/>
          <w:sz w:val="16"/>
          <w:szCs w:val="16"/>
          <w:b w:val="1"/>
          <w:bCs w:val="1"/>
          <w:color w:val="auto"/>
        </w:rPr>
        <w:t>Exhibit H</w:t>
      </w:r>
      <w:r>
        <w:rPr>
          <w:rFonts w:ascii="Arial" w:cs="Arial" w:eastAsia="Arial" w:hAnsi="Arial"/>
          <w:sz w:val="16"/>
          <w:szCs w:val="16"/>
          <w:color w:val="auto"/>
        </w:rPr>
        <w:t xml:space="preserve"> (Current Configuration of Electrical System for 111 McInnis Parkway), attached hereto and incorporated by reference herein, sets forth the entire agreement between the parties with respect to the matters set forth herein. There have been no additional oral or written representations or agreements. Under no circumstances shall Tenant be entitled to any Rent abatement (other than any unexpired rent abatement expressly provided in the Lease), improvement allowance (except as set forth in Section 3 above and </w:t>
      </w:r>
      <w:r>
        <w:rPr>
          <w:rFonts w:ascii="Arial" w:cs="Arial" w:eastAsia="Arial" w:hAnsi="Arial"/>
          <w:sz w:val="16"/>
          <w:szCs w:val="16"/>
          <w:b w:val="1"/>
          <w:bCs w:val="1"/>
          <w:color w:val="auto"/>
        </w:rPr>
        <w:t>Exhibits A</w:t>
      </w:r>
      <w:r>
        <w:rPr>
          <w:rFonts w:ascii="Arial" w:cs="Arial" w:eastAsia="Arial" w:hAnsi="Arial"/>
          <w:sz w:val="16"/>
          <w:szCs w:val="16"/>
          <w:color w:val="auto"/>
        </w:rPr>
        <w:t xml:space="preserve"> and </w:t>
      </w:r>
      <w:r>
        <w:rPr>
          <w:rFonts w:ascii="Arial" w:cs="Arial" w:eastAsia="Arial" w:hAnsi="Arial"/>
          <w:sz w:val="16"/>
          <w:szCs w:val="16"/>
          <w:b w:val="1"/>
          <w:bCs w:val="1"/>
          <w:color w:val="auto"/>
        </w:rPr>
        <w:t>B</w:t>
      </w:r>
      <w:r>
        <w:rPr>
          <w:rFonts w:ascii="Arial" w:cs="Arial" w:eastAsia="Arial" w:hAnsi="Arial"/>
          <w:sz w:val="16"/>
          <w:szCs w:val="16"/>
          <w:color w:val="auto"/>
        </w:rPr>
        <w:t>), leasehold improvements, or other work to the Premises (other than on-going repair and maintenance obligations set forth in the Lease), or any similar economic incentives that may have been provided Tenant in connection with entering into the Lease, as amended hereby, unless specifically set forth in this Amendment.</w:t>
      </w:r>
    </w:p>
    <w:p>
      <w:pPr>
        <w:spacing w:after="0" w:line="40" w:lineRule="exact"/>
        <w:rPr>
          <w:rFonts w:ascii="Arial" w:cs="Arial" w:eastAsia="Arial" w:hAnsi="Arial"/>
          <w:sz w:val="16"/>
          <w:szCs w:val="16"/>
          <w:color w:val="auto"/>
        </w:rPr>
      </w:pPr>
    </w:p>
    <w:p>
      <w:pPr>
        <w:ind w:left="892" w:hanging="446"/>
        <w:spacing w:after="0"/>
        <w:tabs>
          <w:tab w:leader="none" w:pos="892" w:val="left"/>
        </w:tabs>
        <w:numPr>
          <w:ilvl w:val="1"/>
          <w:numId w:val="70"/>
        </w:numPr>
        <w:rPr>
          <w:rFonts w:ascii="Arial" w:cs="Arial" w:eastAsia="Arial" w:hAnsi="Arial"/>
          <w:sz w:val="16"/>
          <w:szCs w:val="16"/>
          <w:color w:val="auto"/>
        </w:rPr>
      </w:pPr>
      <w:r>
        <w:rPr>
          <w:rFonts w:ascii="Arial" w:cs="Arial" w:eastAsia="Arial" w:hAnsi="Arial"/>
          <w:sz w:val="16"/>
          <w:szCs w:val="16"/>
          <w:color w:val="auto"/>
        </w:rPr>
        <w:t>Except as herein modified or amended, the provisions, conditions and terms of the Lease, shall remain unchanged and in full force and effect.</w:t>
      </w:r>
    </w:p>
    <w:p>
      <w:pPr>
        <w:spacing w:after="0" w:line="113" w:lineRule="exact"/>
        <w:rPr>
          <w:rFonts w:ascii="Arial" w:cs="Arial" w:eastAsia="Arial" w:hAnsi="Arial"/>
          <w:sz w:val="16"/>
          <w:szCs w:val="16"/>
          <w:color w:val="auto"/>
        </w:rPr>
      </w:pPr>
    </w:p>
    <w:p>
      <w:pPr>
        <w:ind w:left="892" w:right="500" w:hanging="446"/>
        <w:spacing w:after="0" w:line="268" w:lineRule="auto"/>
        <w:tabs>
          <w:tab w:leader="none" w:pos="892"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case of any inconsistency between the provisions of the Lease and this Amendment, the provisions of this Amendment shall govern and control.</w:t>
      </w:r>
    </w:p>
    <w:p>
      <w:pPr>
        <w:spacing w:after="0" w:line="50" w:lineRule="exact"/>
        <w:rPr>
          <w:rFonts w:ascii="Arial" w:cs="Arial" w:eastAsia="Arial" w:hAnsi="Arial"/>
          <w:sz w:val="18"/>
          <w:szCs w:val="18"/>
          <w:color w:val="auto"/>
        </w:rPr>
      </w:pPr>
    </w:p>
    <w:p>
      <w:pPr>
        <w:ind w:left="892" w:right="440" w:hanging="446"/>
        <w:spacing w:after="0" w:line="332" w:lineRule="auto"/>
        <w:tabs>
          <w:tab w:leader="none" w:pos="892" w:val="left"/>
        </w:tabs>
        <w:numPr>
          <w:ilvl w:val="1"/>
          <w:numId w:val="70"/>
        </w:numPr>
        <w:rPr>
          <w:rFonts w:ascii="Arial" w:cs="Arial" w:eastAsia="Arial" w:hAnsi="Arial"/>
          <w:sz w:val="16"/>
          <w:szCs w:val="16"/>
          <w:color w:val="auto"/>
        </w:rPr>
      </w:pPr>
      <w:r>
        <w:rPr>
          <w:rFonts w:ascii="Arial" w:cs="Arial" w:eastAsia="Arial" w:hAnsi="Arial"/>
          <w:sz w:val="16"/>
          <w:szCs w:val="16"/>
          <w:color w:val="auto"/>
        </w:rPr>
        <w:t>Submission of this Amendment by Landlord is not an offer to enter into this Amendment but rather is a solicitation for such an offer by Tenant. Neither Landlord nor Tenant shall be bound by this Amendment until both parties have executed and delivered the same to the other party.</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74" w:right="259" w:bottom="1440" w:gutter="0" w:footer="0" w:header="0"/>
        </w:sectPr>
      </w:pPr>
    </w:p>
    <w:bookmarkStart w:id="123" w:name="page124"/>
    <w:bookmarkEnd w:id="123"/>
    <w:p>
      <w:pPr>
        <w:ind w:left="446" w:right="280" w:hanging="446"/>
        <w:spacing w:after="0" w:line="268" w:lineRule="auto"/>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capitalized terms used in this Amendment shall have the same definitions as set forth in the Lease, as amended hereby, to the extent that such capitalized terms are defined therein and not redefined in this Amendment.</w:t>
      </w:r>
    </w:p>
    <w:p>
      <w:pPr>
        <w:spacing w:after="0" w:line="50" w:lineRule="exact"/>
        <w:rPr>
          <w:rFonts w:ascii="Arial" w:cs="Arial" w:eastAsia="Arial" w:hAnsi="Arial"/>
          <w:sz w:val="18"/>
          <w:szCs w:val="18"/>
          <w:color w:val="auto"/>
        </w:rPr>
      </w:pPr>
    </w:p>
    <w:p>
      <w:pPr>
        <w:ind w:left="446" w:right="280" w:hanging="446"/>
        <w:spacing w:after="0" w:line="294" w:lineRule="auto"/>
        <w:tabs>
          <w:tab w:leader="none" w:pos="446" w:val="left"/>
        </w:tabs>
        <w:numPr>
          <w:ilvl w:val="0"/>
          <w:numId w:val="71"/>
        </w:numPr>
        <w:rPr>
          <w:rFonts w:ascii="Arial" w:cs="Arial" w:eastAsia="Arial" w:hAnsi="Arial"/>
          <w:sz w:val="16"/>
          <w:szCs w:val="16"/>
          <w:color w:val="auto"/>
        </w:rPr>
      </w:pPr>
      <w:r>
        <w:rPr>
          <w:rFonts w:ascii="Arial" w:cs="Arial" w:eastAsia="Arial" w:hAnsi="Arial"/>
          <w:sz w:val="16"/>
          <w:szCs w:val="16"/>
          <w:color w:val="auto"/>
        </w:rPr>
        <w:t>Tenant hereby represents to Landlord that Tenant has dealt with no broker in connection with this Amendment other than Colliers International (“</w:t>
      </w:r>
      <w:r>
        <w:rPr>
          <w:rFonts w:ascii="Arial" w:cs="Arial" w:eastAsia="Arial" w:hAnsi="Arial"/>
          <w:sz w:val="16"/>
          <w:szCs w:val="16"/>
          <w:b w:val="1"/>
          <w:bCs w:val="1"/>
          <w:color w:val="auto"/>
        </w:rPr>
        <w:t>Broker</w:t>
      </w:r>
      <w:r>
        <w:rPr>
          <w:rFonts w:ascii="Arial" w:cs="Arial" w:eastAsia="Arial" w:hAnsi="Arial"/>
          <w:sz w:val="16"/>
          <w:szCs w:val="16"/>
          <w:color w:val="auto"/>
        </w:rPr>
        <w:t>”). Tenant agrees to indemnify and hold Landlord and the Landlord Related Parties harmless from all claims of any brokers other than Broker claiming to have represented Tenant in connection with this Amendment. Landlord agrees to indemnify and hold Tenant harmless from all claims of any brokers claiming to have represented Landlord in connection with this Amendment. Landlord shall be responsible for payment of a commission to Broker in connection with this Amendment pursuant to the terms of a separate written agreement with Broker.</w:t>
      </w:r>
    </w:p>
    <w:p>
      <w:pPr>
        <w:spacing w:after="0" w:line="34" w:lineRule="exact"/>
        <w:rPr>
          <w:rFonts w:ascii="Arial" w:cs="Arial" w:eastAsia="Arial" w:hAnsi="Arial"/>
          <w:sz w:val="16"/>
          <w:szCs w:val="16"/>
          <w:color w:val="auto"/>
        </w:rPr>
      </w:pPr>
    </w:p>
    <w:p>
      <w:pPr>
        <w:ind w:left="446" w:right="60" w:hanging="446"/>
        <w:spacing w:after="0" w:line="268" w:lineRule="auto"/>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signatory of this Amendment represents hereby that he or she has the authority to execute and deliver the same on behalf of the party hereto for which such signatory is acting.</w:t>
      </w:r>
    </w:p>
    <w:p>
      <w:pPr>
        <w:spacing w:after="0" w:line="50" w:lineRule="exact"/>
        <w:rPr>
          <w:rFonts w:ascii="Arial" w:cs="Arial" w:eastAsia="Arial" w:hAnsi="Arial"/>
          <w:sz w:val="18"/>
          <w:szCs w:val="18"/>
          <w:color w:val="auto"/>
        </w:rPr>
      </w:pPr>
    </w:p>
    <w:p>
      <w:pPr>
        <w:ind w:left="446" w:right="40" w:hanging="446"/>
        <w:spacing w:after="0" w:line="290" w:lineRule="auto"/>
        <w:tabs>
          <w:tab w:leader="none" w:pos="446"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Except as otherwise required by applicable law or court order, Landlord and Tenant shall keep the contents of this Amendment and any information relating to the economic terms of the transaction contemplated herein (collectively, the “</w:t>
      </w:r>
      <w:r>
        <w:rPr>
          <w:rFonts w:ascii="Arial" w:cs="Arial" w:eastAsia="Arial" w:hAnsi="Arial"/>
          <w:sz w:val="16"/>
          <w:szCs w:val="16"/>
          <w:b w:val="1"/>
          <w:bCs w:val="1"/>
          <w:color w:val="auto"/>
        </w:rPr>
        <w:t>Information</w:t>
      </w:r>
      <w:r>
        <w:rPr>
          <w:rFonts w:ascii="Arial" w:cs="Arial" w:eastAsia="Arial" w:hAnsi="Arial"/>
          <w:sz w:val="16"/>
          <w:szCs w:val="16"/>
          <w:color w:val="auto"/>
        </w:rPr>
        <w:t>”) strictly confidential and shall not disclose the Information to any person, firm or entity except as expressly provided herein. Tenant may disclose the Information to Broker, and to Tenant’s Representatives; provided that any such disclosure to any Tenant’s Representatives shall be made on a confidential and need-to-know basis and Tenant shall require that each such Tenant’s Representatives keep the Information strictly confidential. Landlord may disclose the Information to Broker and to Landlord’s Representatives; provided that any such disclosure to any Landlord’s Representatives shall be made on a confidential and need-to-know basis and Landlord shall require that each such Landlord’s Representative keep the Information strictly confidential.</w:t>
      </w:r>
    </w:p>
    <w:p>
      <w:pPr>
        <w:spacing w:after="0" w:line="37" w:lineRule="exact"/>
        <w:rPr>
          <w:rFonts w:ascii="Arial" w:cs="Arial" w:eastAsia="Arial" w:hAnsi="Arial"/>
          <w:sz w:val="16"/>
          <w:szCs w:val="16"/>
          <w:color w:val="auto"/>
        </w:rPr>
      </w:pPr>
    </w:p>
    <w:p>
      <w:pPr>
        <w:ind w:left="446" w:right="100" w:hanging="446"/>
        <w:spacing w:after="0" w:line="259" w:lineRule="auto"/>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to be a duplicate original, but all of which together shall constitute one and the same instrument. Landlord and Tenant hereby agree signatures delivered by facsimile or electronic mail shall be binding upon the parties to this Amendment as if they were original signatures.</w:t>
      </w:r>
    </w:p>
    <w:p>
      <w:pPr>
        <w:spacing w:after="0" w:line="59" w:lineRule="exact"/>
        <w:rPr>
          <w:rFonts w:ascii="Arial" w:cs="Arial" w:eastAsia="Arial" w:hAnsi="Arial"/>
          <w:sz w:val="18"/>
          <w:szCs w:val="18"/>
          <w:color w:val="auto"/>
        </w:rPr>
      </w:pPr>
    </w:p>
    <w:p>
      <w:pPr>
        <w:ind w:left="446" w:right="20" w:hanging="446"/>
        <w:spacing w:after="0" w:line="288" w:lineRule="auto"/>
        <w:tabs>
          <w:tab w:leader="none" w:pos="446"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Redress for any claim against Landlord under the Lease and this Amendment shall be limited to and enforceable only against and to the extent of Landlord’s interest in the Building. The obligations of Landlord under the Lease are not intended to and shall not be personally binding on, nor shall any resort be had to the private properties of any of the Landlord Parties. For purposes of this Section, “Landlord’s interest in the Building” shall include rents paid by tenants, insurance proceeds, condemnation proceeds, and proceeds from the sale of the Building (collectively, “</w:t>
      </w:r>
      <w:r>
        <w:rPr>
          <w:rFonts w:ascii="Arial" w:cs="Arial" w:eastAsia="Arial" w:hAnsi="Arial"/>
          <w:sz w:val="16"/>
          <w:szCs w:val="16"/>
          <w:b w:val="1"/>
          <w:bCs w:val="1"/>
          <w:color w:val="auto"/>
        </w:rPr>
        <w:t>Owner</w:t>
      </w:r>
      <w:r>
        <w:rPr>
          <w:rFonts w:ascii="Arial" w:cs="Arial" w:eastAsia="Arial" w:hAnsi="Arial"/>
          <w:sz w:val="16"/>
          <w:szCs w:val="16"/>
          <w:color w:val="auto"/>
        </w:rPr>
        <w:t xml:space="preserve"> </w:t>
      </w:r>
      <w:r>
        <w:rPr>
          <w:rFonts w:ascii="Arial" w:cs="Arial" w:eastAsia="Arial" w:hAnsi="Arial"/>
          <w:sz w:val="16"/>
          <w:szCs w:val="16"/>
          <w:b w:val="1"/>
          <w:bCs w:val="1"/>
          <w:color w:val="auto"/>
        </w:rPr>
        <w:t>Proceeds</w:t>
      </w:r>
      <w:r>
        <w:rPr>
          <w:rFonts w:ascii="Arial" w:cs="Arial" w:eastAsia="Arial" w:hAnsi="Arial"/>
          <w:sz w:val="16"/>
          <w:szCs w:val="16"/>
          <w:color w:val="auto"/>
        </w:rPr>
        <w:t>”); provided, however, that Tenant shall not be entitled to recover Owner Proceeds from any Landlord Parties (other than Landlord)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third party after they have been distributed or paid to such party; provided further, however, that nothing in this sentence shall diminish any right Tenant may have under Law, as a creditor of Landlord, to initiate or participate in an action to recover Owner Proceeds from a third party on the grounds that such third party obtained such Owner Proceeds when Landlord was, or could reasonably be expected to become, insolvent or in a transfer that was preferential or fraudulent as to Landlord’s creditors.</w:t>
      </w:r>
    </w:p>
    <w:p>
      <w:pPr>
        <w:spacing w:after="0" w:line="38" w:lineRule="exact"/>
        <w:rPr>
          <w:rFonts w:ascii="Arial" w:cs="Arial" w:eastAsia="Arial" w:hAnsi="Arial"/>
          <w:sz w:val="16"/>
          <w:szCs w:val="16"/>
          <w:color w:val="auto"/>
        </w:rPr>
      </w:pPr>
    </w:p>
    <w:p>
      <w:pPr>
        <w:ind w:left="446" w:right="40" w:hanging="446"/>
        <w:spacing w:after="0" w:line="302" w:lineRule="auto"/>
        <w:tabs>
          <w:tab w:leader="none" w:pos="446"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This Fourth Amendment to Lease is conditioned upon Landlord’s receipt of the consent or deemed consent, as applicable, to this Fourth Amendment from Landlord’s lender. The date upon which Landlord receives the lender’s consent or deemed consent, as applicable, shall be the “</w:t>
      </w:r>
      <w:r>
        <w:rPr>
          <w:rFonts w:ascii="Arial" w:cs="Arial" w:eastAsia="Arial" w:hAnsi="Arial"/>
          <w:sz w:val="15"/>
          <w:szCs w:val="15"/>
          <w:b w:val="1"/>
          <w:bCs w:val="1"/>
          <w:color w:val="auto"/>
        </w:rPr>
        <w:t>Effective Date</w:t>
      </w:r>
      <w:r>
        <w:rPr>
          <w:rFonts w:ascii="Arial" w:cs="Arial" w:eastAsia="Arial" w:hAnsi="Arial"/>
          <w:sz w:val="15"/>
          <w:szCs w:val="15"/>
          <w:color w:val="auto"/>
        </w:rPr>
        <w:t>”. Landlord shall notify Tenant in writing promptly upon Landlord’s receipt of the lender’s consent or refusal to consent to this Fourth Amendment, and/or of the date of lender’s deemed consent. If the lender’s consent, or deemed consent, has not been obtained by the date that is forty-five</w:t>
      </w:r>
    </w:p>
    <w:p>
      <w:pPr>
        <w:spacing w:after="0" w:line="2" w:lineRule="exact"/>
        <w:rPr>
          <w:rFonts w:ascii="Arial" w:cs="Arial" w:eastAsia="Arial" w:hAnsi="Arial"/>
          <w:sz w:val="15"/>
          <w:szCs w:val="15"/>
          <w:color w:val="auto"/>
        </w:rPr>
      </w:pPr>
    </w:p>
    <w:p>
      <w:pPr>
        <w:ind w:left="446" w:right="220"/>
        <w:spacing w:after="0" w:line="281" w:lineRule="auto"/>
        <w:rPr>
          <w:rFonts w:ascii="Arial" w:cs="Arial" w:eastAsia="Arial" w:hAnsi="Arial"/>
          <w:sz w:val="15"/>
          <w:szCs w:val="15"/>
          <w:color w:val="auto"/>
        </w:rPr>
      </w:pPr>
      <w:r>
        <w:rPr>
          <w:rFonts w:ascii="Arial" w:cs="Arial" w:eastAsia="Arial" w:hAnsi="Arial"/>
          <w:sz w:val="16"/>
          <w:szCs w:val="16"/>
          <w:color w:val="auto"/>
        </w:rPr>
        <w:t>(45) days after the later of the dates of execution of this Fourth Amendment by Landlord and Tenant, this Fourth Amendment shall be deemed null and void and of no further force or effect. In such event, Tenant shall be deemed to have exercised its second Extension Option pursuant to</w:t>
      </w:r>
    </w:p>
    <w:p>
      <w:pPr>
        <w:spacing w:after="0" w:line="1" w:lineRule="exact"/>
        <w:rPr>
          <w:rFonts w:ascii="Arial" w:cs="Arial" w:eastAsia="Arial" w:hAnsi="Arial"/>
          <w:sz w:val="15"/>
          <w:szCs w:val="15"/>
          <w:color w:val="auto"/>
        </w:rPr>
      </w:pPr>
    </w:p>
    <w:p>
      <w:pPr>
        <w:ind w:left="446"/>
        <w:spacing w:after="0" w:line="292" w:lineRule="auto"/>
        <w:rPr>
          <w:rFonts w:ascii="Arial" w:cs="Arial" w:eastAsia="Arial" w:hAnsi="Arial"/>
          <w:sz w:val="15"/>
          <w:szCs w:val="15"/>
          <w:color w:val="auto"/>
        </w:rPr>
      </w:pPr>
      <w:r>
        <w:rPr>
          <w:rFonts w:ascii="Arial" w:cs="Arial" w:eastAsia="Arial" w:hAnsi="Arial"/>
          <w:sz w:val="16"/>
          <w:szCs w:val="16"/>
          <w:color w:val="auto"/>
        </w:rPr>
        <w:t>Section 3.2.1 of the Original Lease, and Landlord and Tenant shall execute an amendment to the Lease extending the Term for an additional period of five (5) years commencing on January 1, 2010, with the Fair Market Rent payable during the first twelve (12) months of the Term established as $2.11 per month per rentable square foot of the Premises (excluding the cost of gas and electricity), subject to a three percent (3%) increase on each anniversary of the commencement date of the Second Extended Term, and providing that otherwise all of the same terms and conditions of the Lease shall remain unmodified and in full force and effect during the Second Extended Term.</w:t>
      </w:r>
    </w:p>
    <w:p>
      <w:pPr>
        <w:spacing w:after="0" w:line="11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[signatures appear on next page]</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6"/>
          </w:cols>
          <w:pgMar w:left="694" w:top="280" w:right="239" w:bottom="1440" w:gutter="0" w:footer="0" w:header="0"/>
        </w:sectPr>
      </w:pPr>
    </w:p>
    <w:bookmarkStart w:id="124" w:name="page125"/>
    <w:bookmarkEnd w:id="124"/>
    <w:p>
      <w:pPr>
        <w:ind w:right="52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Landlord and Tenant have duly executed this Amendment as of the later of the dates set forth below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signatures.</w:t>
      </w:r>
    </w:p>
    <w:p>
      <w:pPr>
        <w:spacing w:after="0" w:line="16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JHS HOLDINGS, L.P.</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 California limited partnership</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JHS HOLDINGS I,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Delaware limited liability company, its General Partner</w:t>
      </w:r>
    </w:p>
    <w:p>
      <w:pPr>
        <w:spacing w:after="0" w:line="2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/s/ Joe Shekou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10795</wp:posOffset>
            </wp:positionV>
            <wp:extent cx="25126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Joe Shekou, Trustee of the J.H.S. Trust dated</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December 2, 1993, as amended, its member</w:t>
      </w:r>
    </w:p>
    <w:p>
      <w:pPr>
        <w:spacing w:after="0" w:line="21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Dated: January 27, 2010</w:t>
      </w:r>
    </w:p>
    <w:p>
      <w:pPr>
        <w:spacing w:after="0" w:line="22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/s/ Heidi Shekou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10795</wp:posOffset>
            </wp:positionV>
            <wp:extent cx="25126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6"/>
          <w:szCs w:val="16"/>
          <w:color w:val="auto"/>
        </w:rPr>
        <w:t>Heidi Shekou, Trustee of the J.H.S. Trust dated</w:t>
      </w:r>
    </w:p>
    <w:p>
      <w:pPr>
        <w:spacing w:after="0" w:line="32"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December 2, 1993, as amended, its member</w:t>
      </w:r>
    </w:p>
    <w:p>
      <w:pPr>
        <w:spacing w:after="0" w:line="21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Dated: January 27, 2010</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AUTODESK, INC., a Delaware corporation</w:t>
      </w:r>
    </w:p>
    <w:p>
      <w:pPr>
        <w:spacing w:after="0" w:line="231"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Carl Bass</w:t>
      </w:r>
    </w:p>
    <w:p>
      <w:pPr>
        <w:spacing w:after="0" w:line="1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January 22, 2010</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274" w:right="45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780" w:type="dxa"/>
            <w:vAlign w:val="bottom"/>
            <w:gridSpan w:val="2"/>
          </w:tcPr>
          <w:p>
            <w:pPr>
              <w:jc w:val="center"/>
              <w:ind w:right="193"/>
              <w:spacing w:after="0"/>
              <w:rPr>
                <w:sz w:val="20"/>
                <w:szCs w:val="20"/>
                <w:color w:val="auto"/>
              </w:rPr>
            </w:pPr>
            <w:r>
              <w:rPr>
                <w:rFonts w:ascii="Arial" w:cs="Arial" w:eastAsia="Arial" w:hAnsi="Arial"/>
                <w:sz w:val="18"/>
                <w:szCs w:val="18"/>
                <w:b w:val="1"/>
                <w:bCs w:val="1"/>
                <w:color w:val="auto"/>
                <w:w w:val="97"/>
              </w:rPr>
              <w:t>SUBSIDIARIES OF AUTODESK, INC.,</w:t>
            </w:r>
          </w:p>
        </w:tc>
      </w:tr>
      <w:tr>
        <w:trPr>
          <w:trHeight w:val="216"/>
        </w:trPr>
        <w:tc>
          <w:tcPr>
            <w:tcW w:w="10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780" w:type="dxa"/>
            <w:vAlign w:val="bottom"/>
            <w:gridSpan w:val="2"/>
          </w:tcPr>
          <w:p>
            <w:pPr>
              <w:jc w:val="center"/>
              <w:ind w:right="193"/>
              <w:spacing w:after="0"/>
              <w:rPr>
                <w:sz w:val="20"/>
                <w:szCs w:val="20"/>
                <w:color w:val="auto"/>
              </w:rPr>
            </w:pPr>
            <w:r>
              <w:rPr>
                <w:rFonts w:ascii="Arial" w:cs="Arial" w:eastAsia="Arial" w:hAnsi="Arial"/>
                <w:sz w:val="18"/>
                <w:szCs w:val="18"/>
                <w:b w:val="1"/>
                <w:bCs w:val="1"/>
                <w:color w:val="auto"/>
                <w:w w:val="90"/>
              </w:rPr>
              <w:t>a Delaware Corporation</w:t>
            </w:r>
          </w:p>
        </w:tc>
      </w:tr>
      <w:tr>
        <w:trPr>
          <w:trHeight w:val="228"/>
        </w:trPr>
        <w:tc>
          <w:tcPr>
            <w:tcW w:w="10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780" w:type="dxa"/>
            <w:vAlign w:val="bottom"/>
            <w:gridSpan w:val="2"/>
          </w:tcPr>
          <w:p>
            <w:pPr>
              <w:jc w:val="center"/>
              <w:ind w:right="173"/>
              <w:spacing w:after="0"/>
              <w:rPr>
                <w:sz w:val="20"/>
                <w:szCs w:val="20"/>
                <w:color w:val="auto"/>
              </w:rPr>
            </w:pPr>
            <w:r>
              <w:rPr>
                <w:rFonts w:ascii="Arial" w:cs="Arial" w:eastAsia="Arial" w:hAnsi="Arial"/>
                <w:sz w:val="18"/>
                <w:szCs w:val="18"/>
                <w:b w:val="1"/>
                <w:bCs w:val="1"/>
                <w:color w:val="auto"/>
                <w:w w:val="87"/>
              </w:rPr>
              <w:t>as of January 31, 2010</w:t>
            </w:r>
          </w:p>
        </w:tc>
      </w:tr>
      <w:tr>
        <w:trPr>
          <w:trHeight w:val="353"/>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Subsidiary Name</w:t>
            </w:r>
          </w:p>
        </w:tc>
        <w:tc>
          <w:tcPr>
            <w:tcW w:w="20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4"/>
                <w:szCs w:val="14"/>
                <w:b w:val="1"/>
                <w:bCs w:val="1"/>
                <w:color w:val="auto"/>
                <w:w w:val="92"/>
              </w:rPr>
              <w:t>Jurisdiction of Incorporation</w:t>
            </w:r>
          </w:p>
        </w:tc>
      </w:tr>
      <w:tr>
        <w:trPr>
          <w:trHeight w:val="201"/>
        </w:trPr>
        <w:tc>
          <w:tcPr>
            <w:tcW w:w="1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7"/>
              </w:rPr>
              <w:t>ADSK Canada</w:t>
            </w:r>
          </w:p>
        </w:tc>
        <w:tc>
          <w:tcPr>
            <w:tcW w:w="2920" w:type="dxa"/>
            <w:vAlign w:val="bottom"/>
          </w:tcPr>
          <w:p>
            <w:pPr>
              <w:ind w:left="60"/>
              <w:spacing w:after="0" w:line="201" w:lineRule="exact"/>
              <w:rPr>
                <w:sz w:val="20"/>
                <w:szCs w:val="20"/>
                <w:color w:val="auto"/>
              </w:rPr>
            </w:pPr>
            <w:r>
              <w:rPr>
                <w:rFonts w:ascii="Arial" w:cs="Arial" w:eastAsia="Arial" w:hAnsi="Arial"/>
                <w:sz w:val="18"/>
                <w:szCs w:val="18"/>
                <w:color w:val="auto"/>
              </w:rPr>
              <w:t>Inc.</w:t>
            </w:r>
          </w:p>
        </w:tc>
        <w:tc>
          <w:tcPr>
            <w:tcW w:w="2000" w:type="dxa"/>
            <w:vAlign w:val="bottom"/>
          </w:tcPr>
          <w:p>
            <w:pPr>
              <w:spacing w:after="0"/>
              <w:rPr>
                <w:sz w:val="17"/>
                <w:szCs w:val="17"/>
                <w:color w:val="auto"/>
              </w:rPr>
            </w:pPr>
          </w:p>
        </w:tc>
        <w:tc>
          <w:tcPr>
            <w:tcW w:w="1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Canada (Ontario)</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ADSK Ireland Limited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Algor, Inc.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U.S. (Pennsylvania)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Alias Systems Limited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(EMEA) Sàrl</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(Europe) S.A.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AB</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Sweden</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Asia Pte Ltd.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Australia Pty Ltd.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B.V.</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Canada Co.</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w w:val="99"/>
              </w:rPr>
              <w:t>Canada (Nova Scotia)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de Argentina S.A.</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Argentina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de Mexico, S.A. de C.V.</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de Venezuela, S.A.</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Venezuela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Design Software (Shanghai) Co., Ltd.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Development B.V.</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Development Sàrl</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do Brasil Ltda</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Far East Ltd.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Hong Kong</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Ges.mbH</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Austria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GmbH</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Hungary Kft</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Hungary</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India Private Limited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International Holding Co.</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U.S.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Israel Ltd.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Israel</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Korea Ltd.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South Korea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Limited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Ltd. Japan</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SA</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S.r.l.</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Software (China) Co., Ltd.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Software, Unipessoal, Lda.</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Portugal</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Sp. z.o.o.</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Poland</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spol. s.r.o.</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Strategies Ltd.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Taiwan Limited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Taiwan</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w w:val="98"/>
              </w:rPr>
              <w:t>Autodesk Yazilim Hizmetleri Ticaret Limited Sirketi</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Turkey</w:t>
            </w:r>
          </w:p>
        </w:tc>
      </w:tr>
      <w:tr>
        <w:trPr>
          <w:trHeight w:val="222"/>
        </w:trPr>
        <w:tc>
          <w:tcPr>
            <w:tcW w:w="3960" w:type="dxa"/>
            <w:vAlign w:val="bottom"/>
            <w:gridSpan w:val="2"/>
          </w:tcPr>
          <w:p>
            <w:pPr>
              <w:ind w:left="180"/>
              <w:spacing w:after="0"/>
              <w:rPr>
                <w:sz w:val="20"/>
                <w:szCs w:val="20"/>
                <w:color w:val="auto"/>
              </w:rPr>
            </w:pPr>
            <w:r>
              <w:rPr>
                <w:rFonts w:ascii="Arial" w:cs="Arial" w:eastAsia="Arial" w:hAnsi="Arial"/>
                <w:sz w:val="18"/>
                <w:szCs w:val="18"/>
                <w:i w:val="1"/>
                <w:iCs w:val="1"/>
                <w:color w:val="auto"/>
              </w:rPr>
              <w:t>(Autodesk Limited Sirketi)</w:t>
            </w:r>
          </w:p>
        </w:tc>
        <w:tc>
          <w:tcPr>
            <w:tcW w:w="20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Autodesk, S.A.</w:t>
            </w:r>
          </w:p>
        </w:tc>
        <w:tc>
          <w:tcPr>
            <w:tcW w:w="200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Spain</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Hanna Strategies Holdings, Inc.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U.S.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Hanna Technologies Private Ltd.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Kynogon Inc.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Canada (Quebec)</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Limited Liability Company Autodesk (CIS)</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Russia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Moldflow (Europe) Ltd.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Moldflow B.V.</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Moldflow Corporation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U.S.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Moldflow Iberia S.L.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Spain</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Moldflow International Pty Ltd.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Moldflow Korea Ltd.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South Korea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Moldflow Netherlands Limited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Moldflow Pty. Ltd.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Moldflow Singapore Pte Ltd.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Moldflow Taiwan, Inc.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Taiwan</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NavisWorks Limited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NavisWorks (UK) Limited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Robobat (UK) Limited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22"/>
        </w:trPr>
        <w:tc>
          <w:tcPr>
            <w:tcW w:w="3960" w:type="dxa"/>
            <w:vAlign w:val="bottom"/>
            <w:gridSpan w:val="2"/>
          </w:tcPr>
          <w:p>
            <w:pPr>
              <w:spacing w:after="0"/>
              <w:rPr>
                <w:sz w:val="20"/>
                <w:szCs w:val="20"/>
                <w:color w:val="auto"/>
              </w:rPr>
            </w:pPr>
            <w:r>
              <w:rPr>
                <w:rFonts w:ascii="Arial" w:cs="Arial" w:eastAsia="Arial" w:hAnsi="Arial"/>
                <w:sz w:val="18"/>
                <w:szCs w:val="18"/>
                <w:color w:val="auto"/>
              </w:rPr>
              <w:t>SCI Topole</w:t>
            </w:r>
          </w:p>
        </w:tc>
        <w:tc>
          <w:tcPr>
            <w:tcW w:w="200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France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Inactive subsidiaries; subsidiaries scheduled to be wound up</w:t>
      </w:r>
    </w:p>
    <w:p>
      <w:pPr>
        <w:sectPr>
          <w:pgSz w:w="11900" w:h="16838" w:orient="portrait"/>
          <w:cols w:equalWidth="0" w:num="1">
            <w:col w:w="11420"/>
          </w:cols>
          <w:pgMar w:left="2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left="460" w:right="1680" w:firstLine="1218"/>
        <w:spacing w:after="0" w:line="463" w:lineRule="auto"/>
        <w:rPr>
          <w:sz w:val="20"/>
          <w:szCs w:val="20"/>
          <w:color w:val="auto"/>
        </w:rPr>
      </w:pPr>
      <w:r>
        <w:rPr>
          <w:rFonts w:ascii="Arial" w:cs="Arial" w:eastAsia="Arial" w:hAnsi="Arial"/>
          <w:sz w:val="18"/>
          <w:szCs w:val="18"/>
          <w:b w:val="1"/>
          <w:bCs w:val="1"/>
          <w:color w:val="auto"/>
        </w:rPr>
        <w:t xml:space="preserve">CONSENT OF ERNST &amp; YOUNG LLP,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240" w:type="dxa"/>
            <w:vAlign w:val="bottom"/>
          </w:tcPr>
          <w:p>
            <w:pPr>
              <w:ind w:left="240"/>
              <w:spacing w:after="0"/>
              <w:rPr>
                <w:sz w:val="20"/>
                <w:szCs w:val="20"/>
                <w:color w:val="auto"/>
              </w:rPr>
            </w:pPr>
            <w:r>
              <w:rPr>
                <w:rFonts w:ascii="Arial" w:cs="Arial" w:eastAsia="Arial" w:hAnsi="Arial"/>
                <w:sz w:val="18"/>
                <w:szCs w:val="18"/>
                <w:color w:val="auto"/>
              </w:rPr>
              <w:t>33-39458</w:t>
            </w:r>
          </w:p>
        </w:tc>
        <w:tc>
          <w:tcPr>
            <w:tcW w:w="500" w:type="dxa"/>
            <w:vAlign w:val="bottom"/>
          </w:tcPr>
          <w:p>
            <w:pPr>
              <w:ind w:left="140"/>
              <w:spacing w:after="0"/>
              <w:rPr>
                <w:sz w:val="20"/>
                <w:szCs w:val="20"/>
                <w:color w:val="auto"/>
              </w:rPr>
            </w:pPr>
            <w:r>
              <w:rPr>
                <w:rFonts w:ascii="Arial" w:cs="Arial" w:eastAsia="Arial" w:hAnsi="Arial"/>
                <w:sz w:val="18"/>
                <w:szCs w:val="18"/>
                <w:color w:val="auto"/>
                <w:w w:val="84"/>
              </w:rPr>
              <w:t>1996</w:t>
            </w:r>
          </w:p>
        </w:tc>
        <w:tc>
          <w:tcPr>
            <w:tcW w:w="8740" w:type="dxa"/>
            <w:vAlign w:val="bottom"/>
          </w:tcPr>
          <w:p>
            <w:pPr>
              <w:ind w:left="20"/>
              <w:spacing w:after="0"/>
              <w:rPr>
                <w:sz w:val="20"/>
                <w:szCs w:val="20"/>
                <w:color w:val="auto"/>
              </w:rPr>
            </w:pPr>
            <w:r>
              <w:rPr>
                <w:rFonts w:ascii="Arial" w:cs="Arial" w:eastAsia="Arial" w:hAnsi="Arial"/>
                <w:sz w:val="18"/>
                <w:szCs w:val="18"/>
                <w:color w:val="auto"/>
              </w:rPr>
              <w:t>Stock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240" w:type="dxa"/>
            <w:vAlign w:val="bottom"/>
          </w:tcPr>
          <w:p>
            <w:pPr>
              <w:ind w:left="240"/>
              <w:spacing w:after="0"/>
              <w:rPr>
                <w:sz w:val="20"/>
                <w:szCs w:val="20"/>
                <w:color w:val="auto"/>
              </w:rPr>
            </w:pPr>
            <w:r>
              <w:rPr>
                <w:rFonts w:ascii="Arial" w:cs="Arial" w:eastAsia="Arial" w:hAnsi="Arial"/>
                <w:sz w:val="18"/>
                <w:szCs w:val="18"/>
                <w:color w:val="auto"/>
              </w:rPr>
              <w:t>33-51110</w:t>
            </w: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Nonstatutory Stock Option Plan</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240" w:type="dxa"/>
            <w:vAlign w:val="bottom"/>
          </w:tcPr>
          <w:p>
            <w:pPr>
              <w:ind w:left="240"/>
              <w:spacing w:after="0"/>
              <w:rPr>
                <w:sz w:val="20"/>
                <w:szCs w:val="20"/>
                <w:color w:val="auto"/>
              </w:rPr>
            </w:pPr>
            <w:r>
              <w:rPr>
                <w:rFonts w:ascii="Arial" w:cs="Arial" w:eastAsia="Arial" w:hAnsi="Arial"/>
                <w:sz w:val="18"/>
                <w:szCs w:val="18"/>
                <w:color w:val="auto"/>
              </w:rPr>
              <w:t>333-08693</w:t>
            </w:r>
          </w:p>
        </w:tc>
        <w:tc>
          <w:tcPr>
            <w:tcW w:w="500" w:type="dxa"/>
            <w:vAlign w:val="bottom"/>
          </w:tcPr>
          <w:p>
            <w:pPr>
              <w:ind w:left="140"/>
              <w:spacing w:after="0"/>
              <w:rPr>
                <w:sz w:val="20"/>
                <w:szCs w:val="20"/>
                <w:color w:val="auto"/>
              </w:rPr>
            </w:pPr>
            <w:r>
              <w:rPr>
                <w:rFonts w:ascii="Arial" w:cs="Arial" w:eastAsia="Arial" w:hAnsi="Arial"/>
                <w:sz w:val="18"/>
                <w:szCs w:val="18"/>
                <w:color w:val="auto"/>
                <w:w w:val="84"/>
              </w:rPr>
              <w:t>1996</w:t>
            </w:r>
          </w:p>
        </w:tc>
        <w:tc>
          <w:tcPr>
            <w:tcW w:w="8740" w:type="dxa"/>
            <w:vAlign w:val="bottom"/>
          </w:tcPr>
          <w:p>
            <w:pPr>
              <w:ind w:left="20"/>
              <w:spacing w:after="0"/>
              <w:rPr>
                <w:sz w:val="20"/>
                <w:szCs w:val="20"/>
                <w:color w:val="auto"/>
              </w:rPr>
            </w:pPr>
            <w:r>
              <w:rPr>
                <w:rFonts w:ascii="Arial" w:cs="Arial" w:eastAsia="Arial" w:hAnsi="Arial"/>
                <w:sz w:val="18"/>
                <w:szCs w:val="18"/>
                <w:color w:val="auto"/>
                <w:w w:val="89"/>
              </w:rPr>
              <w:t>Stock Plan, 1990 Directors’ Option Plan, 1998 Employee Qualified Stock Purchase Plan and Teleos Research 1996 Stock</w:t>
            </w:r>
          </w:p>
        </w:tc>
      </w:tr>
      <w:tr>
        <w:trPr>
          <w:trHeight w:val="222"/>
        </w:trPr>
        <w:tc>
          <w:tcPr>
            <w:tcW w:w="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w w:val="94"/>
              </w:rPr>
              <w:t>Plan</w:t>
            </w:r>
          </w:p>
        </w:tc>
        <w:tc>
          <w:tcPr>
            <w:tcW w:w="8740" w:type="dxa"/>
            <w:vAlign w:val="bottom"/>
          </w:tcPr>
          <w:p>
            <w:pPr>
              <w:spacing w:after="0"/>
              <w:rPr>
                <w:sz w:val="19"/>
                <w:szCs w:val="19"/>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240" w:type="dxa"/>
            <w:vAlign w:val="bottom"/>
          </w:tcPr>
          <w:p>
            <w:pPr>
              <w:ind w:left="240"/>
              <w:spacing w:after="0"/>
              <w:rPr>
                <w:sz w:val="20"/>
                <w:szCs w:val="20"/>
                <w:color w:val="auto"/>
              </w:rPr>
            </w:pPr>
            <w:r>
              <w:rPr>
                <w:rFonts w:ascii="Arial" w:cs="Arial" w:eastAsia="Arial" w:hAnsi="Arial"/>
                <w:sz w:val="18"/>
                <w:szCs w:val="18"/>
                <w:color w:val="auto"/>
              </w:rPr>
              <w:t>333-15037</w:t>
            </w: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Nonstatutory Stock Option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240" w:type="dxa"/>
            <w:vAlign w:val="bottom"/>
          </w:tcPr>
          <w:p>
            <w:pPr>
              <w:ind w:left="240"/>
              <w:spacing w:after="0"/>
              <w:rPr>
                <w:sz w:val="20"/>
                <w:szCs w:val="20"/>
                <w:color w:val="auto"/>
              </w:rPr>
            </w:pPr>
            <w:r>
              <w:rPr>
                <w:rFonts w:ascii="Arial" w:cs="Arial" w:eastAsia="Arial" w:hAnsi="Arial"/>
                <w:sz w:val="18"/>
                <w:szCs w:val="18"/>
                <w:color w:val="auto"/>
              </w:rPr>
              <w:t>333-62655</w:t>
            </w:r>
          </w:p>
        </w:tc>
        <w:tc>
          <w:tcPr>
            <w:tcW w:w="500" w:type="dxa"/>
            <w:vAlign w:val="bottom"/>
          </w:tcPr>
          <w:p>
            <w:pPr>
              <w:ind w:left="140"/>
              <w:spacing w:after="0"/>
              <w:rPr>
                <w:sz w:val="20"/>
                <w:szCs w:val="20"/>
                <w:color w:val="auto"/>
              </w:rPr>
            </w:pPr>
            <w:r>
              <w:rPr>
                <w:rFonts w:ascii="Arial" w:cs="Arial" w:eastAsia="Arial" w:hAnsi="Arial"/>
                <w:sz w:val="18"/>
                <w:szCs w:val="18"/>
                <w:color w:val="auto"/>
                <w:w w:val="84"/>
              </w:rPr>
              <w:t>1996</w:t>
            </w:r>
          </w:p>
        </w:tc>
        <w:tc>
          <w:tcPr>
            <w:tcW w:w="874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240" w:type="dxa"/>
            <w:vAlign w:val="bottom"/>
          </w:tcPr>
          <w:p>
            <w:pPr>
              <w:ind w:left="240"/>
              <w:spacing w:after="0"/>
              <w:rPr>
                <w:sz w:val="20"/>
                <w:szCs w:val="20"/>
                <w:color w:val="auto"/>
              </w:rPr>
            </w:pPr>
            <w:r>
              <w:rPr>
                <w:rFonts w:ascii="Arial" w:cs="Arial" w:eastAsia="Arial" w:hAnsi="Arial"/>
                <w:sz w:val="18"/>
                <w:szCs w:val="18"/>
                <w:color w:val="auto"/>
              </w:rPr>
              <w:t>333-81207</w:t>
            </w:r>
          </w:p>
        </w:tc>
        <w:tc>
          <w:tcPr>
            <w:tcW w:w="500" w:type="dxa"/>
            <w:vAlign w:val="bottom"/>
          </w:tcPr>
          <w:p>
            <w:pPr>
              <w:ind w:left="140"/>
              <w:spacing w:after="0"/>
              <w:rPr>
                <w:sz w:val="20"/>
                <w:szCs w:val="20"/>
                <w:color w:val="auto"/>
              </w:rPr>
            </w:pPr>
            <w:r>
              <w:rPr>
                <w:rFonts w:ascii="Arial" w:cs="Arial" w:eastAsia="Arial" w:hAnsi="Arial"/>
                <w:sz w:val="18"/>
                <w:szCs w:val="18"/>
                <w:color w:val="auto"/>
                <w:w w:val="84"/>
              </w:rPr>
              <w:t>1996</w:t>
            </w:r>
          </w:p>
        </w:tc>
        <w:tc>
          <w:tcPr>
            <w:tcW w:w="8740" w:type="dxa"/>
            <w:vAlign w:val="bottom"/>
          </w:tcPr>
          <w:p>
            <w:pPr>
              <w:ind w:left="2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240" w:type="dxa"/>
            <w:vAlign w:val="bottom"/>
          </w:tcPr>
          <w:p>
            <w:pPr>
              <w:ind w:left="240"/>
              <w:spacing w:after="0"/>
              <w:rPr>
                <w:sz w:val="20"/>
                <w:szCs w:val="20"/>
                <w:color w:val="auto"/>
              </w:rPr>
            </w:pPr>
            <w:r>
              <w:rPr>
                <w:rFonts w:ascii="Arial" w:cs="Arial" w:eastAsia="Arial" w:hAnsi="Arial"/>
                <w:sz w:val="18"/>
                <w:szCs w:val="18"/>
                <w:color w:val="auto"/>
              </w:rPr>
              <w:t>333-92539</w:t>
            </w: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Nonstatutory Stock Option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240" w:type="dxa"/>
            <w:vAlign w:val="bottom"/>
          </w:tcPr>
          <w:p>
            <w:pPr>
              <w:ind w:left="240"/>
              <w:spacing w:after="0"/>
              <w:rPr>
                <w:sz w:val="20"/>
                <w:szCs w:val="20"/>
                <w:color w:val="auto"/>
              </w:rPr>
            </w:pPr>
            <w:r>
              <w:rPr>
                <w:rFonts w:ascii="Arial" w:cs="Arial" w:eastAsia="Arial" w:hAnsi="Arial"/>
                <w:sz w:val="18"/>
                <w:szCs w:val="18"/>
                <w:color w:val="auto"/>
              </w:rPr>
              <w:t>333-45928</w:t>
            </w:r>
          </w:p>
        </w:tc>
        <w:tc>
          <w:tcPr>
            <w:tcW w:w="500" w:type="dxa"/>
            <w:vAlign w:val="bottom"/>
          </w:tcPr>
          <w:p>
            <w:pPr>
              <w:ind w:left="140"/>
              <w:spacing w:after="0"/>
              <w:rPr>
                <w:sz w:val="20"/>
                <w:szCs w:val="20"/>
                <w:color w:val="auto"/>
              </w:rPr>
            </w:pPr>
            <w:r>
              <w:rPr>
                <w:rFonts w:ascii="Arial" w:cs="Arial" w:eastAsia="Arial" w:hAnsi="Arial"/>
                <w:sz w:val="18"/>
                <w:szCs w:val="18"/>
                <w:color w:val="auto"/>
                <w:w w:val="84"/>
              </w:rPr>
              <w:t>1996</w:t>
            </w:r>
          </w:p>
        </w:tc>
        <w:tc>
          <w:tcPr>
            <w:tcW w:w="8740" w:type="dxa"/>
            <w:vAlign w:val="bottom"/>
          </w:tcPr>
          <w:p>
            <w:pPr>
              <w:ind w:left="20"/>
              <w:spacing w:after="0"/>
              <w:rPr>
                <w:sz w:val="20"/>
                <w:szCs w:val="20"/>
                <w:color w:val="auto"/>
              </w:rPr>
            </w:pPr>
            <w:r>
              <w:rPr>
                <w:rFonts w:ascii="Arial" w:cs="Arial" w:eastAsia="Arial" w:hAnsi="Arial"/>
                <w:sz w:val="18"/>
                <w:szCs w:val="18"/>
                <w:color w:val="auto"/>
              </w:rPr>
              <w:t>Stock Plan, 2000 Directors’ Option Plan and 1998 Employee Qualified Stock Purchase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240" w:type="dxa"/>
            <w:vAlign w:val="bottom"/>
          </w:tcPr>
          <w:p>
            <w:pPr>
              <w:ind w:left="240"/>
              <w:spacing w:after="0"/>
              <w:rPr>
                <w:sz w:val="20"/>
                <w:szCs w:val="20"/>
                <w:color w:val="auto"/>
              </w:rPr>
            </w:pPr>
            <w:r>
              <w:rPr>
                <w:rFonts w:ascii="Arial" w:cs="Arial" w:eastAsia="Arial" w:hAnsi="Arial"/>
                <w:sz w:val="18"/>
                <w:szCs w:val="18"/>
                <w:color w:val="auto"/>
              </w:rPr>
              <w:t>333-67974</w:t>
            </w:r>
          </w:p>
        </w:tc>
        <w:tc>
          <w:tcPr>
            <w:tcW w:w="500" w:type="dxa"/>
            <w:vAlign w:val="bottom"/>
          </w:tcPr>
          <w:p>
            <w:pPr>
              <w:ind w:left="140"/>
              <w:spacing w:after="0"/>
              <w:rPr>
                <w:sz w:val="20"/>
                <w:szCs w:val="20"/>
                <w:color w:val="auto"/>
              </w:rPr>
            </w:pPr>
            <w:r>
              <w:rPr>
                <w:rFonts w:ascii="Arial" w:cs="Arial" w:eastAsia="Arial" w:hAnsi="Arial"/>
                <w:sz w:val="18"/>
                <w:szCs w:val="18"/>
                <w:color w:val="auto"/>
                <w:w w:val="84"/>
              </w:rPr>
              <w:t>1996</w:t>
            </w:r>
          </w:p>
        </w:tc>
        <w:tc>
          <w:tcPr>
            <w:tcW w:w="8740" w:type="dxa"/>
            <w:vAlign w:val="bottom"/>
          </w:tcPr>
          <w:p>
            <w:pPr>
              <w:ind w:left="2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240" w:type="dxa"/>
            <w:vAlign w:val="bottom"/>
          </w:tcPr>
          <w:p>
            <w:pPr>
              <w:ind w:left="240"/>
              <w:spacing w:after="0"/>
              <w:rPr>
                <w:sz w:val="20"/>
                <w:szCs w:val="20"/>
                <w:color w:val="auto"/>
              </w:rPr>
            </w:pPr>
            <w:r>
              <w:rPr>
                <w:rFonts w:ascii="Arial" w:cs="Arial" w:eastAsia="Arial" w:hAnsi="Arial"/>
                <w:sz w:val="18"/>
                <w:szCs w:val="18"/>
                <w:color w:val="auto"/>
              </w:rPr>
              <w:t>333-88682</w:t>
            </w: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w w:val="97"/>
              </w:rPr>
              <w:t>Revit Technology Corporation 1998 Stock Plan, 1996 Stock Plan and 1998 Employee Qualified Stock Purchase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240" w:type="dxa"/>
            <w:vAlign w:val="bottom"/>
          </w:tcPr>
          <w:p>
            <w:pPr>
              <w:ind w:left="240"/>
              <w:spacing w:after="0"/>
              <w:rPr>
                <w:sz w:val="20"/>
                <w:szCs w:val="20"/>
                <w:color w:val="auto"/>
              </w:rPr>
            </w:pPr>
            <w:r>
              <w:rPr>
                <w:rFonts w:ascii="Arial" w:cs="Arial" w:eastAsia="Arial" w:hAnsi="Arial"/>
                <w:sz w:val="18"/>
                <w:szCs w:val="18"/>
                <w:color w:val="auto"/>
              </w:rPr>
              <w:t>333-106556</w:t>
            </w:r>
          </w:p>
        </w:tc>
        <w:tc>
          <w:tcPr>
            <w:tcW w:w="500" w:type="dxa"/>
            <w:vAlign w:val="bottom"/>
          </w:tcPr>
          <w:p>
            <w:pPr>
              <w:ind w:left="140"/>
              <w:spacing w:after="0"/>
              <w:rPr>
                <w:sz w:val="20"/>
                <w:szCs w:val="20"/>
                <w:color w:val="auto"/>
              </w:rPr>
            </w:pPr>
            <w:r>
              <w:rPr>
                <w:rFonts w:ascii="Arial" w:cs="Arial" w:eastAsia="Arial" w:hAnsi="Arial"/>
                <w:sz w:val="18"/>
                <w:szCs w:val="18"/>
                <w:color w:val="auto"/>
                <w:w w:val="84"/>
              </w:rPr>
              <w:t>1996</w:t>
            </w:r>
          </w:p>
        </w:tc>
        <w:tc>
          <w:tcPr>
            <w:tcW w:w="874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240" w:type="dxa"/>
            <w:vAlign w:val="bottom"/>
          </w:tcPr>
          <w:p>
            <w:pPr>
              <w:ind w:left="240"/>
              <w:spacing w:after="0"/>
              <w:rPr>
                <w:sz w:val="20"/>
                <w:szCs w:val="20"/>
                <w:color w:val="auto"/>
              </w:rPr>
            </w:pPr>
            <w:r>
              <w:rPr>
                <w:rFonts w:ascii="Arial" w:cs="Arial" w:eastAsia="Arial" w:hAnsi="Arial"/>
                <w:sz w:val="18"/>
                <w:szCs w:val="18"/>
                <w:color w:val="auto"/>
              </w:rPr>
              <w:t>333-116203</w:t>
            </w:r>
          </w:p>
        </w:tc>
        <w:tc>
          <w:tcPr>
            <w:tcW w:w="500" w:type="dxa"/>
            <w:vAlign w:val="bottom"/>
          </w:tcPr>
          <w:p>
            <w:pPr>
              <w:ind w:left="140"/>
              <w:spacing w:after="0"/>
              <w:rPr>
                <w:sz w:val="20"/>
                <w:szCs w:val="20"/>
                <w:color w:val="auto"/>
              </w:rPr>
            </w:pPr>
            <w:r>
              <w:rPr>
                <w:rFonts w:ascii="Arial" w:cs="Arial" w:eastAsia="Arial" w:hAnsi="Arial"/>
                <w:sz w:val="18"/>
                <w:szCs w:val="18"/>
                <w:color w:val="auto"/>
                <w:w w:val="84"/>
              </w:rPr>
              <w:t>1996</w:t>
            </w:r>
          </w:p>
        </w:tc>
        <w:tc>
          <w:tcPr>
            <w:tcW w:w="874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240" w:type="dxa"/>
            <w:vAlign w:val="bottom"/>
          </w:tcPr>
          <w:p>
            <w:pPr>
              <w:ind w:left="240"/>
              <w:spacing w:after="0"/>
              <w:rPr>
                <w:sz w:val="20"/>
                <w:szCs w:val="20"/>
                <w:color w:val="auto"/>
              </w:rPr>
            </w:pPr>
            <w:r>
              <w:rPr>
                <w:rFonts w:ascii="Arial" w:cs="Arial" w:eastAsia="Arial" w:hAnsi="Arial"/>
                <w:sz w:val="18"/>
                <w:szCs w:val="18"/>
                <w:color w:val="auto"/>
              </w:rPr>
              <w:t>333-133015</w:t>
            </w: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Emerging Solutions, Inc. 1999 Equity Ownership Plan</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240" w:type="dxa"/>
            <w:vAlign w:val="bottom"/>
          </w:tcPr>
          <w:p>
            <w:pPr>
              <w:ind w:left="240"/>
              <w:spacing w:after="0"/>
              <w:rPr>
                <w:sz w:val="20"/>
                <w:szCs w:val="20"/>
                <w:color w:val="auto"/>
              </w:rPr>
            </w:pPr>
            <w:r>
              <w:rPr>
                <w:rFonts w:ascii="Arial" w:cs="Arial" w:eastAsia="Arial" w:hAnsi="Arial"/>
                <w:sz w:val="18"/>
                <w:szCs w:val="18"/>
                <w:color w:val="auto"/>
              </w:rPr>
              <w:t>333-134560</w:t>
            </w: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w w:val="89"/>
              </w:rPr>
              <w:t>Autodesk, Inc. 2006 Employee Stock Plan, Autodesk, Inc. 2000 Directors’ Option Plan, Autodesk, Inc. 1998 Employee Qualified</w:t>
            </w:r>
          </w:p>
        </w:tc>
      </w:tr>
      <w:tr>
        <w:trPr>
          <w:trHeight w:val="222"/>
        </w:trPr>
        <w:tc>
          <w:tcPr>
            <w:tcW w:w="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Stock Purchase Plan, and Alias Systems Holdings Inc. 2004 Stock Option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240" w:type="dxa"/>
            <w:vAlign w:val="bottom"/>
          </w:tcPr>
          <w:p>
            <w:pPr>
              <w:ind w:left="240"/>
              <w:spacing w:after="0"/>
              <w:rPr>
                <w:sz w:val="20"/>
                <w:szCs w:val="20"/>
                <w:color w:val="auto"/>
              </w:rPr>
            </w:pPr>
            <w:r>
              <w:rPr>
                <w:rFonts w:ascii="Arial" w:cs="Arial" w:eastAsia="Arial" w:hAnsi="Arial"/>
                <w:sz w:val="18"/>
                <w:szCs w:val="18"/>
                <w:color w:val="auto"/>
              </w:rPr>
              <w:t>333-149964</w:t>
            </w: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Autodesk, Inc. 2008 Employee Stock Plan, Autodesk, Inc. 1998 Employee Qualified Stock Purchase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240" w:type="dxa"/>
            <w:vAlign w:val="bottom"/>
          </w:tcPr>
          <w:p>
            <w:pPr>
              <w:ind w:left="240"/>
              <w:spacing w:after="0"/>
              <w:rPr>
                <w:sz w:val="20"/>
                <w:szCs w:val="20"/>
                <w:color w:val="auto"/>
              </w:rPr>
            </w:pPr>
            <w:r>
              <w:rPr>
                <w:rFonts w:ascii="Arial" w:cs="Arial" w:eastAsia="Arial" w:hAnsi="Arial"/>
                <w:sz w:val="18"/>
                <w:szCs w:val="18"/>
                <w:color w:val="auto"/>
              </w:rPr>
              <w:t>333-153372</w:t>
            </w: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Autodesk, Inc. 2000 Directors’ Option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240" w:type="dxa"/>
            <w:vAlign w:val="bottom"/>
          </w:tcPr>
          <w:p>
            <w:pPr>
              <w:ind w:left="240"/>
              <w:spacing w:after="0"/>
              <w:rPr>
                <w:sz w:val="20"/>
                <w:szCs w:val="20"/>
                <w:color w:val="auto"/>
              </w:rPr>
            </w:pPr>
            <w:r>
              <w:rPr>
                <w:rFonts w:ascii="Arial" w:cs="Arial" w:eastAsia="Arial" w:hAnsi="Arial"/>
                <w:sz w:val="18"/>
                <w:szCs w:val="18"/>
                <w:color w:val="auto"/>
              </w:rPr>
              <w:t>333-158131</w:t>
            </w: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Autodesk, Inc. 1998 Employee Qualified Stock Purchase Plan</w:t>
            </w:r>
          </w:p>
        </w:tc>
      </w:tr>
    </w:tbl>
    <w:p>
      <w:pPr>
        <w:spacing w:after="0" w:line="156" w:lineRule="exact"/>
        <w:rPr>
          <w:sz w:val="20"/>
          <w:szCs w:val="20"/>
          <w:color w:val="auto"/>
        </w:rPr>
      </w:pPr>
    </w:p>
    <w:p>
      <w:pPr>
        <w:jc w:val="both"/>
        <w:ind w:right="40"/>
        <w:spacing w:after="0" w:line="332" w:lineRule="auto"/>
        <w:rPr>
          <w:sz w:val="20"/>
          <w:szCs w:val="20"/>
          <w:color w:val="auto"/>
        </w:rPr>
      </w:pPr>
      <w:r>
        <w:rPr>
          <w:rFonts w:ascii="Arial" w:cs="Arial" w:eastAsia="Arial" w:hAnsi="Arial"/>
          <w:sz w:val="16"/>
          <w:szCs w:val="16"/>
          <w:color w:val="auto"/>
        </w:rPr>
        <w:t>of our reports dated March 19, 2010, with respect to the consolidated financial statements and schedule of Autodesk, Inc., and the effectiveness of internal control over financial reporting of Autodesk, Inc., included in this Annual Report (Form 10-K) for the year ended January 31, 2010.</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19, 2010</w:t>
      </w:r>
    </w:p>
    <w:p>
      <w:pPr>
        <w:sectPr>
          <w:pgSz w:w="11900" w:h="16838" w:orient="portrait"/>
          <w:cols w:equalWidth="0" w:num="1">
            <w:col w:w="11420"/>
          </w:cols>
          <w:pgMar w:left="240" w:top="12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90"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400"/>
        <w:spacing w:after="0"/>
        <w:tabs>
          <w:tab w:leader="none" w:pos="87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ARL</w:t>
      </w:r>
      <w:r>
        <w:rPr>
          <w:rFonts w:ascii="Arial" w:cs="Arial" w:eastAsia="Arial" w:hAnsi="Arial"/>
          <w:sz w:val="16"/>
          <w:szCs w:val="16"/>
          <w:color w:val="auto"/>
        </w:rPr>
        <w:t xml:space="preserve"> B</w:t>
      </w:r>
      <w:r>
        <w:rPr>
          <w:rFonts w:ascii="Arial" w:cs="Arial" w:eastAsia="Arial" w:hAnsi="Arial"/>
          <w:sz w:val="13"/>
          <w:szCs w:val="13"/>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2010</w:t>
      </w:r>
    </w:p>
    <w:p>
      <w:pPr>
        <w:sectPr>
          <w:pgSz w:w="11900" w:h="16838" w:orient="portrait"/>
          <w:cols w:equalWidth="0" w:num="1">
            <w:col w:w="11420"/>
          </w:cols>
          <w:pgMar w:left="240" w:top="125"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90"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2010</w:t>
      </w:r>
    </w:p>
    <w:p>
      <w:pPr>
        <w:sectPr>
          <w:pgSz w:w="11900" w:h="16838" w:orient="portrait"/>
          <w:cols w:equalWidth="0" w:num="1">
            <w:col w:w="11420"/>
          </w:cols>
          <w:pgMar w:left="240" w:top="12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Annual Report of Autodesk, Inc. on Form 10-K for the annual period ended January 31, 2010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184" w:lineRule="exact"/>
        <w:rPr>
          <w:sz w:val="20"/>
          <w:szCs w:val="20"/>
          <w:color w:val="auto"/>
        </w:rPr>
      </w:pPr>
    </w:p>
    <w:p>
      <w:pPr>
        <w:ind w:left="8400"/>
        <w:spacing w:after="0"/>
        <w:tabs>
          <w:tab w:leader="none" w:pos="87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ARL</w:t>
      </w:r>
      <w:r>
        <w:rPr>
          <w:rFonts w:ascii="Arial" w:cs="Arial" w:eastAsia="Arial" w:hAnsi="Arial"/>
          <w:sz w:val="16"/>
          <w:szCs w:val="16"/>
          <w:color w:val="auto"/>
        </w:rPr>
        <w:t xml:space="preserve"> B</w:t>
      </w:r>
      <w:r>
        <w:rPr>
          <w:rFonts w:ascii="Arial" w:cs="Arial" w:eastAsia="Arial" w:hAnsi="Arial"/>
          <w:sz w:val="13"/>
          <w:szCs w:val="13"/>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March 19, 2010</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Based on my knowledge, I, Mark J. Hawkins, certify, pursuant to 18 U.S.C. Section 1350, as adopted pursuant to Section 906 of the Sarbanes-Oxley Act of 2002, that the Annual Report of Autodesk, Inc. on Form 10-K for the annual period ended January 31, 2010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184"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March 19,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1)"/>
      <w:numFmt w:val="decimal"/>
      <w:start w:val="1"/>
    </w:lvl>
  </w:abstractNum>
  <w:abstractNum w:abstractNumId="16">
    <w:nsid w:val="7A6D8D3C"/>
    <w:multiLevelType w:val="hybridMultilevel"/>
    <w:lvl w:ilvl="0">
      <w:lvlJc w:val="left"/>
      <w:lvlText w:val="(%1)"/>
      <w:numFmt w:val="decimal"/>
      <w:start w:val="1"/>
    </w:lvl>
  </w:abstractNum>
  <w:abstractNum w:abstractNumId="17">
    <w:nsid w:val="4B588F54"/>
    <w:multiLevelType w:val="hybridMultilevel"/>
    <w:lvl w:ilvl="0">
      <w:lvlJc w:val="left"/>
      <w:lvlText w:val="(%1)"/>
      <w:numFmt w:val="decimal"/>
      <w:start w:val="1"/>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decimal"/>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1)"/>
      <w:numFmt w:val="decimal"/>
      <w:start w:val="1"/>
    </w:lvl>
  </w:abstractNum>
  <w:abstractNum w:abstractNumId="23">
    <w:nsid w:val="684A481A"/>
    <w:multiLevelType w:val="hybridMultilevel"/>
    <w:lvl w:ilvl="0">
      <w:lvlJc w:val="left"/>
      <w:lvlText w:val="(%1)"/>
      <w:numFmt w:val="lowerLetter"/>
      <w:start w:val="1"/>
    </w:lvl>
    <w:lvl w:ilvl="1">
      <w:lvlJc w:val="left"/>
      <w:lvlText w:val="%2."/>
      <w:numFmt w:val="decimal"/>
      <w:start w:val="1"/>
    </w:lvl>
  </w:abstractNum>
  <w:abstractNum w:abstractNumId="24">
    <w:nsid w:val="579478FE"/>
    <w:multiLevelType w:val="hybridMultilevel"/>
    <w:lvl w:ilvl="0">
      <w:lvlJc w:val="left"/>
      <w:lvlText w:val="%1"/>
      <w:numFmt w:val="lowerLetter"/>
      <w:start w:val="1"/>
    </w:lvl>
    <w:lvl w:ilvl="1">
      <w:lvlJc w:val="left"/>
      <w:lvlText w:val="%2."/>
      <w:numFmt w:val="decimal"/>
      <w:start w:val="3"/>
    </w:lvl>
  </w:abstractNum>
  <w:abstractNum w:abstractNumId="25">
    <w:nsid w:val="749ABB43"/>
    <w:multiLevelType w:val="hybridMultilevel"/>
    <w:lvl w:ilvl="0">
      <w:lvlJc w:val="left"/>
      <w:lvlText w:val="(%1)"/>
      <w:numFmt w:val="lowerLetter"/>
      <w:start w:val="2"/>
    </w:lvl>
    <w:lvl w:ilvl="1">
      <w:lvlJc w:val="left"/>
      <w:lvlText w:val="%2"/>
      <w:numFmt w:val="decimal"/>
      <w:start w:val="1"/>
    </w:lvl>
  </w:abstractNum>
  <w:abstractNum w:abstractNumId="26">
    <w:nsid w:val="3DC240FB"/>
    <w:multiLevelType w:val="hybridMultilevel"/>
    <w:lvl w:ilvl="0">
      <w:lvlJc w:val="left"/>
      <w:lvlText w:val="(%1)"/>
      <w:numFmt w:val="lowerLetter"/>
      <w:start w:val="3"/>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1">
    <w:nsid w:val="70C6A529"/>
    <w:multiLevelType w:val="hybridMultilevel"/>
    <w:lvl w:ilvl="0">
      <w:lvlJc w:val="left"/>
      <w:lvlText w:val="(%1)"/>
      <w:numFmt w:val="decimal"/>
      <w:start w:val="5"/>
    </w:lvl>
    <w:lvl w:ilvl="1">
      <w:lvlJc w:val="left"/>
      <w:lvlText w:val="%2"/>
      <w:numFmt w:val="decimal"/>
      <w:start w:val="1"/>
    </w:lvl>
    <w:lvl w:ilvl="2">
      <w:lvlJc w:val="left"/>
      <w:lvlText w:val="(%3)"/>
      <w:numFmt w:val="lowerLetter"/>
      <w:start w:val="9"/>
    </w:lvl>
  </w:abstractNum>
  <w:abstractNum w:abstractNumId="32">
    <w:nsid w:val="520EEDD1"/>
    <w:multiLevelType w:val="hybridMultilevel"/>
    <w:lvl w:ilvl="0">
      <w:lvlJc w:val="left"/>
      <w:lvlText w:val="(%1)"/>
      <w:numFmt w:val="decimal"/>
      <w:start w:val="24"/>
    </w:lvl>
    <w:lvl w:ilvl="1">
      <w:lvlJc w:val="left"/>
      <w:lvlText w:val="(%2)"/>
      <w:numFmt w:val="lowerLetter"/>
      <w:start w:val="10"/>
    </w:lvl>
  </w:abstractNum>
  <w:abstractNum w:abstractNumId="33">
    <w:nsid w:val="374A3FE6"/>
    <w:multiLevelType w:val="hybridMultilevel"/>
    <w:lvl w:ilvl="0">
      <w:lvlJc w:val="left"/>
      <w:lvlText w:val="1"/>
      <w:numFmt w:val="bullet"/>
      <w:start w:val="1"/>
    </w:lvl>
  </w:abstractNum>
  <w:abstractNum w:abstractNumId="34">
    <w:nsid w:val="4F4EF005"/>
    <w:multiLevelType w:val="hybridMultilevel"/>
    <w:lvl w:ilvl="0">
      <w:lvlJc w:val="left"/>
      <w:lvlText w:val="%1"/>
      <w:numFmt w:val="decimal"/>
      <w:start w:val="1"/>
    </w:lvl>
    <w:lvl w:ilvl="1">
      <w:lvlJc w:val="left"/>
      <w:lvlText w:val="(%2)"/>
      <w:numFmt w:val="lowerLetter"/>
      <w:start w:val="14"/>
    </w:lvl>
  </w:abstractNum>
  <w:abstractNum w:abstractNumId="35">
    <w:nsid w:val="23F9C13C"/>
    <w:multiLevelType w:val="hybridMultilevel"/>
    <w:lvl w:ilvl="0">
      <w:lvlJc w:val="left"/>
      <w:lvlText w:val="%1."/>
      <w:numFmt w:val="decimal"/>
      <w:start w:val="3"/>
    </w:lvl>
    <w:lvl w:ilvl="1">
      <w:lvlJc w:val="left"/>
      <w:lvlText w:val="(%2)"/>
      <w:numFmt w:val="lowerLetter"/>
      <w:start w:val="1"/>
    </w:lvl>
  </w:abstractNum>
  <w:abstractNum w:abstractNumId="36">
    <w:nsid w:val="649BB77C"/>
    <w:multiLevelType w:val="hybridMultilevel"/>
    <w:lvl w:ilvl="0">
      <w:lvlJc w:val="left"/>
      <w:lvlText w:val="%1"/>
      <w:numFmt w:val="decimal"/>
      <w:start w:val="1"/>
    </w:lvl>
    <w:lvl w:ilvl="1">
      <w:lvlJc w:val="left"/>
      <w:lvlText w:val="(%2)"/>
      <w:numFmt w:val="lowerLetter"/>
      <w:start w:val="2"/>
    </w:lvl>
  </w:abstractNum>
  <w:abstractNum w:abstractNumId="37">
    <w:nsid w:val="275AC794"/>
    <w:multiLevelType w:val="hybridMultilevel"/>
    <w:lvl w:ilvl="0">
      <w:lvlJc w:val="left"/>
      <w:lvlText w:val="%1."/>
      <w:numFmt w:val="decimal"/>
      <w:start w:val="7"/>
    </w:lvl>
    <w:lvl w:ilvl="1">
      <w:lvlJc w:val="left"/>
      <w:lvlText w:val="(%2)"/>
      <w:numFmt w:val="lowerLetter"/>
      <w:start w:val="1"/>
    </w:lvl>
  </w:abstractNum>
  <w:abstractNum w:abstractNumId="38">
    <w:nsid w:val="39386575"/>
    <w:multiLevelType w:val="hybridMultilevel"/>
    <w:lvl w:ilvl="0">
      <w:lvlJc w:val="left"/>
      <w:lvlText w:val="%1."/>
      <w:numFmt w:val="decimal"/>
      <w:start w:val="11"/>
    </w:lvl>
    <w:lvl w:ilvl="1">
      <w:lvlJc w:val="left"/>
      <w:lvlText w:val="(%2)"/>
      <w:numFmt w:val="lowerLetter"/>
      <w:start w:val="1"/>
    </w:lvl>
  </w:abstractNum>
  <w:abstractNum w:abstractNumId="39">
    <w:nsid w:val="1CF10FD8"/>
    <w:multiLevelType w:val="hybridMultilevel"/>
    <w:lvl w:ilvl="0">
      <w:lvlJc w:val="left"/>
      <w:lvlText w:val="%1"/>
      <w:numFmt w:val="decimal"/>
      <w:start w:val="1"/>
    </w:lvl>
    <w:lvl w:ilvl="1">
      <w:lvlJc w:val="left"/>
      <w:lvlText w:val="(%2)"/>
      <w:numFmt w:val="lowerLetter"/>
      <w:start w:val="2"/>
    </w:lvl>
  </w:abstractNum>
  <w:abstractNum w:abstractNumId="40">
    <w:nsid w:val="180115BE"/>
    <w:multiLevelType w:val="hybridMultilevel"/>
    <w:lvl w:ilvl="0">
      <w:lvlJc w:val="left"/>
      <w:lvlText w:val="%1."/>
      <w:numFmt w:val="decimal"/>
      <w:start w:val="16"/>
    </w:lvl>
    <w:lvl w:ilvl="1">
      <w:lvlJc w:val="left"/>
      <w:lvlText w:val="%2"/>
      <w:numFmt w:val="lowerLetter"/>
      <w:start w:val="1"/>
    </w:lvl>
  </w:abstractNum>
  <w:abstractNum w:abstractNumId="41">
    <w:nsid w:val="235BA861"/>
    <w:multiLevelType w:val="hybridMultilevel"/>
    <w:lvl w:ilvl="0">
      <w:lvlJc w:val="left"/>
      <w:lvlText w:val="%1."/>
      <w:numFmt w:val="decimal"/>
      <w:start w:val="20"/>
    </w:lvl>
  </w:abstractNum>
  <w:abstractNum w:abstractNumId="42">
    <w:nsid w:val="47398C89"/>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43">
    <w:nsid w:val="354FE9F9"/>
    <w:multiLevelType w:val="hybridMultilevel"/>
    <w:lvl w:ilvl="0">
      <w:lvlJc w:val="left"/>
      <w:lvlText w:val="%1."/>
      <w:numFmt w:val="decimal"/>
      <w:start w:val="23"/>
    </w:lvl>
  </w:abstractNum>
  <w:abstractNum w:abstractNumId="44">
    <w:nsid w:val="15B5AF5C"/>
    <w:multiLevelType w:val="hybridMultilevel"/>
    <w:lvl w:ilvl="0">
      <w:lvlJc w:val="left"/>
      <w:lvlText w:val="%1."/>
      <w:numFmt w:val="decimal"/>
      <w:start w:val="24"/>
    </w:lvl>
  </w:abstractNum>
  <w:abstractNum w:abstractNumId="45">
    <w:nsid w:val="741226BB"/>
    <w:multiLevelType w:val="hybridMultilevel"/>
    <w:lvl w:ilvl="0">
      <w:lvlJc w:val="left"/>
      <w:lvlText w:val="%1."/>
      <w:numFmt w:val="upperLetter"/>
      <w:start w:val="1"/>
    </w:lvl>
  </w:abstractNum>
  <w:abstractNum w:abstractNumId="46">
    <w:nsid w:val="D34B6A8"/>
    <w:multiLevelType w:val="hybridMultilevel"/>
    <w:lvl w:ilvl="0">
      <w:lvlJc w:val="left"/>
      <w:lvlText w:val="%1."/>
      <w:numFmt w:val="decimal"/>
      <w:start w:val="1"/>
    </w:lvl>
    <w:lvl w:ilvl="1">
      <w:lvlJc w:val="left"/>
      <w:lvlText w:val="(%2)"/>
      <w:numFmt w:val="lowerLetter"/>
      <w:start w:val="1"/>
    </w:lvl>
  </w:abstractNum>
  <w:abstractNum w:abstractNumId="47">
    <w:nsid w:val="10233C99"/>
    <w:multiLevelType w:val="hybridMultilevel"/>
    <w:lvl w:ilvl="0">
      <w:lvlJc w:val="left"/>
      <w:lvlText w:val="(%1)"/>
      <w:numFmt w:val="lowerLetter"/>
      <w:start w:val="2"/>
    </w:lvl>
  </w:abstractNum>
  <w:abstractNum w:abstractNumId="48">
    <w:nsid w:val="3F6AB60F"/>
    <w:multiLevelType w:val="hybridMultilevel"/>
    <w:lvl w:ilvl="0">
      <w:lvlJc w:val="left"/>
      <w:lvlText w:val="%1."/>
      <w:numFmt w:val="decimal"/>
      <w:start w:val="3"/>
    </w:lvl>
    <w:lvl w:ilvl="1">
      <w:lvlJc w:val="left"/>
      <w:lvlText w:val="(%2)"/>
      <w:numFmt w:val="lowerLetter"/>
      <w:start w:val="1"/>
    </w:lvl>
  </w:abstractNum>
  <w:abstractNum w:abstractNumId="49">
    <w:nsid w:val="61574095"/>
    <w:multiLevelType w:val="hybridMultilevel"/>
    <w:lvl w:ilvl="0">
      <w:lvlJc w:val="left"/>
      <w:lvlText w:val="%1."/>
      <w:numFmt w:val="decimal"/>
      <w:start w:val="4"/>
    </w:lvl>
    <w:lvl w:ilvl="1">
      <w:lvlJc w:val="left"/>
      <w:lvlText w:val="(%2)"/>
      <w:numFmt w:val="lowerLetter"/>
      <w:start w:val="1"/>
    </w:lvl>
  </w:abstractNum>
  <w:abstractNum w:abstractNumId="50">
    <w:nsid w:val="7E0C57B1"/>
    <w:multiLevelType w:val="hybridMultilevel"/>
    <w:lvl w:ilvl="0">
      <w:lvlJc w:val="left"/>
      <w:lvlText w:val="(%1)"/>
      <w:numFmt w:val="lowerRoman"/>
      <w:start w:val="1"/>
    </w:lvl>
  </w:abstractNum>
  <w:abstractNum w:abstractNumId="51">
    <w:nsid w:val="77AE35EB"/>
    <w:multiLevelType w:val="hybridMultilevel"/>
    <w:lvl w:ilvl="0">
      <w:lvlJc w:val="left"/>
      <w:lvlText w:val="(%1)"/>
      <w:numFmt w:val="lowerLetter"/>
      <w:start w:val="4"/>
    </w:lvl>
  </w:abstractNum>
  <w:abstractNum w:abstractNumId="52">
    <w:nsid w:val="579BE4F1"/>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53">
    <w:nsid w:val="310C50B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4">
    <w:nsid w:val="5FF87E05"/>
    <w:multiLevelType w:val="hybridMultilevel"/>
    <w:lvl w:ilvl="0">
      <w:lvlJc w:val="left"/>
      <w:lvlText w:val="%1"/>
      <w:numFmt w:val="lowerLetter"/>
      <w:start w:val="1"/>
    </w:lvl>
    <w:lvl w:ilvl="1">
      <w:lvlJc w:val="left"/>
      <w:lvlText w:val="(%2)"/>
      <w:numFmt w:val="lowerLetter"/>
      <w:start w:val="61"/>
    </w:lvl>
  </w:abstractNum>
  <w:abstractNum w:abstractNumId="55">
    <w:nsid w:val="2F305DEF"/>
    <w:multiLevelType w:val="hybridMultilevel"/>
    <w:lvl w:ilvl="0">
      <w:lvlJc w:val="left"/>
      <w:lvlText w:val="(%1)"/>
      <w:numFmt w:val="lowerLetter"/>
      <w:start w:val="3"/>
    </w:lvl>
    <w:lvl w:ilvl="1">
      <w:lvlJc w:val="left"/>
      <w:lvlText w:val="(%2)"/>
      <w:numFmt w:val="lowerLetter"/>
      <w:start w:val="9"/>
    </w:lvl>
  </w:abstractNum>
  <w:abstractNum w:abstractNumId="56">
    <w:nsid w:val="25A70BF7"/>
    <w:multiLevelType w:val="hybridMultilevel"/>
    <w:lvl w:ilvl="0">
      <w:lvlJc w:val="left"/>
      <w:lvlText w:val="(%1)"/>
      <w:numFmt w:val="lowerRoman"/>
      <w:start w:val="2"/>
    </w:lvl>
  </w:abstractNum>
  <w:abstractNum w:abstractNumId="57">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8">
    <w:nsid w:val="4AD084E9"/>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59">
    <w:nsid w:val="1F48EAA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60">
    <w:nsid w:val="1381823A"/>
    <w:multiLevelType w:val="hybridMultilevel"/>
    <w:lvl w:ilvl="0">
      <w:lvlJc w:val="left"/>
      <w:lvlText w:val="%1"/>
      <w:numFmt w:val="decimal"/>
      <w:start w:val="1"/>
    </w:lvl>
    <w:lvl w:ilvl="1">
      <w:lvlJc w:val="left"/>
      <w:lvlText w:val="(%2)"/>
      <w:numFmt w:val="lowerLetter"/>
      <w:start w:val="2"/>
    </w:lvl>
  </w:abstractNum>
  <w:abstractNum w:abstractNumId="61">
    <w:nsid w:val="5DB70AE5"/>
    <w:multiLevelType w:val="hybridMultilevel"/>
    <w:lvl w:ilvl="0">
      <w:lvlJc w:val="left"/>
      <w:lvlText w:val="%1."/>
      <w:numFmt w:val="decimal"/>
      <w:start w:val="7"/>
    </w:lvl>
    <w:lvl w:ilvl="1">
      <w:lvlJc w:val="left"/>
      <w:lvlText w:val="(%2)"/>
      <w:numFmt w:val="lowerLetter"/>
      <w:start w:val="1"/>
    </w:lvl>
  </w:abstractNum>
  <w:abstractNum w:abstractNumId="62">
    <w:nsid w:val="100F8FCA"/>
    <w:multiLevelType w:val="hybridMultilevel"/>
    <w:lvl w:ilvl="0">
      <w:lvlJc w:val="left"/>
      <w:lvlText w:val="(%1)"/>
      <w:numFmt w:val="lowerLetter"/>
      <w:start w:val="2"/>
    </w:lvl>
  </w:abstractNum>
  <w:abstractNum w:abstractNumId="63">
    <w:nsid w:val="6590700B"/>
    <w:multiLevelType w:val="hybridMultilevel"/>
    <w:lvl w:ilvl="0">
      <w:lvlJc w:val="left"/>
      <w:lvlText w:val="(%1)"/>
      <w:numFmt w:val="lowerLetter"/>
      <w:start w:val="4"/>
    </w:lvl>
  </w:abstractNum>
  <w:abstractNum w:abstractNumId="64">
    <w:nsid w:val="15014ACB"/>
    <w:multiLevelType w:val="hybridMultilevel"/>
    <w:lvl w:ilvl="0">
      <w:lvlJc w:val="left"/>
      <w:lvlText w:val="(%1)"/>
      <w:numFmt w:val="lowerLetter"/>
      <w:start w:val="5"/>
    </w:lvl>
  </w:abstractNum>
  <w:abstractNum w:abstractNumId="65">
    <w:nsid w:val="5F5E7FD0"/>
    <w:multiLevelType w:val="hybridMultilevel"/>
    <w:lvl w:ilvl="0">
      <w:lvlJc w:val="left"/>
      <w:lvlText w:val="%1"/>
      <w:numFmt w:val="lowerLetter"/>
      <w:start w:val="1"/>
    </w:lvl>
    <w:lvl w:ilvl="1">
      <w:lvlJc w:val="left"/>
      <w:lvlText w:val="(%2)"/>
      <w:numFmt w:val="lowerLetter"/>
      <w:start w:val="4"/>
    </w:lvl>
  </w:abstractNum>
  <w:abstractNum w:abstractNumId="66">
    <w:nsid w:val="98A3148"/>
    <w:multiLevelType w:val="hybridMultilevel"/>
    <w:lvl w:ilvl="0">
      <w:lvlJc w:val="left"/>
      <w:lvlText w:val="(%1)"/>
      <w:numFmt w:val="lowerLetter"/>
      <w:start w:val="6"/>
    </w:lvl>
    <w:lvl w:ilvl="1">
      <w:lvlJc w:val="left"/>
      <w:lvlText w:val="%2"/>
      <w:numFmt w:val="lowerLetter"/>
      <w:start w:val="1"/>
    </w:lvl>
  </w:abstractNum>
  <w:abstractNum w:abstractNumId="67">
    <w:nsid w:val="799D0247"/>
    <w:multiLevelType w:val="hybridMultilevel"/>
    <w:lvl w:ilvl="0">
      <w:lvlJc w:val="left"/>
      <w:lvlText w:val="(%1)"/>
      <w:numFmt w:val="lowerLetter"/>
      <w:start w:val="7"/>
    </w:lvl>
  </w:abstractNum>
  <w:abstractNum w:abstractNumId="68">
    <w:nsid w:val="6B94764"/>
    <w:multiLevelType w:val="hybridMultilevel"/>
    <w:lvl w:ilvl="0">
      <w:lvlJc w:val="left"/>
      <w:lvlText w:val="%1"/>
      <w:numFmt w:val="decimal"/>
      <w:start w:val="1"/>
    </w:lvl>
    <w:lvl w:ilvl="1">
      <w:lvlJc w:val="left"/>
      <w:lvlText w:val="(%2)"/>
      <w:numFmt w:val="lowerLetter"/>
      <w:start w:val="8"/>
    </w:lvl>
  </w:abstractNum>
  <w:abstractNum w:abstractNumId="69">
    <w:nsid w:val="42C296BD"/>
    <w:multiLevelType w:val="hybridMultilevel"/>
    <w:lvl w:ilvl="0">
      <w:lvlJc w:val="left"/>
      <w:lvlText w:val="%1."/>
      <w:numFmt w:val="decimal"/>
      <w:start w:val="8"/>
    </w:lvl>
    <w:lvl w:ilvl="1">
      <w:lvlJc w:val="left"/>
      <w:lvlText w:val="(%2)"/>
      <w:numFmt w:val="lowerLetter"/>
      <w:start w:val="1"/>
    </w:lvl>
  </w:abstractNum>
  <w:abstractNum w:abstractNumId="70">
    <w:nsid w:val="168E121F"/>
    <w:multiLevelType w:val="hybridMultilevel"/>
    <w:lvl w:ilvl="0">
      <w:lvlJc w:val="left"/>
      <w:lvlText w:val="(%1)"/>
      <w:numFmt w:val="lowerLetter"/>
      <w:start w:val="5"/>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2019-12-10T06:04:04Z</dcterms:created>
  <dcterms:modified xsi:type="dcterms:W3CDTF">2019-12-10T06:04:04Z</dcterms:modified>
</cp:coreProperties>
</file>