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03570dfwp.htm"/>
      <w:bookmarkStart w:id="1" w:name="ksd103570dfwp"/>
      <w:bookmarkEnd w:id="0"/>
      <w:bookmarkEnd w:id="1"/>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333-287650 </w:t>
      </w:r>
    </w:p>
    <w:p>
      <w:pPr>
        <w:pStyle w:val="TextBody"/>
        <w:bidi w:val="0"/>
        <w:spacing w:before="0" w:after="0"/>
        <w:jc w:val="right"/>
        <w:rPr>
          <w:rFonts w:ascii="Times New Roman" w:hAnsi="Times New Roman"/>
          <w:sz w:val="20"/>
        </w:rPr>
      </w:pPr>
      <w:r>
        <w:rPr>
          <w:rFonts w:ascii="Times New Roman" w:hAnsi="Times New Roman"/>
          <w:sz w:val="20"/>
        </w:rPr>
        <w:t xml:space="preserve">Issuer Free Writing Prospectus dated September 8, 2026 </w:t>
      </w:r>
    </w:p>
    <w:p>
      <w:pPr>
        <w:pStyle w:val="TextBody"/>
        <w:bidi w:val="0"/>
        <w:spacing w:before="0" w:after="0"/>
        <w:jc w:val="right"/>
        <w:rPr>
          <w:rFonts w:ascii="Times New Roman" w:hAnsi="Times New Roman"/>
          <w:sz w:val="20"/>
        </w:rPr>
      </w:pPr>
      <w:r>
        <w:rPr>
          <w:rFonts w:ascii="Times New Roman" w:hAnsi="Times New Roman"/>
          <w:sz w:val="20"/>
        </w:rPr>
        <w:t xml:space="preserve">Relating to Preliminary Prospectus Supplement dated September 8,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807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8075" cy="409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$1,000,000,000 </w:t>
      </w:r>
    </w:p>
    <w:p>
      <w:pPr>
        <w:pStyle w:val="TextBody"/>
        <w:bidi w:val="0"/>
        <w:spacing w:before="0" w:after="0"/>
        <w:jc w:val="center"/>
        <w:rPr>
          <w:rFonts w:ascii="Times New Roman" w:hAnsi="Times New Roman"/>
          <w:b/>
          <w:sz w:val="20"/>
        </w:rPr>
      </w:pPr>
      <w:r>
        <w:rPr>
          <w:rFonts w:ascii="Times New Roman" w:hAnsi="Times New Roman"/>
          <w:b/>
          <w:sz w:val="20"/>
        </w:rPr>
        <w:t xml:space="preserve">AUTODESK, INC. </w:t>
      </w:r>
    </w:p>
    <w:p>
      <w:pPr>
        <w:pStyle w:val="TextBody"/>
        <w:bidi w:val="0"/>
        <w:spacing w:before="0" w:after="0"/>
        <w:jc w:val="center"/>
        <w:rPr>
          <w:rFonts w:ascii="Times New Roman" w:hAnsi="Times New Roman"/>
          <w:sz w:val="20"/>
        </w:rPr>
      </w:pPr>
      <w:r>
        <w:rPr>
          <w:rFonts w:ascii="Times New Roman" w:hAnsi="Times New Roman"/>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5.050%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5.650% Notes due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5"/>
        <w:gridCol w:w="120"/>
        <w:gridCol w:w="7130"/>
      </w:tblGrid>
      <w:tr>
        <w:trPr/>
        <w:tc>
          <w:tcPr>
            <w:tcW w:w="2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0" w:type="dxa"/>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Autodesk, Inc.</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Format:</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SEC Registered</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Security Type:</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Senior Unsecured Notes</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5.050% Notes due 2029 (the “2029 Notes”)</w:t>
            </w:r>
          </w:p>
          <w:p>
            <w:pPr>
              <w:pStyle w:val="TableContents"/>
              <w:bidi w:val="0"/>
              <w:spacing w:before="0" w:after="20"/>
              <w:jc w:val="left"/>
              <w:rPr>
                <w:rFonts w:ascii="Times New Roman" w:hAnsi="Times New Roman"/>
                <w:sz w:val="20"/>
              </w:rPr>
            </w:pPr>
            <w:r>
              <w:rPr>
                <w:rFonts w:ascii="Times New Roman" w:hAnsi="Times New Roman"/>
                <w:sz w:val="20"/>
              </w:rPr>
              <w:t>5.650% Notes due 2033 (the “2033 Notes”)</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Principal Amount:</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$500,000,000</w:t>
            </w:r>
          </w:p>
          <w:p>
            <w:pPr>
              <w:pStyle w:val="TableContents"/>
              <w:bidi w:val="0"/>
              <w:spacing w:before="0" w:after="20"/>
              <w:jc w:val="left"/>
              <w:rPr>
                <w:rFonts w:ascii="Times New Roman" w:hAnsi="Times New Roman"/>
                <w:sz w:val="20"/>
              </w:rPr>
            </w:pPr>
            <w:r>
              <w:rPr>
                <w:rFonts w:ascii="Times New Roman" w:hAnsi="Times New Roman"/>
                <w:sz w:val="20"/>
              </w:rPr>
              <w:t>2033 Notes: $500,000,000</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Maturity Date:</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September 15, 2029</w:t>
            </w:r>
          </w:p>
          <w:p>
            <w:pPr>
              <w:pStyle w:val="TableContents"/>
              <w:bidi w:val="0"/>
              <w:spacing w:before="0" w:after="20"/>
              <w:jc w:val="left"/>
              <w:rPr>
                <w:rFonts w:ascii="Times New Roman" w:hAnsi="Times New Roman"/>
                <w:sz w:val="20"/>
              </w:rPr>
            </w:pPr>
            <w:r>
              <w:rPr>
                <w:rFonts w:ascii="Times New Roman" w:hAnsi="Times New Roman"/>
                <w:sz w:val="20"/>
              </w:rPr>
              <w:t>2033 Notes: September 15, 2033</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Coupon:</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5.050%</w:t>
            </w:r>
          </w:p>
          <w:p>
            <w:pPr>
              <w:pStyle w:val="TableContents"/>
              <w:bidi w:val="0"/>
              <w:spacing w:before="0" w:after="20"/>
              <w:jc w:val="left"/>
              <w:rPr>
                <w:rFonts w:ascii="Times New Roman" w:hAnsi="Times New Roman"/>
                <w:sz w:val="20"/>
              </w:rPr>
            </w:pPr>
            <w:r>
              <w:rPr>
                <w:rFonts w:ascii="Times New Roman" w:hAnsi="Times New Roman"/>
                <w:sz w:val="20"/>
              </w:rPr>
              <w:t>2033 Notes: 5.650%</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Expected Ratings*:</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A3 by Moody’s Investor Service,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BBB+ by Standard &amp; Poor’s Ratings Services</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Price to Public:</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99.869% of face amount</w:t>
            </w:r>
          </w:p>
          <w:p>
            <w:pPr>
              <w:pStyle w:val="TableContents"/>
              <w:bidi w:val="0"/>
              <w:spacing w:before="0" w:after="20"/>
              <w:jc w:val="left"/>
              <w:rPr>
                <w:rFonts w:ascii="Times New Roman" w:hAnsi="Times New Roman"/>
                <w:sz w:val="20"/>
              </w:rPr>
            </w:pPr>
            <w:r>
              <w:rPr>
                <w:rFonts w:ascii="Times New Roman" w:hAnsi="Times New Roman"/>
                <w:sz w:val="20"/>
              </w:rPr>
              <w:t>2033 Notes: 99.844% of face amount</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Underwriting Discount:</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0.450% per note</w:t>
            </w:r>
          </w:p>
          <w:p>
            <w:pPr>
              <w:pStyle w:val="TableContents"/>
              <w:bidi w:val="0"/>
              <w:spacing w:before="0" w:after="20"/>
              <w:jc w:val="left"/>
              <w:rPr>
                <w:rFonts w:ascii="Times New Roman" w:hAnsi="Times New Roman"/>
                <w:sz w:val="20"/>
              </w:rPr>
            </w:pPr>
            <w:r>
              <w:rPr>
                <w:rFonts w:ascii="Times New Roman" w:hAnsi="Times New Roman"/>
                <w:sz w:val="20"/>
              </w:rPr>
              <w:t>2033 Notes: 0.625% per note</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5.097%</w:t>
            </w:r>
          </w:p>
          <w:p>
            <w:pPr>
              <w:pStyle w:val="TableContents"/>
              <w:bidi w:val="0"/>
              <w:spacing w:before="0" w:after="20"/>
              <w:jc w:val="left"/>
              <w:rPr>
                <w:rFonts w:ascii="Times New Roman" w:hAnsi="Times New Roman"/>
                <w:sz w:val="20"/>
              </w:rPr>
            </w:pPr>
            <w:r>
              <w:rPr>
                <w:rFonts w:ascii="Times New Roman" w:hAnsi="Times New Roman"/>
                <w:sz w:val="20"/>
              </w:rPr>
              <w:t>2033 Notes: 5.677%</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T+63 basis points</w:t>
            </w:r>
          </w:p>
          <w:p>
            <w:pPr>
              <w:pStyle w:val="TableContents"/>
              <w:bidi w:val="0"/>
              <w:spacing w:before="0" w:after="20"/>
              <w:jc w:val="left"/>
              <w:rPr>
                <w:rFonts w:ascii="Times New Roman" w:hAnsi="Times New Roman"/>
                <w:sz w:val="20"/>
              </w:rPr>
            </w:pPr>
            <w:r>
              <w:rPr>
                <w:rFonts w:ascii="Times New Roman" w:hAnsi="Times New Roman"/>
                <w:sz w:val="20"/>
              </w:rPr>
              <w:t>2033 Notes: T+100 basis points</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4.250% due August 15, 2029</w:t>
            </w:r>
          </w:p>
          <w:p>
            <w:pPr>
              <w:pStyle w:val="TableContents"/>
              <w:bidi w:val="0"/>
              <w:spacing w:before="0" w:after="20"/>
              <w:jc w:val="left"/>
              <w:rPr>
                <w:rFonts w:ascii="Times New Roman" w:hAnsi="Times New Roman"/>
                <w:sz w:val="20"/>
              </w:rPr>
            </w:pPr>
            <w:r>
              <w:rPr>
                <w:rFonts w:ascii="Times New Roman" w:hAnsi="Times New Roman"/>
                <w:sz w:val="20"/>
              </w:rPr>
              <w:t>2033 Notes: 4.500% due August 31, 2033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35"/>
        <w:gridCol w:w="120"/>
        <w:gridCol w:w="7150"/>
      </w:tblGrid>
      <w:tr>
        <w:trPr/>
        <w:tc>
          <w:tcPr>
            <w:tcW w:w="2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0" w:type="dxa"/>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Benchmark Treasury Price and Yield:</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99-13; 4.467%</w:t>
            </w:r>
          </w:p>
          <w:p>
            <w:pPr>
              <w:pStyle w:val="TableContents"/>
              <w:bidi w:val="0"/>
              <w:spacing w:before="0" w:after="20"/>
              <w:jc w:val="left"/>
              <w:rPr>
                <w:rFonts w:ascii="Times New Roman" w:hAnsi="Times New Roman"/>
                <w:sz w:val="20"/>
              </w:rPr>
            </w:pPr>
            <w:r>
              <w:rPr>
                <w:rFonts w:ascii="Times New Roman" w:hAnsi="Times New Roman"/>
                <w:sz w:val="20"/>
              </w:rPr>
              <w:t>2033 Notes: 98-30+; 4.677%</w:t>
            </w:r>
          </w:p>
        </w:tc>
      </w:tr>
      <w:tr>
        <w:trPr>
          <w:trHeight w:val="120" w:hRule="atLeast"/>
        </w:trPr>
        <w:tc>
          <w:tcPr>
            <w:tcW w:w="2935" w:type="dxa"/>
            <w:tcBorders/>
            <w:vAlign w:val="center"/>
          </w:tcPr>
          <w:p>
            <w:pPr>
              <w:pStyle w:val="TableContents"/>
              <w:bidi w:val="0"/>
              <w:spacing w:before="0" w:after="283"/>
              <w:jc w:val="left"/>
              <w:rPr>
                <w:sz w:val="4"/>
                <w:szCs w:val="4"/>
              </w:rPr>
            </w:pPr>
            <w:r>
              <w:rPr>
                <w:sz w:val="4"/>
                <w:szCs w:val="4"/>
              </w:rPr>
            </w:r>
          </w:p>
        </w:tc>
        <w:tc>
          <w:tcPr>
            <w:tcW w:w="7270" w:type="dxa"/>
            <w:gridSpan w:val="2"/>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283"/>
              <w:jc w:val="left"/>
              <w:rPr/>
            </w:pPr>
            <w:r>
              <w:rPr/>
              <w:t>Semi-annually in arrears on March 15 and September 15, beginning on March 15, 2027, accruing from September 10, 2026</w:t>
            </w:r>
          </w:p>
        </w:tc>
      </w:tr>
      <w:tr>
        <w:trPr>
          <w:trHeight w:val="120" w:hRule="atLeast"/>
        </w:trPr>
        <w:tc>
          <w:tcPr>
            <w:tcW w:w="2935" w:type="dxa"/>
            <w:tcBorders/>
            <w:vAlign w:val="center"/>
          </w:tcPr>
          <w:p>
            <w:pPr>
              <w:pStyle w:val="TableContents"/>
              <w:bidi w:val="0"/>
              <w:spacing w:before="0" w:after="283"/>
              <w:jc w:val="left"/>
              <w:rPr>
                <w:sz w:val="4"/>
                <w:szCs w:val="4"/>
              </w:rPr>
            </w:pPr>
            <w:r>
              <w:rPr>
                <w:sz w:val="4"/>
                <w:szCs w:val="4"/>
              </w:rPr>
            </w:r>
          </w:p>
        </w:tc>
        <w:tc>
          <w:tcPr>
            <w:tcW w:w="7270" w:type="dxa"/>
            <w:gridSpan w:val="2"/>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applicable Par Call Date (as defined below), the issuer may redeem each series of notes at its option, in whole or in part, at any time and from time to time, at a redemption price (expressed as a percentage of principal amount and rounded to three decimal places)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(a) 10 basis points in the case of the 2029 Notes or (b) 15 basis points in the case of the 2033 Notes, less (ii) interest accrued to the date of redemption,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100% of the principal amount of the applicable series of notes to be redeemed.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plus, in either case, accrued and unpaid interest, if any, on the amount being redeemed to, but excluding, the date of redemption.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applicable Par Call Date, the issuer may, at its option, redeem each series of notes, in whole or in part, at any time and from time to time, at a redemption price equal to 100% of the principal amount of the notes redeemed, plus accrued and unpaid interest thereon, if any, to, but excluding, the date of redemption.</w:t>
            </w:r>
          </w:p>
        </w:tc>
      </w:tr>
      <w:tr>
        <w:trPr>
          <w:trHeight w:val="120" w:hRule="atLeast"/>
        </w:trPr>
        <w:tc>
          <w:tcPr>
            <w:tcW w:w="2935" w:type="dxa"/>
            <w:tcBorders/>
            <w:vAlign w:val="center"/>
          </w:tcPr>
          <w:p>
            <w:pPr>
              <w:pStyle w:val="TableContents"/>
              <w:bidi w:val="0"/>
              <w:spacing w:before="0" w:after="283"/>
              <w:jc w:val="left"/>
              <w:rPr>
                <w:sz w:val="4"/>
                <w:szCs w:val="4"/>
              </w:rPr>
            </w:pPr>
            <w:r>
              <w:rPr>
                <w:sz w:val="4"/>
                <w:szCs w:val="4"/>
              </w:rPr>
            </w:r>
          </w:p>
        </w:tc>
        <w:tc>
          <w:tcPr>
            <w:tcW w:w="7270" w:type="dxa"/>
            <w:gridSpan w:val="2"/>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Par Call Date:</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August 15, 2029 (one month prior to the maturity date of the 2029 Notes)</w:t>
            </w:r>
          </w:p>
          <w:p>
            <w:pPr>
              <w:pStyle w:val="TableContents"/>
              <w:bidi w:val="0"/>
              <w:spacing w:before="0" w:after="20"/>
              <w:jc w:val="left"/>
              <w:rPr>
                <w:rFonts w:ascii="Times New Roman" w:hAnsi="Times New Roman"/>
                <w:sz w:val="20"/>
              </w:rPr>
            </w:pPr>
            <w:r>
              <w:rPr>
                <w:rFonts w:ascii="Times New Roman" w:hAnsi="Times New Roman"/>
                <w:sz w:val="20"/>
              </w:rPr>
              <w:t>2033 Notes: July 15, 2033 (two months prior to the maturity date of the 2033 Notes)</w:t>
            </w:r>
          </w:p>
        </w:tc>
      </w:tr>
      <w:tr>
        <w:trPr>
          <w:trHeight w:val="120" w:hRule="atLeast"/>
        </w:trPr>
        <w:tc>
          <w:tcPr>
            <w:tcW w:w="2935" w:type="dxa"/>
            <w:tcBorders/>
            <w:vAlign w:val="center"/>
          </w:tcPr>
          <w:p>
            <w:pPr>
              <w:pStyle w:val="TableContents"/>
              <w:bidi w:val="0"/>
              <w:spacing w:before="0" w:after="283"/>
              <w:jc w:val="left"/>
              <w:rPr>
                <w:sz w:val="4"/>
                <w:szCs w:val="4"/>
              </w:rPr>
            </w:pPr>
            <w:r>
              <w:rPr>
                <w:sz w:val="4"/>
                <w:szCs w:val="4"/>
              </w:rPr>
            </w:r>
          </w:p>
        </w:tc>
        <w:tc>
          <w:tcPr>
            <w:tcW w:w="7270" w:type="dxa"/>
            <w:gridSpan w:val="2"/>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283"/>
              <w:jc w:val="left"/>
              <w:rPr/>
            </w:pPr>
            <w:r>
              <w:rPr/>
              <w:t>September 8, 2026</w:t>
            </w:r>
          </w:p>
        </w:tc>
      </w:tr>
      <w:tr>
        <w:trPr>
          <w:trHeight w:val="120" w:hRule="atLeast"/>
        </w:trPr>
        <w:tc>
          <w:tcPr>
            <w:tcW w:w="2935" w:type="dxa"/>
            <w:tcBorders/>
            <w:vAlign w:val="center"/>
          </w:tcPr>
          <w:p>
            <w:pPr>
              <w:pStyle w:val="TableContents"/>
              <w:bidi w:val="0"/>
              <w:spacing w:before="0" w:after="283"/>
              <w:jc w:val="left"/>
              <w:rPr>
                <w:sz w:val="4"/>
                <w:szCs w:val="4"/>
              </w:rPr>
            </w:pPr>
            <w:r>
              <w:rPr>
                <w:sz w:val="4"/>
                <w:szCs w:val="4"/>
              </w:rPr>
            </w:r>
          </w:p>
        </w:tc>
        <w:tc>
          <w:tcPr>
            <w:tcW w:w="7270" w:type="dxa"/>
            <w:gridSpan w:val="2"/>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283"/>
              <w:jc w:val="left"/>
              <w:rPr/>
            </w:pPr>
            <w:r>
              <w:rPr/>
              <w:t>September 10, 2026 (T+2)</w:t>
            </w:r>
          </w:p>
        </w:tc>
      </w:tr>
      <w:tr>
        <w:trPr>
          <w:trHeight w:val="120" w:hRule="atLeast"/>
        </w:trPr>
        <w:tc>
          <w:tcPr>
            <w:tcW w:w="2935" w:type="dxa"/>
            <w:tcBorders/>
            <w:vAlign w:val="center"/>
          </w:tcPr>
          <w:p>
            <w:pPr>
              <w:pStyle w:val="TableContents"/>
              <w:bidi w:val="0"/>
              <w:spacing w:before="0" w:after="283"/>
              <w:jc w:val="left"/>
              <w:rPr>
                <w:sz w:val="4"/>
                <w:szCs w:val="4"/>
              </w:rPr>
            </w:pPr>
            <w:r>
              <w:rPr>
                <w:sz w:val="4"/>
                <w:szCs w:val="4"/>
              </w:rPr>
            </w:r>
          </w:p>
        </w:tc>
        <w:tc>
          <w:tcPr>
            <w:tcW w:w="7270" w:type="dxa"/>
            <w:gridSpan w:val="2"/>
            <w:tcBorders/>
            <w:vAlign w:val="center"/>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283"/>
              <w:jc w:val="left"/>
              <w:rPr/>
            </w:pPr>
            <w:r>
              <w:rPr/>
              <w:t>CUSIP/ISIN:</w:t>
            </w:r>
          </w:p>
        </w:tc>
        <w:tc>
          <w:tcPr>
            <w:tcW w:w="120" w:type="dxa"/>
            <w:tcBorders/>
            <w:vAlign w:val="bottom"/>
          </w:tcPr>
          <w:p>
            <w:pPr>
              <w:pStyle w:val="TableContents"/>
              <w:bidi w:val="0"/>
              <w:spacing w:before="0" w:after="283"/>
              <w:jc w:val="left"/>
              <w:rPr/>
            </w:pPr>
            <w:r>
              <w:rPr/>
              <w:t>  </w:t>
            </w:r>
          </w:p>
        </w:tc>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052769 AK2 / US052769AK24</w:t>
            </w:r>
          </w:p>
          <w:p>
            <w:pPr>
              <w:pStyle w:val="TableContents"/>
              <w:bidi w:val="0"/>
              <w:spacing w:before="0" w:after="20"/>
              <w:jc w:val="left"/>
              <w:rPr>
                <w:rFonts w:ascii="Times New Roman" w:hAnsi="Times New Roman"/>
                <w:sz w:val="20"/>
              </w:rPr>
            </w:pPr>
            <w:r>
              <w:rPr>
                <w:rFonts w:ascii="Times New Roman" w:hAnsi="Times New Roman"/>
                <w:sz w:val="20"/>
              </w:rPr>
              <w:t>2033 Notes: 052769 AL0 / US052769AL07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10"/>
        <w:gridCol w:w="122"/>
        <w:gridCol w:w="7073"/>
      </w:tblGrid>
      <w:tr>
        <w:trPr/>
        <w:tc>
          <w:tcPr>
            <w:tcW w:w="30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073" w:type="dxa"/>
            <w:tcBorders/>
            <w:vAlign w:val="center"/>
          </w:tcPr>
          <w:p>
            <w:pPr>
              <w:pStyle w:val="TableContents"/>
              <w:bidi w:val="0"/>
              <w:spacing w:before="0" w:after="283"/>
              <w:jc w:val="left"/>
              <w:rPr>
                <w:sz w:val="4"/>
                <w:szCs w:val="4"/>
              </w:rPr>
            </w:pPr>
            <w:r>
              <w:rPr>
                <w:sz w:val="4"/>
                <w:szCs w:val="4"/>
              </w:rPr>
            </w:r>
          </w:p>
        </w:tc>
      </w:tr>
      <w:tr>
        <w:trPr/>
        <w:tc>
          <w:tcPr>
            <w:tcW w:w="3010" w:type="dxa"/>
            <w:tcBorders/>
          </w:tcPr>
          <w:p>
            <w:pPr>
              <w:pStyle w:val="TableContents"/>
              <w:bidi w:val="0"/>
              <w:spacing w:before="0" w:after="283"/>
              <w:jc w:val="left"/>
              <w:rPr/>
            </w:pPr>
            <w:r>
              <w:rPr/>
              <w:t>Joint Book-Running Managers:</w:t>
            </w:r>
          </w:p>
        </w:tc>
        <w:tc>
          <w:tcPr>
            <w:tcW w:w="122" w:type="dxa"/>
            <w:tcBorders/>
            <w:vAlign w:val="bottom"/>
          </w:tcPr>
          <w:p>
            <w:pPr>
              <w:pStyle w:val="TableContents"/>
              <w:bidi w:val="0"/>
              <w:spacing w:before="0" w:after="283"/>
              <w:jc w:val="left"/>
              <w:rPr/>
            </w:pPr>
            <w:r>
              <w:rPr/>
              <w:t>  </w:t>
            </w:r>
          </w:p>
        </w:tc>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20"/>
              <w:jc w:val="left"/>
              <w:rPr>
                <w:rFonts w:ascii="Times New Roman" w:hAnsi="Times New Roman"/>
                <w:sz w:val="20"/>
              </w:rPr>
            </w:pPr>
            <w:r>
              <w:rPr>
                <w:rFonts w:ascii="Times New Roman" w:hAnsi="Times New Roman"/>
                <w:sz w:val="20"/>
              </w:rPr>
              <w:t>Citigroup Global Markets Inc.</w:t>
            </w:r>
          </w:p>
        </w:tc>
      </w:tr>
      <w:tr>
        <w:trPr/>
        <w:tc>
          <w:tcPr>
            <w:tcW w:w="30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3010" w:type="dxa"/>
            <w:tcBorders/>
            <w:vAlign w:val="center"/>
          </w:tcPr>
          <w:p>
            <w:pPr>
              <w:pStyle w:val="TableContents"/>
              <w:bidi w:val="0"/>
              <w:spacing w:before="0" w:after="283"/>
              <w:jc w:val="left"/>
              <w:rPr>
                <w:sz w:val="4"/>
                <w:szCs w:val="4"/>
              </w:rPr>
            </w:pPr>
            <w:r>
              <w:rPr>
                <w:sz w:val="4"/>
                <w:szCs w:val="4"/>
              </w:rPr>
            </w:r>
          </w:p>
        </w:tc>
        <w:tc>
          <w:tcPr>
            <w:tcW w:w="7195" w:type="dxa"/>
            <w:gridSpan w:val="2"/>
            <w:tcBorders/>
            <w:vAlign w:val="center"/>
          </w:tcPr>
          <w:p>
            <w:pPr>
              <w:pStyle w:val="TableContents"/>
              <w:bidi w:val="0"/>
              <w:spacing w:before="0" w:after="283"/>
              <w:jc w:val="left"/>
              <w:rPr>
                <w:sz w:val="4"/>
                <w:szCs w:val="4"/>
              </w:rPr>
            </w:pPr>
            <w:r>
              <w:rPr>
                <w:sz w:val="4"/>
                <w:szCs w:val="4"/>
              </w:rPr>
            </w:r>
          </w:p>
        </w:tc>
      </w:tr>
      <w:tr>
        <w:trPr/>
        <w:tc>
          <w:tcPr>
            <w:tcW w:w="3010" w:type="dxa"/>
            <w:tcBorders/>
          </w:tcPr>
          <w:p>
            <w:pPr>
              <w:pStyle w:val="TableContents"/>
              <w:bidi w:val="0"/>
              <w:spacing w:before="0" w:after="283"/>
              <w:jc w:val="left"/>
              <w:rPr/>
            </w:pPr>
            <w:r>
              <w:rPr/>
              <w:t>Co-Managers:</w:t>
            </w:r>
          </w:p>
        </w:tc>
        <w:tc>
          <w:tcPr>
            <w:tcW w:w="122" w:type="dxa"/>
            <w:tcBorders/>
            <w:vAlign w:val="bottom"/>
          </w:tcPr>
          <w:p>
            <w:pPr>
              <w:pStyle w:val="TableContents"/>
              <w:bidi w:val="0"/>
              <w:spacing w:before="0" w:after="283"/>
              <w:jc w:val="left"/>
              <w:rPr/>
            </w:pPr>
            <w:r>
              <w:rPr/>
              <w:t>  </w:t>
            </w:r>
          </w:p>
        </w:tc>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 securities rating is not a recommendation to buy, sell or hold securities and may be subject to revision or withdrawal at any time. Each rating should be evaluated independently of any other rating.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 Rule 15c6-1 under the Securities Exchange Act of 1934, as amended, trades in the secondary market generally are required to settle in one business day, unless the parties to any such trade expressly agree otherwise. Accordingly, purchasers who wish to trade notes more than one business day prior to the settlement date will be required, by virtue of the fact that the notes initially will settle T+2, to specify an alternate settlement cycle at the time of any such trade to prevent a failed settlement and should consult their own advisors.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preliminary prospectus supplement)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supplement and accompanying prospectus if you request it by calling Morgan Stanley &amp; Co. LLC toll-free at 800-718-1649, BNP Paribas Securities Corp. toll-free at 800-854 5674 or Citigroup Global Markets Inc. toll-free at 800-831-9146.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805</Words>
  <Characters>4166</Characters>
  <CharactersWithSpaces>4956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