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-224155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6" w:lineRule="exact"/>
        <w:rPr>
          <w:sz w:val="24"/>
          <w:szCs w:val="24"/>
          <w:color w:val="auto"/>
        </w:rPr>
      </w:pPr>
    </w:p>
    <w:p>
      <w:pPr>
        <w:ind w:left="720"/>
        <w:spacing w:after="0"/>
        <w:rPr>
          <w:sz w:val="20"/>
          <w:szCs w:val="20"/>
          <w:color w:val="auto"/>
        </w:rPr>
      </w:pPr>
      <w:r>
        <w:rPr>
          <w:rFonts w:ascii="Arial" w:cs="Arial" w:eastAsia="Arial" w:hAnsi="Arial"/>
          <w:sz w:val="22"/>
          <w:szCs w:val="22"/>
          <w:b w:val="1"/>
          <w:bCs w:val="1"/>
          <w:color w:val="auto"/>
        </w:rPr>
        <w:t>1934</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quarterly period ended April 30, 2015</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720" w:right="100" w:hanging="685"/>
        <w:spacing w:after="0" w:line="249"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402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3"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Commission File Number: 0-14338</w:t>
      </w:r>
    </w:p>
    <w:p>
      <w:pPr>
        <w:spacing w:after="0" w:line="200" w:lineRule="exact"/>
        <w:rPr>
          <w:sz w:val="24"/>
          <w:szCs w:val="24"/>
          <w:color w:val="auto"/>
        </w:rPr>
      </w:pPr>
    </w:p>
    <w:p>
      <w:pPr>
        <w:spacing w:after="0" w:line="265" w:lineRule="exact"/>
        <w:rPr>
          <w:sz w:val="24"/>
          <w:szCs w:val="24"/>
          <w:color w:val="auto"/>
        </w:rPr>
      </w:pPr>
    </w:p>
    <w:tbl>
      <w:tblPr>
        <w:tblLayout w:type="fixed"/>
        <w:tblInd w:w="1620" w:type="dxa"/>
        <w:tblCellMar>
          <w:top w:w="0" w:type="dxa"/>
          <w:left w:w="0" w:type="dxa"/>
          <w:bottom w:w="0" w:type="dxa"/>
          <w:right w:w="0" w:type="dxa"/>
        </w:tblCellMar>
      </w:tblPr>
      <w:tr>
        <w:trPr>
          <w:trHeight w:val="520"/>
        </w:trPr>
        <w:tc>
          <w:tcPr>
            <w:tcW w:w="6120" w:type="dxa"/>
            <w:vAlign w:val="bottom"/>
          </w:tcPr>
          <w:p>
            <w:pPr>
              <w:jc w:val="center"/>
              <w:ind w:left="1966"/>
              <w:spacing w:after="0"/>
              <w:rPr>
                <w:sz w:val="20"/>
                <w:szCs w:val="20"/>
                <w:color w:val="auto"/>
              </w:rPr>
            </w:pPr>
            <w:r>
              <w:rPr>
                <w:rFonts w:ascii="Arial" w:cs="Arial" w:eastAsia="Arial" w:hAnsi="Arial"/>
                <w:sz w:val="43"/>
                <w:szCs w:val="43"/>
                <w:b w:val="1"/>
                <w:bCs w:val="1"/>
                <w:color w:val="auto"/>
              </w:rPr>
              <w:t>AUTODESK, INC.</w:t>
            </w:r>
          </w:p>
        </w:tc>
        <w:tc>
          <w:tcPr>
            <w:tcW w:w="1400" w:type="dxa"/>
            <w:vAlign w:val="bottom"/>
          </w:tcPr>
          <w:p>
            <w:pPr>
              <w:spacing w:after="0"/>
              <w:rPr>
                <w:sz w:val="24"/>
                <w:szCs w:val="24"/>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00" w:type="dxa"/>
            <w:vAlign w:val="bottom"/>
          </w:tcPr>
          <w:p>
            <w:pPr>
              <w:spacing w:after="0"/>
              <w:rPr>
                <w:sz w:val="16"/>
                <w:szCs w:val="16"/>
                <w:color w:val="auto"/>
              </w:rPr>
            </w:pPr>
          </w:p>
        </w:tc>
      </w:tr>
      <w:tr>
        <w:trPr>
          <w:trHeight w:val="377"/>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3"/>
              </w:rPr>
              <w:t>Delaware</w:t>
            </w:r>
          </w:p>
        </w:tc>
        <w:tc>
          <w:tcPr>
            <w:tcW w:w="1400" w:type="dxa"/>
            <w:vAlign w:val="bottom"/>
          </w:tcPr>
          <w:p>
            <w:pPr>
              <w:jc w:val="right"/>
              <w:ind w:right="61"/>
              <w:spacing w:after="0"/>
              <w:rPr>
                <w:sz w:val="20"/>
                <w:szCs w:val="20"/>
                <w:color w:val="auto"/>
              </w:rPr>
            </w:pPr>
            <w:r>
              <w:rPr>
                <w:rFonts w:ascii="Arial" w:cs="Arial" w:eastAsia="Arial" w:hAnsi="Arial"/>
                <w:sz w:val="18"/>
                <w:szCs w:val="18"/>
                <w:b w:val="1"/>
                <w:bCs w:val="1"/>
                <w:color w:val="auto"/>
              </w:rPr>
              <w:t>94-2819853</w:t>
            </w:r>
          </w:p>
        </w:tc>
      </w:tr>
      <w:tr>
        <w:trPr>
          <w:trHeight w:val="180"/>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2"/>
              </w:rPr>
              <w:t>(State or other jurisdiction of</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3"/>
              </w:rPr>
              <w:t>incorporation or organization)</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Identification No.)</w:t>
            </w:r>
          </w:p>
        </w:tc>
      </w:tr>
      <w:tr>
        <w:trPr>
          <w:trHeight w:val="561"/>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111 McInnis Parkway,</w:t>
            </w:r>
          </w:p>
        </w:tc>
        <w:tc>
          <w:tcPr>
            <w:tcW w:w="1400" w:type="dxa"/>
            <w:vAlign w:val="bottom"/>
          </w:tcPr>
          <w:p>
            <w:pPr>
              <w:spacing w:after="0"/>
              <w:rPr>
                <w:sz w:val="24"/>
                <w:szCs w:val="24"/>
                <w:color w:val="auto"/>
              </w:rPr>
            </w:pPr>
          </w:p>
        </w:tc>
      </w:tr>
      <w:tr>
        <w:trPr>
          <w:trHeight w:val="234"/>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San Rafael, California</w:t>
            </w:r>
          </w:p>
        </w:tc>
        <w:tc>
          <w:tcPr>
            <w:tcW w:w="1400" w:type="dxa"/>
            <w:vAlign w:val="bottom"/>
          </w:tcPr>
          <w:p>
            <w:pPr>
              <w:jc w:val="right"/>
              <w:ind w:right="261"/>
              <w:spacing w:after="0"/>
              <w:rPr>
                <w:sz w:val="20"/>
                <w:szCs w:val="20"/>
                <w:color w:val="auto"/>
              </w:rPr>
            </w:pPr>
            <w:r>
              <w:rPr>
                <w:rFonts w:ascii="Arial" w:cs="Arial" w:eastAsia="Arial" w:hAnsi="Arial"/>
                <w:sz w:val="18"/>
                <w:szCs w:val="18"/>
                <w:b w:val="1"/>
                <w:bCs w:val="1"/>
                <w:color w:val="auto"/>
              </w:rPr>
              <w:t>94903</w:t>
            </w:r>
          </w:p>
        </w:tc>
      </w:tr>
      <w:tr>
        <w:trPr>
          <w:trHeight w:val="218"/>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6120" w:type="dxa"/>
            <w:vAlign w:val="bottom"/>
          </w:tcPr>
          <w:p>
            <w:pPr>
              <w:jc w:val="center"/>
              <w:ind w:left="1986"/>
              <w:spacing w:after="0"/>
              <w:rPr>
                <w:sz w:val="20"/>
                <w:szCs w:val="20"/>
                <w:color w:val="auto"/>
              </w:rPr>
            </w:pPr>
            <w:r>
              <w:rPr>
                <w:rFonts w:ascii="Arial" w:cs="Arial" w:eastAsia="Arial" w:hAnsi="Arial"/>
                <w:sz w:val="18"/>
                <w:szCs w:val="18"/>
                <w:b w:val="1"/>
                <w:bCs w:val="1"/>
                <w:color w:val="auto"/>
                <w:w w:val="90"/>
              </w:rPr>
              <w:t>(415) 507-5000</w:t>
            </w:r>
          </w:p>
        </w:tc>
        <w:tc>
          <w:tcPr>
            <w:tcW w:w="1400" w:type="dxa"/>
            <w:vAlign w:val="bottom"/>
          </w:tcPr>
          <w:p>
            <w:pPr>
              <w:spacing w:after="0"/>
              <w:rPr>
                <w:sz w:val="23"/>
                <w:szCs w:val="23"/>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-1844040</wp:posOffset>
            </wp:positionV>
            <wp:extent cx="283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161925</wp:posOffset>
            </wp:positionV>
            <wp:extent cx="2830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61" w:lineRule="exact"/>
        <w:rPr>
          <w:sz w:val="24"/>
          <w:szCs w:val="24"/>
          <w:color w:val="auto"/>
        </w:rPr>
      </w:pPr>
    </w:p>
    <w:p>
      <w:pPr>
        <w:jc w:val="center"/>
        <w:ind w:right="1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Exchange Act during the</w:t>
      </w:r>
    </w:p>
    <w:p>
      <w:pPr>
        <w:spacing w:after="0" w:line="61" w:lineRule="exact"/>
        <w:rPr>
          <w:sz w:val="24"/>
          <w:szCs w:val="24"/>
          <w:color w:val="auto"/>
        </w:rPr>
      </w:pPr>
    </w:p>
    <w:p>
      <w:pPr>
        <w:ind w:right="140"/>
        <w:spacing w:after="0" w:line="260" w:lineRule="exact"/>
        <w:rPr>
          <w:sz w:val="20"/>
          <w:szCs w:val="20"/>
          <w:color w:val="auto"/>
        </w:rPr>
      </w:pPr>
      <w:r>
        <w:rPr>
          <w:rFonts w:ascii="Arial" w:cs="Arial" w:eastAsia="Arial" w:hAnsi="Arial"/>
          <w:sz w:val="18"/>
          <w:szCs w:val="18"/>
          <w:color w:val="auto"/>
        </w:rPr>
        <w:t xml:space="preserve">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w:t>
      </w:r>
    </w:p>
    <w:p>
      <w:pPr>
        <w:spacing w:after="0" w:line="61"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required to be submitted and posted pursuant to Rule 405 of Regulation S-T during the preceding 12 months (or for such shorter period that the registrant was required to submit and post such files).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6"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976" w:right="27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660" w:space="680"/>
            <w:col w:w="6680" w:space="720"/>
            <w:col w:w="1200" w:space="160"/>
            <w:col w:w="280"/>
          </w:cols>
          <w:pgMar w:left="240" w:top="976"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36" w:lineRule="exact"/>
        <w:rPr>
          <w:sz w:val="24"/>
          <w:szCs w:val="24"/>
          <w:color w:val="auto"/>
        </w:rPr>
      </w:pPr>
    </w:p>
    <w:p>
      <w:pPr>
        <w:sectPr>
          <w:pgSz w:w="11900" w:h="16838" w:orient="portrait"/>
          <w:cols w:equalWidth="0" w:num="4">
            <w:col w:w="1620" w:space="720"/>
            <w:col w:w="5920" w:space="720"/>
            <w:col w:w="1960" w:space="160"/>
            <w:col w:w="280"/>
          </w:cols>
          <w:pgMar w:left="240" w:top="976" w:right="279" w:bottom="1440" w:gutter="0" w:footer="0" w:header="0"/>
          <w:type w:val="continuous"/>
        </w:sectPr>
      </w:pPr>
    </w:p>
    <w:p>
      <w:pPr>
        <w:spacing w:after="0" w:line="82" w:lineRule="exact"/>
        <w:rPr>
          <w:sz w:val="24"/>
          <w:szCs w:val="24"/>
          <w:color w:val="auto"/>
        </w:rPr>
      </w:pPr>
    </w:p>
    <w:p>
      <w:pPr>
        <w:ind w:left="440"/>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9"/>
          <w:szCs w:val="19"/>
          <w:color w:val="auto"/>
        </w:rPr>
        <w:t>x</w:t>
      </w:r>
    </w:p>
    <w:p>
      <w:pPr>
        <w:spacing w:after="0" w:line="26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May 22, 2015, registrant had outstanding approximately 227,652,233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AUTODESK, INC. 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80" w:type="dxa"/>
            <w:vAlign w:val="bottom"/>
            <w:tcBorders>
              <w:bottom w:val="single" w:sz="8" w:color="0000FF"/>
            </w:tcBorders>
            <w:gridSpan w:val="7"/>
          </w:tcPr>
          <w:p>
            <w:pPr>
              <w:jc w:val="cente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2960" w:type="dxa"/>
            <w:vAlign w:val="bottom"/>
            <w:gridSpan w:val="5"/>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980" w:type="dxa"/>
            <w:vAlign w:val="bottom"/>
            <w:gridSpan w:val="22"/>
          </w:tcPr>
          <w:p>
            <w:pPr>
              <w:spacing w:after="0"/>
              <w:rPr>
                <w:rFonts w:ascii="Arial" w:cs="Arial" w:eastAsia="Arial" w:hAnsi="Arial"/>
                <w:sz w:val="18"/>
                <w:szCs w:val="18"/>
                <w:b w:val="1"/>
                <w:bCs w:val="1"/>
                <w:color w:val="0000FF"/>
              </w:rPr>
            </w:pPr>
            <w:r>
              <w:rPr>
                <w:rFonts w:ascii="Arial" w:cs="Arial" w:eastAsia="Arial" w:hAnsi="Arial"/>
                <w:sz w:val="18"/>
                <w:szCs w:val="18"/>
                <w:b w:val="1"/>
                <w:bCs w:val="1"/>
                <w:color w:val="0000FF"/>
              </w:rPr>
              <w:t xml:space="preserve">Unaudited </w:t>
            </w:r>
            <w:hyperlink w:anchor="page3">
              <w:r>
                <w:rPr>
                  <w:rFonts w:ascii="Arial" w:cs="Arial" w:eastAsia="Arial" w:hAnsi="Arial"/>
                  <w:sz w:val="18"/>
                  <w:szCs w:val="18"/>
                  <w:b w:val="1"/>
                  <w:bCs w:val="1"/>
                  <w:color w:val="0000FF"/>
                </w:rPr>
                <w:t>Financial Statements:</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98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for the Three Months Ended April 30, 2015 and 2014</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48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Condensed Consolidated Statements of Comprehensive Income for the Three Months Ended April 30, 2015 and 2014</w:t>
              </w:r>
            </w:hyperlink>
          </w:p>
        </w:tc>
        <w:tc>
          <w:tcPr>
            <w:tcW w:w="50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898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April 30, 2015 and January 31, 2015</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98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Three Months Ended April 30, 2015 and 2014</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372"/>
        </w:trPr>
        <w:tc>
          <w:tcPr>
            <w:tcW w:w="920" w:type="dxa"/>
            <w:vAlign w:val="bottom"/>
          </w:tcPr>
          <w:p>
            <w:pPr>
              <w:spacing w:after="0"/>
              <w:rPr>
                <w:sz w:val="24"/>
                <w:szCs w:val="24"/>
                <w:color w:val="auto"/>
              </w:rPr>
            </w:pPr>
          </w:p>
        </w:tc>
        <w:tc>
          <w:tcPr>
            <w:tcW w:w="7600" w:type="dxa"/>
            <w:vAlign w:val="bottom"/>
            <w:tcBorders>
              <w:top w:val="single" w:sz="8" w:color="0000EE"/>
            </w:tcBorders>
            <w:gridSpan w:val="20"/>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380" w:type="dxa"/>
            <w:vAlign w:val="bottom"/>
            <w:gridSpan w:val="2"/>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980" w:type="dxa"/>
            <w:vAlign w:val="bottom"/>
            <w:gridSpan w:val="22"/>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27</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18"/>
          </w:tcPr>
          <w:p>
            <w:pPr>
              <w:spacing w:after="0"/>
              <w:rPr>
                <w:rFonts w:ascii="Arial" w:cs="Arial" w:eastAsia="Arial" w:hAnsi="Arial"/>
                <w:sz w:val="18"/>
                <w:szCs w:val="18"/>
                <w:b w:val="1"/>
                <w:bCs w:val="1"/>
                <w:color w:val="0000FF"/>
              </w:rPr>
            </w:pPr>
            <w:hyperlink w:anchor="page44">
              <w:r>
                <w:rPr>
                  <w:rFonts w:ascii="Arial" w:cs="Arial" w:eastAsia="Arial" w:hAnsi="Arial"/>
                  <w:sz w:val="18"/>
                  <w:szCs w:val="18"/>
                  <w:b w:val="1"/>
                  <w:bCs w:val="1"/>
                  <w:color w:val="0000FF"/>
                </w:rPr>
                <w:t>Quantitative and Qualitative Disclosures About Market Risk</w:t>
              </w:r>
            </w:hyperlink>
          </w:p>
        </w:tc>
        <w:tc>
          <w:tcPr>
            <w:tcW w:w="2160" w:type="dxa"/>
            <w:vAlign w:val="bottom"/>
            <w:gridSpan w:val="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4"/>
          </w:tcPr>
          <w:p>
            <w:pPr>
              <w:spacing w:after="0"/>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Controls and Procedures</w:t>
              </w:r>
            </w:hyperlink>
          </w:p>
        </w:tc>
        <w:tc>
          <w:tcPr>
            <w:tcW w:w="4320" w:type="dxa"/>
            <w:vAlign w:val="bottom"/>
            <w:gridSpan w:val="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372"/>
        </w:trPr>
        <w:tc>
          <w:tcPr>
            <w:tcW w:w="9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40" w:type="dxa"/>
            <w:vAlign w:val="bottom"/>
            <w:gridSpan w:val="12"/>
          </w:tcPr>
          <w:p>
            <w:pPr>
              <w:jc w:val="center"/>
              <w:ind w:right="2960"/>
              <w:spacing w:after="0"/>
              <w:rPr>
                <w:rFonts w:ascii="Arial" w:cs="Arial" w:eastAsia="Arial" w:hAnsi="Arial"/>
                <w:sz w:val="18"/>
                <w:szCs w:val="18"/>
                <w:b w:val="1"/>
                <w:bCs w:val="1"/>
                <w:color w:val="0000FF"/>
              </w:rPr>
            </w:pPr>
            <w:hyperlink w:anchor="page46">
              <w:r>
                <w:rPr>
                  <w:rFonts w:ascii="Arial" w:cs="Arial" w:eastAsia="Arial" w:hAnsi="Arial"/>
                  <w:sz w:val="18"/>
                  <w:szCs w:val="18"/>
                  <w:b w:val="1"/>
                  <w:bCs w:val="1"/>
                  <w:color w:val="0000FF"/>
                </w:rPr>
                <w:t>PART II. OTHER INFORMATION</w:t>
              </w:r>
            </w:hyperlink>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4"/>
          </w:tcPr>
          <w:p>
            <w:pPr>
              <w:spacing w:after="0"/>
              <w:rPr>
                <w:rFonts w:ascii="Arial" w:cs="Arial" w:eastAsia="Arial" w:hAnsi="Arial"/>
                <w:sz w:val="18"/>
                <w:szCs w:val="18"/>
                <w:b w:val="1"/>
                <w:bCs w:val="1"/>
                <w:color w:val="0000FF"/>
                <w:w w:val="86"/>
              </w:rPr>
            </w:pPr>
            <w:hyperlink w:anchor="page46">
              <w:r>
                <w:rPr>
                  <w:rFonts w:ascii="Arial" w:cs="Arial" w:eastAsia="Arial" w:hAnsi="Arial"/>
                  <w:sz w:val="18"/>
                  <w:szCs w:val="18"/>
                  <w:b w:val="1"/>
                  <w:bCs w:val="1"/>
                  <w:color w:val="0000FF"/>
                  <w:w w:val="86"/>
                </w:rPr>
                <w:t>Legal Proceedings</w:t>
              </w:r>
            </w:hyperlink>
          </w:p>
        </w:tc>
        <w:tc>
          <w:tcPr>
            <w:tcW w:w="1700" w:type="dxa"/>
            <w:vAlign w:val="bottom"/>
            <w:gridSpan w:val="7"/>
          </w:tcPr>
          <w:p>
            <w:pPr>
              <w:spacing w:after="0"/>
              <w:rPr>
                <w:sz w:val="24"/>
                <w:szCs w:val="24"/>
                <w:color w:val="auto"/>
              </w:rPr>
            </w:pPr>
          </w:p>
        </w:tc>
        <w:tc>
          <w:tcPr>
            <w:tcW w:w="2760" w:type="dxa"/>
            <w:vAlign w:val="bottom"/>
            <w:tcBorders>
              <w:top w:val="single" w:sz="8" w:color="0000FF"/>
            </w:tcBorders>
            <w:gridSpan w:val="4"/>
          </w:tcPr>
          <w:p>
            <w:pPr>
              <w:spacing w:after="0"/>
              <w:rPr>
                <w:sz w:val="24"/>
                <w:szCs w:val="24"/>
                <w:color w:val="auto"/>
              </w:rPr>
            </w:pPr>
          </w:p>
        </w:tc>
        <w:tc>
          <w:tcPr>
            <w:tcW w:w="3120" w:type="dxa"/>
            <w:vAlign w:val="bottom"/>
            <w:gridSpan w:val="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4"/>
          </w:tcPr>
          <w:p>
            <w:pPr>
              <w:spacing w:after="0"/>
              <w:rPr>
                <w:rFonts w:ascii="Arial" w:cs="Arial" w:eastAsia="Arial" w:hAnsi="Arial"/>
                <w:sz w:val="18"/>
                <w:szCs w:val="18"/>
                <w:b w:val="1"/>
                <w:bCs w:val="1"/>
                <w:color w:val="0000FF"/>
              </w:rPr>
            </w:pPr>
            <w:hyperlink w:anchor="page46">
              <w:r>
                <w:rPr>
                  <w:rFonts w:ascii="Arial" w:cs="Arial" w:eastAsia="Arial" w:hAnsi="Arial"/>
                  <w:sz w:val="18"/>
                  <w:szCs w:val="18"/>
                  <w:b w:val="1"/>
                  <w:bCs w:val="1"/>
                  <w:color w:val="0000FF"/>
                </w:rPr>
                <w:t>Risk Factors</w:t>
              </w:r>
            </w:hyperlink>
          </w:p>
        </w:tc>
        <w:tc>
          <w:tcPr>
            <w:tcW w:w="7580" w:type="dxa"/>
            <w:vAlign w:val="bottom"/>
            <w:gridSpan w:val="1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442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980" w:type="dxa"/>
            <w:vAlign w:val="bottom"/>
            <w:gridSpan w:val="22"/>
          </w:tcPr>
          <w:p>
            <w:pPr>
              <w:spacing w:after="0"/>
              <w:rPr>
                <w:rFonts w:ascii="Arial" w:cs="Arial" w:eastAsia="Arial" w:hAnsi="Arial"/>
                <w:sz w:val="18"/>
                <w:szCs w:val="18"/>
                <w:b w:val="1"/>
                <w:bCs w:val="1"/>
                <w:color w:val="0000FF"/>
              </w:rPr>
            </w:pPr>
            <w:hyperlink w:anchor="page60">
              <w:r>
                <w:rPr>
                  <w:rFonts w:ascii="Arial" w:cs="Arial" w:eastAsia="Arial" w:hAnsi="Arial"/>
                  <w:sz w:val="18"/>
                  <w:szCs w:val="18"/>
                  <w:b w:val="1"/>
                  <w:bCs w:val="1"/>
                  <w:color w:val="0000FF"/>
                </w:rPr>
                <w:t>Unregistered Sales of Equity Securities and Use of Proceeds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40" w:type="dxa"/>
            <w:vAlign w:val="bottom"/>
            <w:gridSpan w:val="8"/>
          </w:tcPr>
          <w:p>
            <w:pPr>
              <w:spacing w:after="0"/>
              <w:rPr>
                <w:rFonts w:ascii="Arial" w:cs="Arial" w:eastAsia="Arial" w:hAnsi="Arial"/>
                <w:sz w:val="18"/>
                <w:szCs w:val="18"/>
                <w:b w:val="1"/>
                <w:bCs w:val="1"/>
                <w:color w:val="0000FF"/>
                <w:w w:val="88"/>
              </w:rPr>
            </w:pPr>
            <w:hyperlink w:anchor="page60">
              <w:r>
                <w:rPr>
                  <w:rFonts w:ascii="Arial" w:cs="Arial" w:eastAsia="Arial" w:hAnsi="Arial"/>
                  <w:sz w:val="18"/>
                  <w:szCs w:val="18"/>
                  <w:b w:val="1"/>
                  <w:bCs w:val="1"/>
                  <w:color w:val="0000FF"/>
                  <w:w w:val="88"/>
                </w:rPr>
                <w:t>Defaults Upon Senior Securities</w:t>
              </w:r>
            </w:hyperlink>
          </w:p>
        </w:tc>
        <w:tc>
          <w:tcPr>
            <w:tcW w:w="2120" w:type="dxa"/>
            <w:vAlign w:val="bottom"/>
            <w:gridSpan w:val="5"/>
          </w:tcPr>
          <w:p>
            <w:pPr>
              <w:spacing w:after="0"/>
              <w:rPr>
                <w:sz w:val="24"/>
                <w:szCs w:val="24"/>
                <w:color w:val="auto"/>
              </w:rPr>
            </w:pPr>
          </w:p>
        </w:tc>
        <w:tc>
          <w:tcPr>
            <w:tcW w:w="4420" w:type="dxa"/>
            <w:vAlign w:val="bottom"/>
            <w:gridSpan w:val="9"/>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440" w:type="dxa"/>
            <w:vAlign w:val="bottom"/>
            <w:gridSpan w:val="8"/>
          </w:tcPr>
          <w:p>
            <w:pPr>
              <w:spacing w:after="0"/>
              <w:rPr>
                <w:rFonts w:ascii="Arial" w:cs="Arial" w:eastAsia="Arial" w:hAnsi="Arial"/>
                <w:sz w:val="18"/>
                <w:szCs w:val="18"/>
                <w:b w:val="1"/>
                <w:bCs w:val="1"/>
                <w:color w:val="0000FF"/>
              </w:rPr>
            </w:pPr>
            <w:hyperlink w:anchor="page60">
              <w:r>
                <w:rPr>
                  <w:rFonts w:ascii="Arial" w:cs="Arial" w:eastAsia="Arial" w:hAnsi="Arial"/>
                  <w:sz w:val="18"/>
                  <w:szCs w:val="18"/>
                  <w:b w:val="1"/>
                  <w:bCs w:val="1"/>
                  <w:color w:val="0000FF"/>
                </w:rPr>
                <w:t>Mine Safety Disclosures</w:t>
              </w:r>
            </w:hyperlink>
          </w:p>
        </w:tc>
        <w:tc>
          <w:tcPr>
            <w:tcW w:w="6540" w:type="dxa"/>
            <w:vAlign w:val="bottom"/>
            <w:gridSpan w:val="1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5"/>
          </w:tcPr>
          <w:p>
            <w:pPr>
              <w:spacing w:after="0"/>
              <w:rPr>
                <w:rFonts w:ascii="Arial" w:cs="Arial" w:eastAsia="Arial" w:hAnsi="Arial"/>
                <w:sz w:val="18"/>
                <w:szCs w:val="18"/>
                <w:b w:val="1"/>
                <w:bCs w:val="1"/>
                <w:color w:val="0000FF"/>
                <w:w w:val="93"/>
              </w:rPr>
            </w:pPr>
            <w:hyperlink w:anchor="page60">
              <w:r>
                <w:rPr>
                  <w:rFonts w:ascii="Arial" w:cs="Arial" w:eastAsia="Arial" w:hAnsi="Arial"/>
                  <w:sz w:val="18"/>
                  <w:szCs w:val="18"/>
                  <w:b w:val="1"/>
                  <w:bCs w:val="1"/>
                  <w:color w:val="0000FF"/>
                  <w:w w:val="93"/>
                </w:rPr>
                <w:t>Other Information</w:t>
              </w:r>
            </w:hyperlink>
          </w:p>
        </w:tc>
        <w:tc>
          <w:tcPr>
            <w:tcW w:w="380" w:type="dxa"/>
            <w:vAlign w:val="bottom"/>
          </w:tcPr>
          <w:p>
            <w:pPr>
              <w:spacing w:after="0"/>
              <w:rPr>
                <w:sz w:val="24"/>
                <w:szCs w:val="24"/>
                <w:color w:val="auto"/>
              </w:rPr>
            </w:pPr>
          </w:p>
        </w:tc>
        <w:tc>
          <w:tcPr>
            <w:tcW w:w="7160" w:type="dxa"/>
            <w:vAlign w:val="bottom"/>
            <w:gridSpan w:val="1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540" w:type="dxa"/>
            <w:vAlign w:val="bottom"/>
            <w:gridSpan w:val="1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FF"/>
                <w:w w:val="88"/>
              </w:rPr>
            </w:pPr>
            <w:hyperlink w:anchor="page60">
              <w:r>
                <w:rPr>
                  <w:rFonts w:ascii="Arial" w:cs="Arial" w:eastAsia="Arial" w:hAnsi="Arial"/>
                  <w:sz w:val="18"/>
                  <w:szCs w:val="18"/>
                  <w:b w:val="1"/>
                  <w:bCs w:val="1"/>
                  <w:color w:val="0000FF"/>
                  <w:w w:val="88"/>
                </w:rPr>
                <w:t>Exhibits</w:t>
              </w:r>
            </w:hyperlink>
          </w:p>
        </w:tc>
        <w:tc>
          <w:tcPr>
            <w:tcW w:w="800" w:type="dxa"/>
            <w:vAlign w:val="bottom"/>
            <w:gridSpan w:val="4"/>
          </w:tcPr>
          <w:p>
            <w:pPr>
              <w:spacing w:after="0"/>
              <w:rPr>
                <w:sz w:val="24"/>
                <w:szCs w:val="24"/>
                <w:color w:val="auto"/>
              </w:rPr>
            </w:pPr>
          </w:p>
        </w:tc>
        <w:tc>
          <w:tcPr>
            <w:tcW w:w="7540" w:type="dxa"/>
            <w:vAlign w:val="bottom"/>
            <w:gridSpan w:val="1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0">
              <w:r>
                <w:rPr>
                  <w:rFonts w:ascii="Arial" w:cs="Arial" w:eastAsia="Arial" w:hAnsi="Arial"/>
                  <w:sz w:val="18"/>
                  <w:szCs w:val="18"/>
                  <w:color w:val="0000FF"/>
                </w:rPr>
                <w:t>61</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160" w:type="dxa"/>
            <w:vAlign w:val="bottom"/>
            <w:gridSpan w:val="2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20" w:type="dxa"/>
            <w:vAlign w:val="bottom"/>
            <w:gridSpan w:val="2"/>
          </w:tcPr>
          <w:p>
            <w:pPr>
              <w:spacing w:after="0"/>
              <w:rPr>
                <w:rFonts w:ascii="Arial" w:cs="Arial" w:eastAsia="Arial" w:hAnsi="Arial"/>
                <w:sz w:val="18"/>
                <w:szCs w:val="18"/>
                <w:b w:val="1"/>
                <w:bCs w:val="1"/>
                <w:color w:val="0000FF"/>
                <w:w w:val="85"/>
              </w:rPr>
            </w:pPr>
            <w:hyperlink w:anchor="page61">
              <w:r>
                <w:rPr>
                  <w:rFonts w:ascii="Arial" w:cs="Arial" w:eastAsia="Arial" w:hAnsi="Arial"/>
                  <w:sz w:val="18"/>
                  <w:szCs w:val="18"/>
                  <w:b w:val="1"/>
                  <w:bCs w:val="1"/>
                  <w:color w:val="0000FF"/>
                  <w:w w:val="85"/>
                </w:rPr>
                <w:t>Signatures</w:t>
              </w:r>
            </w:hyperlink>
          </w:p>
        </w:tc>
        <w:tc>
          <w:tcPr>
            <w:tcW w:w="8160" w:type="dxa"/>
            <w:vAlign w:val="bottom"/>
            <w:gridSpan w:val="20"/>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1">
              <w:r>
                <w:rPr>
                  <w:rFonts w:ascii="Arial" w:cs="Arial" w:eastAsia="Arial" w:hAnsi="Arial"/>
                  <w:sz w:val="18"/>
                  <w:szCs w:val="18"/>
                  <w:color w:val="0000FF"/>
                </w:rPr>
                <w:t>62</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8340" w:type="dxa"/>
            <w:vAlign w:val="bottom"/>
          </w:tcPr>
          <w:p>
            <w:pPr>
              <w:jc w:val="center"/>
              <w:ind w:left="47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2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60" w:type="dxa"/>
            <w:vAlign w:val="bottom"/>
          </w:tcPr>
          <w:p>
            <w:pPr>
              <w:spacing w:after="0"/>
              <w:rPr>
                <w:sz w:val="24"/>
                <w:szCs w:val="24"/>
                <w:color w:val="auto"/>
              </w:rPr>
            </w:pPr>
          </w:p>
        </w:tc>
        <w:tc>
          <w:tcPr>
            <w:tcW w:w="8340" w:type="dxa"/>
            <w:vAlign w:val="bottom"/>
          </w:tcPr>
          <w:p>
            <w:pPr>
              <w:jc w:val="center"/>
              <w:ind w:left="490"/>
              <w:spacing w:after="0"/>
              <w:rPr>
                <w:sz w:val="20"/>
                <w:szCs w:val="20"/>
                <w:color w:val="auto"/>
              </w:rPr>
            </w:pPr>
            <w:r>
              <w:rPr>
                <w:rFonts w:ascii="Arial" w:cs="Arial" w:eastAsia="Arial" w:hAnsi="Arial"/>
                <w:sz w:val="18"/>
                <w:szCs w:val="18"/>
                <w:b w:val="1"/>
                <w:bCs w:val="1"/>
                <w:color w:val="auto"/>
              </w:rPr>
              <w:t>AUTODESK, INC.</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60" w:type="dxa"/>
            <w:vAlign w:val="bottom"/>
          </w:tcPr>
          <w:p>
            <w:pPr>
              <w:spacing w:after="0"/>
              <w:rPr>
                <w:sz w:val="19"/>
                <w:szCs w:val="19"/>
                <w:color w:val="auto"/>
              </w:rPr>
            </w:pPr>
          </w:p>
        </w:tc>
        <w:tc>
          <w:tcPr>
            <w:tcW w:w="8340" w:type="dxa"/>
            <w:vAlign w:val="bottom"/>
          </w:tcPr>
          <w:p>
            <w:pPr>
              <w:jc w:val="center"/>
              <w:ind w:left="47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8340" w:type="dxa"/>
            <w:vAlign w:val="bottom"/>
          </w:tcPr>
          <w:p>
            <w:pPr>
              <w:jc w:val="center"/>
              <w:ind w:left="470"/>
              <w:spacing w:after="0"/>
              <w:rPr>
                <w:sz w:val="20"/>
                <w:szCs w:val="20"/>
                <w:color w:val="auto"/>
              </w:rPr>
            </w:pPr>
            <w:r>
              <w:rPr>
                <w:rFonts w:ascii="Arial" w:cs="Arial" w:eastAsia="Arial" w:hAnsi="Arial"/>
                <w:sz w:val="18"/>
                <w:szCs w:val="18"/>
                <w:color w:val="auto"/>
                <w:w w:val="90"/>
              </w:rPr>
              <w:t>(In millions, except per share data)</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8340" w:type="dxa"/>
            <w:vAlign w:val="bottom"/>
          </w:tcPr>
          <w:p>
            <w:pPr>
              <w:jc w:val="center"/>
              <w:ind w:left="470"/>
              <w:spacing w:after="0"/>
              <w:rPr>
                <w:sz w:val="20"/>
                <w:szCs w:val="20"/>
                <w:color w:val="auto"/>
              </w:rPr>
            </w:pPr>
            <w:r>
              <w:rPr>
                <w:rFonts w:ascii="Arial" w:cs="Arial" w:eastAsia="Arial" w:hAnsi="Arial"/>
                <w:sz w:val="18"/>
                <w:szCs w:val="18"/>
                <w:color w:val="auto"/>
                <w:w w:val="91"/>
              </w:rPr>
              <w:t>(Unaudited)</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126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820" w:type="dxa"/>
            <w:vAlign w:val="bottom"/>
            <w:gridSpan w:val="5"/>
          </w:tcPr>
          <w:p>
            <w:pPr>
              <w:jc w:val="right"/>
              <w:spacing w:after="0"/>
              <w:rPr>
                <w:sz w:val="20"/>
                <w:szCs w:val="20"/>
                <w:color w:val="auto"/>
              </w:rPr>
            </w:pPr>
            <w:r>
              <w:rPr>
                <w:rFonts w:ascii="Arial" w:cs="Arial" w:eastAsia="Arial" w:hAnsi="Arial"/>
                <w:sz w:val="14"/>
                <w:szCs w:val="14"/>
                <w:b w:val="1"/>
                <w:bCs w:val="1"/>
                <w:color w:val="auto"/>
                <w:w w:val="99"/>
              </w:rPr>
              <w:t>Three Months Ended April</w:t>
            </w: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8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2"/>
              </w:rPr>
              <w:t>30,</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260" w:type="dxa"/>
            <w:vAlign w:val="bottom"/>
            <w:tcBorders>
              <w:bottom w:val="single" w:sz="8" w:color="CCEEFF"/>
            </w:tcBorders>
          </w:tcPr>
          <w:p>
            <w:pPr>
              <w:spacing w:after="0"/>
              <w:rPr>
                <w:sz w:val="22"/>
                <w:szCs w:val="22"/>
                <w:color w:val="auto"/>
              </w:rPr>
            </w:pPr>
          </w:p>
        </w:tc>
        <w:tc>
          <w:tcPr>
            <w:tcW w:w="83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8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9600" w:type="dxa"/>
            <w:vAlign w:val="bottom"/>
            <w:gridSpan w:val="2"/>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9600" w:type="dxa"/>
            <w:vAlign w:val="bottom"/>
            <w:gridSpan w:val="2"/>
          </w:tcPr>
          <w:p>
            <w:pPr>
              <w:ind w:left="380"/>
              <w:spacing w:after="0"/>
              <w:rPr>
                <w:sz w:val="20"/>
                <w:szCs w:val="20"/>
                <w:color w:val="auto"/>
              </w:rPr>
            </w:pPr>
            <w:r>
              <w:rPr>
                <w:rFonts w:ascii="Arial" w:cs="Arial" w:eastAsia="Arial" w:hAnsi="Arial"/>
                <w:sz w:val="16"/>
                <w:szCs w:val="16"/>
                <w:color w:val="auto"/>
              </w:rPr>
              <w:t>License and other</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326.7</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316.2</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7"/>
              </w:rPr>
              <w:t>Subscription</w:t>
            </w:r>
          </w:p>
        </w:tc>
        <w:tc>
          <w:tcPr>
            <w:tcW w:w="83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276.3</w:t>
            </w:r>
          </w:p>
        </w:tc>
        <w:tc>
          <w:tcPr>
            <w:tcW w:w="0" w:type="dxa"/>
            <w:vAlign w:val="bottom"/>
          </w:tcPr>
          <w:p>
            <w:pPr>
              <w:spacing w:after="0"/>
              <w:rPr>
                <w:sz w:val="1"/>
                <w:szCs w:val="1"/>
                <w:color w:val="auto"/>
              </w:rPr>
            </w:pPr>
          </w:p>
        </w:tc>
      </w:tr>
      <w:tr>
        <w:trPr>
          <w:trHeight w:val="217"/>
        </w:trPr>
        <w:tc>
          <w:tcPr>
            <w:tcW w:w="9600" w:type="dxa"/>
            <w:vAlign w:val="bottom"/>
            <w:gridSpan w:val="2"/>
          </w:tcPr>
          <w:p>
            <w:pPr>
              <w:ind w:left="720"/>
              <w:spacing w:after="0"/>
              <w:rPr>
                <w:sz w:val="20"/>
                <w:szCs w:val="20"/>
                <w:color w:val="auto"/>
              </w:rPr>
            </w:pPr>
            <w:r>
              <w:rPr>
                <w:rFonts w:ascii="Arial" w:cs="Arial" w:eastAsia="Arial" w:hAnsi="Arial"/>
                <w:sz w:val="16"/>
                <w:szCs w:val="16"/>
                <w:color w:val="auto"/>
              </w:rPr>
              <w:t>Total net revenue</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646.5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592.5</w:t>
            </w:r>
          </w:p>
        </w:tc>
        <w:tc>
          <w:tcPr>
            <w:tcW w:w="0" w:type="dxa"/>
            <w:vAlign w:val="bottom"/>
          </w:tcPr>
          <w:p>
            <w:pPr>
              <w:spacing w:after="0"/>
              <w:rPr>
                <w:sz w:val="1"/>
                <w:szCs w:val="1"/>
                <w:color w:val="auto"/>
              </w:rPr>
            </w:pPr>
          </w:p>
        </w:tc>
      </w:tr>
      <w:tr>
        <w:trPr>
          <w:trHeight w:val="33"/>
        </w:trPr>
        <w:tc>
          <w:tcPr>
            <w:tcW w:w="1260" w:type="dxa"/>
            <w:vAlign w:val="bottom"/>
            <w:tcBorders>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8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600" w:type="dxa"/>
            <w:vAlign w:val="bottom"/>
            <w:gridSpan w:val="2"/>
          </w:tcPr>
          <w:p>
            <w:pPr>
              <w:ind w:left="380"/>
              <w:spacing w:after="0"/>
              <w:rPr>
                <w:sz w:val="20"/>
                <w:szCs w:val="20"/>
                <w:color w:val="auto"/>
              </w:rPr>
            </w:pPr>
            <w:r>
              <w:rPr>
                <w:rFonts w:ascii="Arial" w:cs="Arial" w:eastAsia="Arial" w:hAnsi="Arial"/>
                <w:sz w:val="16"/>
                <w:szCs w:val="16"/>
                <w:color w:val="auto"/>
              </w:rPr>
              <w:t>Cost of license and other revenue</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33"/>
        </w:trPr>
        <w:tc>
          <w:tcPr>
            <w:tcW w:w="9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Cost of subscription revenue</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17"/>
        </w:trPr>
        <w:tc>
          <w:tcPr>
            <w:tcW w:w="9600" w:type="dxa"/>
            <w:vAlign w:val="bottom"/>
            <w:gridSpan w:val="2"/>
          </w:tcPr>
          <w:p>
            <w:pPr>
              <w:ind w:left="720"/>
              <w:spacing w:after="0"/>
              <w:rPr>
                <w:sz w:val="20"/>
                <w:szCs w:val="20"/>
                <w:color w:val="auto"/>
              </w:rPr>
            </w:pPr>
            <w:r>
              <w:rPr>
                <w:rFonts w:ascii="Arial" w:cs="Arial" w:eastAsia="Arial" w:hAnsi="Arial"/>
                <w:sz w:val="16"/>
                <w:szCs w:val="16"/>
                <w:color w:val="auto"/>
              </w:rPr>
              <w:t>Total cost of revenue</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33"/>
        </w:trPr>
        <w:tc>
          <w:tcPr>
            <w:tcW w:w="1260" w:type="dxa"/>
            <w:vAlign w:val="bottom"/>
            <w:tcBorders>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8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513.8</w:t>
            </w:r>
          </w:p>
        </w:tc>
        <w:tc>
          <w:tcPr>
            <w:tcW w:w="0" w:type="dxa"/>
            <w:vAlign w:val="bottom"/>
          </w:tcPr>
          <w:p>
            <w:pPr>
              <w:spacing w:after="0"/>
              <w:rPr>
                <w:sz w:val="1"/>
                <w:szCs w:val="1"/>
                <w:color w:val="auto"/>
              </w:rPr>
            </w:pPr>
          </w:p>
        </w:tc>
      </w:tr>
      <w:tr>
        <w:trPr>
          <w:trHeight w:val="224"/>
        </w:trPr>
        <w:tc>
          <w:tcPr>
            <w:tcW w:w="960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960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Marketing and sales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225.4</w:t>
            </w:r>
          </w:p>
        </w:tc>
        <w:tc>
          <w:tcPr>
            <w:tcW w:w="0" w:type="dxa"/>
            <w:vAlign w:val="bottom"/>
          </w:tcPr>
          <w:p>
            <w:pPr>
              <w:spacing w:after="0"/>
              <w:rPr>
                <w:sz w:val="1"/>
                <w:szCs w:val="1"/>
                <w:color w:val="auto"/>
              </w:rPr>
            </w:pPr>
          </w:p>
        </w:tc>
      </w:tr>
      <w:tr>
        <w:trPr>
          <w:trHeight w:val="237"/>
        </w:trPr>
        <w:tc>
          <w:tcPr>
            <w:tcW w:w="9600" w:type="dxa"/>
            <w:vAlign w:val="bottom"/>
            <w:gridSpan w:val="2"/>
          </w:tcPr>
          <w:p>
            <w:pPr>
              <w:ind w:left="380"/>
              <w:spacing w:after="0"/>
              <w:rPr>
                <w:sz w:val="20"/>
                <w:szCs w:val="20"/>
                <w:color w:val="auto"/>
              </w:rPr>
            </w:pPr>
            <w:r>
              <w:rPr>
                <w:rFonts w:ascii="Arial" w:cs="Arial" w:eastAsia="Arial" w:hAnsi="Arial"/>
                <w:sz w:val="16"/>
                <w:szCs w:val="16"/>
                <w:color w:val="auto"/>
              </w:rPr>
              <w:t>Research and development</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194.5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170.5</w:t>
            </w:r>
          </w:p>
        </w:tc>
        <w:tc>
          <w:tcPr>
            <w:tcW w:w="0" w:type="dxa"/>
            <w:vAlign w:val="bottom"/>
          </w:tcPr>
          <w:p>
            <w:pPr>
              <w:spacing w:after="0"/>
              <w:rPr>
                <w:sz w:val="1"/>
                <w:szCs w:val="1"/>
                <w:color w:val="auto"/>
              </w:rPr>
            </w:pPr>
          </w:p>
        </w:tc>
      </w:tr>
      <w:tr>
        <w:trPr>
          <w:trHeight w:val="33"/>
        </w:trPr>
        <w:tc>
          <w:tcPr>
            <w:tcW w:w="9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37"/>
        </w:trPr>
        <w:tc>
          <w:tcPr>
            <w:tcW w:w="9600" w:type="dxa"/>
            <w:vAlign w:val="bottom"/>
            <w:gridSpan w:val="2"/>
          </w:tcPr>
          <w:p>
            <w:pPr>
              <w:ind w:left="380"/>
              <w:spacing w:after="0"/>
              <w:rPr>
                <w:sz w:val="20"/>
                <w:szCs w:val="20"/>
                <w:color w:val="auto"/>
              </w:rPr>
            </w:pPr>
            <w:r>
              <w:rPr>
                <w:rFonts w:ascii="Arial" w:cs="Arial" w:eastAsia="Arial" w:hAnsi="Arial"/>
                <w:sz w:val="16"/>
                <w:szCs w:val="16"/>
                <w:color w:val="auto"/>
              </w:rPr>
              <w:t>Amortization of purchased intangibles</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33"/>
        </w:trPr>
        <w:tc>
          <w:tcPr>
            <w:tcW w:w="9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Restructuring charges, net</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7"/>
        </w:trPr>
        <w:tc>
          <w:tcPr>
            <w:tcW w:w="9600" w:type="dxa"/>
            <w:vAlign w:val="bottom"/>
            <w:gridSpan w:val="2"/>
          </w:tcPr>
          <w:p>
            <w:pPr>
              <w:ind w:left="72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533.2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471.6</w:t>
            </w:r>
          </w:p>
        </w:tc>
        <w:tc>
          <w:tcPr>
            <w:tcW w:w="0" w:type="dxa"/>
            <w:vAlign w:val="bottom"/>
          </w:tcPr>
          <w:p>
            <w:pPr>
              <w:spacing w:after="0"/>
              <w:rPr>
                <w:sz w:val="1"/>
                <w:szCs w:val="1"/>
                <w:color w:val="auto"/>
              </w:rPr>
            </w:pPr>
          </w:p>
        </w:tc>
      </w:tr>
      <w:tr>
        <w:trPr>
          <w:trHeight w:val="33"/>
        </w:trPr>
        <w:tc>
          <w:tcPr>
            <w:tcW w:w="960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37"/>
        </w:trPr>
        <w:tc>
          <w:tcPr>
            <w:tcW w:w="9600" w:type="dxa"/>
            <w:vAlign w:val="bottom"/>
            <w:gridSpan w:val="2"/>
          </w:tcPr>
          <w:p>
            <w:pPr>
              <w:ind w:left="40"/>
              <w:spacing w:after="0"/>
              <w:rPr>
                <w:sz w:val="20"/>
                <w:szCs w:val="20"/>
                <w:color w:val="auto"/>
              </w:rPr>
            </w:pPr>
            <w:r>
              <w:rPr>
                <w:rFonts w:ascii="Arial" w:cs="Arial" w:eastAsia="Arial" w:hAnsi="Arial"/>
                <w:sz w:val="16"/>
                <w:szCs w:val="16"/>
                <w:color w:val="auto"/>
              </w:rPr>
              <w:t>Interest and other income (expense), net</w:t>
            </w:r>
          </w:p>
        </w:tc>
        <w:tc>
          <w:tcPr>
            <w:tcW w:w="1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960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37"/>
        </w:trPr>
        <w:tc>
          <w:tcPr>
            <w:tcW w:w="9600" w:type="dxa"/>
            <w:vAlign w:val="bottom"/>
            <w:gridSpan w:val="2"/>
          </w:tcPr>
          <w:p>
            <w:pPr>
              <w:ind w:left="40"/>
              <w:spacing w:after="0"/>
              <w:rPr>
                <w:sz w:val="20"/>
                <w:szCs w:val="20"/>
                <w:color w:val="auto"/>
              </w:rPr>
            </w:pPr>
            <w:r>
              <w:rPr>
                <w:rFonts w:ascii="Arial" w:cs="Arial" w:eastAsia="Arial" w:hAnsi="Arial"/>
                <w:sz w:val="16"/>
                <w:szCs w:val="16"/>
                <w:color w:val="auto"/>
              </w:rPr>
              <w:t>Provision for income taxes</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33"/>
        </w:trPr>
        <w:tc>
          <w:tcPr>
            <w:tcW w:w="1260" w:type="dxa"/>
            <w:vAlign w:val="bottom"/>
            <w:tcBorders>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8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color w:val="auto"/>
              </w:rPr>
              <w:t>Basic net income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600" w:type="dxa"/>
            <w:vAlign w:val="bottom"/>
            <w:gridSpan w:val="2"/>
            <w:vMerge w:val="continue"/>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0.08</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73"/>
        </w:trPr>
        <w:tc>
          <w:tcPr>
            <w:tcW w:w="9600" w:type="dxa"/>
            <w:vAlign w:val="bottom"/>
            <w:tcBorders>
              <w:bottom w:val="single" w:sz="8" w:color="CCEEFF"/>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9600" w:type="dxa"/>
            <w:vAlign w:val="bottom"/>
            <w:tcBorders>
              <w:bottom w:val="single" w:sz="8" w:color="CCEEFF"/>
            </w:tcBorders>
            <w:gridSpan w:val="2"/>
            <w:shd w:val="clear" w:color="auto" w:fill="CCEEFF"/>
          </w:tcPr>
          <w:p>
            <w:pPr>
              <w:ind w:left="40"/>
              <w:spacing w:after="0" w:line="177" w:lineRule="exact"/>
              <w:rPr>
                <w:sz w:val="20"/>
                <w:szCs w:val="20"/>
                <w:color w:val="auto"/>
              </w:rPr>
            </w:pPr>
            <w:r>
              <w:rPr>
                <w:rFonts w:ascii="Arial" w:cs="Arial" w:eastAsia="Arial" w:hAnsi="Arial"/>
                <w:sz w:val="16"/>
                <w:szCs w:val="16"/>
                <w:color w:val="auto"/>
              </w:rPr>
              <w:t>Diluted net income per share</w:t>
            </w: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color w:val="auto"/>
              </w:rPr>
              <w:t>Weighted average shares used in computing basic net income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6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227.2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227.0</w:t>
            </w:r>
          </w:p>
        </w:tc>
        <w:tc>
          <w:tcPr>
            <w:tcW w:w="0" w:type="dxa"/>
            <w:vAlign w:val="bottom"/>
          </w:tcPr>
          <w:p>
            <w:pPr>
              <w:spacing w:after="0"/>
              <w:rPr>
                <w:sz w:val="1"/>
                <w:szCs w:val="1"/>
                <w:color w:val="auto"/>
              </w:rPr>
            </w:pPr>
          </w:p>
        </w:tc>
      </w:tr>
      <w:tr>
        <w:trPr>
          <w:trHeight w:val="73"/>
        </w:trPr>
        <w:tc>
          <w:tcPr>
            <w:tcW w:w="9600" w:type="dxa"/>
            <w:vAlign w:val="bottom"/>
            <w:tcBorders>
              <w:bottom w:val="single" w:sz="8" w:color="CCEEFF"/>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9600" w:type="dxa"/>
            <w:vAlign w:val="bottom"/>
            <w:tcBorders>
              <w:bottom w:val="single" w:sz="8" w:color="CCEEFF"/>
            </w:tcBorders>
            <w:gridSpan w:val="2"/>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diluted net income per share</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231.6</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65" w:lineRule="exact"/>
        <w:rPr>
          <w:sz w:val="20"/>
          <w:szCs w:val="20"/>
          <w:color w:val="auto"/>
        </w:rPr>
      </w:pPr>
    </w:p>
    <w:p>
      <w:pPr>
        <w:jc w:val="center"/>
        <w:ind w:left="9740"/>
        <w:spacing w:after="0"/>
        <w:rPr>
          <w:sz w:val="20"/>
          <w:szCs w:val="20"/>
          <w:color w:val="auto"/>
        </w:rPr>
      </w:pPr>
      <w:r>
        <w:rPr>
          <w:rFonts w:ascii="Arial" w:cs="Arial" w:eastAsia="Arial" w:hAnsi="Arial"/>
          <w:sz w:val="13"/>
          <w:szCs w:val="13"/>
          <w:b w:val="1"/>
          <w:bCs w:val="1"/>
          <w:color w:val="auto"/>
        </w:rPr>
        <w:t>Three Months Ended April</w:t>
      </w:r>
    </w:p>
    <w:p>
      <w:pPr>
        <w:spacing w:after="0" w:line="15" w:lineRule="exact"/>
        <w:rPr>
          <w:sz w:val="20"/>
          <w:szCs w:val="20"/>
          <w:color w:val="auto"/>
        </w:rPr>
      </w:pPr>
    </w:p>
    <w:p>
      <w:pPr>
        <w:jc w:val="center"/>
        <w:ind w:left="9740"/>
        <w:spacing w:after="0"/>
        <w:rPr>
          <w:sz w:val="20"/>
          <w:szCs w:val="20"/>
          <w:color w:val="auto"/>
        </w:rPr>
      </w:pP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13335</wp:posOffset>
            </wp:positionV>
            <wp:extent cx="10807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2014</w:t>
            </w:r>
          </w:p>
        </w:tc>
      </w:tr>
      <w:tr>
        <w:trPr>
          <w:trHeight w:val="23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28.3</w:t>
            </w:r>
          </w:p>
        </w:tc>
      </w:tr>
      <w:tr>
        <w:trPr>
          <w:trHeight w:val="237"/>
        </w:trPr>
        <w:tc>
          <w:tcPr>
            <w:tcW w:w="9720" w:type="dxa"/>
            <w:vAlign w:val="bottom"/>
          </w:tcPr>
          <w:p>
            <w:pPr>
              <w:ind w:left="40"/>
              <w:spacing w:after="0"/>
              <w:rPr>
                <w:sz w:val="20"/>
                <w:szCs w:val="20"/>
                <w:color w:val="auto"/>
              </w:rPr>
            </w:pPr>
            <w:r>
              <w:rPr>
                <w:rFonts w:ascii="Arial" w:cs="Arial" w:eastAsia="Arial" w:hAnsi="Arial"/>
                <w:sz w:val="16"/>
                <w:szCs w:val="16"/>
                <w:color w:val="auto"/>
              </w:rPr>
              <w:t>Other comprehensive income, net of reclassifications:</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on derivative instruments (net of tax effect of ($1.5) and ($0.7))</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37"/>
        </w:trPr>
        <w:tc>
          <w:tcPr>
            <w:tcW w:w="9720" w:type="dxa"/>
            <w:vAlign w:val="bottom"/>
          </w:tcPr>
          <w:p>
            <w:pPr>
              <w:ind w:left="280"/>
              <w:spacing w:after="0"/>
              <w:rPr>
                <w:sz w:val="20"/>
                <w:szCs w:val="20"/>
                <w:color w:val="auto"/>
              </w:rPr>
            </w:pPr>
            <w:r>
              <w:rPr>
                <w:rFonts w:ascii="Arial" w:cs="Arial" w:eastAsia="Arial" w:hAnsi="Arial"/>
                <w:sz w:val="16"/>
                <w:szCs w:val="16"/>
                <w:color w:val="auto"/>
              </w:rPr>
              <w:t>Change in net unrealized gain (loss) on available-for-sale securities (net of tax effect of ($0.1) and ($0.4))</w:t>
            </w:r>
          </w:p>
        </w:tc>
        <w:tc>
          <w:tcPr>
            <w:tcW w:w="1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defined benefit pension items (net of tax effect of $0.0, and $0.0)</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9720" w:type="dxa"/>
            <w:vAlign w:val="bottom"/>
          </w:tcPr>
          <w:p>
            <w:pPr>
              <w:ind w:left="280"/>
              <w:spacing w:after="0"/>
              <w:rPr>
                <w:sz w:val="20"/>
                <w:szCs w:val="20"/>
                <w:color w:val="auto"/>
              </w:rPr>
            </w:pPr>
            <w:r>
              <w:rPr>
                <w:rFonts w:ascii="Arial" w:cs="Arial" w:eastAsia="Arial" w:hAnsi="Arial"/>
                <w:sz w:val="16"/>
                <w:szCs w:val="16"/>
                <w:color w:val="auto"/>
              </w:rPr>
              <w:t>Net change in cumulative foreign currency translation gain (net of tax effect of $3.8 and ($1.4))</w:t>
            </w:r>
          </w:p>
        </w:tc>
        <w:tc>
          <w:tcPr>
            <w:tcW w:w="1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10.1</w:t>
            </w:r>
          </w:p>
        </w:tc>
      </w:tr>
      <w:tr>
        <w:trPr>
          <w:trHeight w:val="33"/>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(loss) gain</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r>
      <w:tr>
        <w:trPr>
          <w:trHeight w:val="244"/>
        </w:trPr>
        <w:tc>
          <w:tcPr>
            <w:tcW w:w="9720" w:type="dxa"/>
            <w:vAlign w:val="bottom"/>
          </w:tcPr>
          <w:p>
            <w:pPr>
              <w:ind w:left="40"/>
              <w:spacing w:after="0"/>
              <w:rPr>
                <w:sz w:val="20"/>
                <w:szCs w:val="20"/>
                <w:color w:val="auto"/>
              </w:rPr>
            </w:pPr>
            <w:r>
              <w:rPr>
                <w:rFonts w:ascii="Arial" w:cs="Arial" w:eastAsia="Arial" w:hAnsi="Arial"/>
                <w:sz w:val="16"/>
                <w:szCs w:val="16"/>
                <w:color w:val="auto"/>
              </w:rPr>
              <w:t>Total comprehensive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34.5</w:t>
            </w: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2015</w:t>
            </w:r>
          </w:p>
        </w:tc>
        <w:tc>
          <w:tcPr>
            <w:tcW w:w="180" w:type="dxa"/>
            <w:vAlign w:val="bottom"/>
          </w:tcPr>
          <w:p>
            <w:pPr>
              <w:spacing w:after="0"/>
              <w:rPr>
                <w:sz w:val="16"/>
                <w:szCs w:val="16"/>
                <w:color w:val="auto"/>
              </w:rPr>
            </w:pPr>
          </w:p>
        </w:tc>
        <w:tc>
          <w:tcPr>
            <w:tcW w:w="1400" w:type="dxa"/>
            <w:vAlign w:val="bottom"/>
          </w:tcPr>
          <w:p>
            <w:pPr>
              <w:jc w:val="right"/>
              <w:ind w:right="179"/>
              <w:spacing w:after="0"/>
              <w:rPr>
                <w:sz w:val="20"/>
                <w:szCs w:val="20"/>
                <w:color w:val="auto"/>
              </w:rPr>
            </w:pPr>
            <w:r>
              <w:rPr>
                <w:rFonts w:ascii="Arial" w:cs="Arial" w:eastAsia="Arial" w:hAnsi="Arial"/>
                <w:sz w:val="14"/>
                <w:szCs w:val="14"/>
                <w:b w:val="1"/>
                <w:bCs w:val="1"/>
                <w:color w:val="auto"/>
                <w:w w:val="99"/>
              </w:rPr>
              <w:t>January 31, 2015</w:t>
            </w:r>
          </w:p>
        </w:tc>
        <w:tc>
          <w:tcPr>
            <w:tcW w:w="0" w:type="dxa"/>
            <w:vAlign w:val="bottom"/>
          </w:tcPr>
          <w:p>
            <w:pPr>
              <w:spacing w:after="0"/>
              <w:rPr>
                <w:sz w:val="1"/>
                <w:szCs w:val="1"/>
                <w:color w:val="auto"/>
              </w:rPr>
            </w:pPr>
          </w:p>
        </w:tc>
      </w:tr>
      <w:tr>
        <w:trPr>
          <w:trHeight w:val="210"/>
        </w:trPr>
        <w:tc>
          <w:tcPr>
            <w:tcW w:w="8120" w:type="dxa"/>
            <w:vAlign w:val="bottom"/>
            <w:tcBorders>
              <w:top w:val="single" w:sz="8" w:color="CCEEFF"/>
            </w:tcBorders>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1,410.6</w:t>
            </w:r>
          </w:p>
        </w:tc>
        <w:tc>
          <w:tcPr>
            <w:tcW w:w="0" w:type="dxa"/>
            <w:vAlign w:val="bottom"/>
          </w:tcPr>
          <w:p>
            <w:pPr>
              <w:spacing w:after="0"/>
              <w:rPr>
                <w:sz w:val="1"/>
                <w:szCs w:val="1"/>
                <w:color w:val="auto"/>
              </w:rPr>
            </w:pP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Marketable securities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648.2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615.8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458.9</w:t>
            </w:r>
          </w:p>
        </w:tc>
        <w:tc>
          <w:tcPr>
            <w:tcW w:w="0" w:type="dxa"/>
            <w:vAlign w:val="bottom"/>
          </w:tcPr>
          <w:p>
            <w:pPr>
              <w:spacing w:after="0"/>
              <w:rPr>
                <w:sz w:val="1"/>
                <w:szCs w:val="1"/>
                <w:color w:val="auto"/>
              </w:rPr>
            </w:pP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Deferred income taxes, net</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217"/>
        </w:trPr>
        <w:tc>
          <w:tcPr>
            <w:tcW w:w="8120" w:type="dxa"/>
            <w:vAlign w:val="bottom"/>
          </w:tcPr>
          <w:p>
            <w:pPr>
              <w:ind w:left="6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2,341.0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2,671.3</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273.0</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159.2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1,476.1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1,456.2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170.0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167.6</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4,775.9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4,913.8</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30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8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253.3</w:t>
            </w:r>
          </w:p>
        </w:tc>
        <w:tc>
          <w:tcPr>
            <w:tcW w:w="0" w:type="dxa"/>
            <w:vAlign w:val="bottom"/>
          </w:tcPr>
          <w:p>
            <w:pPr>
              <w:spacing w:after="0"/>
              <w:rPr>
                <w:sz w:val="1"/>
                <w:szCs w:val="1"/>
                <w:color w:val="auto"/>
              </w:rPr>
            </w:pP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900.8</w:t>
            </w:r>
          </w:p>
        </w:tc>
        <w:tc>
          <w:tcPr>
            <w:tcW w:w="0" w:type="dxa"/>
            <w:vAlign w:val="bottom"/>
          </w:tcPr>
          <w:p>
            <w:pPr>
              <w:spacing w:after="0"/>
              <w:rPr>
                <w:sz w:val="1"/>
                <w:szCs w:val="1"/>
                <w:color w:val="auto"/>
              </w:rPr>
            </w:pP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Other accrued liabilities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117.3</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1,400.1</w:t>
            </w: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260.3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256.3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 term income taxes payable</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Long term notes payable, net of discount</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747.4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747.2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132.2</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Common stock and additional paid-in capital</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1,816.2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1,773.1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464.2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499.4</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2,219.2</w:t>
            </w: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4,775.9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4,913.8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0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Three Months Ended April 30,</w:t>
            </w:r>
          </w:p>
        </w:tc>
      </w:tr>
      <w:tr>
        <w:trPr>
          <w:trHeight w:val="264"/>
        </w:trPr>
        <w:tc>
          <w:tcPr>
            <w:tcW w:w="88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2014</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28.3</w:t>
            </w:r>
          </w:p>
        </w:tc>
      </w:tr>
      <w:tr>
        <w:trPr>
          <w:trHeight w:val="33"/>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24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36.1</w:t>
            </w:r>
          </w:p>
        </w:tc>
      </w:tr>
      <w:tr>
        <w:trPr>
          <w:trHeight w:val="33"/>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w:t>
            </w: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21.1</w:t>
            </w:r>
          </w:p>
        </w:tc>
      </w:tr>
      <w:tr>
        <w:trPr>
          <w:trHeight w:val="33"/>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net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Other operating activities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8.3</w:t>
            </w:r>
          </w:p>
        </w:tc>
      </w:tr>
      <w:tr>
        <w:trPr>
          <w:trHeight w:val="33"/>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operating assets and liabilities, net of business combinations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143.1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117.2</w:t>
            </w:r>
          </w:p>
        </w:tc>
      </w:tr>
      <w:tr>
        <w:trPr>
          <w:trHeight w:val="33"/>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(44.8)</w:t>
            </w:r>
          </w:p>
        </w:tc>
      </w:tr>
      <w:tr>
        <w:trPr>
          <w:trHeight w:val="33"/>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w:t>
            </w: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(34.3)</w:t>
            </w:r>
          </w:p>
        </w:tc>
      </w:tr>
      <w:tr>
        <w:trPr>
          <w:trHeight w:val="33"/>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218.7</w:t>
            </w:r>
          </w:p>
        </w:tc>
      </w:tr>
      <w:tr>
        <w:trPr>
          <w:trHeight w:val="204"/>
        </w:trPr>
        <w:tc>
          <w:tcPr>
            <w:tcW w:w="880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47"/>
        </w:trPr>
        <w:tc>
          <w:tcPr>
            <w:tcW w:w="8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marketable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(306.4)</w:t>
            </w: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Sales of marketable securities</w:t>
            </w:r>
          </w:p>
        </w:tc>
        <w:tc>
          <w:tcPr>
            <w:tcW w:w="24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97.5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59.2</w:t>
            </w:r>
          </w:p>
        </w:tc>
      </w:tr>
      <w:tr>
        <w:trPr>
          <w:trHeight w:val="33"/>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Maturities of marketable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192.4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163.1</w:t>
            </w: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33"/>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 net of cash acquired</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(322.3)</w:t>
            </w: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Other investing activities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33"/>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(421.7)</w:t>
            </w:r>
          </w:p>
        </w:tc>
      </w:tr>
      <w:tr>
        <w:trPr>
          <w:trHeight w:val="204"/>
        </w:trPr>
        <w:tc>
          <w:tcPr>
            <w:tcW w:w="880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47"/>
        </w:trPr>
        <w:tc>
          <w:tcPr>
            <w:tcW w:w="8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w:t>
            </w: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Repurchase and retirement of common shares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(102.5)</w:t>
            </w:r>
          </w:p>
        </w:tc>
      </w:tr>
      <w:tr>
        <w:trPr>
          <w:trHeight w:val="33"/>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(243.4)</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fiscal year</w:t>
            </w:r>
          </w:p>
        </w:tc>
        <w:tc>
          <w:tcPr>
            <w:tcW w:w="24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1,410.6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1,853.0</w:t>
            </w:r>
          </w:p>
        </w:tc>
      </w:tr>
      <w:tr>
        <w:trPr>
          <w:trHeight w:val="33"/>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1,609.6</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Basis of Presentation</w:t>
      </w:r>
    </w:p>
    <w:p>
      <w:pPr>
        <w:spacing w:after="0" w:line="225"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The accompanying unaudited Condensed Consolidated Financial Statements of Autodesk, Inc. (“Autodesk,” “we,” “us,” “our,” or the “Company”) as of April 30, 2015, and for the three months ended April 30, 2015 and 2014, have been prepared in accordance with U.S. generally accepted accounting principles ("GAAP") for interim financial information along with the instructions to Form 10-Q and Article 10 of Securities and Exchange Commission (“SEC”) Regulation S-X. Accordingly, they do not include all of the information and notes required by GAAP for annual financial statements. In management’s opinion, Autodesk made all adjustments (consisting of normal, recurring and non-recurring adjustments) during the quarter that were considered necessary for the fair presentation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months ended April 30, 2015 are not necessarily indicative of the results for the entire fiscal year ending January 31, 2016, or for any other period. There have been no material changes to Autodesk's significant accounting policies as compared to the significant accounting policies disclosed in the Annual Report on Form 10-K for the fiscal year ended January 31, 2015.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2015, filed on March 18, 2015.</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During the second quarter of fiscal 2015, Autodesk elected to present amortization of purchased customer relationships, trade names, patents, and user lists as a separate line item within operating expenses. As a result, amortization previously reflected in “General and Administrative” expense was reclassified to “Amortization of Purchased Intangibles" within Operating Expenses. These expenses have been reclassified in the Condensed Consolidated Statements of Operations for the three months ended April 30, 2014 to conform to the current period presentation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04"/>
              <w:spacing w:after="0"/>
              <w:rPr>
                <w:sz w:val="20"/>
                <w:szCs w:val="20"/>
                <w:color w:val="auto"/>
              </w:rPr>
            </w:pPr>
            <w:r>
              <w:rPr>
                <w:rFonts w:ascii="Arial" w:cs="Arial" w:eastAsia="Arial" w:hAnsi="Arial"/>
                <w:sz w:val="14"/>
                <w:szCs w:val="14"/>
                <w:b w:val="1"/>
                <w:bCs w:val="1"/>
                <w:color w:val="auto"/>
                <w:w w:val="95"/>
              </w:rPr>
              <w:t>Three Months</w:t>
            </w:r>
          </w:p>
        </w:tc>
      </w:tr>
      <w:tr>
        <w:trPr>
          <w:trHeight w:val="192"/>
        </w:trPr>
        <w:tc>
          <w:tcPr>
            <w:tcW w:w="10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3"/>
              </w:rPr>
              <w:t>Ended</w:t>
            </w:r>
          </w:p>
        </w:tc>
      </w:tr>
      <w:tr>
        <w:trPr>
          <w:trHeight w:val="250"/>
        </w:trPr>
        <w:tc>
          <w:tcPr>
            <w:tcW w:w="100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5"/>
              </w:rPr>
              <w:t>April 30, 2014</w:t>
            </w: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Reclassifications within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10060" w:type="dxa"/>
            <w:vAlign w:val="bottom"/>
          </w:tcPr>
          <w:p>
            <w:pPr>
              <w:ind w:left="180"/>
              <w:spacing w:after="0"/>
              <w:rPr>
                <w:sz w:val="20"/>
                <w:szCs w:val="20"/>
                <w:color w:val="auto"/>
              </w:rPr>
            </w:pPr>
            <w:r>
              <w:rPr>
                <w:rFonts w:ascii="Arial" w:cs="Arial" w:eastAsia="Arial" w:hAnsi="Arial"/>
                <w:sz w:val="16"/>
                <w:szCs w:val="16"/>
                <w:color w:val="auto"/>
              </w:rPr>
              <w:t>(Decrease) to general and administrative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33"/>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10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Increase to amortization of purchased intangibles</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10.9</w:t>
            </w:r>
          </w:p>
        </w:tc>
      </w:tr>
      <w:tr>
        <w:trPr>
          <w:trHeight w:val="33"/>
        </w:trPr>
        <w:tc>
          <w:tcPr>
            <w:tcW w:w="10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amortization of acquired developed technology is recorded within cost of revenue.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Prior Period Adjustments</w:t>
      </w:r>
    </w:p>
    <w:p>
      <w:pPr>
        <w:spacing w:after="0" w:line="225"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During the quarter ended April 30, 2015, Autodesk determined that it had not correctly accounted for certain liabilities primarily related to employee benefits and unclaimed property. Accordingly, during the three months ended April 30, 2015, we recorded $5.7 million of additional operating expenses related to prior periods.</w:t>
      </w:r>
    </w:p>
    <w:p>
      <w:pPr>
        <w:spacing w:after="0" w:line="181" w:lineRule="exact"/>
        <w:rPr>
          <w:sz w:val="20"/>
          <w:szCs w:val="20"/>
          <w:color w:val="auto"/>
        </w:rPr>
      </w:pPr>
    </w:p>
    <w:p>
      <w:pPr>
        <w:ind w:right="280" w:firstLine="405"/>
        <w:spacing w:after="0" w:line="302" w:lineRule="auto"/>
        <w:rPr>
          <w:sz w:val="20"/>
          <w:szCs w:val="20"/>
          <w:color w:val="auto"/>
        </w:rPr>
      </w:pPr>
      <w:r>
        <w:rPr>
          <w:rFonts w:ascii="Arial" w:cs="Arial" w:eastAsia="Arial" w:hAnsi="Arial"/>
          <w:sz w:val="16"/>
          <w:szCs w:val="16"/>
          <w:color w:val="auto"/>
        </w:rPr>
        <w:t xml:space="preserve">As these adjustments were related to the correction of errors, Autodesk performed the analysis required by Staff Accounting Bulletin 99, Materiality, and Staff Accounting Bulletin 108, </w:t>
      </w:r>
      <w:r>
        <w:rPr>
          <w:rFonts w:ascii="Arial" w:cs="Arial" w:eastAsia="Arial" w:hAnsi="Arial"/>
          <w:sz w:val="16"/>
          <w:szCs w:val="16"/>
          <w:i w:val="1"/>
          <w:iCs w:val="1"/>
          <w:color w:val="auto"/>
        </w:rPr>
        <w:t>Considering the Effects of Prior Year Misstatements When Quantifying Misstatements in Current Year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w:t>
      </w:r>
      <w:r>
        <w:rPr>
          <w:rFonts w:ascii="Arial" w:cs="Arial" w:eastAsia="Arial" w:hAnsi="Arial"/>
          <w:sz w:val="16"/>
          <w:szCs w:val="16"/>
          <w:color w:val="auto"/>
        </w:rPr>
        <w:t>. Based on this analysis, Autodesk concluded that the effect of the errors was not material to the financial position, results of operations or cash</w:t>
      </w:r>
      <w:r>
        <w:rPr>
          <w:rFonts w:ascii="Arial" w:cs="Arial" w:eastAsia="Arial" w:hAnsi="Arial"/>
          <w:sz w:val="16"/>
          <w:szCs w:val="16"/>
          <w:i w:val="1"/>
          <w:iCs w:val="1"/>
          <w:color w:val="auto"/>
        </w:rPr>
        <w:t xml:space="preserve"> </w:t>
      </w:r>
      <w:r>
        <w:rPr>
          <w:rFonts w:ascii="Arial" w:cs="Arial" w:eastAsia="Arial" w:hAnsi="Arial"/>
          <w:sz w:val="16"/>
          <w:szCs w:val="16"/>
          <w:color w:val="auto"/>
        </w:rPr>
        <w:t>flows of any prior fiscal year from both a quantitative and qualitative perspective and is not anticipated to be material to the full fiscal year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Recently Issued Accounting Standards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With the exception of those discussed below, there have been no recent changes in accounting pronouncements issued by the Financial Accounting Standards Board (“FASB”) or adopted by the Company during the three months ended April 30, 2015, that are of significance, or potential significance, to the Company.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ind w:left="26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In April 2015, the FASB issued Accounting Standards Update No. 2015-05 ("ASU 2015-05") regarding Subtopic 350-40, “Intangibles - Goodwill and Other - Internal-Use Software.” The amendments in ASU 2015-05 provide guidance to customers about whether a cloud computing arrangement includes a software license. If a cloud computing arrangement includes a software license, the customer should account for the software license element of the arrangement consistent with other software licenses. If a cloud computing arrangement does not include a software license, the customer should account for the arrangement as a service contract. The amendments in ASU 2015-05 are effective for annual and interim periods beginning after December 15, 2015. Early adoption is permitted. The amendments in ASU 2015-05 may be applied either prospectively to all arrangements entered into or materially modified after the effective date or retrospectively. Autodesk is currently evaluating the accounting, transition and disclosure requirements of the standard and cannot currently estimate the financial statement impact of adoption.</w:t>
      </w:r>
    </w:p>
    <w:p>
      <w:pPr>
        <w:spacing w:after="0" w:line="179"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In April 2015, the FASB issued Accounting Standards Update 2015-03 (“ASU 2015-03”) regarding Subtopic 835-30 “Interest - Imputation of Interest.” The amendments in ASU 2015-03 require that debt issuance costs related to a recognized debt liability be presented in the balance sheet as a direct deduction from the carrying amount of that debt liability, consistent with debt discounts. The update requires retrospective application and represents a change in accounting principle. ASU 2015-03 is effective for annual and interim periods beginning on or after December 15, 2015. As of April 30, 2015, we have $3.9 million of debt issuance costs that would be reclassified from other assets to a reduction in long term notes payable, net.</w:t>
      </w:r>
    </w:p>
    <w:p>
      <w:pPr>
        <w:spacing w:after="0" w:line="173"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In May 2014, the FASB issued Accounting Standards Update 2014-09 ("ASU 2014-09") regarding ASC Topic 606 “Revenue from Contracts with Customers.” ASU 2014-09 provides principles for recognizing revenue to depict the transfer of promised goods or services to customers in an amount that reflects the consideration to which the entity expects to be entitled in exchange for those goods or services. ASU 2014-09 will be effective for Autodesk’s fiscal year beginning February 1, 2017. However, on April 28, 2015, the FASB proposed to defer the effective date by one year, which we will evaluate if or when the deferral is approved. Early adoption before the original effective date is not permitted. Autodesk is currently evaluating the accounting, transition and disclosure requirements of the standard and cannot currently estimate the financial statement impact of adoption.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Concentration of Credit Risk</w:t>
      </w:r>
    </w:p>
    <w:p>
      <w:pPr>
        <w:spacing w:after="0" w:line="225" w:lineRule="exact"/>
        <w:rPr>
          <w:sz w:val="20"/>
          <w:szCs w:val="20"/>
          <w:color w:val="auto"/>
        </w:rPr>
      </w:pPr>
    </w:p>
    <w:p>
      <w:pPr>
        <w:ind w:right="340" w:firstLine="405"/>
        <w:spacing w:after="0" w:line="259"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$400.0 million line of credit facility.</w:t>
      </w:r>
    </w:p>
    <w:p>
      <w:pPr>
        <w:spacing w:after="0" w:line="18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Total sales to the distributor Tech Data Corporation and its global affiliates (“Tech Data”) accounted for 26% of Autodesk’s total net revenue for both the three months ended April 30, 2015 and 2014. The majority of the net revenue from sales to Tech Data relates to Autodesk’s Platform Solutions and Emerging Business (“PSEB”) segment and is for sales made outside of the United States. In addition, Tech Data accounted for 21% and 22% of trade accounts receivable at April 30, 2015 and January 31, 2015, respectively.</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584"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4</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Financial Instruments</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April 30, 2015 and January 31, 2015:</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April 30, 2015</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2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7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7"/>
              </w:rPr>
              <w:t>losses</w:t>
            </w: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6"/>
                <w:szCs w:val="16"/>
                <w:color w:val="auto"/>
              </w:rPr>
              <w:t>Certificates of deposit</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300.8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300.8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300.8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Custody cash deposit</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6"/>
                <w:szCs w:val="16"/>
                <w:color w:val="auto"/>
              </w:rPr>
              <w:t>Commercial paper</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174.1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174.1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174.1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Corporate bonds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6"/>
                <w:szCs w:val="16"/>
                <w:color w:val="auto"/>
              </w:rPr>
              <w:t>Money market funds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Sovereign debt</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available-for-sale</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620"/>
              <w:spacing w:after="0"/>
              <w:rPr>
                <w:sz w:val="20"/>
                <w:szCs w:val="20"/>
                <w:color w:val="auto"/>
              </w:rPr>
            </w:pPr>
            <w:r>
              <w:rPr>
                <w:rFonts w:ascii="Arial" w:cs="Arial" w:eastAsia="Arial" w:hAnsi="Arial"/>
                <w:sz w:val="16"/>
                <w:szCs w:val="16"/>
                <w:color w:val="auto"/>
              </w:rPr>
              <w:t>U.S. government agency bonds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620"/>
              <w:spacing w:after="0"/>
              <w:rPr>
                <w:sz w:val="20"/>
                <w:szCs w:val="20"/>
                <w:color w:val="auto"/>
              </w:rPr>
            </w:pPr>
            <w:r>
              <w:rPr>
                <w:rFonts w:ascii="Arial" w:cs="Arial" w:eastAsia="Arial" w:hAnsi="Arial"/>
                <w:sz w:val="16"/>
                <w:szCs w:val="16"/>
                <w:color w:val="auto"/>
              </w:rPr>
              <w:t>Municipal bonds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Certificates of deposit</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620"/>
              <w:spacing w:after="0"/>
              <w:rPr>
                <w:sz w:val="20"/>
                <w:szCs w:val="20"/>
                <w:color w:val="auto"/>
              </w:rPr>
            </w:pPr>
            <w:r>
              <w:rPr>
                <w:rFonts w:ascii="Arial" w:cs="Arial" w:eastAsia="Arial" w:hAnsi="Arial"/>
                <w:sz w:val="16"/>
                <w:szCs w:val="16"/>
                <w:color w:val="auto"/>
              </w:rPr>
              <w:t>Commercial paper</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229.3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229.3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229.3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U.S. treasury bills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6"/>
                <w:szCs w:val="16"/>
                <w:color w:val="auto"/>
              </w:rPr>
              <w:t>Short-term trading securities</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Mutual funds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6"/>
                <w:szCs w:val="16"/>
                <w:color w:val="auto"/>
              </w:rPr>
              <w:t>Long-term available-for-sale</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U.S. government agency bonds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620"/>
              <w:spacing w:after="0"/>
              <w:rPr>
                <w:sz w:val="20"/>
                <w:szCs w:val="20"/>
                <w:color w:val="auto"/>
              </w:rPr>
            </w:pPr>
            <w:r>
              <w:rPr>
                <w:rFonts w:ascii="Arial" w:cs="Arial" w:eastAsia="Arial" w:hAnsi="Arial"/>
                <w:sz w:val="16"/>
                <w:szCs w:val="16"/>
                <w:color w:val="auto"/>
              </w:rPr>
              <w:t>Corporate debt securities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266.5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267.0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267.0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Municipal bonds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620"/>
              <w:spacing w:after="0"/>
              <w:rPr>
                <w:sz w:val="20"/>
                <w:szCs w:val="20"/>
                <w:color w:val="auto"/>
              </w:rPr>
            </w:pPr>
            <w:r>
              <w:rPr>
                <w:rFonts w:ascii="Arial" w:cs="Arial" w:eastAsia="Arial" w:hAnsi="Arial"/>
                <w:sz w:val="16"/>
                <w:szCs w:val="16"/>
                <w:color w:val="auto"/>
              </w:rPr>
              <w:t>U.S. treasury bills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Sovereign debt</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Convertible debt securities (2)</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contracts (3)</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44"/>
        </w:trPr>
        <w:tc>
          <w:tcPr>
            <w:tcW w:w="3900" w:type="dxa"/>
            <w:vAlign w:val="bottom"/>
          </w:tcPr>
          <w:p>
            <w:pPr>
              <w:ind w:left="62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1,643.0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1,652.7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1,165.4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469.5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Considered “available-for-sale” and 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Included in “Prepaid expenses and other current assets,” “Other assets,” or “Other accrued liabilities” in the accompanying Condensed Consolidated Balance Sheets.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84"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January 31, 2015</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3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2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Gross unrealized</w:t>
            </w:r>
          </w:p>
        </w:tc>
        <w:tc>
          <w:tcPr>
            <w:tcW w:w="12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Gross unrealized</w:t>
            </w:r>
          </w:p>
        </w:tc>
        <w:tc>
          <w:tcPr>
            <w:tcW w:w="120" w:type="dxa"/>
            <w:vAlign w:val="bottom"/>
          </w:tcPr>
          <w:p>
            <w:pPr>
              <w:spacing w:after="0"/>
              <w:rPr>
                <w:sz w:val="13"/>
                <w:szCs w:val="13"/>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3"/>
                <w:szCs w:val="13"/>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3"/>
                <w:szCs w:val="13"/>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3"/>
                <w:szCs w:val="13"/>
                <w:color w:val="auto"/>
              </w:rPr>
            </w:pPr>
          </w:p>
        </w:tc>
        <w:tc>
          <w:tcPr>
            <w:tcW w:w="7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gains</w:t>
            </w:r>
          </w:p>
        </w:tc>
        <w:tc>
          <w:tcPr>
            <w:tcW w:w="260" w:type="dxa"/>
            <w:vAlign w:val="bottom"/>
          </w:tcPr>
          <w:p>
            <w:pPr>
              <w:spacing w:after="0"/>
              <w:rPr>
                <w:sz w:val="16"/>
                <w:szCs w:val="16"/>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77"/>
              </w:rPr>
              <w:t>losses</w:t>
            </w: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Certificates of deposit</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258.6</w:t>
            </w:r>
          </w:p>
        </w:tc>
        <w:tc>
          <w:tcPr>
            <w:tcW w:w="140" w:type="dxa"/>
            <w:vAlign w:val="bottom"/>
          </w:tcPr>
          <w:p>
            <w:pPr>
              <w:spacing w:after="0"/>
              <w:rPr>
                <w:sz w:val="20"/>
                <w:szCs w:val="20"/>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258.6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258.6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Custody cash deposit</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Commercial paper</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161.0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161.0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Corporate bond</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Money market funds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127.3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127.3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Short-term available-for-sale</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Agency bond</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6"/>
                <w:szCs w:val="16"/>
                <w:color w:val="auto"/>
              </w:rPr>
              <w:t>Corporate debt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148.0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148.0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Municipal bond</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6"/>
                <w:szCs w:val="16"/>
                <w:color w:val="auto"/>
              </w:rPr>
              <w:t>Certificates of deposit</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101.9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paper</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Short-term trading securities</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Mutual funds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260"/>
              <w:spacing w:after="0"/>
              <w:rPr>
                <w:sz w:val="20"/>
                <w:szCs w:val="20"/>
                <w:color w:val="auto"/>
              </w:rPr>
            </w:pPr>
            <w:r>
              <w:rPr>
                <w:rFonts w:ascii="Arial" w:cs="Arial" w:eastAsia="Arial" w:hAnsi="Arial"/>
                <w:sz w:val="16"/>
                <w:szCs w:val="16"/>
                <w:color w:val="auto"/>
              </w:rPr>
              <w:t>Long-term available-for-sale</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Agency bond</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6"/>
                <w:szCs w:val="16"/>
                <w:color w:val="auto"/>
              </w:rPr>
              <w:t>Corporate debt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199.4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199.8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199.8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Municipal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6"/>
                <w:szCs w:val="16"/>
                <w:color w:val="auto"/>
              </w:rPr>
              <w:t>U.S. government agency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Convertible debt securities (2)</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Derivative contracts (3)</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1,592.6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1,609.8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Considered “available-for-sale” and 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Included in “Prepaid expenses and other current assets,” “Other assets,” or “Other accrued liabilities” in the accompanying Condensed Consolidated Balance Sheets.</w:t>
      </w:r>
    </w:p>
    <w:p>
      <w:pPr>
        <w:spacing w:after="0" w:line="214"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Marketable securities with remaining maturities of up to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60"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Autodesk applies fair value accounting for certain financial assets and liabilities, which consist of cash equivalents, marketable securities and other financial instruments,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There have been no transfers between fair value measurement levels during the three months ended April 30, 2015.</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022" w:right="259" w:bottom="1440" w:gutter="0" w:footer="0" w:header="0"/>
        </w:sectPr>
      </w:pPr>
    </w:p>
    <w:bookmarkStart w:id="10" w:name="page11"/>
    <w:bookmarkEnd w:id="10"/>
    <w:p>
      <w:pPr>
        <w:ind w:firstLine="405"/>
        <w:spacing w:after="0" w:line="255" w:lineRule="auto"/>
        <w:rPr>
          <w:sz w:val="20"/>
          <w:szCs w:val="20"/>
          <w:color w:val="auto"/>
        </w:rPr>
      </w:pPr>
      <w:r>
        <w:rPr>
          <w:rFonts w:ascii="Arial" w:cs="Arial" w:eastAsia="Arial" w:hAnsi="Arial"/>
          <w:sz w:val="18"/>
          <w:szCs w:val="18"/>
          <w:color w:val="auto"/>
        </w:rPr>
        <w:t>Autodesk's cash equivalents, marketable securities and financial instruments are primarily classified within Level 1 or Level 2 of the fair value hierarchy. Autodesk values its available-for-sale securities on pricing from pricing vendors, who may use quoted prices in active markets for identical assets (Level 1) or inputs other than quoted prices that are observable either directly or indirectly in determining fair value (Level 2). Autodesk's Level 2 securities are valued primarily using observable inputs other than quoted prices in active markets for identical assets and liabilities. Autodesk's Level 3 securities consist of investments held in convertible debt securities and derivative contracts which are valued using probability weighted discounted cash flow models as some of the inputs to the models are unobservable in the market.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change in Autodesk’s Level 3 items for the three months ended April 30, 2015 was as follows:</w:t>
      </w:r>
    </w:p>
    <w:p>
      <w:pPr>
        <w:spacing w:after="0" w:line="379"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13335</wp:posOffset>
            </wp:positionV>
            <wp:extent cx="25984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9"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23495</wp:posOffset>
            </wp:positionV>
            <wp:extent cx="2598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Derivative</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Convertible Debt</w:t>
            </w:r>
          </w:p>
        </w:tc>
        <w:tc>
          <w:tcPr>
            <w:tcW w:w="280" w:type="dxa"/>
            <w:vAlign w:val="bottom"/>
          </w:tcPr>
          <w:p>
            <w:pPr>
              <w:spacing w:after="0"/>
              <w:rPr>
                <w:sz w:val="14"/>
                <w:szCs w:val="14"/>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Contracts</w:t>
            </w: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31, 2015</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Purchases</w:t>
            </w:r>
          </w:p>
        </w:tc>
        <w:tc>
          <w:tcPr>
            <w:tcW w:w="20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Settlements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Gains included in earnings</w:t>
            </w:r>
          </w:p>
        </w:tc>
        <w:tc>
          <w:tcPr>
            <w:tcW w:w="20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Gains included in OCI</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4"/>
        </w:trPr>
        <w:tc>
          <w:tcPr>
            <w:tcW w:w="7440" w:type="dxa"/>
            <w:vAlign w:val="bottom"/>
          </w:tcPr>
          <w:p>
            <w:pPr>
              <w:ind w:left="40"/>
              <w:spacing w:after="0"/>
              <w:rPr>
                <w:sz w:val="20"/>
                <w:szCs w:val="20"/>
                <w:color w:val="auto"/>
              </w:rPr>
            </w:pPr>
            <w:r>
              <w:rPr>
                <w:rFonts w:ascii="Arial" w:cs="Arial" w:eastAsia="Arial" w:hAnsi="Arial"/>
                <w:sz w:val="16"/>
                <w:szCs w:val="16"/>
                <w:color w:val="auto"/>
              </w:rPr>
              <w:t>Balance at April 30, 2015</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 summarizes the estimated fair value of Autodesk's “available-for-sale securities” classified by the contractual maturity date of the security: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 2015</w:t>
            </w:r>
          </w:p>
        </w:tc>
        <w:tc>
          <w:tcPr>
            <w:tcW w:w="1060" w:type="dxa"/>
            <w:vAlign w:val="bottom"/>
            <w:tcBorders>
              <w:bottom w:val="single" w:sz="8" w:color="auto"/>
            </w:tcBorders>
          </w:tcPr>
          <w:p>
            <w:pPr>
              <w:spacing w:after="0"/>
              <w:rPr>
                <w:sz w:val="16"/>
                <w:szCs w:val="16"/>
                <w:color w:val="auto"/>
              </w:rPr>
            </w:pPr>
          </w:p>
        </w:tc>
      </w:tr>
      <w:tr>
        <w:trPr>
          <w:trHeight w:val="264"/>
        </w:trPr>
        <w:tc>
          <w:tcPr>
            <w:tcW w:w="8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Cost</w:t>
            </w:r>
          </w:p>
        </w:tc>
        <w:tc>
          <w:tcPr>
            <w:tcW w:w="380" w:type="dxa"/>
            <w:vAlign w:val="bottom"/>
          </w:tcPr>
          <w:p>
            <w:pPr>
              <w:spacing w:after="0"/>
              <w:rPr>
                <w:sz w:val="22"/>
                <w:szCs w:val="22"/>
                <w:color w:val="auto"/>
              </w:rPr>
            </w:pPr>
          </w:p>
        </w:tc>
        <w:tc>
          <w:tcPr>
            <w:tcW w:w="1060" w:type="dxa"/>
            <w:vAlign w:val="bottom"/>
          </w:tcPr>
          <w:p>
            <w:pPr>
              <w:jc w:val="right"/>
              <w:ind w:right="321"/>
              <w:spacing w:after="0"/>
              <w:rPr>
                <w:sz w:val="20"/>
                <w:szCs w:val="20"/>
                <w:color w:val="auto"/>
              </w:rPr>
            </w:pPr>
            <w:r>
              <w:rPr>
                <w:rFonts w:ascii="Arial" w:cs="Arial" w:eastAsia="Arial" w:hAnsi="Arial"/>
                <w:sz w:val="14"/>
                <w:szCs w:val="14"/>
                <w:b w:val="1"/>
                <w:bCs w:val="1"/>
                <w:color w:val="auto"/>
                <w:w w:val="95"/>
              </w:rPr>
              <w:t>Fair Value</w:t>
            </w:r>
          </w:p>
        </w:tc>
      </w:tr>
      <w:tr>
        <w:trPr>
          <w:trHeight w:val="236"/>
        </w:trPr>
        <w:tc>
          <w:tcPr>
            <w:tcW w:w="8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within 1 year</w:t>
            </w: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603.7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603.7</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Due in 1 year through 5 years</w:t>
            </w:r>
          </w:p>
        </w:tc>
        <w:tc>
          <w:tcPr>
            <w:tcW w:w="360" w:type="dxa"/>
            <w:vAlign w:val="bottom"/>
          </w:tcPr>
          <w:p>
            <w:pPr>
              <w:spacing w:after="0"/>
              <w:rPr>
                <w:sz w:val="20"/>
                <w:szCs w:val="20"/>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450.2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451.9</w:t>
            </w:r>
          </w:p>
        </w:tc>
      </w:tr>
      <w:tr>
        <w:trPr>
          <w:trHeight w:val="33"/>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1,053.9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1,055.6</w:t>
            </w:r>
          </w:p>
        </w:tc>
      </w:tr>
      <w:tr>
        <w:trPr>
          <w:trHeight w:val="20"/>
        </w:trPr>
        <w:tc>
          <w:tcPr>
            <w:tcW w:w="8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As of April 30, 2015 and January 31, 2015, Autodesk did not have any securities in a continuous unrealized loss position for greater than twelve months.</w:t>
      </w:r>
    </w:p>
    <w:p>
      <w:pPr>
        <w:spacing w:after="0" w:line="17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As of April 30, 2015 and January 31, 2015, Autodesk had $52.4 million and $52.6 million, respectively, in direct investments of privately held companies accounted for under the cost method, which are periodically assessed for other-than-temporary impairment. If Autodesk determines that an other-than-temporary impairment has occurred, Autodesk writes down the investment to its fair value. Autodesk estimates fair value of its cost method investments considering available information such as pricing in recent rounds of financing, current cash positions, earnings and cash flow forecasts, recent operational performance and any other readily available market data. During the three months ended April 30, 2015, Autodesk recorded $0.2 million in other-than-temporary impairments on its privately held equity investments. During the three months ended April 30, 2014, Autodesk recorded no other-than-temporary impairments on its privately held equity investments.</w:t>
      </w:r>
    </w:p>
    <w:p>
      <w:pPr>
        <w:spacing w:after="0" w:line="270"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sales or redemptions of “available-for-sale securities” during the three months ended April 30, 2015 and 2014 resulted in a loss of $0.1 million and a gain of $0.4 million, respectively. Gains and losses resulting from the sale or redemption of "available-for-sale securities" are recorded in “Interest and other income (expense), net” on the Company's Condensed Consolidated Statement of Operations.</w:t>
      </w:r>
    </w:p>
    <w:p>
      <w:pPr>
        <w:spacing w:after="0" w:line="181"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Proceeds from the sale and maturity of marketable securities for the three months ended April 30, 2015 and 2014 were $289.9 million and $222.3 million, respectively.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Under its risk management strategy, Autodesk uses derivative instruments to manage its short-term exposures to fluctuations in foreign currency exchange rates which exist as part of ongoing business operations. Autodesk's general practice is to hedge a portion of transaction exposures denominated in euros, Japanese yen, Swiss francs, British pounds, Canadian dollars and Australian dollars. These instruments have maturities between one and twelve months in the future. Autodesk does not enter into derivative instrument transactions for trading or speculative purposes.</w:t>
      </w:r>
    </w:p>
    <w:p>
      <w:pPr>
        <w:spacing w:after="0" w:line="171"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Foreign currency contracts designated as cash flow hedges</w:t>
      </w:r>
    </w:p>
    <w:p>
      <w:pPr>
        <w:spacing w:after="0" w:line="229"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Autodesk uses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loss” to “Interest and other income (expense), net” in the Company's Condensed Consolidated Financial Statements at that time.</w:t>
      </w:r>
    </w:p>
    <w:p>
      <w:pPr>
        <w:spacing w:after="0" w:line="17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net notional amounts of these contracts are presented net settled and were $360.1 million at April 30, 2015 and $336.6 million at January 31, 2015. Outstanding contracts are recognized as either assets or liabilities on the balance sheet at fair value. The majority of the net gain of $37.4 million remaining in “Accumulated other comprehensive loss” as of April 30, 2015 is expected to be recognized into earnings within the next twelve months.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29"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Autodesk uses foreign currency contracts which are not designated as hedging instruments to reduce the exchange rate risk associated primarily with foreign currency denominated receivables and payables. These forward contracts are marked-to-market at the end of each fiscal quarter with gains and losses recognized as “Interest and other income (expense),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net notional amounts of these foreign currency contracts are presented net settled and were $7.7 million at April 30, 2015 and $44.6 million at January 31, 2015.</w:t>
      </w:r>
    </w:p>
    <w:p>
      <w:pPr>
        <w:spacing w:after="0" w:line="178"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“Other assets.” Changes in the fair values of these instruments are recognized in income as “Interest and other income (expense), net.”</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584" w:right="279" w:bottom="1440" w:gutter="0" w:footer="0" w:header="0"/>
        </w:sectPr>
      </w:pPr>
    </w:p>
    <w:bookmarkStart w:id="12" w:name="page13"/>
    <w:bookmarkEnd w:id="12"/>
    <w:p>
      <w:pPr>
        <w:ind w:left="26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fair values of derivative instruments in Autodesk’s Condensed Consolidated Balance Sheets were as follows as of April 30, 2015 and January 31, 2015:</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264"/>
        </w:trPr>
        <w:tc>
          <w:tcPr>
            <w:tcW w:w="5940" w:type="dxa"/>
            <w:vAlign w:val="bottom"/>
          </w:tcPr>
          <w:p>
            <w:pPr>
              <w:spacing w:after="0"/>
              <w:rPr>
                <w:sz w:val="22"/>
                <w:szCs w:val="22"/>
                <w:color w:val="auto"/>
              </w:rPr>
            </w:pPr>
          </w:p>
        </w:tc>
        <w:tc>
          <w:tcPr>
            <w:tcW w:w="2640" w:type="dxa"/>
            <w:vAlign w:val="bottom"/>
            <w:gridSpan w:val="2"/>
          </w:tcPr>
          <w:p>
            <w:pPr>
              <w:ind w:left="540"/>
              <w:spacing w:after="0"/>
              <w:rPr>
                <w:sz w:val="20"/>
                <w:szCs w:val="20"/>
                <w:color w:val="auto"/>
              </w:rPr>
            </w:pPr>
            <w:r>
              <w:rPr>
                <w:rFonts w:ascii="Arial" w:cs="Arial" w:eastAsia="Arial" w:hAnsi="Arial"/>
                <w:sz w:val="14"/>
                <w:szCs w:val="14"/>
                <w:b w:val="1"/>
                <w:bCs w:val="1"/>
                <w:color w:val="auto"/>
              </w:rPr>
              <w:t>Balance Sheet Location</w:t>
            </w:r>
          </w:p>
        </w:tc>
        <w:tc>
          <w:tcPr>
            <w:tcW w:w="140" w:type="dxa"/>
            <w:vAlign w:val="bottom"/>
          </w:tcPr>
          <w:p>
            <w:pPr>
              <w:spacing w:after="0"/>
              <w:rPr>
                <w:sz w:val="22"/>
                <w:szCs w:val="22"/>
                <w:color w:val="auto"/>
              </w:rPr>
            </w:pPr>
          </w:p>
        </w:tc>
        <w:tc>
          <w:tcPr>
            <w:tcW w:w="1120" w:type="dxa"/>
            <w:vAlign w:val="bottom"/>
          </w:tcPr>
          <w:p>
            <w:pPr>
              <w:jc w:val="right"/>
              <w:ind w:right="121"/>
              <w:spacing w:after="0"/>
              <w:rPr>
                <w:sz w:val="20"/>
                <w:szCs w:val="20"/>
                <w:color w:val="auto"/>
              </w:rPr>
            </w:pPr>
            <w:r>
              <w:rPr>
                <w:rFonts w:ascii="Arial" w:cs="Arial" w:eastAsia="Arial" w:hAnsi="Arial"/>
                <w:sz w:val="14"/>
                <w:szCs w:val="14"/>
                <w:b w:val="1"/>
                <w:bCs w:val="1"/>
                <w:color w:val="auto"/>
                <w:w w:val="99"/>
              </w:rPr>
              <w:t>April 30, 2015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2015</w:t>
            </w:r>
          </w:p>
        </w:tc>
        <w:tc>
          <w:tcPr>
            <w:tcW w:w="0" w:type="dxa"/>
            <w:vAlign w:val="bottom"/>
          </w:tcPr>
          <w:p>
            <w:pPr>
              <w:spacing w:after="0"/>
              <w:rPr>
                <w:sz w:val="1"/>
                <w:szCs w:val="1"/>
                <w:color w:val="auto"/>
              </w:rPr>
            </w:pPr>
          </w:p>
        </w:tc>
      </w:tr>
      <w:tr>
        <w:trPr>
          <w:trHeight w:val="250"/>
        </w:trPr>
        <w:tc>
          <w:tcPr>
            <w:tcW w:w="5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Assets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940" w:type="dxa"/>
            <w:vAlign w:val="bottom"/>
          </w:tcPr>
          <w:p>
            <w:pPr>
              <w:ind w:left="360"/>
              <w:spacing w:after="0"/>
              <w:rPr>
                <w:sz w:val="20"/>
                <w:szCs w:val="20"/>
                <w:color w:val="auto"/>
              </w:rPr>
            </w:pPr>
            <w:r>
              <w:rPr>
                <w:rFonts w:ascii="Arial" w:cs="Arial" w:eastAsia="Arial" w:hAnsi="Arial"/>
                <w:sz w:val="16"/>
                <w:szCs w:val="16"/>
                <w:color w:val="auto"/>
              </w:rPr>
              <w:t>Foreign currency contracts designated as cash flow hedges</w:t>
            </w:r>
          </w:p>
        </w:tc>
        <w:tc>
          <w:tcPr>
            <w:tcW w:w="2640" w:type="dxa"/>
            <w:vAlign w:val="bottom"/>
            <w:gridSpan w:val="2"/>
          </w:tcPr>
          <w:p>
            <w:pPr>
              <w:ind w:left="20"/>
              <w:spacing w:after="0"/>
              <w:rPr>
                <w:sz w:val="20"/>
                <w:szCs w:val="20"/>
                <w:color w:val="auto"/>
              </w:rPr>
            </w:pPr>
            <w:r>
              <w:rPr>
                <w:rFonts w:ascii="Arial" w:cs="Arial" w:eastAsia="Arial" w:hAnsi="Arial"/>
                <w:sz w:val="16"/>
                <w:szCs w:val="16"/>
                <w:color w:val="auto"/>
              </w:rPr>
              <w:t>Prepaid expenses and other current</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940" w:type="dxa"/>
            <w:vAlign w:val="bottom"/>
          </w:tcPr>
          <w:p>
            <w:pPr>
              <w:spacing w:after="0"/>
              <w:rPr>
                <w:sz w:val="17"/>
                <w:szCs w:val="17"/>
                <w:color w:val="auto"/>
              </w:rPr>
            </w:pPr>
          </w:p>
        </w:tc>
        <w:tc>
          <w:tcPr>
            <w:tcW w:w="2640" w:type="dxa"/>
            <w:vAlign w:val="bottom"/>
            <w:gridSpan w:val="2"/>
          </w:tcPr>
          <w:p>
            <w:pPr>
              <w:ind w:left="180"/>
              <w:spacing w:after="0"/>
              <w:rPr>
                <w:sz w:val="20"/>
                <w:szCs w:val="20"/>
                <w:color w:val="auto"/>
              </w:rPr>
            </w:pPr>
            <w:r>
              <w:rPr>
                <w:rFonts w:ascii="Arial" w:cs="Arial" w:eastAsia="Arial" w:hAnsi="Arial"/>
                <w:sz w:val="16"/>
                <w:szCs w:val="16"/>
                <w:color w:val="auto"/>
              </w:rPr>
              <w:t>assets (1)</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9.1</w:t>
            </w:r>
          </w:p>
        </w:tc>
        <w:tc>
          <w:tcPr>
            <w:tcW w:w="26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9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assets and Other assets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84"/>
        </w:trPr>
        <w:tc>
          <w:tcPr>
            <w:tcW w:w="594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derivative assets</w:t>
            </w:r>
          </w:p>
        </w:tc>
        <w:tc>
          <w:tcPr>
            <w:tcW w:w="25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37"/>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Liabilities</w:t>
            </w:r>
          </w:p>
        </w:tc>
        <w:tc>
          <w:tcPr>
            <w:tcW w:w="2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380"/>
              <w:spacing w:after="0"/>
              <w:rPr>
                <w:sz w:val="20"/>
                <w:szCs w:val="20"/>
                <w:color w:val="auto"/>
              </w:rPr>
            </w:pPr>
            <w:r>
              <w:rPr>
                <w:rFonts w:ascii="Arial" w:cs="Arial" w:eastAsia="Arial" w:hAnsi="Arial"/>
                <w:sz w:val="16"/>
                <w:szCs w:val="16"/>
                <w:color w:val="auto"/>
              </w:rPr>
              <w:t>Foreign currency contracts designated as cash flow hedges</w:t>
            </w:r>
          </w:p>
        </w:tc>
        <w:tc>
          <w:tcPr>
            <w:tcW w:w="2640" w:type="dxa"/>
            <w:vAlign w:val="bottom"/>
            <w:gridSpan w:val="2"/>
          </w:tcPr>
          <w:p>
            <w:pPr>
              <w:ind w:left="20"/>
              <w:spacing w:after="0"/>
              <w:rPr>
                <w:sz w:val="20"/>
                <w:szCs w:val="20"/>
                <w:color w:val="auto"/>
              </w:rPr>
            </w:pPr>
            <w:r>
              <w:rPr>
                <w:rFonts w:ascii="Arial" w:cs="Arial" w:eastAsia="Arial" w:hAnsi="Arial"/>
                <w:sz w:val="16"/>
                <w:szCs w:val="16"/>
                <w:color w:val="auto"/>
              </w:rPr>
              <w:t>Other accrued liabilities (2)</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4.8</w:t>
            </w:r>
          </w:p>
        </w:tc>
        <w:tc>
          <w:tcPr>
            <w:tcW w:w="26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5940" w:type="dxa"/>
            <w:vAlign w:val="bottom"/>
          </w:tcPr>
          <w:p>
            <w:pPr>
              <w:ind w:left="720"/>
              <w:spacing w:after="0"/>
              <w:rPr>
                <w:sz w:val="20"/>
                <w:szCs w:val="20"/>
                <w:color w:val="auto"/>
              </w:rPr>
            </w:pPr>
            <w:r>
              <w:rPr>
                <w:rFonts w:ascii="Arial" w:cs="Arial" w:eastAsia="Arial" w:hAnsi="Arial"/>
                <w:sz w:val="16"/>
                <w:szCs w:val="16"/>
                <w:color w:val="auto"/>
              </w:rPr>
              <w:t>Total derivative liabilities</w:t>
            </w:r>
          </w:p>
        </w:tc>
        <w:tc>
          <w:tcPr>
            <w:tcW w:w="2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vMerge w:val="continue"/>
          </w:tcPr>
          <w:p>
            <w:pPr>
              <w:spacing w:after="0"/>
              <w:rPr>
                <w:sz w:val="17"/>
                <w:szCs w:val="17"/>
                <w:color w:val="auto"/>
              </w:rPr>
            </w:pPr>
          </w:p>
        </w:tc>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line="251"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Considering Autodesk's master netting arrangements, these contracts are presented net settled. The gross balance is $13.0 million and $23.8 million at April 30, 2015 and January 31, 2015, respectively.</w:t>
      </w:r>
    </w:p>
    <w:p>
      <w:pPr>
        <w:ind w:left="420" w:right="160" w:hanging="412"/>
        <w:spacing w:after="0" w:line="276"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6"/>
          <w:szCs w:val="16"/>
          <w:color w:val="auto"/>
        </w:rPr>
        <w:t>Considering Autodesk's master netting arrangements, these contracts are presented net settled. The gross balance is $8.6 million and $8.7 million at April 30, 2015 and January 31, 2015, respectively.</w:t>
      </w:r>
    </w:p>
    <w:p>
      <w:pPr>
        <w:spacing w:after="0" w:line="17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Condensed Consolidated Statements of Operations were as follows for the three months ended April 30, 2015 and 2014 (amounts presented include any income tax effects):</w:t>
      </w:r>
    </w:p>
    <w:p>
      <w:pPr>
        <w:spacing w:after="0" w:line="324" w:lineRule="exact"/>
        <w:rPr>
          <w:sz w:val="20"/>
          <w:szCs w:val="20"/>
          <w:color w:val="auto"/>
        </w:rPr>
      </w:pPr>
    </w:p>
    <w:p>
      <w:pPr>
        <w:ind w:left="9540"/>
        <w:spacing w:after="0"/>
        <w:rPr>
          <w:sz w:val="20"/>
          <w:szCs w:val="20"/>
          <w:color w:val="auto"/>
        </w:rPr>
      </w:pPr>
      <w:r>
        <w:rPr>
          <w:rFonts w:ascii="Arial" w:cs="Arial" w:eastAsia="Arial" w:hAnsi="Arial"/>
          <w:sz w:val="14"/>
          <w:szCs w:val="14"/>
          <w:b w:val="1"/>
          <w:bCs w:val="1"/>
          <w:color w:val="auto"/>
        </w:rPr>
        <w:t>Foreign Currency</w:t>
      </w:r>
    </w:p>
    <w:p>
      <w:pPr>
        <w:spacing w:after="0" w:line="4" w:lineRule="exact"/>
        <w:rPr>
          <w:sz w:val="20"/>
          <w:szCs w:val="20"/>
          <w:color w:val="auto"/>
        </w:rPr>
      </w:pPr>
    </w:p>
    <w:p>
      <w:pPr>
        <w:ind w:left="9800"/>
        <w:spacing w:after="0"/>
        <w:rPr>
          <w:sz w:val="20"/>
          <w:szCs w:val="20"/>
          <w:color w:val="auto"/>
        </w:rPr>
      </w:pPr>
      <w:r>
        <w:rPr>
          <w:rFonts w:ascii="Arial" w:cs="Arial" w:eastAsia="Arial" w:hAnsi="Arial"/>
          <w:sz w:val="14"/>
          <w:szCs w:val="14"/>
          <w:b w:val="1"/>
          <w:bCs w:val="1"/>
          <w:color w:val="auto"/>
        </w:rPr>
        <w:t>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13335</wp:posOffset>
            </wp:positionV>
            <wp:extent cx="1663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9"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23495</wp:posOffset>
            </wp:positionV>
            <wp:extent cx="1663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 w:type="dxa"/>
            <w:vAlign w:val="bottom"/>
            <w:tcBorders>
              <w:bottom w:val="single" w:sz="8" w:color="CCEEFF"/>
            </w:tcBorders>
          </w:tcPr>
          <w:p>
            <w:pPr>
              <w:spacing w:after="0"/>
              <w:rPr>
                <w:sz w:val="16"/>
                <w:szCs w:val="16"/>
                <w:color w:val="auto"/>
              </w:rPr>
            </w:pPr>
          </w:p>
        </w:tc>
        <w:tc>
          <w:tcPr>
            <w:tcW w:w="8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61"/>
        </w:trPr>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w w:val="87"/>
                <w:shd w:val="clear" w:color="auto" w:fill="CCEEFF"/>
              </w:rPr>
              <w:t>Amount o</w:t>
            </w:r>
          </w:p>
        </w:tc>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i w:val="1"/>
                <w:iCs w:val="1"/>
                <w:color w:val="auto"/>
              </w:rPr>
              <w:t xml:space="preserve">f gain (loss) recognized </w:t>
            </w:r>
            <w:r>
              <w:rPr>
                <w:rFonts w:ascii="Arial" w:cs="Arial" w:eastAsia="Arial" w:hAnsi="Arial"/>
                <w:sz w:val="16"/>
                <w:szCs w:val="16"/>
                <w:i w:val="1"/>
                <w:iCs w:val="1"/>
                <w:color w:val="auto"/>
                <w:shd w:val="clear" w:color="auto" w:fill="CCEEFF"/>
              </w:rPr>
              <w:t>in accumulated other comprehensive income on derivatives (effective portion)</w:t>
            </w:r>
          </w:p>
        </w:tc>
        <w:tc>
          <w:tcPr>
            <w:tcW w:w="840" w:type="dxa"/>
            <w:vAlign w:val="bottom"/>
            <w:tcBorders>
              <w:bottom w:val="single" w:sz="8" w:color="CCEEFF"/>
            </w:tcBorders>
            <w:shd w:val="clear" w:color="auto" w:fill="CCEEFF"/>
          </w:tcPr>
          <w:p>
            <w:pPr>
              <w:jc w:val="right"/>
              <w:ind w:right="64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i w:val="1"/>
                <w:iCs w:val="1"/>
                <w:color w:val="auto"/>
              </w:rPr>
              <w:t>Amount and location of gain reclassified from accumulated other comprehensive income into income (effective portion)</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78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8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Net revenue</w:t>
            </w:r>
          </w:p>
        </w:tc>
        <w:tc>
          <w:tcPr>
            <w:tcW w:w="840" w:type="dxa"/>
            <w:vAlign w:val="bottom"/>
            <w:tcBorders>
              <w:bottom w:val="single" w:sz="8" w:color="CCEEFF"/>
            </w:tcBorders>
            <w:shd w:val="clear" w:color="auto" w:fill="CCEEFF"/>
          </w:tcPr>
          <w:p>
            <w:pPr>
              <w:jc w:val="right"/>
              <w:ind w:right="64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8780" w:type="dxa"/>
            <w:vAlign w:val="bottom"/>
            <w:gridSpan w:val="2"/>
          </w:tcPr>
          <w:p>
            <w:pPr>
              <w:ind w:left="380"/>
              <w:spacing w:after="0"/>
              <w:rPr>
                <w:sz w:val="20"/>
                <w:szCs w:val="20"/>
                <w:color w:val="auto"/>
              </w:rPr>
            </w:pPr>
            <w:r>
              <w:rPr>
                <w:rFonts w:ascii="Arial" w:cs="Arial" w:eastAsia="Arial" w:hAnsi="Arial"/>
                <w:sz w:val="16"/>
                <w:szCs w:val="16"/>
                <w:color w:val="auto"/>
              </w:rPr>
              <w:t>Operating expenses</w:t>
            </w:r>
          </w:p>
        </w:tc>
        <w:tc>
          <w:tcPr>
            <w:tcW w:w="8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3"/>
        </w:trPr>
        <w:tc>
          <w:tcPr>
            <w:tcW w:w="660" w:type="dxa"/>
            <w:vAlign w:val="bottom"/>
            <w:tcBorders>
              <w:bottom w:val="single" w:sz="8" w:color="CCEEFF"/>
            </w:tcBorders>
          </w:tcPr>
          <w:p>
            <w:pPr>
              <w:spacing w:after="0"/>
              <w:rPr>
                <w:sz w:val="2"/>
                <w:szCs w:val="2"/>
                <w:color w:val="auto"/>
              </w:rPr>
            </w:pPr>
          </w:p>
        </w:tc>
        <w:tc>
          <w:tcPr>
            <w:tcW w:w="8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tcBorders>
              <w:bottom w:val="single" w:sz="8" w:color="CCEEFF"/>
            </w:tcBorders>
            <w:shd w:val="clear" w:color="auto" w:fill="CCEEFF"/>
          </w:tcPr>
          <w:p>
            <w:pPr>
              <w:spacing w:after="0"/>
              <w:rPr>
                <w:sz w:val="21"/>
                <w:szCs w:val="21"/>
                <w:color w:val="auto"/>
              </w:rPr>
            </w:pPr>
          </w:p>
        </w:tc>
        <w:tc>
          <w:tcPr>
            <w:tcW w:w="81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Total</w:t>
            </w:r>
          </w:p>
        </w:tc>
        <w:tc>
          <w:tcPr>
            <w:tcW w:w="84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w w:val="94"/>
              </w:rPr>
              <w:t>Amount and location of gain (loss) recognized in income on derivatives (ineffective portion and amount excluded from effectiveness</w:t>
            </w: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780" w:type="dxa"/>
            <w:vAlign w:val="bottom"/>
            <w:gridSpan w:val="2"/>
            <w:vMerge w:val="continue"/>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780" w:type="dxa"/>
            <w:vAlign w:val="bottom"/>
            <w:gridSpan w:val="2"/>
          </w:tcPr>
          <w:p>
            <w:pPr>
              <w:ind w:left="200"/>
              <w:spacing w:after="0"/>
              <w:rPr>
                <w:sz w:val="20"/>
                <w:szCs w:val="20"/>
                <w:color w:val="auto"/>
              </w:rPr>
            </w:pPr>
            <w:r>
              <w:rPr>
                <w:rFonts w:ascii="Arial" w:cs="Arial" w:eastAsia="Arial" w:hAnsi="Arial"/>
                <w:sz w:val="16"/>
                <w:szCs w:val="16"/>
                <w:i w:val="1"/>
                <w:iCs w:val="1"/>
                <w:color w:val="auto"/>
              </w:rPr>
              <w:t>testing)</w:t>
            </w: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8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Interest and other income (expense), net</w:t>
            </w:r>
          </w:p>
        </w:tc>
        <w:tc>
          <w:tcPr>
            <w:tcW w:w="84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effects of derivatives not designated as hedging instruments on Autodesk’s Condensed Consolidated Statements of Operations were as follows for the three months ended April 30, 2015 and 2014 (amounts presented include any income tax effects):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263"/>
              <w:spacing w:after="0"/>
              <w:rPr>
                <w:sz w:val="20"/>
                <w:szCs w:val="20"/>
                <w:color w:val="auto"/>
              </w:rPr>
            </w:pPr>
            <w:r>
              <w:rPr>
                <w:rFonts w:ascii="Arial" w:cs="Arial" w:eastAsia="Arial" w:hAnsi="Arial"/>
                <w:sz w:val="14"/>
                <w:szCs w:val="14"/>
                <w:b w:val="1"/>
                <w:bCs w:val="1"/>
                <w:color w:val="auto"/>
              </w:rPr>
              <w:t>Three Months Ended April 30,</w:t>
            </w:r>
          </w:p>
        </w:tc>
      </w:tr>
      <w:tr>
        <w:trPr>
          <w:trHeight w:val="264"/>
        </w:trPr>
        <w:tc>
          <w:tcPr>
            <w:tcW w:w="5560" w:type="dxa"/>
            <w:vAlign w:val="bottom"/>
            <w:tcBorders>
              <w:bottom w:val="single" w:sz="8" w:color="CCEEFF"/>
            </w:tcBorders>
          </w:tcPr>
          <w:p>
            <w:pPr>
              <w:spacing w:after="0"/>
              <w:rPr>
                <w:sz w:val="22"/>
                <w:szCs w:val="22"/>
                <w:color w:val="auto"/>
              </w:rPr>
            </w:pPr>
          </w:p>
        </w:tc>
        <w:tc>
          <w:tcPr>
            <w:tcW w:w="3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2014</w:t>
            </w: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Amount and location of gain (loss) recognized in income on derivatives (1)</w:t>
            </w:r>
          </w:p>
        </w:tc>
        <w:tc>
          <w:tcPr>
            <w:tcW w:w="3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5560" w:type="dxa"/>
            <w:vAlign w:val="bottom"/>
          </w:tcPr>
          <w:p>
            <w:pPr>
              <w:ind w:left="380"/>
              <w:spacing w:after="0"/>
              <w:rPr>
                <w:sz w:val="20"/>
                <w:szCs w:val="20"/>
                <w:color w:val="auto"/>
              </w:rPr>
            </w:pPr>
            <w:r>
              <w:rPr>
                <w:rFonts w:ascii="Arial" w:cs="Arial" w:eastAsia="Arial" w:hAnsi="Arial"/>
                <w:sz w:val="16"/>
                <w:szCs w:val="16"/>
                <w:color w:val="auto"/>
              </w:rPr>
              <w:t>Interest and other income (expense), net</w:t>
            </w:r>
          </w:p>
        </w:tc>
        <w:tc>
          <w:tcPr>
            <w:tcW w:w="3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39"/>
        </w:trPr>
        <w:tc>
          <w:tcPr>
            <w:tcW w:w="5560" w:type="dxa"/>
            <w:vAlign w:val="bottom"/>
          </w:tcPr>
          <w:p>
            <w:pPr>
              <w:spacing w:after="0"/>
              <w:rPr>
                <w:sz w:val="20"/>
                <w:szCs w:val="20"/>
                <w:color w:val="auto"/>
              </w:rPr>
            </w:pPr>
            <w:r>
              <w:rPr>
                <w:rFonts w:ascii="Arial" w:cs="Arial" w:eastAsia="Arial" w:hAnsi="Arial"/>
                <w:sz w:val="18"/>
                <w:szCs w:val="18"/>
                <w:color w:val="auto"/>
              </w:rPr>
              <w:t>____________________</w:t>
            </w:r>
          </w:p>
        </w:tc>
        <w:tc>
          <w:tcPr>
            <w:tcW w:w="3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06"/>
        </w:trPr>
        <w:tc>
          <w:tcPr>
            <w:tcW w:w="5560" w:type="dxa"/>
            <w:vAlign w:val="bottom"/>
          </w:tcPr>
          <w:p>
            <w:pPr>
              <w:spacing w:after="0"/>
              <w:rPr>
                <w:sz w:val="20"/>
                <w:szCs w:val="20"/>
                <w:color w:val="auto"/>
              </w:rPr>
            </w:pPr>
            <w:r>
              <w:rPr>
                <w:rFonts w:ascii="Arial" w:cs="Arial" w:eastAsia="Arial" w:hAnsi="Arial"/>
                <w:sz w:val="16"/>
                <w:szCs w:val="16"/>
                <w:color w:val="auto"/>
                <w:w w:val="92"/>
              </w:rPr>
              <w:t>(1) Prior period balance has been adjusted to conform to current period presentation.</w:t>
            </w:r>
          </w:p>
        </w:tc>
        <w:tc>
          <w:tcPr>
            <w:tcW w:w="3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41"/>
        </w:trPr>
        <w:tc>
          <w:tcPr>
            <w:tcW w:w="5560" w:type="dxa"/>
            <w:vAlign w:val="bottom"/>
          </w:tcPr>
          <w:p>
            <w:pPr>
              <w:spacing w:after="0"/>
              <w:rPr>
                <w:sz w:val="24"/>
                <w:szCs w:val="24"/>
                <w:color w:val="auto"/>
              </w:rPr>
            </w:pPr>
          </w:p>
        </w:tc>
        <w:tc>
          <w:tcPr>
            <w:tcW w:w="3220" w:type="dxa"/>
            <w:vAlign w:val="bottom"/>
          </w:tcPr>
          <w:p>
            <w:pPr>
              <w:jc w:val="right"/>
              <w:ind w:right="2894"/>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00"/>
          </w:cols>
          <w:pgMar w:left="240" w:top="580"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5. Stock-based Compensation Expense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Plans</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As of April 30, 2015, Autodesk maintained two active stock plans for the purpose of granting equity awards to employees and to non-employee members of Autodesk’s Board of Directors: the 2012 Employee Stock Plan (“2012 Employee Plan”), which is available only to employees, and the Autodesk 2012 Outside Directors’ Plan (“2012 Directors' Plan”), which is available only to non-employee directors. Additionally, there are three expired or terminated plans with options outstanding. The exercise price of all stock options granted under these plans was equal to the fair market value of the stock on the grant date.</w:t>
      </w:r>
    </w:p>
    <w:p>
      <w:pPr>
        <w:spacing w:after="0" w:line="188"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The 2012 Employee Plan was approved by Autodesk's stockholders and became effective on January 6, 2012. On January 14, 2014, Autodesk's stockholders approved amendments to the 2012 Employee Plan, which increased the number of shares reserved for issuance under the plan by 11.4 million shares and added additional performance goals to the plan. The 2012 Employee Plan replaced the 2008 Employee Stock Plan, as amended ("2008 Plan"), and no further equity awards may be granted under the 2008 Plan. The 2012 Employee Plan reserves up to 32.6 million shares which include 26.6 million shares reserved under the 2012 Employee Plan, as well as up to 6.0 million shares forfeited under certain prior employee stock plans during the life of the 2012 Employee Plan. The 2012 Employee Plan permits the grant of stock options, restricted stock units and restricted stock awards. Each restricted stock unit or restricted stock award granted will be counted against the shares authorized for issuance under the 2012 Employee Plan as 1.79 shares. If a granted option, restricted stock unit or restricted stock award expires or becomes unexercisable for any reason, the unpurchased or forfeited shares that were granted may be returned to the 2012 Employee Plan and may become available for future grant under the 2012 Employee Plan. As of April 30, 2015, 23.7 million shares subject to options or restricted stock unit awards have been granted under the 2012 Employee Plan. Options and restricted stock units that were granted under the 2012 Employee Plan vest over periods ranging from immediately upon grant to over a three-year period and options expire 10 years from the date of grant. The 2012 Employee Plan will expire on June 30, 2022. At April 30, 2015, 10.8 million shares were available for future issuance under the 2012 Employee Plan. At the annual meeting of stockholders to be held on June 10, 2015, Autodesk is requesting its stockholders approve an amendment to the 2012 Employee Plan to increase the number of shares reserved for issuance by 12.5 million shares.</w:t>
      </w:r>
    </w:p>
    <w:p>
      <w:pPr>
        <w:spacing w:after="0" w:line="172"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2012 Directors' Plan was approved by Autodesk's stockholders and became effective on January 6, 2012. The 2012 Directors' Plan replaced the 2010 Outside Directors' Stock Plan, as amended. The 2012 Directors' Plan permits the grant of stock options, restricted stock units and restricted stock awards to non-employee members of Autodesk’s Board of Directors. Each restricted stock unit or restricted stock award granted will be counted against the shares authorized for issuance under the 2012 Directors' Plan as 2.11 shares. As of April 30, 2015, 0.6 million shares subject to restricted stock units have been granted under the 2012 Directors' Plan. Restricted stock units that were granted under the 2012 Directors' Plan vest over one to three years from the date of grant. On March 12, 2015, the Board reduced the number of shares reserved for issuance under the 2012 Directors' Plan by 0.9 million shares, so that 1.7 million shares are now reserved for issuance under the 2012 Directors' Plan. The 2012 Directors' Plan will expire on June 30, 2022. At April 30, 2015, 1.2 million shares were available for future issuance under the 2012 Directors' Plan.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84" w:right="259" w:bottom="1440" w:gutter="0" w:footer="0" w:header="0"/>
        </w:sectPr>
      </w:pPr>
    </w:p>
    <w:bookmarkStart w:id="14" w:name="page15"/>
    <w:bookmarkEnd w:id="14"/>
    <w:p>
      <w:pPr>
        <w:ind w:left="440"/>
        <w:spacing w:after="0"/>
        <w:rPr>
          <w:sz w:val="20"/>
          <w:szCs w:val="20"/>
          <w:color w:val="auto"/>
        </w:rPr>
      </w:pPr>
      <w:r>
        <w:rPr>
          <w:rFonts w:ascii="Arial" w:cs="Arial" w:eastAsia="Arial" w:hAnsi="Arial"/>
          <w:sz w:val="18"/>
          <w:szCs w:val="18"/>
          <w:color w:val="auto"/>
        </w:rPr>
        <w:t>The following sections summarize activity under Autodesk’s stock plans.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stock option activity for the three months ended April 30, 2015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80" w:type="dxa"/>
            <w:vAlign w:val="bottom"/>
          </w:tcPr>
          <w:p>
            <w:pPr>
              <w:spacing w:after="0"/>
              <w:rPr>
                <w:sz w:val="14"/>
                <w:szCs w:val="14"/>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Weighted average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average remaining</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1"/>
              </w:rPr>
              <w:t>exercise price per share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22"/>
                <w:szCs w:val="22"/>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January 31, 2015</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w:t>
            </w:r>
          </w:p>
        </w:tc>
        <w:tc>
          <w:tcPr>
            <w:tcW w:w="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34.46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Granted (1)</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33.25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Canceled/Forfeited</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April 30, 2015</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2.2</w:t>
            </w:r>
          </w:p>
        </w:tc>
        <w:tc>
          <w:tcPr>
            <w:tcW w:w="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34.73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color w:val="auto"/>
              </w:rPr>
              <w:t>Options vested and exercisable at April 30, 2015</w:t>
            </w: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60" w:type="dxa"/>
            <w:vAlign w:val="bottom"/>
            <w:tcBorders>
              <w:bottom w:val="single" w:sz="8" w:color="CCEEFF"/>
            </w:tcBorders>
            <w:vMerge w:val="continue"/>
          </w:tcPr>
          <w:p>
            <w:pPr>
              <w:spacing w:after="0"/>
              <w:rPr>
                <w:sz w:val="24"/>
                <w:szCs w:val="24"/>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2.2</w:t>
            </w:r>
          </w:p>
        </w:tc>
        <w:tc>
          <w:tcPr>
            <w:tcW w:w="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34.77</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vested as of April 30, 2015 and expected to vest thereafter (2)</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2.2</w:t>
            </w:r>
          </w:p>
        </w:tc>
        <w:tc>
          <w:tcPr>
            <w:tcW w:w="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34.73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color w:val="auto"/>
              </w:rPr>
              <w:t>Options available for grant at April 30, 2015</w:t>
            </w: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60" w:type="dxa"/>
            <w:vAlign w:val="bottom"/>
            <w:vMerge w:val="continue"/>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12.0</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0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Autodesk did not grant stock options in the three months ended April 30, 2015.</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Options expected to vest reflect an estimated forfeiture rate.</w:t>
      </w:r>
    </w:p>
    <w:p>
      <w:pPr>
        <w:spacing w:after="0" w:line="5" w:lineRule="exact"/>
        <w:rPr>
          <w:rFonts w:ascii="Arial" w:cs="Arial" w:eastAsia="Arial" w:hAnsi="Arial"/>
          <w:sz w:val="16"/>
          <w:szCs w:val="16"/>
          <w:color w:val="auto"/>
        </w:rPr>
      </w:pPr>
    </w:p>
    <w:p>
      <w:pPr>
        <w:ind w:left="420" w:right="300" w:hanging="412"/>
        <w:spacing w:after="0" w:line="257" w:lineRule="auto"/>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$56.83 per share as of April 30, 2015, which would have been received by the option holders had all option holders exercised their options as of that date.</w:t>
      </w:r>
    </w:p>
    <w:p>
      <w:pPr>
        <w:spacing w:after="0" w:line="182"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As of April 30, 2015, compensation cost of $0.1 million related to non-vested options is expected to be recognized over a weighted average period of 0.3 years.</w:t>
      </w:r>
    </w:p>
    <w:p>
      <w:pPr>
        <w:spacing w:after="0" w:line="17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following table summarizes information about the pre-tax intrinsic value of options exercised and the weighted average grant date fair value per share of options granted during the three months ended April 30, 2015 and 2014:</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9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30, 2015</w:t>
            </w:r>
          </w:p>
        </w:tc>
        <w:tc>
          <w:tcPr>
            <w:tcW w:w="120" w:type="dxa"/>
            <w:vAlign w:val="bottom"/>
          </w:tcPr>
          <w:p>
            <w:pPr>
              <w:spacing w:after="0"/>
              <w:rPr>
                <w:sz w:val="22"/>
                <w:szCs w:val="22"/>
                <w:color w:val="auto"/>
              </w:rPr>
            </w:pPr>
          </w:p>
        </w:tc>
        <w:tc>
          <w:tcPr>
            <w:tcW w:w="1000" w:type="dxa"/>
            <w:vAlign w:val="bottom"/>
          </w:tcPr>
          <w:p>
            <w:pPr>
              <w:jc w:val="right"/>
              <w:ind w:right="42"/>
              <w:spacing w:after="0"/>
              <w:rPr>
                <w:sz w:val="20"/>
                <w:szCs w:val="20"/>
                <w:color w:val="auto"/>
              </w:rPr>
            </w:pPr>
            <w:r>
              <w:rPr>
                <w:rFonts w:ascii="Arial" w:cs="Arial" w:eastAsia="Arial" w:hAnsi="Arial"/>
                <w:sz w:val="14"/>
                <w:szCs w:val="14"/>
                <w:b w:val="1"/>
                <w:bCs w:val="1"/>
                <w:color w:val="auto"/>
                <w:w w:val="95"/>
              </w:rPr>
              <w:t>April 30, 2014</w:t>
            </w:r>
          </w:p>
        </w:tc>
      </w:tr>
      <w:tr>
        <w:trPr>
          <w:trHeight w:val="236"/>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Pre-tax intrinsic value of options exercised (1)</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22.8</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Weighted average grant date fair value per share of stock options granted (2)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49"/>
        </w:trPr>
        <w:tc>
          <w:tcPr>
            <w:tcW w:w="902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ind w:left="42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intrinsic value of options exercised is calculated as the difference between the exercise price of the option and the market value of the stock on the date of exercise.</w:t>
      </w:r>
    </w:p>
    <w:p>
      <w:pPr>
        <w:spacing w:after="0" w:line="32" w:lineRule="exact"/>
        <w:rPr>
          <w:rFonts w:ascii="Arial" w:cs="Arial" w:eastAsia="Arial" w:hAnsi="Arial"/>
          <w:sz w:val="14"/>
          <w:szCs w:val="14"/>
          <w:color w:val="auto"/>
        </w:rPr>
      </w:pPr>
    </w:p>
    <w:p>
      <w:pPr>
        <w:ind w:left="420" w:right="220" w:hanging="412"/>
        <w:spacing w:after="0" w:line="257" w:lineRule="auto"/>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weighted average grant date fair value per share of stock options granted is calculated, as of the stock option grant date, using the Black-Scholes Merton ("BSM") option pricing model. For the three months ended April 30, 2015 and 2014, Autodesk did not grant stock options.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ind w:left="440"/>
        <w:spacing w:after="0"/>
        <w:rPr>
          <w:sz w:val="20"/>
          <w:szCs w:val="20"/>
          <w:color w:val="auto"/>
        </w:rPr>
      </w:pPr>
      <w:r>
        <w:rPr>
          <w:rFonts w:ascii="Arial" w:cs="Arial" w:eastAsia="Arial" w:hAnsi="Arial"/>
          <w:sz w:val="18"/>
          <w:szCs w:val="18"/>
          <w:color w:val="auto"/>
        </w:rPr>
        <w:t>The following table summarizes information about options outstanding and exercisable at April 30, 2015:</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Options Vested and Exercisable</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3"/>
                <w:szCs w:val="13"/>
                <w:color w:val="auto"/>
              </w:rPr>
            </w:pPr>
          </w:p>
        </w:tc>
        <w:tc>
          <w:tcPr>
            <w:tcW w:w="960" w:type="dxa"/>
            <w:vAlign w:val="bottom"/>
            <w:vMerge w:val="restart"/>
          </w:tcPr>
          <w:p>
            <w:pPr>
              <w:jc w:val="center"/>
              <w:ind w:right="6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intrinsic</w:t>
            </w: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60" w:type="dxa"/>
            <w:vAlign w:val="bottom"/>
          </w:tcPr>
          <w:p>
            <w:pPr>
              <w:jc w:val="center"/>
              <w:ind w:right="86"/>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life</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exercise</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value (1)</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life</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exercise</w:t>
            </w:r>
          </w:p>
        </w:tc>
        <w:tc>
          <w:tcPr>
            <w:tcW w:w="140" w:type="dxa"/>
            <w:vAlign w:val="bottom"/>
          </w:tcPr>
          <w:p>
            <w:pPr>
              <w:spacing w:after="0"/>
              <w:rPr>
                <w:sz w:val="12"/>
                <w:szCs w:val="12"/>
                <w:color w:val="auto"/>
              </w:rPr>
            </w:pPr>
          </w:p>
        </w:tc>
        <w:tc>
          <w:tcPr>
            <w:tcW w:w="96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94"/>
              </w:rPr>
              <w:t>value (1)</w:t>
            </w:r>
          </w:p>
        </w:tc>
        <w:tc>
          <w:tcPr>
            <w:tcW w:w="0" w:type="dxa"/>
            <w:vAlign w:val="bottom"/>
          </w:tcPr>
          <w:p>
            <w:pPr>
              <w:spacing w:after="0"/>
              <w:rPr>
                <w:sz w:val="1"/>
                <w:szCs w:val="1"/>
                <w:color w:val="auto"/>
              </w:rPr>
            </w:pPr>
          </w:p>
        </w:tc>
      </w:tr>
      <w:tr>
        <w:trPr>
          <w:trHeight w:val="192"/>
        </w:trPr>
        <w:tc>
          <w:tcPr>
            <w:tcW w:w="18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price</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price</w:t>
            </w:r>
          </w:p>
        </w:tc>
        <w:tc>
          <w:tcPr>
            <w:tcW w:w="140" w:type="dxa"/>
            <w:vAlign w:val="bottom"/>
          </w:tcPr>
          <w:p>
            <w:pPr>
              <w:spacing w:after="0"/>
              <w:rPr>
                <w:sz w:val="16"/>
                <w:szCs w:val="16"/>
                <w:color w:val="auto"/>
              </w:rPr>
            </w:pPr>
          </w:p>
        </w:tc>
        <w:tc>
          <w:tcPr>
            <w:tcW w:w="960" w:type="dxa"/>
            <w:vAlign w:val="bottom"/>
          </w:tcPr>
          <w:p>
            <w:pPr>
              <w:jc w:val="center"/>
              <w:ind w:right="66"/>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06"/>
        </w:trPr>
        <w:tc>
          <w:tcPr>
            <w:tcW w:w="1820" w:type="dxa"/>
            <w:vAlign w:val="bottom"/>
            <w:tcBorders>
              <w:top w:val="single" w:sz="8" w:color="CCEEFF"/>
            </w:tcBorders>
            <w:shd w:val="clear" w:color="auto" w:fill="CCEEFF"/>
          </w:tcPr>
          <w:p>
            <w:pPr>
              <w:jc w:val="right"/>
              <w:ind w:right="477"/>
              <w:spacing w:after="0"/>
              <w:rPr>
                <w:sz w:val="20"/>
                <w:szCs w:val="20"/>
                <w:color w:val="auto"/>
              </w:rPr>
            </w:pPr>
            <w:r>
              <w:rPr>
                <w:rFonts w:ascii="Arial" w:cs="Arial" w:eastAsia="Arial" w:hAnsi="Arial"/>
                <w:sz w:val="16"/>
                <w:szCs w:val="16"/>
                <w:color w:val="auto"/>
                <w:w w:val="89"/>
              </w:rPr>
              <w:t>Range of per-share</w:t>
            </w: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2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6"/>
                <w:szCs w:val="16"/>
                <w:color w:val="auto"/>
              </w:rPr>
              <w:t>exercise prices:</w:t>
            </w: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20" w:type="dxa"/>
            <w:vAlign w:val="bottom"/>
          </w:tcPr>
          <w:p>
            <w:pPr>
              <w:jc w:val="right"/>
              <w:ind w:right="317"/>
              <w:spacing w:after="0"/>
              <w:rPr>
                <w:sz w:val="20"/>
                <w:szCs w:val="20"/>
                <w:color w:val="auto"/>
              </w:rPr>
            </w:pPr>
            <w:r>
              <w:rPr>
                <w:rFonts w:ascii="Arial" w:cs="Arial" w:eastAsia="Arial" w:hAnsi="Arial"/>
                <w:sz w:val="16"/>
                <w:szCs w:val="16"/>
                <w:color w:val="auto"/>
              </w:rPr>
              <w:t>$12.31 - $29.49</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23.83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23.91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6"/>
                <w:szCs w:val="16"/>
                <w:color w:val="auto"/>
              </w:rPr>
              <w:t>$29.50 - $41.62</w:t>
            </w: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39.36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39.35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20" w:type="dxa"/>
            <w:vAlign w:val="bottom"/>
          </w:tcPr>
          <w:p>
            <w:pPr>
              <w:jc w:val="right"/>
              <w:ind w:right="317"/>
              <w:spacing w:after="0"/>
              <w:rPr>
                <w:sz w:val="20"/>
                <w:szCs w:val="20"/>
                <w:color w:val="auto"/>
              </w:rPr>
            </w:pPr>
            <w:r>
              <w:rPr>
                <w:rFonts w:ascii="Arial" w:cs="Arial" w:eastAsia="Arial" w:hAnsi="Arial"/>
                <w:sz w:val="16"/>
                <w:szCs w:val="16"/>
                <w:color w:val="auto"/>
              </w:rPr>
              <w:t>$42.39 - $43.81</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43.79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43.79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2.2</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34.77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34.73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20"/>
        </w:trPr>
        <w:tc>
          <w:tcPr>
            <w:tcW w:w="1820" w:type="dxa"/>
            <w:vAlign w:val="bottom"/>
            <w:vMerge w:val="restart"/>
          </w:tcPr>
          <w:p>
            <w:pPr>
              <w:jc w:val="right"/>
              <w:ind w:right="337"/>
              <w:spacing w:after="0"/>
              <w:rPr>
                <w:sz w:val="20"/>
                <w:szCs w:val="20"/>
                <w:color w:val="auto"/>
              </w:rPr>
            </w:pPr>
            <w:r>
              <w:rPr>
                <w:rFonts w:ascii="Arial" w:cs="Arial" w:eastAsia="Arial" w:hAnsi="Arial"/>
                <w:sz w:val="18"/>
                <w:szCs w:val="18"/>
                <w:color w:val="auto"/>
                <w:w w:val="91"/>
              </w:rPr>
              <w:t>_______________</w:t>
            </w: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260" w:hanging="412"/>
        <w:spacing w:after="0" w:line="263"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$56.83 per share as of April 30, 2015, which would have been received by the option holders had all option holders exercised their options as of that date.</w:t>
      </w:r>
    </w:p>
    <w:p>
      <w:pPr>
        <w:sectPr>
          <w:pgSz w:w="11900" w:h="16838" w:orient="portrait"/>
          <w:cols w:equalWidth="0" w:num="1">
            <w:col w:w="11380"/>
          </w:cols>
          <w:pgMar w:left="240" w:top="584" w:right="279" w:bottom="1440" w:gutter="0" w:footer="0" w:header="0"/>
        </w:sectPr>
      </w:pPr>
    </w:p>
    <w:p>
      <w:pPr>
        <w:spacing w:after="0" w:line="17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These options will expire if not exercised at specific dates ranging through September 2022.</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summary of restricted stock unit activity for the three months ended April 30, 2015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818515</wp:posOffset>
            </wp:positionV>
            <wp:extent cx="716915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January 31, 2015</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915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Canceled/Forfeited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915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Performance Adjustment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April 30,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Unvested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2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49"/>
        </w:trPr>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3"/>
              </w:rPr>
              <w:t>date fair value</w:t>
            </w:r>
          </w:p>
        </w:tc>
        <w:tc>
          <w:tcPr>
            <w:tcW w:w="0" w:type="dxa"/>
            <w:vAlign w:val="bottom"/>
          </w:tcPr>
          <w:p>
            <w:pPr>
              <w:spacing w:after="0"/>
              <w:rPr>
                <w:sz w:val="1"/>
                <w:szCs w:val="1"/>
                <w:color w:val="auto"/>
              </w:rPr>
            </w:pPr>
          </w:p>
        </w:tc>
      </w:tr>
      <w:tr>
        <w:trPr>
          <w:trHeight w:val="192"/>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Stock Units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44"/>
        </w:trPr>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480" w:type="dxa"/>
            <w:vAlign w:val="bottom"/>
          </w:tcPr>
          <w:p>
            <w:pPr>
              <w:jc w:val="right"/>
              <w:ind w:right="43"/>
              <w:spacing w:after="0"/>
              <w:rPr>
                <w:sz w:val="20"/>
                <w:szCs w:val="20"/>
                <w:color w:val="auto"/>
              </w:rPr>
            </w:pPr>
            <w:r>
              <w:rPr>
                <w:rFonts w:ascii="Arial" w:cs="Arial" w:eastAsia="Arial" w:hAnsi="Arial"/>
                <w:sz w:val="16"/>
                <w:szCs w:val="16"/>
                <w:color w:val="auto"/>
              </w:rPr>
              <w:t>7,801.3</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48.46</w:t>
            </w:r>
          </w:p>
        </w:tc>
        <w:tc>
          <w:tcPr>
            <w:tcW w:w="0" w:type="dxa"/>
            <w:vAlign w:val="bottom"/>
          </w:tcPr>
          <w:p>
            <w:pPr>
              <w:spacing w:after="0"/>
              <w:rPr>
                <w:sz w:val="1"/>
                <w:szCs w:val="1"/>
                <w:color w:val="auto"/>
              </w:rPr>
            </w:pPr>
          </w:p>
        </w:tc>
      </w:tr>
      <w:tr>
        <w:trPr>
          <w:trHeight w:val="270"/>
        </w:trPr>
        <w:tc>
          <w:tcPr>
            <w:tcW w:w="1480" w:type="dxa"/>
            <w:vAlign w:val="bottom"/>
          </w:tcPr>
          <w:p>
            <w:pPr>
              <w:jc w:val="right"/>
              <w:ind w:right="43"/>
              <w:spacing w:after="0"/>
              <w:rPr>
                <w:sz w:val="20"/>
                <w:szCs w:val="20"/>
                <w:color w:val="auto"/>
              </w:rPr>
            </w:pPr>
            <w:r>
              <w:rPr>
                <w:rFonts w:ascii="Arial" w:cs="Arial" w:eastAsia="Arial" w:hAnsi="Arial"/>
                <w:sz w:val="16"/>
                <w:szCs w:val="16"/>
                <w:color w:val="auto"/>
              </w:rPr>
              <w:t>912.3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60.96</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Arial" w:cs="Arial" w:eastAsia="Arial" w:hAnsi="Arial"/>
                <w:sz w:val="16"/>
                <w:szCs w:val="16"/>
                <w:color w:val="auto"/>
              </w:rPr>
              <w:t>(949.2)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45.43</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Arial" w:cs="Arial" w:eastAsia="Arial" w:hAnsi="Arial"/>
                <w:sz w:val="16"/>
                <w:szCs w:val="16"/>
                <w:color w:val="auto"/>
              </w:rPr>
              <w:t>(116.9)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46.34</w:t>
            </w:r>
          </w:p>
        </w:tc>
        <w:tc>
          <w:tcPr>
            <w:tcW w:w="0" w:type="dxa"/>
            <w:vAlign w:val="bottom"/>
          </w:tcPr>
          <w:p>
            <w:pPr>
              <w:spacing w:after="0"/>
              <w:rPr>
                <w:sz w:val="1"/>
                <w:szCs w:val="1"/>
                <w:color w:val="auto"/>
              </w:rPr>
            </w:pPr>
          </w:p>
        </w:tc>
      </w:tr>
      <w:tr>
        <w:trPr>
          <w:trHeight w:val="270"/>
        </w:trPr>
        <w:tc>
          <w:tcPr>
            <w:tcW w:w="1480" w:type="dxa"/>
            <w:vAlign w:val="bottom"/>
          </w:tcPr>
          <w:p>
            <w:pPr>
              <w:jc w:val="right"/>
              <w:ind w:right="43"/>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54.92</w:t>
            </w:r>
          </w:p>
        </w:tc>
        <w:tc>
          <w:tcPr>
            <w:tcW w:w="0" w:type="dxa"/>
            <w:vAlign w:val="bottom"/>
          </w:tcPr>
          <w:p>
            <w:pPr>
              <w:spacing w:after="0"/>
              <w:rPr>
                <w:sz w:val="1"/>
                <w:szCs w:val="1"/>
                <w:color w:val="auto"/>
              </w:rPr>
            </w:pPr>
          </w:p>
        </w:tc>
      </w:tr>
      <w:tr>
        <w:trPr>
          <w:trHeight w:val="33"/>
        </w:trPr>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480" w:type="dxa"/>
            <w:vAlign w:val="bottom"/>
          </w:tcPr>
          <w:p>
            <w:pPr>
              <w:jc w:val="right"/>
              <w:ind w:right="43"/>
              <w:spacing w:after="0"/>
              <w:rPr>
                <w:sz w:val="20"/>
                <w:szCs w:val="20"/>
                <w:color w:val="auto"/>
              </w:rPr>
            </w:pPr>
            <w:r>
              <w:rPr>
                <w:rFonts w:ascii="Arial" w:cs="Arial" w:eastAsia="Arial" w:hAnsi="Arial"/>
                <w:sz w:val="16"/>
                <w:szCs w:val="16"/>
                <w:color w:val="auto"/>
              </w:rPr>
              <w:t>7,682.1</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50.58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9436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7600" w:space="660"/>
            <w:col w:w="3120"/>
          </w:cols>
          <w:pgMar w:left="240" w:top="584" w:right="279"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-130175</wp:posOffset>
            </wp:positionV>
            <wp:extent cx="9436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3" w:lineRule="exact"/>
        <w:rPr>
          <w:sz w:val="20"/>
          <w:szCs w:val="20"/>
          <w:color w:val="auto"/>
        </w:rPr>
      </w:pPr>
    </w:p>
    <w:p>
      <w:pPr>
        <w:ind w:left="420" w:right="60" w:hanging="412"/>
        <w:spacing w:after="0" w:line="263" w:lineRule="auto"/>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Autodesk's financial results for fiscal 2016, 2015 and 2014 performance period. The performance stock units were earned at 113.8%, 65.8%, and 92.3% of the target award for granted in fiscal 2016, 2015 and 2014, respectively.</w:t>
      </w:r>
    </w:p>
    <w:p>
      <w:pPr>
        <w:spacing w:after="0" w:line="17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For the restricted stock units granted during the three months ended April 30, 2015 and 2014, the weighted average grant date fair value was $60.96 and $49.96, respectively. The grant date fair value of the shares vested during the three months ended April 30, 2015 and 2014 was $43.1 million and $29.4 million, respectively.</w:t>
      </w:r>
    </w:p>
    <w:p>
      <w:pPr>
        <w:spacing w:after="0" w:line="18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During the three months ended April 30, 2015, Autodesk granted 0.5 million restricted stock units. The restricted stock units vest over periods ranging from immediately upon grant to a pre-determined date that is typically within three years from the date of grant. Restricted stock units are not considered outstanding stock at the time of grant, as the holders of these units are not entitled to any of the rights of a stockholder, including voting rights. The fair value of the restricted stock units is primarily expensed ratably over the vesting period. Autodesk recorded stock-based compensation expense related to restricted stock units of $37.8 million and $22.9 million during the three months ended April 30, 2015 and 2014, respectively. As of April 30, 2015, total compensation cost not yet recognized of $236.9 million related to non-vested restricted stock units is expected to be recognized over a weighted average period of 1.7 years. At April 30, 2015, the number of restricted stock units granted but unvested was 6.8 million.</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584" w:right="279" w:bottom="1440" w:gutter="0" w:footer="0" w:header="0"/>
          <w:type w:val="continuous"/>
        </w:sectPr>
      </w:pPr>
    </w:p>
    <w:bookmarkStart w:id="16" w:name="page17"/>
    <w:bookmarkEnd w:id="16"/>
    <w:p>
      <w:pPr>
        <w:ind w:firstLine="405"/>
        <w:spacing w:after="0" w:line="279" w:lineRule="auto"/>
        <w:rPr>
          <w:sz w:val="20"/>
          <w:szCs w:val="20"/>
          <w:color w:val="auto"/>
        </w:rPr>
      </w:pPr>
      <w:r>
        <w:rPr>
          <w:rFonts w:ascii="Arial" w:cs="Arial" w:eastAsia="Arial" w:hAnsi="Arial"/>
          <w:sz w:val="17"/>
          <w:szCs w:val="17"/>
          <w:color w:val="auto"/>
        </w:rPr>
        <w:t>During the three months ended April 30, 2015, Autodesk granted 0.4 million performance restricted stock units (“PSUs”) for which the ultimate number of shares earned is determined based on the achievement of performance criteria at the end of the stated service and performance period. The performance criteria for these grants are based upon billings and subscriptions goals adopted by the Compensation and Human Resource Committee, as well as total stockholder return compared against the S&amp;P Computer Software Select Index (“Relative TSR”). Each PSU covers a three year period:</w:t>
      </w:r>
    </w:p>
    <w:p>
      <w:pPr>
        <w:spacing w:after="0" w:line="171" w:lineRule="exact"/>
        <w:rPr>
          <w:sz w:val="20"/>
          <w:szCs w:val="20"/>
          <w:color w:val="auto"/>
        </w:rPr>
      </w:pPr>
    </w:p>
    <w:p>
      <w:pPr>
        <w:ind w:left="660" w:right="3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one third of the PSUs may vest following year one, depending upon the achievement of the billings and subscriptions goals for year one as well as 1-year Relative TSR (covering year one).</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one third of the PSUs may vest following year two, depending upon the achievement of the billings and subscriptions goals for year two as well as 2-year Relative TSR (covering years one and two).</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one third of the PSUs may vest following year three, depending upon the achievement of the billings and subscriptions goals for year three as well as 3-year Relative TSR (covering years one, two and three).</w:t>
      </w:r>
    </w:p>
    <w:p>
      <w:pPr>
        <w:spacing w:after="0" w:line="17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PSUs are not considered outstanding stock at the time of grant, as the holders of these units are not entitled to any of the rights of a stockholder, including voting rights. Autodesk has determined the grant-date fair value for these awards using a Monte Carlo simulation model since the awards are subject to a market condition. The fair value of the PSUs is expensed using the accelerated attribution over the vesting period. Autodesk recorded stock-based compensation expense related to PSUs of$5.6 million for the three months ended April 30, 2015. Autodesk recorded stock-based compensation expense related to PSUs of $3.0 million during the three months ended April 30, 2014. As of April 30, 2015, total compensation cost not yet recognized of $23.1 million related to non-vested performance restricted stock units, is expected to be recognized over a weighted average period of 1.6 years. At April 30, 2015, the number of PSUs granted but not vested was 0.9 million.</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1998 Employee Qualified Stock Purchase Plan (“ESPP”)</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Under Autodesk’s ESPP, which was approved by stockholders in 1998, eligible employees may purchase shares of Autodesk’s common stock at their discretion using up to 15% of their eligible compensation subject to certain limitations, at no less than 85% of fair market value as defined in the ESPP. At April 30, 2015, a total of 39.6 million shares were available for future issuance. This amount automatically increases on the first trading day of each fiscal year by an amount equal to the lesser of 10.0 million shares or 2% of the total of (1) outstanding shares plus (2) any shares repurchased by Autodesk during the prior fiscal year. Under the ESPP, the Company issues shares on the first trading day following March 31 and September 30 of each fiscal year. The ESPP expires during fiscal 2018.</w:t>
      </w:r>
    </w:p>
    <w:p>
      <w:pPr>
        <w:spacing w:after="0" w:line="193"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Autodesk issued 1.1 million shares under the ESPP during the three months ended April 30, 2015, with an average price of $36.91 per share. During the three months ended April 30, 2014, Autodesk issued 1.1 million shares under the ESPP, at an average price of $33.66 per share. The weighted average grant date fair value of awards granted under the ESPP was $15.99 during the three months ended April 30, 2015, calculated as of the award grant date using the BSM option pricing model. The weighted average grant date fair value of awards granted under the ESPP during the three months ended April 30, 2014, calculated as of the award grant date using the BSM option pricing model, was $14.26 per share.</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84" w:right="259" w:bottom="1440" w:gutter="0" w:footer="0" w:header="0"/>
        </w:sectPr>
      </w:pPr>
    </w:p>
    <w:bookmarkStart w:id="17" w:name="page18"/>
    <w:bookmarkEnd w:id="17"/>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stock-based compensation expense for the three months ended April 30, 2015 and 2014, respectively,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96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 April</w:t>
            </w: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 Ended April</w:t>
            </w:r>
          </w:p>
        </w:tc>
      </w:tr>
      <w:tr>
        <w:trPr>
          <w:trHeight w:val="192"/>
        </w:trPr>
        <w:tc>
          <w:tcPr>
            <w:tcW w:w="76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30, 2015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30, 2014</w:t>
            </w:r>
          </w:p>
        </w:tc>
      </w:tr>
      <w:tr>
        <w:trPr>
          <w:trHeight w:val="23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license and other revenue</w:t>
            </w:r>
          </w:p>
        </w:tc>
        <w:tc>
          <w:tcPr>
            <w:tcW w:w="40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Cost of subscription</w:t>
            </w:r>
          </w:p>
        </w:tc>
        <w:tc>
          <w:tcPr>
            <w:tcW w:w="40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0.8</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40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10.9</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4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ESPP purchases</w:t>
            </w:r>
          </w:p>
        </w:tc>
        <w:tc>
          <w:tcPr>
            <w:tcW w:w="4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33.6</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4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ESPP purchases, net of tax</w:t>
            </w:r>
          </w:p>
        </w:tc>
        <w:tc>
          <w:tcPr>
            <w:tcW w:w="400" w:type="dxa"/>
            <w:vAlign w:val="bottom"/>
            <w:tcBorders>
              <w:top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24.4</w:t>
            </w:r>
          </w:p>
        </w:tc>
      </w:tr>
      <w:tr>
        <w:trPr>
          <w:trHeight w:val="33"/>
        </w:trPr>
        <w:tc>
          <w:tcPr>
            <w:tcW w:w="76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 Assumptions</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Autodesk determines the grant-date fair value of its share-based payment awards using a BSM option pricing model or the quoted stock price on the date of grant, unless the awards are subject to market conditions, in which case Autodesk uses a binomial-lattice model (e.g., Monte Carlo simulation model). The Monte Carlo simulation model utilizes multiple input variables to estimate the probability that market conditions will be achieved. Autodesk uses the following assumptions to estimate the fair value of stock-based awards: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Range of expected volatilities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Range of expected lives (in years)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dividends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Range of risk-free interest rates</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Three Months Ended April 30, 2015</w:t>
            </w:r>
          </w:p>
        </w:tc>
        <w:tc>
          <w:tcPr>
            <w:tcW w:w="120" w:type="dxa"/>
            <w:vAlign w:val="bottom"/>
          </w:tcPr>
          <w:p>
            <w:pPr>
              <w:spacing w:after="0"/>
              <w:rPr>
                <w:sz w:val="16"/>
                <w:szCs w:val="16"/>
                <w:color w:val="auto"/>
              </w:rPr>
            </w:pPr>
          </w:p>
        </w:tc>
        <w:tc>
          <w:tcPr>
            <w:tcW w:w="30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Three Months Ended April 30, 2014</w:t>
            </w:r>
          </w:p>
        </w:tc>
        <w:tc>
          <w:tcPr>
            <w:tcW w:w="0" w:type="dxa"/>
            <w:vAlign w:val="bottom"/>
          </w:tcPr>
          <w:p>
            <w:pPr>
              <w:spacing w:after="0"/>
              <w:rPr>
                <w:sz w:val="1"/>
                <w:szCs w:val="1"/>
                <w:color w:val="auto"/>
              </w:rPr>
            </w:pPr>
          </w:p>
        </w:tc>
      </w:tr>
      <w:tr>
        <w:trPr>
          <w:trHeight w:val="152"/>
        </w:trPr>
        <w:tc>
          <w:tcPr>
            <w:tcW w:w="120" w:type="dxa"/>
            <w:vAlign w:val="bottom"/>
          </w:tcPr>
          <w:p>
            <w:pPr>
              <w:spacing w:after="0"/>
              <w:rPr>
                <w:sz w:val="13"/>
                <w:szCs w:val="13"/>
                <w:color w:val="auto"/>
              </w:rPr>
            </w:pPr>
          </w:p>
        </w:tc>
        <w:tc>
          <w:tcPr>
            <w:tcW w:w="16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60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ESPP</w:t>
            </w:r>
          </w:p>
        </w:tc>
        <w:tc>
          <w:tcPr>
            <w:tcW w:w="15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4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ESPP</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Unit</w:t>
            </w:r>
          </w:p>
        </w:tc>
        <w:tc>
          <w:tcPr>
            <w:tcW w:w="1600" w:type="dxa"/>
            <w:vAlign w:val="bottom"/>
            <w:gridSpan w:val="2"/>
            <w:vMerge w:val="continue"/>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Unit</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27%</w:t>
            </w:r>
          </w:p>
        </w:tc>
        <w:tc>
          <w:tcPr>
            <w:tcW w:w="12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27.7 - 28.2%</w:t>
            </w:r>
          </w:p>
        </w:tc>
        <w:tc>
          <w:tcPr>
            <w:tcW w:w="12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30%</w:t>
            </w:r>
          </w:p>
        </w:tc>
        <w:tc>
          <w:tcPr>
            <w:tcW w:w="10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30 - 33%</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48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20" w:type="dxa"/>
            <w:vAlign w:val="bottom"/>
          </w:tcPr>
          <w:p>
            <w:pPr>
              <w:spacing w:after="0"/>
              <w:rPr>
                <w:sz w:val="23"/>
                <w:szCs w:val="2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48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0.2%</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0.1 - 0.6%</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0.1%</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0.1 - 0.4%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-664210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-321310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720"/>
            <w:col w:w="6380"/>
          </w:cols>
          <w:pgMar w:left="240" w:top="584" w:right="239" w:bottom="1440" w:gutter="0" w:footer="0" w:header="0"/>
          <w:type w:val="continuous"/>
        </w:sectPr>
      </w:pPr>
    </w:p>
    <w:p>
      <w:pPr>
        <w:spacing w:after="0" w:line="3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The first is a measure of historical volatility in the trading market for the Company’s common stock, and the second is the implied volatility of traded forward call options to purchase shares of the Company’s common stock. The expected volatility for PSUs subject to market conditions includes the expected volatility of Autodesk's peer companies within the S&amp;P Computer Software Select Index.</w:t>
      </w:r>
    </w:p>
    <w:p>
      <w:pPr>
        <w:spacing w:after="0" w:line="18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Autodesk estimates the expected life of stock-based awards using both exercise behavior and post-vesting termination behavior as well as consideration of outstanding options.</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Autodesk does not currently pay, and does not anticipate paying in the foreseeable future, any cash dividends. Consequently, an expected dividend yield of zero is used in the Black-Scholes-Merton option pricing model and the Monte Carlo simulation model.</w:t>
      </w:r>
    </w:p>
    <w:p>
      <w:pPr>
        <w:spacing w:after="0" w:line="17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risk-free interest rate used in the Black-Scholes-Merton option pricing model and the Monte Carlo simulation model for stock-based awards is the historical yield on U.S. Treasury securities with equivalent remaining lives.</w:t>
      </w:r>
    </w:p>
    <w:p>
      <w:pPr>
        <w:spacing w:after="0" w:line="17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Autodesk recognizes expense only for the stock-based awards that are ultimately expected to vest. Therefore, Autodesk has developed an estimate of the number of awards expected to cancel prior to vesting (“forfeiture rate”). The forfeiture rate is estimated based on historical pre-vest cancellation experience and is applied to all stock-based awards. The Company estimates forfeitures at the time of grant and revises those estimates in subsequent periods if actual forfeitures differ from those estimates.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6. Income Tax</w:t>
      </w:r>
    </w:p>
    <w:p>
      <w:pPr>
        <w:spacing w:after="0" w:line="225"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Autodesk’s effective tax rate was 12% during the three months ended April 30, 2015 compared to 21% during the three months ended April 30, 2014. Autodesk's effective tax rate decreased 9% during the three months ended April 30, 2015 as compared to the same period in the prior fiscal year primarily due to greater tax rate benefits from foreign earnings and state research credits, partially offset by tax rate detriments from accrual for uncertain tax positions and stock-based compensation expense. Excluding the impact of discrete tax items, the effective tax rate for the three months ended April 30, 2015 was 27%, and was lower than the Federal statutory tax rate of 35% primarily due to foreign income taxed at lower rates partially offset by the impact of non-deductible stock based compensation expense and accrual for uncertain tax positions.</w:t>
      </w:r>
    </w:p>
    <w:p>
      <w:pPr>
        <w:spacing w:after="0" w:line="178" w:lineRule="exact"/>
        <w:rPr>
          <w:sz w:val="20"/>
          <w:szCs w:val="20"/>
          <w:color w:val="auto"/>
        </w:rPr>
      </w:pPr>
    </w:p>
    <w:p>
      <w:pPr>
        <w:jc w:val="both"/>
        <w:ind w:right="200" w:firstLine="405"/>
        <w:spacing w:after="0" w:line="312" w:lineRule="auto"/>
        <w:rPr>
          <w:sz w:val="20"/>
          <w:szCs w:val="20"/>
          <w:color w:val="auto"/>
        </w:rPr>
      </w:pPr>
      <w:r>
        <w:rPr>
          <w:rFonts w:ascii="Arial" w:cs="Arial" w:eastAsia="Arial" w:hAnsi="Arial"/>
          <w:sz w:val="16"/>
          <w:szCs w:val="16"/>
          <w:color w:val="auto"/>
        </w:rPr>
        <w:t>As of April 30, 2015, the Company had $248.4 million of gross unrecognized tax benefits, excluding interest, of which approximately $230.0 million represents the amount of unrecognized tax benefits that would impact the effective tax rate, if recognized. It is possible that the amount of unrecognized tax benefits will change in the next twelve months; however, an estimate of the range of the possible change cannot be made at this time.</w:t>
      </w:r>
    </w:p>
    <w:p>
      <w:pPr>
        <w:spacing w:after="0" w:line="14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At April 30, 2015, Autodesk had net deferred tax assets of $188.0 million. The Company believes that it will generate sufficient future taxable income in appropriate tax jurisdictions to realize these assets.</w:t>
      </w:r>
    </w:p>
    <w:p>
      <w:pPr>
        <w:spacing w:after="0" w:line="170"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During the three months ended April 30, 2015, Autodesk completed several business combinations and technology acquisitions for total cash consideration of approximately $34.8 million. These business combinations and technology acquisitions were not material individually or in aggregate to Autodesk’s Condensed Consolidated Statement of Operations.</w:t>
      </w:r>
    </w:p>
    <w:p>
      <w:pPr>
        <w:spacing w:after="0" w:line="18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For acquisitions accounted for as business combinations, 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 The goodwill recorded is primarily attributable to synergies expected to arise after the acquisitions.</w:t>
      </w:r>
    </w:p>
    <w:p>
      <w:pPr>
        <w:spacing w:after="0" w:line="187" w:lineRule="exact"/>
        <w:rPr>
          <w:sz w:val="20"/>
          <w:szCs w:val="20"/>
          <w:color w:val="auto"/>
        </w:rPr>
      </w:pPr>
    </w:p>
    <w:p>
      <w:pPr>
        <w:ind w:right="840" w:firstLine="405"/>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the business combinations and technology acquisitions completed during the three months ended April 30, 2015: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April 30, 2015</w:t>
            </w:r>
          </w:p>
        </w:tc>
      </w:tr>
      <w:tr>
        <w:trPr>
          <w:trHeight w:val="236"/>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w:t>
            </w:r>
          </w:p>
        </w:tc>
        <w:tc>
          <w:tcPr>
            <w:tcW w:w="38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r>
      <w:tr>
        <w:trPr>
          <w:trHeight w:val="237"/>
        </w:trPr>
        <w:tc>
          <w:tcPr>
            <w:tcW w:w="10400" w:type="dxa"/>
            <w:vAlign w:val="bottom"/>
          </w:tcPr>
          <w:p>
            <w:pPr>
              <w:ind w:left="40"/>
              <w:spacing w:after="0"/>
              <w:rPr>
                <w:sz w:val="20"/>
                <w:szCs w:val="20"/>
                <w:color w:val="auto"/>
              </w:rPr>
            </w:pPr>
            <w:r>
              <w:rPr>
                <w:rFonts w:ascii="Arial" w:cs="Arial" w:eastAsia="Arial" w:hAnsi="Arial"/>
                <w:sz w:val="16"/>
                <w:szCs w:val="16"/>
                <w:color w:val="auto"/>
              </w:rPr>
              <w:t>Customer relationships and other non-current intangible assets</w:t>
            </w:r>
          </w:p>
        </w:tc>
        <w:tc>
          <w:tcPr>
            <w:tcW w:w="3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10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37"/>
        </w:trPr>
        <w:tc>
          <w:tcPr>
            <w:tcW w:w="10400" w:type="dxa"/>
            <w:vAlign w:val="bottom"/>
          </w:tcPr>
          <w:p>
            <w:pPr>
              <w:ind w:left="40"/>
              <w:spacing w:after="0"/>
              <w:rPr>
                <w:sz w:val="20"/>
                <w:szCs w:val="20"/>
                <w:color w:val="auto"/>
              </w:rPr>
            </w:pPr>
            <w:r>
              <w:rPr>
                <w:rFonts w:ascii="Arial" w:cs="Arial" w:eastAsia="Arial" w:hAnsi="Arial"/>
                <w:sz w:val="16"/>
                <w:szCs w:val="16"/>
                <w:color w:val="auto"/>
              </w:rPr>
              <w:t>Goodwill</w:t>
            </w:r>
          </w:p>
        </w:tc>
        <w:tc>
          <w:tcPr>
            <w:tcW w:w="3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21.0</w:t>
            </w:r>
          </w:p>
        </w:tc>
      </w:tr>
      <w:tr>
        <w:trPr>
          <w:trHeight w:val="33"/>
        </w:trPr>
        <w:tc>
          <w:tcPr>
            <w:tcW w:w="10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liability</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37"/>
        </w:trPr>
        <w:tc>
          <w:tcPr>
            <w:tcW w:w="10400" w:type="dxa"/>
            <w:vAlign w:val="bottom"/>
          </w:tcPr>
          <w:p>
            <w:pPr>
              <w:ind w:left="40"/>
              <w:spacing w:after="0"/>
              <w:rPr>
                <w:sz w:val="20"/>
                <w:szCs w:val="20"/>
                <w:color w:val="auto"/>
              </w:rPr>
            </w:pPr>
            <w:r>
              <w:rPr>
                <w:rFonts w:ascii="Arial" w:cs="Arial" w:eastAsia="Arial" w:hAnsi="Arial"/>
                <w:sz w:val="16"/>
                <w:szCs w:val="16"/>
                <w:color w:val="auto"/>
              </w:rPr>
              <w:t>Net tangible assets</w:t>
            </w:r>
          </w:p>
        </w:tc>
        <w:tc>
          <w:tcPr>
            <w:tcW w:w="3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0.5</w:t>
            </w:r>
          </w:p>
        </w:tc>
      </w:tr>
      <w:tr>
        <w:trPr>
          <w:trHeight w:val="33"/>
        </w:trPr>
        <w:tc>
          <w:tcPr>
            <w:tcW w:w="10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10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34.8</w:t>
            </w:r>
          </w:p>
        </w:tc>
      </w:tr>
      <w:tr>
        <w:trPr>
          <w:trHeight w:val="20"/>
        </w:trPr>
        <w:tc>
          <w:tcPr>
            <w:tcW w:w="10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For certain business combinations, the allocation of purchase price consideration to certain assets and liabilities is not yet finalized. For the items not yet finalized, Autodesk's estimates and assumptions are subject to change within the measurement period (up to one year from the acquisition date). The primary areas of the preliminary purchase price allocation that are not yet finalized are amounts for tax assets and liabilities, pending finalization of estimates and assumptions in respect of certain tax aspects of the transaction and residual goodwill.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8</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Other Intangible Assets, Net</w:t>
      </w:r>
    </w:p>
    <w:p>
      <w:pPr>
        <w:spacing w:after="0" w:line="225"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Other intangible assets including developed technologies, customer relationships, trade names, patents, user lists and the related accumulated amortization were as follows: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Developed technologies,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Customer relationships, trade names, patents, and user list, at cost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at cost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net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2015</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2015</w:t>
            </w:r>
          </w:p>
        </w:tc>
      </w:tr>
      <w:tr>
        <w:trPr>
          <w:trHeight w:val="223"/>
        </w:trPr>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550.2</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538.4</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350.6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348.9</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900.8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887.3</w:t>
            </w:r>
          </w:p>
        </w:tc>
      </w:tr>
      <w:tr>
        <w:trPr>
          <w:trHeight w:val="270"/>
        </w:trPr>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(737.4)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(715.4)</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163.4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171.9</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7620" w:space="720"/>
            <w:col w:w="3080"/>
          </w:cols>
          <w:pgMar w:left="240" w:top="584" w:right="239" w:bottom="1440" w:gutter="0" w:footer="0" w:header="0"/>
          <w:type w:val="continuous"/>
        </w:sectPr>
      </w:pPr>
    </w:p>
    <w:p>
      <w:pPr>
        <w:ind w:left="420" w:hanging="412"/>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Included in “Other assets”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the effects of foreign currency translation.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Goodwill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 in the carrying amount of goodwill by reporting unit during the three months ended April 30, 2015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Platform</w:t>
            </w:r>
          </w:p>
        </w:tc>
        <w:tc>
          <w:tcPr>
            <w:tcW w:w="18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Architecture,</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Solutions and</w:t>
            </w:r>
          </w:p>
        </w:tc>
        <w:tc>
          <w:tcPr>
            <w:tcW w:w="1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Engineering</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Media and</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Emerging</w:t>
            </w:r>
          </w:p>
        </w:tc>
        <w:tc>
          <w:tcPr>
            <w:tcW w:w="1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and</w:t>
            </w: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Manufacturing</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Delcam</w:t>
            </w:r>
          </w:p>
        </w:tc>
        <w:tc>
          <w:tcPr>
            <w:tcW w:w="280" w:type="dxa"/>
            <w:vAlign w:val="bottom"/>
          </w:tcPr>
          <w:p>
            <w:pPr>
              <w:spacing w:after="0"/>
              <w:rPr>
                <w:sz w:val="12"/>
                <w:szCs w:val="12"/>
                <w:color w:val="auto"/>
              </w:rPr>
            </w:pPr>
          </w:p>
        </w:tc>
        <w:tc>
          <w:tcPr>
            <w:tcW w:w="9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Business</w:t>
            </w:r>
          </w:p>
        </w:tc>
        <w:tc>
          <w:tcPr>
            <w:tcW w:w="18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Entertainment</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January 31, 2015</w:t>
            </w: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4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380"/>
              <w:spacing w:after="0"/>
              <w:rPr>
                <w:sz w:val="20"/>
                <w:szCs w:val="20"/>
                <w:color w:val="auto"/>
              </w:rPr>
            </w:pPr>
            <w:r>
              <w:rPr>
                <w:rFonts w:ascii="Arial" w:cs="Arial" w:eastAsia="Arial" w:hAnsi="Arial"/>
                <w:sz w:val="16"/>
                <w:szCs w:val="16"/>
                <w:color w:val="auto"/>
              </w:rPr>
              <w:t>Goodwill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327.5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427.0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422.7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245.2</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183.0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1,605.4</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327.5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427.0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422.7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183.0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1,456.2</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 arising from other acquisitions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20"/>
        </w:trPr>
        <w:tc>
          <w:tcPr>
            <w:tcW w:w="3440" w:type="dxa"/>
            <w:vAlign w:val="bottom"/>
          </w:tcPr>
          <w:p>
            <w:pPr>
              <w:ind w:left="380"/>
              <w:spacing w:after="0"/>
              <w:rPr>
                <w:sz w:val="20"/>
                <w:szCs w:val="20"/>
                <w:color w:val="auto"/>
              </w:rPr>
            </w:pPr>
            <w:r>
              <w:rPr>
                <w:rFonts w:ascii="Arial" w:cs="Arial" w:eastAsia="Arial" w:hAnsi="Arial"/>
                <w:sz w:val="16"/>
                <w:szCs w:val="16"/>
                <w:color w:val="auto"/>
              </w:rPr>
              <w:t>Effect of foreign currency translation,</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40" w:type="dxa"/>
            <w:vAlign w:val="bottom"/>
          </w:tcPr>
          <w:p>
            <w:pPr>
              <w:ind w:left="540"/>
              <w:spacing w:after="0"/>
              <w:rPr>
                <w:sz w:val="20"/>
                <w:szCs w:val="20"/>
                <w:color w:val="auto"/>
              </w:rPr>
            </w:pPr>
            <w:r>
              <w:rPr>
                <w:rFonts w:ascii="Arial" w:cs="Arial" w:eastAsia="Arial" w:hAnsi="Arial"/>
                <w:sz w:val="16"/>
                <w:szCs w:val="16"/>
                <w:color w:val="auto"/>
                <w:w w:val="91"/>
              </w:rPr>
              <w:t>purchase accounting adjustments, and other</w:t>
            </w:r>
          </w:p>
        </w:tc>
        <w:tc>
          <w:tcPr>
            <w:tcW w:w="160" w:type="dxa"/>
            <w:vAlign w:val="bottom"/>
          </w:tcPr>
          <w:p>
            <w:pPr>
              <w:spacing w:after="0"/>
              <w:rPr>
                <w:sz w:val="17"/>
                <w:szCs w:val="17"/>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April 30, 2015</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4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38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20"/>
                <w:szCs w:val="20"/>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336.6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430.0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422.4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255.5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180.8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1,625.3</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4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336.6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430.0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422.4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106.3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180.8</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1,476.1</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Goodwill consists of the excess of consideration transferred over the fair value of net assets acquired in business combinations. Autodesk assigns goodwill to the reporting unit associated with each business combination, and tests goodwill for impairment annually in its fourth fiscal quarter or more often if circumstances indicate a potential impairment. The company has established reporting units based upon its current reporting structure.</w:t>
      </w:r>
    </w:p>
    <w:p>
      <w:pPr>
        <w:spacing w:after="0" w:line="166"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When goodwill is assessed for impairment, Autodesk has the option to perform an assessment of qualitative factors of impairment (“optional assessment”) prior to necessitating a two-step quantitative impairment test. Should the optional assessment be used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two-step impairment test is unnecessary.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type w:val="continuous"/>
        </w:sectPr>
      </w:pPr>
    </w:p>
    <w:bookmarkStart w:id="20" w:name="page21"/>
    <w:bookmarkEnd w:id="20"/>
    <w:p>
      <w:pPr>
        <w:ind w:right="20" w:firstLine="405"/>
        <w:spacing w:after="0" w:line="289" w:lineRule="auto"/>
        <w:rPr>
          <w:sz w:val="20"/>
          <w:szCs w:val="20"/>
          <w:color w:val="auto"/>
        </w:rPr>
      </w:pPr>
      <w:r>
        <w:rPr>
          <w:rFonts w:ascii="Arial" w:cs="Arial" w:eastAsia="Arial" w:hAnsi="Arial"/>
          <w:sz w:val="16"/>
          <w:szCs w:val="16"/>
          <w:color w:val="auto"/>
        </w:rPr>
        <w:t>Therefore, the two-step quantitative impairment test is necessary when either Autodesk does not use the optional assessment or, as a result of the optional assessment, it is not more likely than not that the fair value of the reporting unit is greater than its carrying value. In performing the two-step impairment test, Autodesk uses discounted cash flow models which include assumptions regarding projected cash flows. Variances in these assumptions could have a significant impact on Autodesk's conclusion as to whether goodwill is impaired, or the amount of any impairment charge. Impairment charges, if any, result from instances where the fair values of net assets associated with goodwill are less than their carrying values. As changes in business conditions and assumptions occur, Autodesk may be required to record impairment charges.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significant slowdown in the worldwide economy or the industries Autodesk serves, or (iv) changes in Autodesk’s business strategy or internal financial results forecasts.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Deferred Compensation</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At April 30, 2015, Autodesk had marketable securities totaling $1,088.5 million, of which $44.5 million related to investments in debt and equity securities that are held in a rabbi trust under non-qualified deferred compensation plans. The total related deferred compensation liability was $44.5 million at April 30, 2015, of which $5.4 million was classified as current and $39.1 million was classified as non-current liabilities. The total related deferred compensation liability at January 31, 2015 was $40.3 million, of which $5.3 million was classified as current and $35.0 million was classified as non-current liabilities. The securities are recorded in the Condensed Consolidated Balance Sheets under the current portion of "Marketable securities". The current and non-current portions of the liability are recorded in the Condensed Consolidated Balance Sheets under “Accrued compensation” and “Other liabilities,”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Computer Equipment, Software, Furniture and Leasehold Improvements,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Computer equipment, software, furniture, leasehold improvements and the related accumulated depreciation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2015</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2015</w:t>
            </w:r>
          </w:p>
        </w:tc>
      </w:tr>
      <w:tr>
        <w:trPr>
          <w:trHeight w:val="236"/>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hardware, at cost</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Computer software, at cost</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86.6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84.9</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Leasehold improvements, land and buildings, at cost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Furniture and equipment, at cost</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53.0</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508.2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(349.0)</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software, hardware, leasehold improvements, furniture and equipment,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159.2</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Borrowing Arrangements</w:t>
      </w:r>
    </w:p>
    <w:p>
      <w:pPr>
        <w:spacing w:after="0" w:line="225"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In December 2012, Autodesk issued $400.0 million aggregate principal amount of 1.95% senior notes due December 15, 2017 and $350.0 million aggregate principal amount of 3.6% senior notes due December 15, 2022 (collectively, the “Senior Notes”). Autodesk received net proceeds of $739.3 million from issuance of the Senior Notes, net of a discount of $4.5 million and issuance costs of $6.1 million. Both the discount and issuance costs are being amortized to interest expense over the respective terms of the Senior Notes using the effective interest method. The proceeds of the Senior Notes are available for general corporate purposes. Autodesk may redeem the Senior Notes at any time, subject to a make whole premium. In addition, upon the occurrence of certain change of control triggering events, Autodesk may be required to repurchase the Senior Notes, at a price equal to 101% of their principal amount, plus accrued and unpaid interest to the date of repurchase. The Senior Notes contain restrictive covenants that limit Autodesk's ability to create certain liens, to enter into certain sale and leaseback transactions and to consolidate or merge with, or convey, transfer or lease all or substantially all of its assets, subject to significant qualifications and exceptions. Based on quoted market prices, the fair value of the Senior Notes was approximately $757.6 million as of April 30, 2015.</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ind w:right="120" w:firstLine="405"/>
        <w:spacing w:after="0" w:line="255" w:lineRule="auto"/>
        <w:rPr>
          <w:sz w:val="20"/>
          <w:szCs w:val="20"/>
          <w:color w:val="auto"/>
        </w:rPr>
      </w:pPr>
      <w:r>
        <w:rPr>
          <w:rFonts w:ascii="Arial" w:cs="Arial" w:eastAsia="Arial" w:hAnsi="Arial"/>
          <w:sz w:val="18"/>
          <w:szCs w:val="18"/>
          <w:color w:val="auto"/>
        </w:rPr>
        <w:t>Autodesk’s line of credit facility permits unsecured short-term borrowings of up to $400.0 million, with an option to request an increase in the amount of the credit facility by up to an additional $100.0 million, and is available for working capital or other business needs. This credit agreement contains customary covenants that could restrict the imposition of liens on Autodesk’s assets, and restrict the Company’s ability to incur additional indebtedness or make dispositions of assets if Autodesk fails to maintain the financial covenants. The financial covenants consist of a leverage ratio, and an interest coverage ratio. The line of credit is syndicated with various financial institutions, including Citibank, N.A., an affiliate of Citigroup, which is one of the lead lenders and an agent. The credit facility expires in May 2018. At April 30, 2015, Autodesk was in compliance with the credit facility's covenants and had no outstanding borrowings on this line of credit.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Restructuring</w:t>
      </w:r>
    </w:p>
    <w:p>
      <w:pPr>
        <w:spacing w:after="0" w:line="22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During fiscal 2014, the Board of Directors approved a world-wide restructuring plan in order to re-balance staffing levels to better align them with the evolving needs of the business. The restructuring plan included a reduction of approximately 85 positions and the consolidation of four leased facilities, with a total cost of approximately $15.0 million ("Fiscal 2014 Plan"). By July 31, 2014, the personnel and facilities related actions included in this restructuring plan were substantially complete.</w:t>
      </w:r>
    </w:p>
    <w:p>
      <w:pPr>
        <w:spacing w:after="0" w:line="18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Autodesk did not record restructuring charges during the three months ended April 30, 2015. The following table sets forth the restructuring activities during the three months ended April 30, 2015:</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Balance at January 31,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4"/>
                <w:szCs w:val="14"/>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Payments</w:t>
            </w:r>
          </w:p>
        </w:tc>
        <w:tc>
          <w:tcPr>
            <w:tcW w:w="160" w:type="dxa"/>
            <w:vAlign w:val="bottom"/>
          </w:tcPr>
          <w:p>
            <w:pPr>
              <w:spacing w:after="0"/>
              <w:rPr>
                <w:sz w:val="14"/>
                <w:szCs w:val="14"/>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Adjustments (1)</w:t>
            </w:r>
          </w:p>
        </w:tc>
        <w:tc>
          <w:tcPr>
            <w:tcW w:w="120" w:type="dxa"/>
            <w:vAlign w:val="bottom"/>
          </w:tcPr>
          <w:p>
            <w:pPr>
              <w:spacing w:after="0"/>
              <w:rPr>
                <w:sz w:val="14"/>
                <w:szCs w:val="14"/>
                <w:color w:val="auto"/>
              </w:rPr>
            </w:pPr>
          </w:p>
        </w:tc>
        <w:tc>
          <w:tcPr>
            <w:tcW w:w="1340" w:type="dxa"/>
            <w:vAlign w:val="bottom"/>
          </w:tcPr>
          <w:p>
            <w:pPr>
              <w:jc w:val="right"/>
              <w:ind w:right="41"/>
              <w:spacing w:after="0"/>
              <w:rPr>
                <w:sz w:val="20"/>
                <w:szCs w:val="20"/>
                <w:color w:val="auto"/>
              </w:rPr>
            </w:pPr>
            <w:r>
              <w:rPr>
                <w:rFonts w:ascii="Arial" w:cs="Arial" w:eastAsia="Arial" w:hAnsi="Arial"/>
                <w:sz w:val="14"/>
                <w:szCs w:val="14"/>
                <w:b w:val="1"/>
                <w:bCs w:val="1"/>
                <w:color w:val="auto"/>
                <w:w w:val="92"/>
              </w:rPr>
              <w:t>Balance at April 30,</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50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Fiscal 2014 Plan</w:t>
            </w: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Employee termination costs</w:t>
            </w:r>
          </w:p>
        </w:tc>
        <w:tc>
          <w:tcPr>
            <w:tcW w:w="36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termination and asset costs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7"/>
        </w:trPr>
        <w:tc>
          <w:tcPr>
            <w:tcW w:w="3540" w:type="dxa"/>
            <w:vAlign w:val="bottom"/>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73"/>
        </w:trPr>
        <w:tc>
          <w:tcPr>
            <w:tcW w:w="35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35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Current portion (2)</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Non-current portion (2)</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Adjustments include the impact of foreign currency translation.</w:t>
      </w:r>
    </w:p>
    <w:p>
      <w:pPr>
        <w:spacing w:after="0" w:line="9" w:lineRule="exact"/>
        <w:rPr>
          <w:rFonts w:ascii="Arial" w:cs="Arial" w:eastAsia="Arial" w:hAnsi="Arial"/>
          <w:sz w:val="16"/>
          <w:szCs w:val="16"/>
          <w:color w:val="auto"/>
        </w:rPr>
      </w:pPr>
    </w:p>
    <w:p>
      <w:pPr>
        <w:ind w:left="420" w:right="100" w:hanging="412"/>
        <w:spacing w:after="0" w:line="257"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current and non-current portions of the reserve are recorded in the Condensed Consolidated Balance Sheets under “Other accrued liabilities” and “Other liabilities,”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Commitments and Contingencies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7"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ind w:left="22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Autodesk is involved in a variety of claims, suits, investigations and proceedings in the normal course of business activities including claims of alleged infringement of intellectual property rights, commercial, employment, piracy prosecution, business practices and other matters.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Common Stock Repurchase Program</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Autodesk has a stock repurchase program that is used to offset dilution from the issuance of stock under the Company’s employee stock plans and for such other purposes as may be in the interests of Autodesk and its stockholders. Stock repurchases have the effect of returning excess cash generated from the Company’s business to stockholders. During the three months ended April 30, 2015, Autodesk repurchased and retired 1.6 million shares at an average repurchase price of $60.67 per share. Common stock and additional paid-in capital and retained earnings were reduced by $41.1 million and $54.3 million, respectively, during the three months ended April 30, 2015.</w:t>
      </w:r>
    </w:p>
    <w:p>
      <w:pPr>
        <w:spacing w:after="0" w:line="18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At April 30, 2015, 13.2 million shares remained available for repurchase under the repurchase program approved by the Board of Directors. During the three months ended April 30, 2015, Autodesk repurchased its common stock through open market purchases. The number of shares acquired and the timing of the purchases are based on several factors, including general market and economic conditions, the number of employee stock option exercises and stock issuances, the trading price of Autodesk common stock, cash on hand and available in the United States, cash requirements for acquisitions, and Company defined trading windows.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Accumulated Other Comprehensive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loss, net of taxes, consisted of the following at April 30, 2015:</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Defined Benefit</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Gains (Losses) on</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Gains (Losses) on</w:t>
            </w: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Currency</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Available-for-Sale</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2"/>
                <w:szCs w:val="12"/>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Components</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2015</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Other comprehensive income (loss) before reclassifications</w:t>
            </w:r>
          </w:p>
        </w:tc>
        <w:tc>
          <w:tcPr>
            <w:tcW w:w="1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Pre-tax (gains) losses reclassified from accumulated other comprehensive</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Tax effects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current period other comprehensive (loss) income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Balances, April 30, 2015</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18"/>
                <w:szCs w:val="18"/>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Reclassifications related to gains and losses on available-for-sale securities are included in Interest and other income (expense), net. Refer to "Note 4: Financial Instruments" for the amount and location of reclassifications related to derivative instruments. Reclassifications of the defined benefit pension components are included in the computation of net periodic benefit cost. For further information, see the "Retirement Benefit Plans" note in Part II, Item 8 of our Annual Report on Form 10-K for the year ended January 31, 2015.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17</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Net Income Per Share</w:t>
      </w:r>
    </w:p>
    <w:p>
      <w:pPr>
        <w:spacing w:after="0" w:line="225"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Basic net income per share is computed using the weighted average number of shares of common stock outstanding for the period, excluding stock options and restricted stock units. Diluted net income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income per share amounts: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92"/>
        </w:trPr>
        <w:tc>
          <w:tcPr>
            <w:tcW w:w="9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264"/>
        </w:trPr>
        <w:tc>
          <w:tcPr>
            <w:tcW w:w="98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9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98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982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42"/>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73"/>
        </w:trPr>
        <w:tc>
          <w:tcPr>
            <w:tcW w:w="98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98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Denominator:</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98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9820" w:type="dxa"/>
            <w:vAlign w:val="bottom"/>
          </w:tcPr>
          <w:p>
            <w:pPr>
              <w:ind w:left="380"/>
              <w:spacing w:after="0"/>
              <w:rPr>
                <w:sz w:val="20"/>
                <w:szCs w:val="20"/>
                <w:color w:val="auto"/>
              </w:rPr>
            </w:pPr>
            <w:r>
              <w:rPr>
                <w:rFonts w:ascii="Arial" w:cs="Arial" w:eastAsia="Arial" w:hAnsi="Arial"/>
                <w:sz w:val="16"/>
                <w:szCs w:val="16"/>
                <w:color w:val="auto"/>
              </w:rPr>
              <w:t>Denominator for basic net income per share—weighted average shares</w:t>
            </w:r>
          </w:p>
        </w:tc>
        <w:tc>
          <w:tcPr>
            <w:tcW w:w="140" w:type="dxa"/>
            <w:vAlign w:val="bottom"/>
          </w:tcPr>
          <w:p>
            <w:pPr>
              <w:spacing w:after="0"/>
              <w:rPr>
                <w:sz w:val="20"/>
                <w:szCs w:val="20"/>
                <w:color w:val="auto"/>
              </w:rPr>
            </w:pPr>
          </w:p>
        </w:tc>
        <w:tc>
          <w:tcPr>
            <w:tcW w:w="560" w:type="dxa"/>
            <w:vAlign w:val="bottom"/>
          </w:tcPr>
          <w:p>
            <w:pPr>
              <w:jc w:val="right"/>
              <w:ind w:right="42"/>
              <w:spacing w:after="0"/>
              <w:rPr>
                <w:sz w:val="20"/>
                <w:szCs w:val="20"/>
                <w:color w:val="auto"/>
              </w:rPr>
            </w:pPr>
            <w:r>
              <w:rPr>
                <w:rFonts w:ascii="Arial" w:cs="Arial" w:eastAsia="Arial" w:hAnsi="Arial"/>
                <w:sz w:val="16"/>
                <w:szCs w:val="16"/>
                <w:color w:val="auto"/>
              </w:rPr>
              <w:t>227.2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227.0</w:t>
            </w:r>
          </w:p>
        </w:tc>
        <w:tc>
          <w:tcPr>
            <w:tcW w:w="0" w:type="dxa"/>
            <w:vAlign w:val="bottom"/>
          </w:tcPr>
          <w:p>
            <w:pPr>
              <w:spacing w:after="0"/>
              <w:rPr>
                <w:sz w:val="1"/>
                <w:szCs w:val="1"/>
                <w:color w:val="auto"/>
              </w:rPr>
            </w:pPr>
          </w:p>
        </w:tc>
      </w:tr>
      <w:tr>
        <w:trPr>
          <w:trHeight w:val="33"/>
        </w:trPr>
        <w:tc>
          <w:tcPr>
            <w:tcW w:w="9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7"/>
        </w:trPr>
        <w:tc>
          <w:tcPr>
            <w:tcW w:w="9820" w:type="dxa"/>
            <w:vAlign w:val="bottom"/>
          </w:tcPr>
          <w:p>
            <w:pPr>
              <w:ind w:left="380"/>
              <w:spacing w:after="0"/>
              <w:rPr>
                <w:sz w:val="20"/>
                <w:szCs w:val="20"/>
                <w:color w:val="auto"/>
              </w:rPr>
            </w:pPr>
            <w:r>
              <w:rPr>
                <w:rFonts w:ascii="Arial" w:cs="Arial" w:eastAsia="Arial" w:hAnsi="Arial"/>
                <w:sz w:val="16"/>
                <w:szCs w:val="16"/>
                <w:color w:val="auto"/>
              </w:rPr>
              <w:t>Denominator for dilutive net income per share</w:t>
            </w: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231.7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231.6</w:t>
            </w:r>
          </w:p>
        </w:tc>
        <w:tc>
          <w:tcPr>
            <w:tcW w:w="0" w:type="dxa"/>
            <w:vAlign w:val="bottom"/>
          </w:tcPr>
          <w:p>
            <w:pPr>
              <w:spacing w:after="0"/>
              <w:rPr>
                <w:sz w:val="1"/>
                <w:szCs w:val="1"/>
                <w:color w:val="auto"/>
              </w:rPr>
            </w:pPr>
          </w:p>
        </w:tc>
      </w:tr>
      <w:tr>
        <w:trPr>
          <w:trHeight w:val="73"/>
        </w:trPr>
        <w:tc>
          <w:tcPr>
            <w:tcW w:w="98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98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income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income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82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42"/>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33"/>
        </w:trPr>
        <w:tc>
          <w:tcPr>
            <w:tcW w:w="9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computation of diluted net income per share does not include shares that are anti-dilutive under the treasury stock method because their exercise prices are higher than the average market value of Autodesk’s stock during the period. For the three months ended April 30, 2015, there were 0.3 million potentially anti-dilutive shares excluded from the computation of diluted net income per share. For the three months ended April 30, 2014, no potentially anti-dilutive shares were excluded from the computation of diluted net income per share.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Segments</w:t>
      </w:r>
    </w:p>
    <w:p>
      <w:pPr>
        <w:spacing w:after="0" w:line="225"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and assessing performance as the source of the Company’s reportable segments. Autodesk has four reportable segments: Architecture, Engineering and Construction ("AEC"), PSEB, Manufacturing ("MFG") and Media and Entertainment ("M&amp;E"). Autodesk has no material inter-segment revenue.</w:t>
      </w:r>
    </w:p>
    <w:p>
      <w:pPr>
        <w:spacing w:after="0" w:line="18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AEC, PSEB, and MFG segments derive revenue from the sale of licenses for software products and services to customers who design, build, manage or own building, manufacturing and infrastructure projects. Autodesk's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87"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AEC software products help to improve the way building, civil infrastructure, process plant and construction projects are designed, built and managed. A broad portfolio of solutions enables greater efficiency, accuracy and sustainability across the entire project lifecycle. Autodesk AEC solutions include advanced technology for BIM, AutoCAD-based design and documentation productivity software, sustainable design analysis applications, and collaborative project management solutions. BIM, an integrated process for building and infrastructure design, analysis, documentation and construction, uses consistent, coordination information to improve communication and collaboration between the extended project team. AEC provides a comprehensive portfolio of BIM solutions that help customers deliver projects faster and more economically, while minimizing environmental impact. AEC’s revenue primarily includes revenue from the sales of licenses of Autodesk Building Design Suites, Autodesk Infrastructure Design Suites, AutoCAD Civil 3D, AutoCAD Architecture, and AutoCAD Map 3D.</w:t>
      </w:r>
    </w:p>
    <w:p>
      <w:pPr>
        <w:spacing w:after="0" w:line="192" w:lineRule="exact"/>
        <w:rPr>
          <w:sz w:val="20"/>
          <w:szCs w:val="20"/>
          <w:color w:val="auto"/>
        </w:rPr>
      </w:pPr>
    </w:p>
    <w:p>
      <w:pPr>
        <w:ind w:right="600" w:firstLine="405"/>
        <w:spacing w:after="0" w:line="291" w:lineRule="auto"/>
        <w:rPr>
          <w:sz w:val="20"/>
          <w:szCs w:val="20"/>
          <w:color w:val="auto"/>
        </w:rPr>
      </w:pPr>
      <w:r>
        <w:rPr>
          <w:rFonts w:ascii="Arial" w:cs="Arial" w:eastAsia="Arial" w:hAnsi="Arial"/>
          <w:sz w:val="16"/>
          <w:szCs w:val="16"/>
          <w:color w:val="auto"/>
        </w:rPr>
        <w:t>PSEB includes Autodesk’s design product, AutoCAD. Autodesk’s AutoCAD product is a platform product that underpins the Company’s design product offerings for the industries it serves. For example, AEC and MFG offer tailored versions of AutoCAD software for the industries they</w:t>
      </w:r>
    </w:p>
    <w:p>
      <w:pPr>
        <w:ind w:right="160"/>
        <w:spacing w:after="0" w:line="277" w:lineRule="auto"/>
        <w:rPr>
          <w:sz w:val="20"/>
          <w:szCs w:val="20"/>
          <w:color w:val="auto"/>
        </w:rPr>
      </w:pPr>
      <w:r>
        <w:rPr>
          <w:rFonts w:ascii="Arial" w:cs="Arial" w:eastAsia="Arial" w:hAnsi="Arial"/>
          <w:sz w:val="17"/>
          <w:szCs w:val="17"/>
          <w:color w:val="auto"/>
        </w:rPr>
        <w:t>serve. Autodesk’s AutoCAD product also provides a platform for Autodesk’s developer partners to build custom solutions for a range of diverse design-oriented markets. PSEB's revenue primarily includes revenue from sales of AutoCAD and AutoCAD LT, the AutoCAD Design Suite and many other design products, including consumer design products, as well as from sales of licenses of other Autodesk's design products.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ind w:right="40" w:firstLine="405"/>
        <w:spacing w:after="0" w:line="257" w:lineRule="auto"/>
        <w:rPr>
          <w:sz w:val="20"/>
          <w:szCs w:val="20"/>
          <w:color w:val="auto"/>
        </w:rPr>
      </w:pPr>
      <w:r>
        <w:rPr>
          <w:rFonts w:ascii="Arial" w:cs="Arial" w:eastAsia="Arial" w:hAnsi="Arial"/>
          <w:sz w:val="18"/>
          <w:szCs w:val="18"/>
          <w:color w:val="auto"/>
        </w:rPr>
        <w:t>MFG provides the manufacturers in automotive and transportation, industrial machinery, consumer products and building products with comprehensive digital prototyping solutions that bring together design data from all phases of the product development process to develop a single digital model created in Autodesk Inventor software. Autodesk’s solutions for digital prototyping enable a broad group of manufacturers to realize benefits with minimal disruption to existing workflows. MFG’s revenue primarily includes revenue from the sales of licenses of Autodesk Product Design Suites, AutoCAD Mechanical, Autodesk Delcam products, and Autodesk Moldflow products.</w:t>
      </w:r>
    </w:p>
    <w:p>
      <w:pPr>
        <w:spacing w:after="0" w:line="188"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M&amp;E consists of two product groups: Animation, including design visualization, and Creative Finishing. Animation products, such as Autodesk Maya, Autodesk 3ds Max, and the Autodesk Entertainment Creation Suites, provide tools for digital sculpting, modeling, animation, effects, rendering and compositing, for design visualization, visual effects and games production. M&amp;E products are also included in a number of PSEB, AEC, and MFG focused suites. Creative Finishing products, such as Autodesk Flame, Autodesk Smoke, and Autodesk Lustre, provide editing, finishing and visual effects design and color grading.</w:t>
      </w:r>
    </w:p>
    <w:p>
      <w:pPr>
        <w:spacing w:after="0" w:line="188"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All of Autodesk’s reportable segments distribute their respective products primarily through authorized resellers and distributors and, to a lesser extent, through direct sales to end-users.</w:t>
      </w:r>
    </w:p>
    <w:p>
      <w:pPr>
        <w:spacing w:after="0" w:line="170"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accounting policies of the reportable segments are the same as those described in Note 1, “Business and Summary of Significant Accounting Policies” of Autodesk's Annual Report on Form 10-K for the fiscal year ended January 31, 2015. Autodesk evaluates each segment’s performance on the basis of gross profit. Autodesk currently does not separately accumulate and report asset information by segment, except for goodwill, which is disclosed in Note 9, “Goodwill.”</w:t>
      </w:r>
    </w:p>
    <w:p>
      <w:pPr>
        <w:sectPr>
          <w:pgSz w:w="11900" w:h="16838" w:orient="portrait"/>
          <w:cols w:equalWidth="0" w:num="1">
            <w:col w:w="11420"/>
          </w:cols>
          <w:pgMar w:left="240" w:top="584" w:right="239" w:bottom="1440" w:gutter="0" w:footer="0" w:header="0"/>
        </w:sectPr>
      </w:pP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Information concerning the operations of Autodesk’s reportable segments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586740</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Architecture, Engineering and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Platform Solutions and Emerging Business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Media and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Architecture, Engineering and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Platform Solutions and Emerging Business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Media and Entertainment</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Unallocated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12261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114" w:lineRule="exact"/>
        <w:rPr>
          <w:sz w:val="20"/>
          <w:szCs w:val="20"/>
          <w:color w:val="auto"/>
        </w:rPr>
      </w:pPr>
    </w:p>
    <w:p>
      <w:pPr>
        <w:ind w:left="340"/>
        <w:spacing w:after="0"/>
        <w:tabs>
          <w:tab w:leader="none" w:pos="134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236.7</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195.5</w:t>
            </w:r>
          </w:p>
        </w:tc>
      </w:tr>
      <w:tr>
        <w:trPr>
          <w:trHeight w:val="270"/>
        </w:trPr>
        <w:tc>
          <w:tcPr>
            <w:tcW w:w="2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185.3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211.9</w:t>
            </w:r>
          </w:p>
        </w:tc>
      </w:tr>
      <w:tr>
        <w:trPr>
          <w:trHeight w:val="270"/>
        </w:trPr>
        <w:tc>
          <w:tcPr>
            <w:tcW w:w="2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184.6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147.3</w:t>
            </w:r>
          </w:p>
        </w:tc>
      </w:tr>
      <w:tr>
        <w:trPr>
          <w:trHeight w:val="270"/>
        </w:trPr>
        <w:tc>
          <w:tcPr>
            <w:tcW w:w="2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37.8</w:t>
            </w:r>
          </w:p>
        </w:tc>
      </w:tr>
      <w:tr>
        <w:trPr>
          <w:trHeight w:val="33"/>
        </w:trPr>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646.5</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592.5</w:t>
            </w:r>
          </w:p>
        </w:tc>
      </w:tr>
      <w:tr>
        <w:trPr>
          <w:trHeight w:val="33"/>
        </w:trPr>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488"/>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217.0</w:t>
            </w:r>
          </w:p>
        </w:tc>
        <w:tc>
          <w:tcPr>
            <w:tcW w:w="10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175.6</w:t>
            </w:r>
          </w:p>
        </w:tc>
      </w:tr>
      <w:tr>
        <w:trPr>
          <w:trHeight w:val="270"/>
        </w:trPr>
        <w:tc>
          <w:tcPr>
            <w:tcW w:w="2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163.3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191.0</w:t>
            </w:r>
          </w:p>
        </w:tc>
      </w:tr>
      <w:tr>
        <w:trPr>
          <w:trHeight w:val="270"/>
        </w:trPr>
        <w:tc>
          <w:tcPr>
            <w:tcW w:w="2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158.1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132.7</w:t>
            </w:r>
          </w:p>
        </w:tc>
      </w:tr>
      <w:tr>
        <w:trPr>
          <w:trHeight w:val="270"/>
        </w:trPr>
        <w:tc>
          <w:tcPr>
            <w:tcW w:w="2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29.0</w:t>
            </w:r>
          </w:p>
        </w:tc>
      </w:tr>
      <w:tr>
        <w:trPr>
          <w:trHeight w:val="270"/>
        </w:trPr>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33"/>
        </w:trPr>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554.7</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513.8</w:t>
            </w:r>
          </w:p>
        </w:tc>
      </w:tr>
      <w:tr>
        <w:trPr>
          <w:trHeight w:val="33"/>
        </w:trPr>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8760" w:space="720"/>
            <w:col w:w="1940"/>
          </w:cols>
          <w:pgMar w:left="240" w:top="584" w:right="239" w:bottom="1440" w:gutter="0" w:footer="0" w:header="0"/>
          <w:type w:val="continuous"/>
        </w:sectPr>
      </w:pPr>
    </w:p>
    <w:p>
      <w:pPr>
        <w:ind w:left="420" w:right="500" w:hanging="412"/>
        <w:spacing w:after="0" w:line="263"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Unallocated amounts primarily relate to corporate expenses and other costs and expenses that are managed outside the reportable segments, including stock-based compensation expense.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type w:val="continuous"/>
        </w:sectPr>
      </w:pPr>
    </w:p>
    <w:bookmarkStart w:id="25" w:name="page26"/>
    <w:bookmarkEnd w:id="25"/>
    <w:p>
      <w:pPr>
        <w:ind w:left="440"/>
        <w:spacing w:after="0"/>
        <w:rPr>
          <w:sz w:val="20"/>
          <w:szCs w:val="20"/>
          <w:color w:val="auto"/>
        </w:rPr>
      </w:pPr>
      <w:r>
        <w:rPr>
          <w:rFonts w:ascii="Arial" w:cs="Arial" w:eastAsia="Arial" w:hAnsi="Arial"/>
          <w:sz w:val="18"/>
          <w:szCs w:val="18"/>
          <w:color w:val="auto"/>
        </w:rPr>
        <w:t>Information regarding Autodesk’s operations by geographic area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19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5"/>
              </w:rPr>
              <w:t>Three Months Ended April 30,</w:t>
            </w:r>
          </w:p>
        </w:tc>
      </w:tr>
      <w:tr>
        <w:trPr>
          <w:trHeight w:val="264"/>
        </w:trPr>
        <w:tc>
          <w:tcPr>
            <w:tcW w:w="94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2014</w:t>
            </w:r>
          </w:p>
        </w:tc>
      </w:tr>
      <w:tr>
        <w:trPr>
          <w:trHeight w:val="210"/>
        </w:trPr>
        <w:tc>
          <w:tcPr>
            <w:tcW w:w="9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60"/>
        </w:trPr>
        <w:tc>
          <w:tcPr>
            <w:tcW w:w="94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r>
      <w:tr>
        <w:trPr>
          <w:trHeight w:val="224"/>
        </w:trPr>
        <w:tc>
          <w:tcPr>
            <w:tcW w:w="9480" w:type="dxa"/>
            <w:vAlign w:val="bottom"/>
          </w:tcPr>
          <w:p>
            <w:pPr>
              <w:ind w:left="380"/>
              <w:spacing w:after="0"/>
              <w:rPr>
                <w:sz w:val="20"/>
                <w:szCs w:val="20"/>
                <w:color w:val="auto"/>
              </w:rPr>
            </w:pPr>
            <w:r>
              <w:rPr>
                <w:rFonts w:ascii="Arial" w:cs="Arial" w:eastAsia="Arial" w:hAnsi="Arial"/>
                <w:sz w:val="16"/>
                <w:szCs w:val="16"/>
                <w:color w:val="auto"/>
              </w:rPr>
              <w:t>Americas</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7"/>
        </w:trPr>
        <w:tc>
          <w:tcPr>
            <w:tcW w:w="9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50"/>
        </w:trPr>
        <w:tc>
          <w:tcPr>
            <w:tcW w:w="9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169.5</w:t>
            </w:r>
          </w:p>
        </w:tc>
      </w:tr>
      <w:tr>
        <w:trPr>
          <w:trHeight w:val="237"/>
        </w:trPr>
        <w:tc>
          <w:tcPr>
            <w:tcW w:w="9480" w:type="dxa"/>
            <w:vAlign w:val="bottom"/>
          </w:tcPr>
          <w:p>
            <w:pPr>
              <w:ind w:left="720"/>
              <w:spacing w:after="0"/>
              <w:rPr>
                <w:sz w:val="20"/>
                <w:szCs w:val="20"/>
                <w:color w:val="auto"/>
              </w:rPr>
            </w:pPr>
            <w:r>
              <w:rPr>
                <w:rFonts w:ascii="Arial" w:cs="Arial" w:eastAsia="Arial" w:hAnsi="Arial"/>
                <w:sz w:val="16"/>
                <w:szCs w:val="16"/>
                <w:color w:val="auto"/>
              </w:rPr>
              <w:t>Other Americas</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36.2</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205.7</w:t>
            </w:r>
          </w:p>
        </w:tc>
      </w:tr>
      <w:tr>
        <w:trPr>
          <w:trHeight w:val="217"/>
        </w:trPr>
        <w:tc>
          <w:tcPr>
            <w:tcW w:w="948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245.4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225.5</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4"/>
        </w:trPr>
        <w:tc>
          <w:tcPr>
            <w:tcW w:w="94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60"/>
        </w:trPr>
        <w:tc>
          <w:tcPr>
            <w:tcW w:w="94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r>
      <w:tr>
        <w:trPr>
          <w:trHeight w:val="237"/>
        </w:trPr>
        <w:tc>
          <w:tcPr>
            <w:tcW w:w="9480" w:type="dxa"/>
            <w:vAlign w:val="bottom"/>
          </w:tcPr>
          <w:p>
            <w:pPr>
              <w:ind w:left="720"/>
              <w:spacing w:after="0"/>
              <w:rPr>
                <w:sz w:val="20"/>
                <w:szCs w:val="20"/>
                <w:color w:val="auto"/>
              </w:rPr>
            </w:pPr>
            <w:r>
              <w:rPr>
                <w:rFonts w:ascii="Arial" w:cs="Arial" w:eastAsia="Arial" w:hAnsi="Arial"/>
                <w:sz w:val="16"/>
                <w:szCs w:val="16"/>
                <w:color w:val="auto"/>
              </w:rPr>
              <w:t>Japan</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65.1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86.6</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Asia Pacific</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74.7</w:t>
            </w:r>
          </w:p>
        </w:tc>
      </w:tr>
      <w:tr>
        <w:trPr>
          <w:trHeight w:val="217"/>
        </w:trPr>
        <w:tc>
          <w:tcPr>
            <w:tcW w:w="9480" w:type="dxa"/>
            <w:vAlign w:val="bottom"/>
          </w:tcPr>
          <w:p>
            <w:pPr>
              <w:ind w:left="380"/>
              <w:spacing w:after="0"/>
              <w:rPr>
                <w:sz w:val="20"/>
                <w:szCs w:val="20"/>
                <w:color w:val="auto"/>
              </w:rPr>
            </w:pPr>
            <w:r>
              <w:rPr>
                <w:rFonts w:ascii="Arial" w:cs="Arial" w:eastAsia="Arial" w:hAnsi="Arial"/>
                <w:sz w:val="16"/>
                <w:szCs w:val="16"/>
                <w:color w:val="auto"/>
              </w:rPr>
              <w:t>Total Asia Pacific</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157.1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161.3</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5"/>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592.5</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firstLine="405"/>
        <w:spacing w:after="0" w:line="267" w:lineRule="auto"/>
        <w:rPr>
          <w:sz w:val="20"/>
          <w:szCs w:val="20"/>
          <w:color w:val="auto"/>
        </w:rPr>
      </w:pPr>
      <w:r>
        <w:rPr>
          <w:rFonts w:ascii="Arial" w:cs="Arial" w:eastAsia="Arial" w:hAnsi="Arial"/>
          <w:sz w:val="17"/>
          <w:szCs w:val="17"/>
          <w:i w:val="1"/>
          <w:iCs w:val="1"/>
          <w:color w:val="auto"/>
        </w:rPr>
        <w:t>The discussion in our MD&amp;A and elsewhere in this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and “Overview of the Three Months Ended April 30, 2015 and 2014 - Business Outlook” below, anticipated future net revenue, future GAAP and non-GAAP earnings per share, operating margin, operating expenses, billings, other future financial results (by product type and geography) and subscriptions, the effectiveness of our efforts to successfully manage transitions to new business models and markets, our expectations regarding the continued transition of our business model, our ability to increase our subscription base, expected market trends, including the growth of cloud, mobile and social computing, the effect of unemployment and availability of credit, the effects of weak global economic conditions, the effects of revenue recognition, our backlog, expected trends in certain financial metrics, including expenses, the impact of acquisitions and investment activities, expectations regarding our cash needs, the effects of fluctuations in exchange rates and our hedging activities on our financial results, our abilities to successfully expand adoption of our products, our ability to gain market acceptance of new businesses and sales initiatives, our ability to successfully increase sales of product suites as part of our overall sales strategy, and the impact of economic volatility and geopolitical activities in certain countries, particularly emerging economy countries, and the resulting effect on our financial results. In addition, forward-looking statements also consist of statements involving expectations regarding product capability and acceptance, continuation of our stock repurchase program,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Form 10-Q and are subject to business and economic risks. As such, our actual results could differ materially from those set forth in the forward-looking statements as a result of the factors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10-Q appears at the end of this 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Autodesk’s vision is to help people imagine, design, and create a better world. We do this by developing software and services for the world’s designers, architects, engineers, digital artists, professionals, and non-professionals alike—the people who imagine, design, and create the world's products, buildings, infrastructure, films, and games. Autodesk serves professional customers in three primary markets: architecture, engineering, and construction; manufacturing; and digital media and entertainment.</w:t>
      </w:r>
    </w:p>
    <w:p>
      <w:pPr>
        <w:spacing w:after="0" w:line="18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goal is to provide our customers with the world’s most innovative, and engaging design software and services. Our product and services portfolio allows our customers to digitally visualize, simulate, and analyze their projects, helping them to better understand the consequences of their design decisions; save time, money, and resources; and become more innovative.</w:t>
      </w:r>
    </w:p>
    <w:p>
      <w:pPr>
        <w:spacing w:after="0" w:line="18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Autodesk was founded during the platform transition from mainframes and engineering workstations to personal computers. We developed and sustained a compelling value proposition based upon desktop software for the personal computer. Just as the transition from mainframes to personal computers transformed the industry over 30 years ago, we believe our industry is undergoing a similar transition from the personal computer to cloud, social, and mobile computing. To address this transition we have accelerated our move to the cloud and mobile devices and are offering more flexible licensing. For example, Autodesk BIM 360, PLM 360, Fusion 360, and AutoCAD360 Pro, a few of our cloud based offerings, provide tools, including social and mobile capabilities, to help streamline design, collaboration, and data management processes. We believe that customer adoption of these new offerings will continue to grow as customers across a range of industries begin to take advantage of the scalable computing power and flexibility provided through these new services.</w:t>
      </w:r>
    </w:p>
    <w:p>
      <w:pPr>
        <w:spacing w:after="0" w:line="192"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Our strategy is to lead our customers and the industries they serve to the new cloud and mobile platforms. This entails both a technological shift and a business model shift. During fiscal year 2014, we announced term-based license offerings, including term-based desktop subscriptions, for certain products. These offerings are designed to give our customers even more flexibility with how they use our products and service offerings and to address new types of customers such as project-based users and small businesses. As part of this transition, we discontinued upgrades effective March 6, 2015. On February 4, 2015, we also announced that new commercial seats of most standalone software products will be available only by desktop</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0"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subscription beginning February 1, 2016. Additionally, we plan to discontinue selling new perpetual licenses for suites during fiscal 2017.</w:t>
      </w:r>
    </w:p>
    <w:p>
      <w:pPr>
        <w:spacing w:after="0" w:line="225"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Over the next three years, we expect to increase our subscription base and customer value, which we believe will help drive billings growth. During the transition, revenue, gross margin, operating margin, EPS, deferred revenue, and cash flow from operations will be impacted as more revenue is recognized ratably rather than up front and as new offerings bring a wider variety of price points.</w:t>
      </w:r>
    </w:p>
    <w:p>
      <w:pPr>
        <w:spacing w:after="0" w:line="181"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At April 30, 2015 and 2014, our total subscriptions were 2.33 million and 1.94 million, respectively. Subscription growth during fiscal 2015 was led by maintenance subscriptions, which benefited from promotional activity driving upgrades and maintenance renewals. More recently in the current period, approximately half of the subscription additions were from new subscription types such as desktop, enterprise flexible license, and cloud subscription.</w:t>
      </w:r>
    </w:p>
    <w:p>
      <w:pPr>
        <w:spacing w:after="0" w:line="147"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For the past three years, suites have been an important growth area to our overall strategy. As our customers in all industries adopt our design suites, we believe they will experience an increase in their productivity and the value of their design data. For the three months ended April 30, 2015, revenue from suites increased 14% as compared to the same period in the prior fiscal year. As a percentage of revenue, suites consisted of 37% of our net revenue for the three months ended April 30, 2015, as compared to 35% of our net revenue for the three months ended April 30, 2014.</w:t>
      </w:r>
    </w:p>
    <w:p>
      <w:pPr>
        <w:spacing w:after="0" w:line="171"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Another key element of our growth strategy is increasing our global penetration. Much of the growth in the world’s construction and manufacturing is happening in emerging economies. Further, emerging economies face many of the challenges that our design technology can help address, including infrastructure build-out and innovative design and manufacturing. Revenue from emerging countries increased 17% during the three months ended April 30, 2015, as compared to the same period in the prior fiscal year, and represented 14% and 13% of our total revenue for the three months ended April 30, 2015 and 2014, respectively. While we continue to believe there are long-term growth opportunities in emerging economies, conducting business in these countries presents significant challenges, including economic volatility, geopolitical risk, local competition, limited intellectual property protection, poorly developed business infrastructure, scarcity of talent, software piracy, and different purchase patterns as compared to the developed world.</w:t>
      </w:r>
    </w:p>
    <w:p>
      <w:pPr>
        <w:spacing w:after="0" w:line="167"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Today, complex challenges such as globalization, urbanization, and sustainable design are driving our customers to new levels of performance and competitiveness, and we are committed to helping them address those challenges and take advantage of new opportunities. To achieve these goals, we are capitalizing on two of our strongest competitive advantages: our ability to bring advanced technology to mainstream markets, and the breadth and depth of our product portfolio.</w:t>
      </w:r>
    </w:p>
    <w:p>
      <w:pPr>
        <w:spacing w:after="0" w:line="18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bring powerful new design capabilities to volume markets. Our products are designed to be easy-to-learn and use, and to provide customers with a low cost of deployment, a low total cost of access to our software offerings, and a rapid return on investment. In addition, our software architecture allows for extensibility and integration with other products. The breadth of our technology and product line gives us a unique competitive advantage, because it allows our customers to address a wide variety of problems in ways that transcend industry and disciplinary boundaries. This is particularly important in helping our customers address the complex challenges mentioned above. We also believe that our technological leadership and global brand recognition have positioned us well for long-term growth and industry leadership.</w:t>
      </w:r>
    </w:p>
    <w:p>
      <w:pPr>
        <w:spacing w:after="0" w:line="193"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In addition to the competitive advantages afforded by our technology, our large global network of distributors, resellers, third-party developers, customers, educational institutions, educators, and students is a key competitive advantage. This network of partners and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our products and extend them for a variety of specialized applications.</w:t>
      </w:r>
    </w:p>
    <w:p>
      <w:pPr>
        <w:spacing w:after="0" w:line="173"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Autodesk is committed to helping fuel a lifelong passion for design in students of all ages. In fiscal 2014, we initiated a new program offering free educational licenses of Autodesk software worldwide to students, educators, and educational institutions. Targeting both the secondary and postsecondary school markets, we collaborate with educators, institutions and partners that encourage design learning and further Science, Technology, Engineering, Digital Arts, and Math (STEAM) education initiatives. Our intention is to make Autodesk software the ubiquitous design software of choice for those poised to become the next generation of professional users.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84" w:right="259" w:bottom="1440" w:gutter="0" w:footer="0" w:header="0"/>
        </w:sectPr>
      </w:pPr>
    </w:p>
    <w:bookmarkStart w:id="28" w:name="page29"/>
    <w:bookmarkEnd w:id="28"/>
    <w:p>
      <w:pPr>
        <w:ind w:right="340" w:firstLine="432"/>
        <w:spacing w:after="0" w:line="257"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continue to acquire products, technology, and businesses as compelling opportunities become available.</w:t>
      </w:r>
    </w:p>
    <w:p>
      <w:pPr>
        <w:spacing w:after="0" w:line="188"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Our strategy depends upon a number of assumptions to successfully make the transition toward new cloud and mobile platforms, including the related technology and business model shifts; making our technology available to mainstream markets; leveraging our large global network of distributors, resellers, third-party developers, customers, educational institutions, and students; improving the performance and functionality of our products;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Our Condensed Consolidated Financial Statements are prepared in conformity with U.S. generally accepted accounting principles. In preparing our Condensed Consolidated Financial Statements, we make assumptions, judgments and estimates that can have a significant impact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in our Form 10-K for the fiscal year ended January 31, 2015. In addition, we highlighted those policies that involve a higher degree of judgment and complexity with further discussion in Item 7, “Management’s Discussion and Analysis of Financial Condition and Results of Operations” in our Form 10-K. We believe these policies are the most critical to aid in fully understanding and evaluating our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Three Months Ended April 30, 2015 and 2014</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ind w:right="122"/>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340" w:type="dxa"/>
            <w:vAlign w:val="bottom"/>
          </w:tcPr>
          <w:p>
            <w:pPr>
              <w:jc w:val="center"/>
              <w:ind w:left="348"/>
              <w:spacing w:after="0"/>
              <w:rPr>
                <w:sz w:val="20"/>
                <w:szCs w:val="20"/>
                <w:color w:val="auto"/>
              </w:rPr>
            </w:pPr>
            <w:r>
              <w:rPr>
                <w:rFonts w:ascii="Arial" w:cs="Arial" w:eastAsia="Arial" w:hAnsi="Arial"/>
                <w:sz w:val="14"/>
                <w:szCs w:val="14"/>
                <w:b w:val="1"/>
                <w:bCs w:val="1"/>
                <w:color w:val="auto"/>
                <w:w w:val="93"/>
              </w:rPr>
              <w:t>As a % of Net</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ind w:right="122"/>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760" w:type="dxa"/>
            <w:vAlign w:val="bottom"/>
          </w:tcPr>
          <w:p>
            <w:pPr>
              <w:jc w:val="right"/>
              <w:ind w:right="388"/>
              <w:spacing w:after="0"/>
              <w:rPr>
                <w:sz w:val="20"/>
                <w:szCs w:val="20"/>
                <w:color w:val="auto"/>
              </w:rPr>
            </w:pPr>
            <w:r>
              <w:rPr>
                <w:rFonts w:ascii="Arial" w:cs="Arial" w:eastAsia="Arial" w:hAnsi="Arial"/>
                <w:sz w:val="14"/>
                <w:szCs w:val="14"/>
                <w:b w:val="1"/>
                <w:bCs w:val="1"/>
                <w:color w:val="auto"/>
              </w:rPr>
              <w:t>As a % of Net</w:t>
            </w:r>
          </w:p>
        </w:tc>
      </w:tr>
      <w:tr>
        <w:trPr>
          <w:trHeight w:val="192"/>
        </w:trPr>
        <w:tc>
          <w:tcPr>
            <w:tcW w:w="42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April 30, 2015</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89"/>
              </w:rPr>
              <w:t>Revenue</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April 30, 2014</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Revenue</w:t>
            </w:r>
          </w:p>
        </w:tc>
      </w:tr>
      <w:tr>
        <w:trPr>
          <w:trHeight w:val="236"/>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646.5</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592.5</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420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160" w:type="dxa"/>
            <w:vAlign w:val="bottom"/>
          </w:tcPr>
          <w:p>
            <w:pPr>
              <w:spacing w:after="0"/>
              <w:rPr>
                <w:sz w:val="20"/>
                <w:szCs w:val="20"/>
                <w:color w:val="auto"/>
              </w:rPr>
            </w:pPr>
          </w:p>
        </w:tc>
        <w:tc>
          <w:tcPr>
            <w:tcW w:w="1540" w:type="dxa"/>
            <w:vAlign w:val="bottom"/>
          </w:tcPr>
          <w:p>
            <w:pPr>
              <w:jc w:val="right"/>
              <w:ind w:right="42"/>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42"/>
              <w:spacing w:after="0"/>
              <w:rPr>
                <w:sz w:val="20"/>
                <w:szCs w:val="20"/>
                <w:color w:val="auto"/>
              </w:rPr>
            </w:pPr>
            <w:r>
              <w:rPr>
                <w:rFonts w:ascii="Arial" w:cs="Arial" w:eastAsia="Arial" w:hAnsi="Arial"/>
                <w:sz w:val="16"/>
                <w:szCs w:val="16"/>
                <w:color w:val="auto"/>
              </w:rPr>
              <w:t>78.7</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4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3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554.7</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513.8</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37"/>
        </w:trPr>
        <w:tc>
          <w:tcPr>
            <w:tcW w:w="420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20"/>
                <w:szCs w:val="20"/>
                <w:color w:val="auto"/>
              </w:rPr>
            </w:pPr>
          </w:p>
        </w:tc>
        <w:tc>
          <w:tcPr>
            <w:tcW w:w="1540" w:type="dxa"/>
            <w:vAlign w:val="bottom"/>
          </w:tcPr>
          <w:p>
            <w:pPr>
              <w:jc w:val="right"/>
              <w:ind w:right="42"/>
              <w:spacing w:after="0"/>
              <w:rPr>
                <w:sz w:val="20"/>
                <w:szCs w:val="20"/>
                <w:color w:val="auto"/>
              </w:rPr>
            </w:pPr>
            <w:r>
              <w:rPr>
                <w:rFonts w:ascii="Arial" w:cs="Arial" w:eastAsia="Arial" w:hAnsi="Arial"/>
                <w:sz w:val="16"/>
                <w:szCs w:val="16"/>
                <w:color w:val="auto"/>
              </w:rPr>
              <w:t>533.2</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42"/>
              <w:spacing w:after="0"/>
              <w:rPr>
                <w:sz w:val="20"/>
                <w:szCs w:val="20"/>
                <w:color w:val="auto"/>
              </w:rPr>
            </w:pPr>
            <w:r>
              <w:rPr>
                <w:rFonts w:ascii="Arial" w:cs="Arial" w:eastAsia="Arial" w:hAnsi="Arial"/>
                <w:sz w:val="16"/>
                <w:szCs w:val="16"/>
                <w:color w:val="auto"/>
              </w:rPr>
              <w:t>471.6</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80%</w:t>
            </w:r>
          </w:p>
        </w:tc>
      </w:tr>
      <w:tr>
        <w:trPr>
          <w:trHeight w:val="33"/>
        </w:trPr>
        <w:tc>
          <w:tcPr>
            <w:tcW w:w="4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42.2</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During the three months ended April 30, 2015, as compared to the same period in the prior fiscal year, net revenue increased 9% and gross profit increased 8%, while income from operations decreased 49%. Contributing to the year-over-year decrease in income from operations during the three months ended April 30, 2015 was an increase in operating expenses, partially offset by increases in both subscription revenue and license and other revenue.</w:t>
      </w:r>
    </w:p>
    <w:p>
      <w:pPr>
        <w:spacing w:after="0" w:line="147"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Our business experienced year-over-year growth in our Architecture, Engineering, and Construction ("AEC"), Manufacturing ("MFG"), and Media and Entertainment ("M&amp;E") segments, many of our major products, particularly our AEC suites, and the America and Europe, Middle East and Africa ("EMEA") geographic areas. Additionally, our results benefited from the inclusion of a full quarter of Delcam operating results during the three months ended April 30, 2015, compared to one month of Delcam operating results during the three months ended April 30, 2014. These areas of growth contributed to the year over year increase in both subscription and license and other revenue during the three months ended April 30, 2015.</w:t>
      </w:r>
    </w:p>
    <w:p>
      <w:pPr>
        <w:spacing w:after="0" w:line="173" w:lineRule="exact"/>
        <w:rPr>
          <w:sz w:val="20"/>
          <w:szCs w:val="20"/>
          <w:color w:val="auto"/>
        </w:rPr>
      </w:pPr>
    </w:p>
    <w:p>
      <w:pPr>
        <w:ind w:right="760" w:firstLine="405"/>
        <w:spacing w:after="0" w:line="277" w:lineRule="auto"/>
        <w:rPr>
          <w:sz w:val="20"/>
          <w:szCs w:val="20"/>
          <w:color w:val="auto"/>
        </w:rPr>
      </w:pPr>
      <w:r>
        <w:rPr>
          <w:rFonts w:ascii="Arial" w:cs="Arial" w:eastAsia="Arial" w:hAnsi="Arial"/>
          <w:sz w:val="18"/>
          <w:szCs w:val="18"/>
          <w:color w:val="auto"/>
        </w:rPr>
        <w:t>Income from operations during the three months ended April 30, 2015 was negatively impacted by increased spend primarily related to higher employee-related costs.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reasons for these changes are discussed below under the heading “Results from Operations.”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ind w:left="260"/>
        <w:spacing w:after="0"/>
        <w:rPr>
          <w:sz w:val="20"/>
          <w:szCs w:val="20"/>
          <w:color w:val="auto"/>
        </w:rPr>
      </w:pPr>
      <w:r>
        <w:rPr>
          <w:rFonts w:ascii="Arial" w:cs="Arial" w:eastAsia="Arial" w:hAnsi="Arial"/>
          <w:sz w:val="18"/>
          <w:szCs w:val="18"/>
          <w:i w:val="1"/>
          <w:iCs w:val="1"/>
          <w:color w:val="auto"/>
        </w:rPr>
        <w:t>Revenue Analysis</w:t>
      </w:r>
    </w:p>
    <w:p>
      <w:pPr>
        <w:spacing w:after="0" w:line="225" w:lineRule="exact"/>
        <w:rPr>
          <w:sz w:val="20"/>
          <w:szCs w:val="20"/>
          <w:color w:val="auto"/>
        </w:rPr>
      </w:pPr>
    </w:p>
    <w:p>
      <w:pPr>
        <w:jc w:val="both"/>
        <w:ind w:right="160" w:firstLine="405"/>
        <w:spacing w:after="0" w:line="288" w:lineRule="auto"/>
        <w:rPr>
          <w:sz w:val="20"/>
          <w:szCs w:val="20"/>
          <w:color w:val="auto"/>
        </w:rPr>
      </w:pPr>
      <w:r>
        <w:rPr>
          <w:rFonts w:ascii="Arial" w:cs="Arial" w:eastAsia="Arial" w:hAnsi="Arial"/>
          <w:sz w:val="16"/>
          <w:szCs w:val="16"/>
          <w:color w:val="auto"/>
        </w:rPr>
        <w:t>Revenue from flagship products was 46% of net revenue during the three months ended April 30, 2015. Revenue from flagship products remained flat during the three months ended April 30, 2015, as compared to the same periods in the prior fiscal year. Revenue from suites was 37% of net revenue for the three months ended April 30, 2015 and increased 14% for the three months ended April 30, 2015, as compared to the same periods in the prior fiscal year.</w:t>
      </w:r>
    </w:p>
    <w:p>
      <w:pPr>
        <w:ind w:right="340"/>
        <w:spacing w:after="0" w:line="261" w:lineRule="auto"/>
        <w:rPr>
          <w:sz w:val="20"/>
          <w:szCs w:val="20"/>
          <w:color w:val="auto"/>
        </w:rPr>
      </w:pPr>
      <w:r>
        <w:rPr>
          <w:rFonts w:ascii="Arial" w:cs="Arial" w:eastAsia="Arial" w:hAnsi="Arial"/>
          <w:sz w:val="18"/>
          <w:szCs w:val="18"/>
          <w:color w:val="auto"/>
        </w:rPr>
        <w:t>Revenue from new and adjacent products was 17% of net revenue for the three months ended April 30, 2015 and increased 30% as compared to the same periods in the prior fiscal year.</w:t>
      </w:r>
    </w:p>
    <w:p>
      <w:pPr>
        <w:spacing w:after="0" w:line="184"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Tech Data Corporation and its global affiliates (collectively, “Tech Data”). Tech Data accounted for 26% of Autodesk’s total net revenue for both the three months ended April 30, 2015 and 2014. Our customers through Tech Data are the resellers and end users who purchase our software licenses and services. Should any of the agreements between Tech Data and us be terminated for any reason, we believe the resellers and end users who currently purchase our products through Tech Data would be able to continue to do so under substantially the same terms from one of our many other distributors without substantial disruption to our revenue. Consequently, we believe our business is not substantially dependent on Tech Data.</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Margin Analysis</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Income from operations decreased 49% in the three months ended April 30, 2015 due to a $61.6 million or 13% increase in our operating expenses and a $13.1 million or 17% increase in cost of revenue, as compared to the same period in the prior fiscal year. Partially offsetting the increase in our spend was a $54.0 million or 9% increase in net revenue, as compared to the same period in the prior fiscal year. Our operating margin decreased to 3% for the three months ended April 30, 2015 from 7% for the three months ended April 30, 2014.</w:t>
      </w:r>
    </w:p>
    <w:p>
      <w:pPr>
        <w:spacing w:after="0" w:line="18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increase in operating expenses and the corresponding decrease in operating margin during the three months ended April 30, 2015 were impacted by an increase in employee-related costs driven by an increase in headcount as a result of our continued support of the business model transition as well as the inclusion of a full quarter of results from Delcam.</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Further discussion regarding the cost of goods sold and operating expense activities are discussed below under the heading “Results of Operations.”</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Analysis</w:t>
      </w:r>
    </w:p>
    <w:p>
      <w:pPr>
        <w:spacing w:after="0" w:line="225"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We generate a significant amount of our revenue in the U.S., Japan, Germany, France, and the United Kingdom. Our revenue was negatively impacted by foreign exchange rate changes during the three months ended April 30, 2015 as compared to the same periods in the prior fiscal year. Had applicable exchange rates from the three months ended April 30, 2014 been in effect during the three months ended April 30, 2015 and had we excluded foreign exchange hedge gains and losses from the three months ended April 30, 2015, net revenue would have increased 13% on a constant currency basis during the three months ended April 30, 2015 as compared to the same period in the prior fiscal year.</w:t>
      </w:r>
    </w:p>
    <w:p>
      <w:pPr>
        <w:spacing w:after="0" w:line="173"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Our total spend, defined as cost of revenue plus operating expenses, during the three months ended April 30, 2015 was positively impacted by foreign exchange rate changes. Total spend increased 14% on an as reported basis as compared to the same period in the prior fiscal year. Had applicable exchange rates from the three months ended April 30, 2014 been in effect during the three months ended April 30, 2015 and had we excluded foreign exchange hedge gains and losses from the three months ended April 30, 2015, total spend would have increased 18% on a constant currency basis compared to the same period in the prior fiscal year.</w:t>
      </w:r>
    </w:p>
    <w:p>
      <w:pPr>
        <w:spacing w:after="0" w:line="188"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Changes in the value of the U.S. dollar may have a significant effect on net revenue, total spend, and income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Balance Sheet and Cash Flow Items</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At April 30, 2015, we had $2,271.2 million in cash and marketable securities. We completed the three months ended April 30, 2015 with lower accounts receivable and deferred revenue balances as compared to the end of the fiscal year ended January 31, 2015. Our total deferred revenue balance at April 30, 2015 was $1,153.7 million and included $930.1 million of deferred subscription revenue primarily related to customer maintenance contracts, which will be recognized as revenue ratably</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4" w:right="259" w:bottom="1440" w:gutter="0" w:footer="0" w:header="0"/>
        </w:sectPr>
      </w:pPr>
    </w:p>
    <w:bookmarkStart w:id="30" w:name="page31"/>
    <w:bookmarkEnd w:id="30"/>
    <w:p>
      <w:pPr>
        <w:ind w:right="60"/>
        <w:spacing w:after="0" w:line="257" w:lineRule="auto"/>
        <w:rPr>
          <w:sz w:val="20"/>
          <w:szCs w:val="20"/>
          <w:color w:val="auto"/>
        </w:rPr>
      </w:pPr>
      <w:r>
        <w:rPr>
          <w:rFonts w:ascii="Arial" w:cs="Arial" w:eastAsia="Arial" w:hAnsi="Arial"/>
          <w:sz w:val="18"/>
          <w:szCs w:val="18"/>
          <w:color w:val="auto"/>
        </w:rPr>
        <w:t>over the life of the contracts. The term of our maintenance contracts is typically between one and three years. Our cash flow from operations decreased 60% to $86.5 million as of April 30, 2015 from $218.7 million at April 30, 2014. We repurchased 1.6 million shares of our common stock for $95.4 million during the three months ended April 30, 2015. Comparatively, we repurchased 2.0 million shares of our common stock for $102.5 million during the three months ended April 30, 2014. Further discussion regarding the balance sheet and cash flow activities are discussed below under the heading “Liquidity and Capital Resources.”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Business Outlook</w:t>
      </w:r>
    </w:p>
    <w:p>
      <w:pPr>
        <w:spacing w:after="0" w:line="225"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Autodesk's business model is evolving. We continue to assess current business offerings including introducing more flexible license and service offerings that have ratable revenue streams. The accounting impact of these offerings and other business decisions are expected to result in an increase in the percentage of our ratable revenue, making for a more predictable business over time, while correspondingly reducing our upfront perpetual revenue stream. Over time, we expect our business model transition to expand our customer base by eliminating higher up-front licensing costs and providing more flexibility in how customers gain access to and pay for our products. We also expect our traditional perpetual license revenue to decline without a corresponding decrease in expenses over the next 12 to 24 months. In the future, we expect this business model transition will increase our long-term revenue growth rate by increasing total subscriptions and customer value over time.</w:t>
      </w:r>
    </w:p>
    <w:p>
      <w:pPr>
        <w:spacing w:after="0" w:line="178"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We expect net revenue for the second quarter of fiscal 2016 will range from $600 million to $620 million, and that GAAP diluted earnings per share will range from a loss of $0.10 to a loss of $0.05 while non-GAAP diluted earnings per share will range from $0.14 to $0.19. Non-GAAP earnings per diluted share exclude $0.16 related to stock-based compensation expense and $0.08 related to the amortization of acquisition related intangibles, net of tax.</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expect net billings for fiscal 2016 to increase by approximately 2% to 4% compared to fiscal 2015. We expect net revenue for fiscal 2016 to increase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by approximately 2% to 4% compared to fiscal 2015, and that GAAP diluted earnings per share will range from break-even to $0.15 while non-GAAP diluted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will range from $0.95 to $1.10. Non-GAAP earnings per diluted share exclude $0.69 related to stock-based compensation expense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$0.26 related to the amortization of acquisition related intangibles, net of tax. Autodesk anticipates fiscal 2016 GAAP operating margin to be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 to 3% and non-GAAP operating margin to be approximately 12% to 14%. The non-GAAP operating margin excludes 8 percentage points related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and 3 percentage points related to the amortization of acquisition related intangibles, net of tax. Autodesk expects to add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375,000 to 425,000 net new subscriptions in fiscal 2016.</w:t>
      </w:r>
    </w:p>
    <w:p>
      <w:pPr>
        <w:spacing w:after="0" w:line="21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We remain diligent about managing our spend while making essential investments to drive growth. If we are unable to successfully achieve our major business initiatives we may not achieve our financial goals.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220" w:type="dxa"/>
            <w:vAlign w:val="bottom"/>
          </w:tcPr>
          <w:p>
            <w:pPr>
              <w:spacing w:after="0"/>
              <w:rPr>
                <w:sz w:val="14"/>
                <w:szCs w:val="14"/>
                <w:color w:val="auto"/>
              </w:rPr>
            </w:pPr>
          </w:p>
        </w:tc>
        <w:tc>
          <w:tcPr>
            <w:tcW w:w="16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Increase (Decrease)</w:t>
            </w:r>
          </w:p>
        </w:tc>
        <w:tc>
          <w:tcPr>
            <w:tcW w:w="120" w:type="dxa"/>
            <w:vAlign w:val="bottom"/>
          </w:tcPr>
          <w:p>
            <w:pPr>
              <w:spacing w:after="0"/>
              <w:rPr>
                <w:sz w:val="14"/>
                <w:szCs w:val="14"/>
                <w:color w:val="auto"/>
              </w:rPr>
            </w:pPr>
          </w:p>
        </w:tc>
        <w:tc>
          <w:tcPr>
            <w:tcW w:w="10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compared to</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3"/>
              </w:rPr>
              <w:t>prior fiscal year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264"/>
        </w:trPr>
        <w:tc>
          <w:tcPr>
            <w:tcW w:w="718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22"/>
                <w:szCs w:val="2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April 30, 2015</w:t>
            </w:r>
          </w:p>
        </w:tc>
        <w:tc>
          <w:tcPr>
            <w:tcW w:w="220" w:type="dxa"/>
            <w:vAlign w:val="bottom"/>
          </w:tcPr>
          <w:p>
            <w:pPr>
              <w:spacing w:after="0"/>
              <w:rPr>
                <w:sz w:val="22"/>
                <w:szCs w:val="22"/>
                <w:color w:val="auto"/>
              </w:rPr>
            </w:pPr>
          </w:p>
        </w:tc>
        <w:tc>
          <w:tcPr>
            <w:tcW w:w="580" w:type="dxa"/>
            <w:vAlign w:val="bottom"/>
          </w:tcPr>
          <w:p>
            <w:pPr>
              <w:jc w:val="right"/>
              <w:ind w:right="281"/>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41"/>
              <w:spacing w:after="0"/>
              <w:rPr>
                <w:sz w:val="20"/>
                <w:szCs w:val="20"/>
                <w:color w:val="auto"/>
              </w:rPr>
            </w:pPr>
            <w:r>
              <w:rPr>
                <w:rFonts w:ascii="Arial" w:cs="Arial" w:eastAsia="Arial" w:hAnsi="Arial"/>
                <w:sz w:val="14"/>
                <w:szCs w:val="14"/>
                <w:b w:val="1"/>
                <w:bCs w:val="1"/>
                <w:color w:val="auto"/>
                <w:w w:val="97"/>
              </w:rPr>
              <w:t>April 30, 2014</w:t>
            </w:r>
          </w:p>
        </w:tc>
        <w:tc>
          <w:tcPr>
            <w:tcW w:w="0" w:type="dxa"/>
            <w:vAlign w:val="bottom"/>
          </w:tcPr>
          <w:p>
            <w:pPr>
              <w:spacing w:after="0"/>
              <w:rPr>
                <w:sz w:val="1"/>
                <w:szCs w:val="1"/>
                <w:color w:val="auto"/>
              </w:rPr>
            </w:pPr>
          </w:p>
        </w:tc>
      </w:tr>
      <w:tr>
        <w:trPr>
          <w:trHeight w:val="210"/>
        </w:trPr>
        <w:tc>
          <w:tcPr>
            <w:tcW w:w="7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18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326.7</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10.5</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316.2</w:t>
            </w:r>
          </w:p>
        </w:tc>
        <w:tc>
          <w:tcPr>
            <w:tcW w:w="0" w:type="dxa"/>
            <w:vAlign w:val="bottom"/>
          </w:tcPr>
          <w:p>
            <w:pPr>
              <w:spacing w:after="0"/>
              <w:rPr>
                <w:sz w:val="1"/>
                <w:szCs w:val="1"/>
                <w:color w:val="auto"/>
              </w:rPr>
            </w:pPr>
          </w:p>
        </w:tc>
      </w:tr>
      <w:tr>
        <w:trPr>
          <w:trHeight w:val="33"/>
        </w:trPr>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43.5</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16 %</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276.3</w:t>
            </w:r>
          </w:p>
        </w:tc>
        <w:tc>
          <w:tcPr>
            <w:tcW w:w="0" w:type="dxa"/>
            <w:vAlign w:val="bottom"/>
          </w:tcPr>
          <w:p>
            <w:pPr>
              <w:spacing w:after="0"/>
              <w:rPr>
                <w:sz w:val="1"/>
                <w:szCs w:val="1"/>
                <w:color w:val="auto"/>
              </w:rPr>
            </w:pPr>
          </w:p>
        </w:tc>
      </w:tr>
      <w:tr>
        <w:trPr>
          <w:trHeight w:val="284"/>
        </w:trPr>
        <w:tc>
          <w:tcPr>
            <w:tcW w:w="718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646.5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54.0</w:t>
            </w:r>
          </w:p>
        </w:tc>
        <w:tc>
          <w:tcPr>
            <w:tcW w:w="10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592.5</w:t>
            </w:r>
          </w:p>
        </w:tc>
        <w:tc>
          <w:tcPr>
            <w:tcW w:w="0" w:type="dxa"/>
            <w:vAlign w:val="bottom"/>
          </w:tcPr>
          <w:p>
            <w:pPr>
              <w:spacing w:after="0"/>
              <w:rPr>
                <w:sz w:val="1"/>
                <w:szCs w:val="1"/>
                <w:color w:val="auto"/>
              </w:rPr>
            </w:pPr>
          </w:p>
        </w:tc>
      </w:tr>
      <w:tr>
        <w:trPr>
          <w:trHeight w:val="184"/>
        </w:trPr>
        <w:tc>
          <w:tcPr>
            <w:tcW w:w="7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 by Geographic Area:</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180" w:type="dxa"/>
            <w:vAlign w:val="bottom"/>
          </w:tcPr>
          <w:p>
            <w:pPr>
              <w:ind w:left="380"/>
              <w:spacing w:after="0"/>
              <w:rPr>
                <w:sz w:val="20"/>
                <w:szCs w:val="20"/>
                <w:color w:val="auto"/>
              </w:rPr>
            </w:pPr>
            <w:r>
              <w:rPr>
                <w:rFonts w:ascii="Arial" w:cs="Arial" w:eastAsia="Arial" w:hAnsi="Arial"/>
                <w:sz w:val="16"/>
                <w:szCs w:val="16"/>
                <w:color w:val="auto"/>
              </w:rPr>
              <w:t>Americas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244.0</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38.3</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205.7</w:t>
            </w:r>
          </w:p>
        </w:tc>
        <w:tc>
          <w:tcPr>
            <w:tcW w:w="0" w:type="dxa"/>
            <w:vAlign w:val="bottom"/>
          </w:tcPr>
          <w:p>
            <w:pPr>
              <w:spacing w:after="0"/>
              <w:rPr>
                <w:sz w:val="1"/>
                <w:szCs w:val="1"/>
                <w:color w:val="auto"/>
              </w:rPr>
            </w:pPr>
          </w:p>
        </w:tc>
      </w:tr>
      <w:tr>
        <w:trPr>
          <w:trHeight w:val="33"/>
        </w:trPr>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Europe, Middle East and Africa</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19.9</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225.5</w:t>
            </w:r>
          </w:p>
        </w:tc>
        <w:tc>
          <w:tcPr>
            <w:tcW w:w="0" w:type="dxa"/>
            <w:vAlign w:val="bottom"/>
          </w:tcPr>
          <w:p>
            <w:pPr>
              <w:spacing w:after="0"/>
              <w:rPr>
                <w:sz w:val="1"/>
                <w:szCs w:val="1"/>
                <w:color w:val="auto"/>
              </w:rPr>
            </w:pPr>
          </w:p>
        </w:tc>
      </w:tr>
      <w:tr>
        <w:trPr>
          <w:trHeight w:val="237"/>
        </w:trPr>
        <w:tc>
          <w:tcPr>
            <w:tcW w:w="7180" w:type="dxa"/>
            <w:vAlign w:val="bottom"/>
          </w:tcPr>
          <w:p>
            <w:pPr>
              <w:ind w:left="380"/>
              <w:spacing w:after="0"/>
              <w:rPr>
                <w:sz w:val="20"/>
                <w:szCs w:val="20"/>
                <w:color w:val="auto"/>
              </w:rPr>
            </w:pPr>
            <w:r>
              <w:rPr>
                <w:rFonts w:ascii="Arial" w:cs="Arial" w:eastAsia="Arial" w:hAnsi="Arial"/>
                <w:sz w:val="16"/>
                <w:szCs w:val="16"/>
                <w:color w:val="auto"/>
              </w:rPr>
              <w:t>Asia Pacific</w:t>
            </w:r>
          </w:p>
        </w:tc>
        <w:tc>
          <w:tcPr>
            <w:tcW w:w="12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157.1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161.3</w:t>
            </w:r>
          </w:p>
        </w:tc>
        <w:tc>
          <w:tcPr>
            <w:tcW w:w="0" w:type="dxa"/>
            <w:vAlign w:val="bottom"/>
          </w:tcPr>
          <w:p>
            <w:pPr>
              <w:spacing w:after="0"/>
              <w:rPr>
                <w:sz w:val="1"/>
                <w:szCs w:val="1"/>
                <w:color w:val="auto"/>
              </w:rPr>
            </w:pPr>
          </w:p>
        </w:tc>
      </w:tr>
      <w:tr>
        <w:trPr>
          <w:trHeight w:val="33"/>
        </w:trPr>
        <w:tc>
          <w:tcPr>
            <w:tcW w:w="7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646.5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54.0</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592.5</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40"/>
              <w:spacing w:after="0"/>
              <w:rPr>
                <w:sz w:val="20"/>
                <w:szCs w:val="20"/>
                <w:color w:val="auto"/>
              </w:rPr>
            </w:pPr>
            <w:r>
              <w:rPr>
                <w:rFonts w:ascii="Arial" w:cs="Arial" w:eastAsia="Arial" w:hAnsi="Arial"/>
                <w:sz w:val="16"/>
                <w:szCs w:val="16"/>
                <w:color w:val="auto"/>
              </w:rPr>
              <w:t>Net Revenue by Operating Segment:</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7180" w:type="dxa"/>
            <w:vAlign w:val="bottom"/>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236.7</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41.2</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195.5</w:t>
            </w:r>
          </w:p>
        </w:tc>
        <w:tc>
          <w:tcPr>
            <w:tcW w:w="0" w:type="dxa"/>
            <w:vAlign w:val="bottom"/>
          </w:tcPr>
          <w:p>
            <w:pPr>
              <w:spacing w:after="0"/>
              <w:rPr>
                <w:sz w:val="1"/>
                <w:szCs w:val="1"/>
                <w:color w:val="auto"/>
              </w:rPr>
            </w:pPr>
          </w:p>
        </w:tc>
      </w:tr>
      <w:tr>
        <w:trPr>
          <w:trHeight w:val="33"/>
        </w:trPr>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Platform Solutions and Emerging Business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211.9</w:t>
            </w:r>
          </w:p>
        </w:tc>
        <w:tc>
          <w:tcPr>
            <w:tcW w:w="0" w:type="dxa"/>
            <w:vAlign w:val="bottom"/>
          </w:tcPr>
          <w:p>
            <w:pPr>
              <w:spacing w:after="0"/>
              <w:rPr>
                <w:sz w:val="1"/>
                <w:szCs w:val="1"/>
                <w:color w:val="auto"/>
              </w:rPr>
            </w:pPr>
          </w:p>
        </w:tc>
      </w:tr>
      <w:tr>
        <w:trPr>
          <w:trHeight w:val="237"/>
        </w:trPr>
        <w:tc>
          <w:tcPr>
            <w:tcW w:w="7180" w:type="dxa"/>
            <w:vAlign w:val="bottom"/>
          </w:tcPr>
          <w:p>
            <w:pPr>
              <w:ind w:left="380"/>
              <w:spacing w:after="0"/>
              <w:rPr>
                <w:sz w:val="20"/>
                <w:szCs w:val="20"/>
                <w:color w:val="auto"/>
              </w:rPr>
            </w:pPr>
            <w:r>
              <w:rPr>
                <w:rFonts w:ascii="Arial" w:cs="Arial" w:eastAsia="Arial" w:hAnsi="Arial"/>
                <w:sz w:val="16"/>
                <w:szCs w:val="16"/>
                <w:color w:val="auto"/>
              </w:rPr>
              <w:t>Manufacturing</w:t>
            </w:r>
          </w:p>
        </w:tc>
        <w:tc>
          <w:tcPr>
            <w:tcW w:w="12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184.6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37.3</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147.3</w:t>
            </w:r>
          </w:p>
        </w:tc>
        <w:tc>
          <w:tcPr>
            <w:tcW w:w="0" w:type="dxa"/>
            <w:vAlign w:val="bottom"/>
          </w:tcPr>
          <w:p>
            <w:pPr>
              <w:spacing w:after="0"/>
              <w:rPr>
                <w:sz w:val="1"/>
                <w:szCs w:val="1"/>
                <w:color w:val="auto"/>
              </w:rPr>
            </w:pPr>
          </w:p>
        </w:tc>
      </w:tr>
      <w:tr>
        <w:trPr>
          <w:trHeight w:val="33"/>
        </w:trPr>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6 %</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44"/>
        </w:trPr>
        <w:tc>
          <w:tcPr>
            <w:tcW w:w="71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646.5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54.0</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592.5</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License and Other Revenue</w:t>
      </w:r>
    </w:p>
    <w:p>
      <w:pPr>
        <w:spacing w:after="0" w:line="22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License and other revenue consists of two components: (1) all forms of product license revenue and (2) other revenue. Product license revenue includes software license revenue from the sale of seat licenses, term-based licenses from our desktop subscription and enterprise offerings, and product revenue for Creative Finishing. Other revenue includes revenue from consulting, training, and Creative Finishing customer support, and is recognized over time as the services are performed.</w:t>
      </w:r>
    </w:p>
    <w:p>
      <w:pPr>
        <w:spacing w:after="0" w:line="18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License and other revenue increased 3% during the three months ended April 30, 2015, as compared to the three months ended April 30, 2014. This increase was primarily due to a 2% increase in product license revenue as compared to the same period in the prior fiscal year. The increase in product license revenue was due to a 13% increase in revenue from our suites products and a 59% increase in revenue from our new and adjacent products, partially offset by a 9% decrease in revenue from our flagship products.</w:t>
      </w:r>
    </w:p>
    <w:p>
      <w:pPr>
        <w:spacing w:after="0" w:line="187"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During the three months ended April 30, 2015, the 2% increase in product license revenue was due to a 13% increase in the number of seats sold, partially offset by an 11% decrease in the average net revenue per seat. Product license revenue, as a percentage of License and other revenue, was 89% and 91% for the three months ended April 30, 2015 and 2014, respectively.</w:t>
      </w:r>
    </w:p>
    <w:p>
      <w:pPr>
        <w:spacing w:after="0" w:line="181"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During the three months ended April 30, 2015, other revenue represented 11% of license and other revenue, and 5% of total net revenue. Other revenue increased by 15% during the three months ended April 30, 2015, as compared to the three months ended April 30, 2014. The increase is primarily due to a 15% increase in revenue from consulting and the positive effect of a full quarter of Delcam results, partially offset by a decrease in education revenue as a result of our strategic transition to offer software licenses to students, educators, and institutions for little or no fees.</w:t>
      </w:r>
    </w:p>
    <w:p>
      <w:pPr>
        <w:spacing w:after="0" w:line="171"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Backlog related to current software license product orders that had not shipped at the end of the quarter decreased by $32.2 million during the three months ended April 30, 2015 from $40.4 million at January 31, 2015 to $8.2 million at April 30, 2015. Backlog from current software license product orders that we have not yet shipped consists of orders for currently available licensed software products from customers with approved credit status.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0" w:right="239" w:bottom="1440" w:gutter="0" w:footer="0" w:header="0"/>
        </w:sectPr>
      </w:pPr>
    </w:p>
    <w:bookmarkStart w:id="32" w:name="page33"/>
    <w:bookmarkEnd w:id="32"/>
    <w:p>
      <w:pPr>
        <w:ind w:left="220"/>
        <w:spacing w:after="0"/>
        <w:rPr>
          <w:sz w:val="20"/>
          <w:szCs w:val="20"/>
          <w:color w:val="auto"/>
        </w:rPr>
      </w:pPr>
      <w:r>
        <w:rPr>
          <w:rFonts w:ascii="Arial" w:cs="Arial" w:eastAsia="Arial" w:hAnsi="Arial"/>
          <w:sz w:val="18"/>
          <w:szCs w:val="18"/>
          <w:i w:val="1"/>
          <w:iCs w:val="1"/>
          <w:color w:val="auto"/>
        </w:rPr>
        <w:t>Subscription Revenue</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Subscription revenue consists of three components: (1) maintenance revenue from our software products; (2) maintenance revenue from our term-based desktop subscription and enterprise offerings; and (3) revenue from our cloud service offerings. Our maintenance program provides our customers of software products with a cost effective and predictable budgetary option to 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ratably over the term of the maintenance agreement, which is generally between one and three years. Revenue for our cloud service offerings is recognized ratably over the contract term commencing with the date our service is made available to customers and all other revenue recognition criteria have been satisfied.</w:t>
      </w:r>
    </w:p>
    <w:p>
      <w:pPr>
        <w:spacing w:after="0" w:line="178"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Subscription revenue increased 16% during the three months ended April 30, 2015, as compared to the three months ended April 30, 2014, primarily due to a 13% increase in commercial maintenance revenue. The 13% increase in commercial maintenance revenue was due to a 13% increase in commercial enrollment, while net revenue per maintenance seat remained relatively flat during the corresponding maintenance contract term. Commercial maintenance revenue represented 93% and 95% of Subscription revenue for the three months ended April 30, 2015 and 2014, respectively.</w:t>
      </w:r>
    </w:p>
    <w:p>
      <w:pPr>
        <w:spacing w:after="0" w:line="15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Changes in subscription revenue lag changes in subscription billings. Subscription billings increased 3% during the three months ended April 30, 2015, as compared to the same period in the prior fiscal year primarily due to an increase in maintenance subscription billings.</w:t>
      </w:r>
    </w:p>
    <w:p>
      <w:pPr>
        <w:spacing w:after="0" w:line="170" w:lineRule="exact"/>
        <w:rPr>
          <w:sz w:val="20"/>
          <w:szCs w:val="20"/>
          <w:color w:val="auto"/>
        </w:rPr>
      </w:pPr>
    </w:p>
    <w:p>
      <w:pPr>
        <w:ind w:right="180" w:firstLine="432"/>
        <w:spacing w:after="0" w:line="308" w:lineRule="auto"/>
        <w:rPr>
          <w:sz w:val="20"/>
          <w:szCs w:val="20"/>
          <w:color w:val="auto"/>
        </w:rPr>
      </w:pPr>
      <w:r>
        <w:rPr>
          <w:rFonts w:ascii="Arial" w:cs="Arial" w:eastAsia="Arial" w:hAnsi="Arial"/>
          <w:sz w:val="17"/>
          <w:szCs w:val="17"/>
          <w:color w:val="auto"/>
        </w:rPr>
        <w:t>Our deferred subscription revenue balance at April 30, 2015 and January 31, 2015 was $930.1 million and $936.8 million, respectively, and primarily related to customer maintenance agreements, which will be recognized as revenue ratably over the term of the maintenance agreement.</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Geographic Area</w:t>
      </w:r>
    </w:p>
    <w:p>
      <w:pPr>
        <w:spacing w:after="0" w:line="225"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Net revenue in the Americas geography increased by 19% on an as reported basis and on a constant currency basis, during the three months ended April 30, 2015, as compared to the same period in the prior fiscal year. This increase was primarily due to a 21% increase in our suites revenue and a 31% increase in our new and adjacent product revenue in this geography during the three months ended April 30, 2015 as compared to the three months ended April 30, 2014. The increase in our revenue in this geography was led by the U.S.</w:t>
      </w:r>
    </w:p>
    <w:p>
      <w:pPr>
        <w:spacing w:after="0" w:line="187" w:lineRule="exact"/>
        <w:rPr>
          <w:sz w:val="20"/>
          <w:szCs w:val="20"/>
          <w:color w:val="auto"/>
        </w:rPr>
      </w:pPr>
    </w:p>
    <w:p>
      <w:pPr>
        <w:jc w:val="both"/>
        <w:ind w:right="340" w:firstLine="432"/>
        <w:spacing w:after="0" w:line="257" w:lineRule="auto"/>
        <w:rPr>
          <w:sz w:val="20"/>
          <w:szCs w:val="20"/>
          <w:color w:val="auto"/>
        </w:rPr>
      </w:pPr>
      <w:r>
        <w:rPr>
          <w:rFonts w:ascii="Arial" w:cs="Arial" w:eastAsia="Arial" w:hAnsi="Arial"/>
          <w:sz w:val="18"/>
          <w:szCs w:val="18"/>
          <w:color w:val="auto"/>
        </w:rPr>
        <w:t>Net revenue in the EMEA geography increased by 9% on an as reported basis and 15% on a constant currency basis during the three months ended April 30, 2015 as compared to the same period in the prior fiscal year. This increase was primarily due to a 14% increase in our suites revenue and a 34% increase in our new and adjacent product revenue in this geography during the three months ended April 30, 2015 as compared to the three months ended April 30, 2014. The increase in our revenue in this geography was led by Ireland and the United Kingdom, partially offset by a decrease in revenue from Russia.</w:t>
      </w:r>
    </w:p>
    <w:p>
      <w:pPr>
        <w:spacing w:after="0" w:line="18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Net revenue in the APAC geography decreased by 3% on an as reported basis and increased by 2% on a constant currency basis during the three months ended April 30, 2015 as compared to the same period in the prior fiscal year. The decrease was primarily due to an 8% decrease in our flagship products, partially offset by an 18% increase in our new and adjacent product revenue in this geography during the three months ended April 30, 2015 as compared to the three months ended April 30, 2014. The growth in revenue from most countries in this geography, led by China, was more than offset by a 25% decline in revenue from Japan due to unfavorable economic conditions during the three months ended April 30, 2015 as compared to the same period in the prior fiscal year.</w:t>
      </w:r>
    </w:p>
    <w:p>
      <w:pPr>
        <w:spacing w:after="0" w:line="193"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Net revenue in emerging economies increased by 17% during the three months ended April 30, 2015 as compared to the same period in the prior fiscal year, primarily due to increases in revenue from China and Mexico, partially offset by a decrease in revenue from Russia. Revenue from emerging economies represented 14% and 13% of net revenue for the three months ended April 30, 2015 and 2014, respectively.</w:t>
      </w:r>
    </w:p>
    <w:p>
      <w:pPr>
        <w:spacing w:after="0" w:line="166" w:lineRule="exact"/>
        <w:rPr>
          <w:sz w:val="20"/>
          <w:szCs w:val="20"/>
          <w:color w:val="auto"/>
        </w:rPr>
      </w:pPr>
    </w:p>
    <w:p>
      <w:pPr>
        <w:jc w:val="both"/>
        <w:ind w:right="260" w:firstLine="432"/>
        <w:spacing w:after="0" w:line="259" w:lineRule="auto"/>
        <w:rPr>
          <w:sz w:val="20"/>
          <w:szCs w:val="20"/>
          <w:color w:val="auto"/>
        </w:rPr>
      </w:pPr>
      <w:r>
        <w:rPr>
          <w:rFonts w:ascii="Arial" w:cs="Arial" w:eastAsia="Arial" w:hAnsi="Arial"/>
          <w:sz w:val="18"/>
          <w:szCs w:val="18"/>
          <w:color w:val="auto"/>
        </w:rPr>
        <w:t>International net revenue represented 69% and 71% of our net revenue for the three months ended April 30, 2015 and 2014, respectively. We believe that international revenue will continue to comprise a majority of our net revenue. Changes in the value of the U.S. dollar relative to other currencies have significantly affected, and could continue to significantly affect, our financial results for a given period even though we hedge a portion of our current and projected revenue. Additionally,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84" w:right="259" w:bottom="1440" w:gutter="0" w:footer="0" w:header="0"/>
        </w:sectPr>
      </w:pPr>
    </w:p>
    <w:bookmarkStart w:id="33" w:name="page34"/>
    <w:bookmarkEnd w:id="33"/>
    <w:p>
      <w:pPr>
        <w:ind w:right="100"/>
        <w:spacing w:after="0" w:line="277" w:lineRule="auto"/>
        <w:rPr>
          <w:sz w:val="20"/>
          <w:szCs w:val="20"/>
          <w:color w:val="auto"/>
        </w:rPr>
      </w:pPr>
      <w:r>
        <w:rPr>
          <w:rFonts w:ascii="Arial" w:cs="Arial" w:eastAsia="Arial" w:hAnsi="Arial"/>
          <w:sz w:val="18"/>
          <w:szCs w:val="18"/>
          <w:color w:val="auto"/>
        </w:rPr>
        <w:t>weak global economic conditions that have been characterized by restructuring of sovereign debt, high unemployment, and volatility in the financial markets may impact our future financial results.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Operating Segment</w:t>
      </w:r>
    </w:p>
    <w:p>
      <w:pPr>
        <w:spacing w:after="0" w:line="22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 have four reportable segments: AEC, Platform Solutions and Emerging Business (“PSEB”), MFG, and M&amp;E. We have no material inter-segment revenue.</w:t>
      </w:r>
    </w:p>
    <w:p>
      <w:pPr>
        <w:spacing w:after="0" w:line="170"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During the three months ended April 30, 2015, net revenue for AEC increased by 21% as compared to the same period in the prior fiscal year primarily due to strong growth from our AEC suites, which was primarily driven by Autodesk Building Design Suite and Autodesk Infrastructure Design Suite.</w:t>
      </w:r>
    </w:p>
    <w:p>
      <w:pPr>
        <w:spacing w:after="0" w:line="124"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During the three months ended April 30, 2015, net revenue for PSEB decreased by 13% as compared to the same period in the prior fiscal year primarily due to a decrease in revenue from AutoCAD LT.</w:t>
      </w:r>
    </w:p>
    <w:p>
      <w:pPr>
        <w:spacing w:after="0" w:line="17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During the three months ended April 30, 2015, net revenue for MFG increased by 25% as compared to the same period of the prior fiscal year primarily due to the inclusion of a full quarter of Delcam operating results during the current period. Also contributing to the increase in net revenue for MFG was strong growth from our flagship product AutoCAD Mechanical, in addition to growth in our MFG suites.</w:t>
      </w:r>
    </w:p>
    <w:p>
      <w:pPr>
        <w:spacing w:after="0" w:line="18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During the three months ended April 30, 2015, net revenue for M&amp;E increased by 6% as compared to the same period in the prior fiscal year primarily due to an increase in revenue from Animation, which was primarily driven by our flagship products Maya and 3ds Max.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Revenue and Operating Expenses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4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Increase compared to</w:t>
            </w: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92"/>
        </w:trPr>
        <w:tc>
          <w:tcPr>
            <w:tcW w:w="6660" w:type="dxa"/>
            <w:vAlign w:val="bottom"/>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66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22"/>
                <w:szCs w:val="22"/>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April 30, 2015</w:t>
            </w:r>
          </w:p>
        </w:tc>
        <w:tc>
          <w:tcPr>
            <w:tcW w:w="160" w:type="dxa"/>
            <w:vAlign w:val="bottom"/>
          </w:tcPr>
          <w:p>
            <w:pPr>
              <w:spacing w:after="0"/>
              <w:rPr>
                <w:sz w:val="22"/>
                <w:szCs w:val="22"/>
                <w:color w:val="auto"/>
              </w:rPr>
            </w:pPr>
          </w:p>
        </w:tc>
        <w:tc>
          <w:tcPr>
            <w:tcW w:w="620" w:type="dxa"/>
            <w:vAlign w:val="bottom"/>
          </w:tcPr>
          <w:p>
            <w:pPr>
              <w:jc w:val="right"/>
              <w:ind w:right="283"/>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ind w:right="181"/>
              <w:spacing w:after="0"/>
              <w:rPr>
                <w:sz w:val="20"/>
                <w:szCs w:val="20"/>
                <w:color w:val="auto"/>
              </w:rPr>
            </w:pPr>
            <w:r>
              <w:rPr>
                <w:rFonts w:ascii="Arial" w:cs="Arial" w:eastAsia="Arial" w:hAnsi="Arial"/>
                <w:sz w:val="14"/>
                <w:szCs w:val="14"/>
                <w:b w:val="1"/>
                <w:bCs w:val="1"/>
                <w:color w:val="auto"/>
              </w:rPr>
              <w:t>April 30, 2014</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6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66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01"/>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3"/>
              <w:spacing w:after="0"/>
              <w:rPr>
                <w:sz w:val="20"/>
                <w:szCs w:val="20"/>
                <w:color w:val="auto"/>
              </w:rPr>
            </w:pPr>
            <w:r>
              <w:rPr>
                <w:rFonts w:ascii="Arial" w:cs="Arial" w:eastAsia="Arial" w:hAnsi="Arial"/>
                <w:sz w:val="16"/>
                <w:szCs w:val="16"/>
                <w:color w:val="auto"/>
              </w:rPr>
              <w:t>3.8</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33"/>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9.3</w:t>
            </w: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84"/>
        </w:trPr>
        <w:tc>
          <w:tcPr>
            <w:tcW w:w="666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rPr>
              <w:t>91.8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13.1</w:t>
            </w:r>
          </w:p>
        </w:tc>
        <w:tc>
          <w:tcPr>
            <w:tcW w:w="9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224"/>
        </w:trPr>
        <w:tc>
          <w:tcPr>
            <w:tcW w:w="6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 a percentage of net revenue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66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Cost of license and other revenue includes labor costs associated with product setup and fulfillment and costs of consulting and training services contracts and collaborative project management services contracts. Cost of license and other revenue also includes stock-based compensation expense, direct material and overhead charges, amortization of developed technology, professional services fees and royalties. Direct material and overhead charges include the cost of hardware sold (mainly PC-based workstations for Creative Finishing in the M&amp;E segment), costs associated with transferring our software to electronic media, physical media, packaging materials and shipping and handling costs.</w:t>
      </w:r>
    </w:p>
    <w:p>
      <w:pPr>
        <w:spacing w:after="0" w:line="173"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Cost of license and other revenue increased 8% for the three months ended April 30, 2015 as compared to the same period in the prior fiscal year primarily due to an increase in division product costs including royalty fees in support of our business growth and an increase in Delcam related costs as a product of including a full quarter of results.</w:t>
      </w:r>
    </w:p>
    <w:p>
      <w:pPr>
        <w:spacing w:after="0" w:line="181"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Cost of subscription revenue includes the labor costs of providing product support to our maintenance and cloud subscription customers, including rent and occupancy, shipping and handling costs, professional services fees related to operating our network and cloud infrastructure, including depreciation expense and operating lease payments associated with computer equipment, data center costs, salaries and related expenses of network operations.</w:t>
      </w:r>
    </w:p>
    <w:p>
      <w:pPr>
        <w:spacing w:after="0" w:line="147"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Cost of subscription revenue increased 32% during the three months ended April 30, 2015 as compared to the same period in the prior fiscal year primarily due to an increase in maintenance costs driven by increased employee headcount, and an increase in cloud and hosting related costs as a result of our business model transition.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ind w:right="20" w:firstLine="432"/>
        <w:spacing w:after="0" w:line="264" w:lineRule="auto"/>
        <w:rPr>
          <w:sz w:val="20"/>
          <w:szCs w:val="20"/>
          <w:color w:val="auto"/>
        </w:rPr>
      </w:pPr>
      <w:r>
        <w:rPr>
          <w:rFonts w:ascii="Arial" w:cs="Arial" w:eastAsia="Arial" w:hAnsi="Arial"/>
          <w:sz w:val="18"/>
          <w:szCs w:val="18"/>
          <w:color w:val="auto"/>
        </w:rPr>
        <w:t>Cost of revenue, at least over the near term, is affected by the volume and mix of product sales, mix of physical versus electronic fulfillment, fluctuations in consulting costs, amortization of developed technology, new customer support offerings, royalty rates for licensed technology embedded in our products and employee stock-based compensation expense.</w:t>
      </w:r>
    </w:p>
    <w:p>
      <w:pPr>
        <w:spacing w:after="0" w:line="18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expect cost of revenue to increase in absolute dollars and slightly increase as a percentage of net revenue during the second quarter of fiscal 2016, as compared to the second quarter of fiscal 2015.</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Marketing and Sales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w:t>
            </w:r>
          </w:p>
        </w:tc>
        <w:tc>
          <w:tcPr>
            <w:tcW w:w="200" w:type="dxa"/>
            <w:vAlign w:val="bottom"/>
          </w:tcPr>
          <w:p>
            <w:pPr>
              <w:spacing w:after="0"/>
              <w:rPr>
                <w:sz w:val="14"/>
                <w:szCs w:val="14"/>
                <w:color w:val="auto"/>
              </w:rPr>
            </w:pPr>
          </w:p>
        </w:tc>
        <w:tc>
          <w:tcPr>
            <w:tcW w:w="19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Increase compared to</w:t>
            </w:r>
          </w:p>
        </w:tc>
        <w:tc>
          <w:tcPr>
            <w:tcW w:w="1040" w:type="dxa"/>
            <w:vAlign w:val="bottom"/>
          </w:tcPr>
          <w:p>
            <w:pPr>
              <w:jc w:val="center"/>
              <w:ind w:right="64"/>
              <w:spacing w:after="0"/>
              <w:rPr>
                <w:sz w:val="20"/>
                <w:szCs w:val="20"/>
                <w:color w:val="auto"/>
              </w:rPr>
            </w:pPr>
            <w:r>
              <w:rPr>
                <w:rFonts w:ascii="Arial" w:cs="Arial" w:eastAsia="Arial" w:hAnsi="Arial"/>
                <w:sz w:val="14"/>
                <w:szCs w:val="14"/>
                <w:b w:val="1"/>
                <w:bCs w:val="1"/>
                <w:color w:val="auto"/>
                <w:w w:val="93"/>
              </w:rPr>
              <w:t>Three Months</w:t>
            </w:r>
          </w:p>
        </w:tc>
      </w:tr>
      <w:tr>
        <w:trPr>
          <w:trHeight w:val="192"/>
        </w:trPr>
        <w:tc>
          <w:tcPr>
            <w:tcW w:w="7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83"/>
              <w:spacing w:after="0"/>
              <w:rPr>
                <w:sz w:val="20"/>
                <w:szCs w:val="20"/>
                <w:color w:val="auto"/>
              </w:rPr>
            </w:pPr>
            <w:r>
              <w:rPr>
                <w:rFonts w:ascii="Arial" w:cs="Arial" w:eastAsia="Arial" w:hAnsi="Arial"/>
                <w:sz w:val="14"/>
                <w:szCs w:val="14"/>
                <w:b w:val="1"/>
                <w:bCs w:val="1"/>
                <w:color w:val="auto"/>
                <w:w w:val="93"/>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5"/>
              </w:rPr>
              <w:t>April 30, 2015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5"/>
              </w:rPr>
              <w:t>April 30, 2014</w:t>
            </w:r>
          </w:p>
        </w:tc>
      </w:tr>
      <w:tr>
        <w:trPr>
          <w:trHeight w:val="236"/>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253.9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13%  $</w:t>
            </w:r>
          </w:p>
        </w:tc>
        <w:tc>
          <w:tcPr>
            <w:tcW w:w="10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225.4</w:t>
            </w:r>
          </w:p>
        </w:tc>
      </w:tr>
      <w:tr>
        <w:trPr>
          <w:trHeight w:val="237"/>
        </w:trPr>
        <w:tc>
          <w:tcPr>
            <w:tcW w:w="700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w:t>
            </w:r>
          </w:p>
        </w:tc>
      </w:tr>
    </w:tbl>
    <w:p>
      <w:pPr>
        <w:spacing w:after="0" w:line="235"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Marketing and sales expenses include salaries, bonuses, benefits and stock-based compensation expense for our marketing and sales employees, the expense of travel, entertainment and training for such personnel, the costs of programs aimed at increasing revenue, such as advertising, trade shows and expositions, and various sales and promotional programs. Marketing and sales expenses also include labor costs associated with sales and order processing, sales and dealer commissions, rent and occupancy, and the cost of supplies and equipment.</w:t>
      </w:r>
    </w:p>
    <w:p>
      <w:pPr>
        <w:spacing w:after="0" w:line="171"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Marketing and sales expenses increased 13% for the three months ended April 30, 2015 as compared to the same periods in the prior fiscal year, primarily due to increased employee-related costs from salaries, fringe benefits, and bonus predominately driven by increased headcount from acquisitions such as Delcam.</w:t>
      </w:r>
    </w:p>
    <w:p>
      <w:pPr>
        <w:spacing w:after="0" w:line="18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For the second quarter of fiscal 2016, as compared to the second quarter of fiscal 2015, we expect marketing and sales expense to slightly increase in absolute dollars and as a percentage of net revenue.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and Development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220" w:type="dxa"/>
            <w:vAlign w:val="bottom"/>
          </w:tcPr>
          <w:p>
            <w:pPr>
              <w:spacing w:after="0"/>
              <w:rPr>
                <w:sz w:val="14"/>
                <w:szCs w:val="14"/>
                <w:color w:val="auto"/>
              </w:rPr>
            </w:pPr>
          </w:p>
        </w:tc>
        <w:tc>
          <w:tcPr>
            <w:tcW w:w="1980" w:type="dxa"/>
            <w:vAlign w:val="bottom"/>
            <w:gridSpan w:val="5"/>
          </w:tcPr>
          <w:p>
            <w:pPr>
              <w:ind w:left="120"/>
              <w:spacing w:after="0"/>
              <w:rPr>
                <w:sz w:val="20"/>
                <w:szCs w:val="20"/>
                <w:color w:val="auto"/>
              </w:rPr>
            </w:pPr>
            <w:r>
              <w:rPr>
                <w:rFonts w:ascii="Arial" w:cs="Arial" w:eastAsia="Arial" w:hAnsi="Arial"/>
                <w:sz w:val="14"/>
                <w:szCs w:val="14"/>
                <w:b w:val="1"/>
                <w:bCs w:val="1"/>
                <w:color w:val="auto"/>
              </w:rPr>
              <w:t>Increase compared to</w:t>
            </w:r>
          </w:p>
        </w:tc>
        <w:tc>
          <w:tcPr>
            <w:tcW w:w="1040" w:type="dxa"/>
            <w:vAlign w:val="bottom"/>
          </w:tcPr>
          <w:p>
            <w:pPr>
              <w:jc w:val="center"/>
              <w:ind w:right="64"/>
              <w:spacing w:after="0"/>
              <w:rPr>
                <w:sz w:val="20"/>
                <w:szCs w:val="20"/>
                <w:color w:val="auto"/>
              </w:rPr>
            </w:pPr>
            <w:r>
              <w:rPr>
                <w:rFonts w:ascii="Arial" w:cs="Arial" w:eastAsia="Arial" w:hAnsi="Arial"/>
                <w:sz w:val="14"/>
                <w:szCs w:val="14"/>
                <w:b w:val="1"/>
                <w:bCs w:val="1"/>
                <w:color w:val="auto"/>
                <w:w w:val="93"/>
              </w:rPr>
              <w:t>Three Months</w:t>
            </w:r>
          </w:p>
        </w:tc>
      </w:tr>
      <w:tr>
        <w:trPr>
          <w:trHeight w:val="192"/>
        </w:trPr>
        <w:tc>
          <w:tcPr>
            <w:tcW w:w="6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69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7"/>
              </w:rPr>
              <w:t>April 30, 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5"/>
              </w:rPr>
              <w:t>April 30, 2014</w:t>
            </w:r>
          </w:p>
        </w:tc>
      </w:tr>
      <w:tr>
        <w:trPr>
          <w:trHeight w:val="236"/>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194.5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14%  $</w:t>
            </w:r>
          </w:p>
        </w:tc>
        <w:tc>
          <w:tcPr>
            <w:tcW w:w="10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170.5</w:t>
            </w:r>
          </w:p>
        </w:tc>
      </w:tr>
      <w:tr>
        <w:trPr>
          <w:trHeight w:val="237"/>
        </w:trPr>
        <w:tc>
          <w:tcPr>
            <w:tcW w:w="690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r>
    </w:tbl>
    <w:p>
      <w:pPr>
        <w:spacing w:after="0" w:line="235"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rent and occupancy, and professional services such as fees paid to software development firms and independent contractors.</w:t>
      </w:r>
    </w:p>
    <w:p>
      <w:pPr>
        <w:spacing w:after="0" w:line="18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Research and development expenses increased 14% during the three months ended April 30, 2015, as compared to the same periods in the prior fiscal year, primarily due to increased employee-related costs from salaries and fringe benefits predominately driven by increased headcount from acquisitions such as Delcam.</w:t>
      </w:r>
    </w:p>
    <w:p>
      <w:pPr>
        <w:spacing w:after="0" w:line="18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For the second quarter of fiscal 2016, as compared to the second quarter of fiscal 2015, we expect research and development expense to increase in absolute dollars and slightly increase as a percentage of net revenue.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ind w:left="220"/>
        <w:spacing w:after="0"/>
        <w:rPr>
          <w:sz w:val="20"/>
          <w:szCs w:val="20"/>
          <w:color w:val="auto"/>
        </w:rPr>
      </w:pPr>
      <w:r>
        <w:rPr>
          <w:rFonts w:ascii="Arial" w:cs="Arial" w:eastAsia="Arial" w:hAnsi="Arial"/>
          <w:sz w:val="18"/>
          <w:szCs w:val="18"/>
          <w:i w:val="1"/>
          <w:iCs w:val="1"/>
          <w:color w:val="auto"/>
        </w:rPr>
        <w:t>General and Administrative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80" w:type="dxa"/>
            <w:vAlign w:val="bottom"/>
          </w:tcPr>
          <w:p>
            <w:pPr>
              <w:spacing w:after="0"/>
              <w:rPr>
                <w:sz w:val="14"/>
                <w:szCs w:val="14"/>
                <w:color w:val="auto"/>
              </w:rPr>
            </w:pPr>
          </w:p>
        </w:tc>
        <w:tc>
          <w:tcPr>
            <w:tcW w:w="19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6"/>
              </w:rPr>
              <w:t>Increase compared to</w:t>
            </w:r>
          </w:p>
        </w:tc>
        <w:tc>
          <w:tcPr>
            <w:tcW w:w="1040" w:type="dxa"/>
            <w:vAlign w:val="bottom"/>
          </w:tcPr>
          <w:p>
            <w:pPr>
              <w:jc w:val="center"/>
              <w:ind w:right="64"/>
              <w:spacing w:after="0"/>
              <w:rPr>
                <w:sz w:val="20"/>
                <w:szCs w:val="20"/>
                <w:color w:val="auto"/>
              </w:rPr>
            </w:pPr>
            <w:r>
              <w:rPr>
                <w:rFonts w:ascii="Arial" w:cs="Arial" w:eastAsia="Arial" w:hAnsi="Arial"/>
                <w:sz w:val="14"/>
                <w:szCs w:val="14"/>
                <w:b w:val="1"/>
                <w:bCs w:val="1"/>
                <w:color w:val="auto"/>
                <w:w w:val="93"/>
              </w:rPr>
              <w:t>Three Months</w:t>
            </w:r>
          </w:p>
        </w:tc>
      </w:tr>
      <w:tr>
        <w:trPr>
          <w:trHeight w:val="192"/>
        </w:trPr>
        <w:tc>
          <w:tcPr>
            <w:tcW w:w="7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343"/>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70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5"/>
              </w:rPr>
              <w:t>April 30, 2015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5"/>
              </w:rPr>
              <w:t>April 30, 2014</w:t>
            </w:r>
          </w:p>
        </w:tc>
      </w:tr>
      <w:tr>
        <w:trPr>
          <w:trHeight w:val="236"/>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75.9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21%  $</w:t>
            </w:r>
          </w:p>
        </w:tc>
        <w:tc>
          <w:tcPr>
            <w:tcW w:w="10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62.5</w:t>
            </w:r>
          </w:p>
        </w:tc>
      </w:tr>
      <w:tr>
        <w:trPr>
          <w:trHeight w:val="237"/>
        </w:trPr>
        <w:tc>
          <w:tcPr>
            <w:tcW w:w="702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r>
    </w:tbl>
    <w:p>
      <w:pPr>
        <w:spacing w:after="0" w:line="23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General and administrative expenses include salaries, bonuses, benefits and stock-based compensation expense for our finance, human resources and legal employees, as well as professional fees for legal and accounting services, gains and losses on our operating expense cash flow hedges, expense of travel, entertainment and training, expense of communication and the cost of supplies and equipment.</w:t>
      </w:r>
    </w:p>
    <w:p>
      <w:pPr>
        <w:spacing w:after="0" w:line="181"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General and administrative expenses increased 21% during the three months ended April 30, 2015, as compared to the same period in the prior fiscal year, primarily due to increased employee-related costs from salaries, fringe benefits, and bonus predominately driven by increased headcount from acquisitions such as Delcam.</w:t>
      </w:r>
    </w:p>
    <w:p>
      <w:pPr>
        <w:spacing w:after="0" w:line="181"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For the second quarter of fiscal 2016, as compared to the second quarter of fiscal 2015, we expect general and administrative expenses to slightly increase in absolute dollars and remain relatively flat as a percentage of net revenue.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Amortization of Purchased Intangibles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w:t>
            </w:r>
          </w:p>
        </w:tc>
        <w:tc>
          <w:tcPr>
            <w:tcW w:w="200" w:type="dxa"/>
            <w:vAlign w:val="bottom"/>
          </w:tcPr>
          <w:p>
            <w:pPr>
              <w:spacing w:after="0"/>
              <w:rPr>
                <w:sz w:val="14"/>
                <w:szCs w:val="14"/>
                <w:color w:val="auto"/>
              </w:rPr>
            </w:pPr>
          </w:p>
        </w:tc>
        <w:tc>
          <w:tcPr>
            <w:tcW w:w="19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4"/>
              </w:rPr>
              <w:t>Decrease compared to</w:t>
            </w:r>
          </w:p>
        </w:tc>
        <w:tc>
          <w:tcPr>
            <w:tcW w:w="1040" w:type="dxa"/>
            <w:vAlign w:val="bottom"/>
          </w:tcPr>
          <w:p>
            <w:pPr>
              <w:jc w:val="center"/>
              <w:ind w:right="64"/>
              <w:spacing w:after="0"/>
              <w:rPr>
                <w:sz w:val="20"/>
                <w:szCs w:val="20"/>
                <w:color w:val="auto"/>
              </w:rPr>
            </w:pPr>
            <w:r>
              <w:rPr>
                <w:rFonts w:ascii="Arial" w:cs="Arial" w:eastAsia="Arial" w:hAnsi="Arial"/>
                <w:sz w:val="14"/>
                <w:szCs w:val="14"/>
                <w:b w:val="1"/>
                <w:bCs w:val="1"/>
                <w:color w:val="auto"/>
                <w:w w:val="93"/>
              </w:rPr>
              <w:t>Three Months</w:t>
            </w:r>
          </w:p>
        </w:tc>
      </w:tr>
      <w:tr>
        <w:trPr>
          <w:trHeight w:val="192"/>
        </w:trPr>
        <w:tc>
          <w:tcPr>
            <w:tcW w:w="6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63"/>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69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5"/>
              </w:rPr>
              <w:t>April 30, 2015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5"/>
              </w:rPr>
              <w:t>April 30, 2014</w:t>
            </w:r>
          </w:p>
        </w:tc>
      </w:tr>
      <w:tr>
        <w:trPr>
          <w:trHeight w:val="236"/>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purchased intangibles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(18)%  $</w:t>
            </w:r>
          </w:p>
        </w:tc>
        <w:tc>
          <w:tcPr>
            <w:tcW w:w="10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10.9</w:t>
            </w:r>
          </w:p>
        </w:tc>
      </w:tr>
      <w:tr>
        <w:trPr>
          <w:trHeight w:val="237"/>
        </w:trPr>
        <w:tc>
          <w:tcPr>
            <w:tcW w:w="696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235" w:lineRule="exact"/>
        <w:rPr>
          <w:sz w:val="20"/>
          <w:szCs w:val="20"/>
          <w:color w:val="auto"/>
        </w:rPr>
      </w:pPr>
    </w:p>
    <w:p>
      <w:pPr>
        <w:jc w:val="both"/>
        <w:ind w:right="40" w:firstLine="432"/>
        <w:spacing w:after="0" w:line="308" w:lineRule="auto"/>
        <w:rPr>
          <w:sz w:val="20"/>
          <w:szCs w:val="20"/>
          <w:color w:val="auto"/>
        </w:rPr>
      </w:pPr>
      <w:r>
        <w:rPr>
          <w:rFonts w:ascii="Arial" w:cs="Arial" w:eastAsia="Arial" w:hAnsi="Arial"/>
          <w:sz w:val="17"/>
          <w:szCs w:val="17"/>
          <w:color w:val="auto"/>
        </w:rPr>
        <w:t>Amortization of purchased intangibles decreased 18% during the three months ended April 30, 2015, as compared to the same periods in the prior fiscal year, primarily related to the accumulated effects associated with amortization expense of intangible assets purchased over time.</w:t>
      </w:r>
    </w:p>
    <w:p>
      <w:pPr>
        <w:spacing w:after="0" w:line="14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For the second quarter of fiscal 2016, as compared to the second quarter of fiscal 2015, we expect amortization of purchased intangibles to decrease in absolute dollars and remain flat as a percentage of net revenue.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 Charges, Net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w:t>
            </w:r>
          </w:p>
        </w:tc>
        <w:tc>
          <w:tcPr>
            <w:tcW w:w="216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Decrease compared to</w:t>
            </w:r>
          </w:p>
        </w:tc>
        <w:tc>
          <w:tcPr>
            <w:tcW w:w="1140" w:type="dxa"/>
            <w:vAlign w:val="bottom"/>
          </w:tcPr>
          <w:p>
            <w:pPr>
              <w:jc w:val="center"/>
              <w:ind w:right="84"/>
              <w:spacing w:after="0"/>
              <w:rPr>
                <w:sz w:val="20"/>
                <w:szCs w:val="20"/>
                <w:color w:val="auto"/>
              </w:rPr>
            </w:pPr>
            <w:r>
              <w:rPr>
                <w:rFonts w:ascii="Arial" w:cs="Arial" w:eastAsia="Arial" w:hAnsi="Arial"/>
                <w:sz w:val="14"/>
                <w:szCs w:val="14"/>
                <w:b w:val="1"/>
                <w:bCs w:val="1"/>
                <w:color w:val="auto"/>
                <w:w w:val="93"/>
              </w:rPr>
              <w:t>Three Months</w:t>
            </w:r>
          </w:p>
        </w:tc>
      </w:tr>
      <w:tr>
        <w:trPr>
          <w:trHeight w:val="192"/>
        </w:trPr>
        <w:tc>
          <w:tcPr>
            <w:tcW w:w="6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9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5"/>
              </w:rPr>
              <w:t>April 30, 2015</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5"/>
              </w:rPr>
              <w:t>April 30, 2014</w:t>
            </w:r>
          </w:p>
        </w:tc>
      </w:tr>
      <w:tr>
        <w:trPr>
          <w:trHeight w:val="236"/>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charges,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(2.3)</w:t>
            </w:r>
          </w:p>
        </w:tc>
        <w:tc>
          <w:tcPr>
            <w:tcW w:w="4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(100)%  $</w:t>
            </w:r>
          </w:p>
        </w:tc>
        <w:tc>
          <w:tcPr>
            <w:tcW w:w="11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2.3</w:t>
            </w:r>
          </w:p>
        </w:tc>
      </w:tr>
      <w:tr>
        <w:trPr>
          <w:trHeight w:val="237"/>
        </w:trPr>
        <w:tc>
          <w:tcPr>
            <w:tcW w:w="672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60" w:type="dxa"/>
            <w:vAlign w:val="bottom"/>
          </w:tcPr>
          <w:p>
            <w:pPr>
              <w:spacing w:after="0"/>
              <w:rPr>
                <w:sz w:val="20"/>
                <w:szCs w:val="20"/>
                <w:color w:val="auto"/>
              </w:rPr>
            </w:pPr>
          </w:p>
        </w:tc>
        <w:tc>
          <w:tcPr>
            <w:tcW w:w="12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35" w:lineRule="exact"/>
        <w:rPr>
          <w:sz w:val="20"/>
          <w:szCs w:val="20"/>
          <w:color w:val="auto"/>
        </w:rPr>
      </w:pPr>
    </w:p>
    <w:p>
      <w:pPr>
        <w:jc w:val="both"/>
        <w:ind w:right="240" w:firstLine="405"/>
        <w:spacing w:after="0" w:line="312" w:lineRule="auto"/>
        <w:rPr>
          <w:sz w:val="20"/>
          <w:szCs w:val="20"/>
          <w:color w:val="auto"/>
        </w:rPr>
      </w:pPr>
      <w:r>
        <w:rPr>
          <w:rFonts w:ascii="Arial" w:cs="Arial" w:eastAsia="Arial" w:hAnsi="Arial"/>
          <w:sz w:val="16"/>
          <w:szCs w:val="16"/>
          <w:color w:val="auto"/>
        </w:rPr>
        <w:t>During the third quarter of fiscal 2014, the Board of Directors approved a world-wide restructuring plan in order to re-balance staffing levels to better align them with the evolving needs of the business. The restructuring plan included a reduction of approximately 85 positions and the consolidation of four leased facilities, with a total cost of approximately $15.0 million. We have substantially completed the actions authorized under this plan.</w:t>
      </w:r>
    </w:p>
    <w:p>
      <w:pPr>
        <w:spacing w:after="0" w:line="147"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We recorded no restructuring charge during the three months ended April 30, 2015. See Note 13, “Restructuring,” in the Notes to the Condensed Consolidated Financial Statements for further discussion.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ind w:left="260"/>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interest and other income (expense), net: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Three Months Ended April 30,</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investment expense, net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Loss on foreign currency</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(loss) on strategic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36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2.6</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 net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Interest and other income (expense), net increased $6.9 million during the three months ended April 30, 2015 as compared to the same period in the prior fiscal year primarily due to gains recognized on the derivative portion on certain of our strategic investments that are marked-to-market each period, and a decrease in losses on foreign currency contracts.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Interest and investment income fluctuates based on average cash, marketable securities and debt balances, average maturities and interest rates.</w:t>
      </w:r>
    </w:p>
    <w:p>
      <w:pPr>
        <w:spacing w:after="0" w:line="23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8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effective tax rate was 12% during the three months ended April 30, 2015, compared to 21% during the three months ended April 30, 2014. Our effective tax rate decreased 9% during the three months ended April 30, 2015 as compared to the same period in the prior fiscal year primarily due to greater tax rate benefits from foreign earnings and state research credits, partially offset by tax rate detriments from accrual for uncertain tax positions and stock-based compensation expense. Excluding the impact of discrete tax items, the effective tax rate for three months ended April 30, 2015 was 27% and was lower than the Federal statutory tax rate of 35%, primarily due to foreign income taxed at lower rates partially offset by the impact of non-deductible stock based compensation expense and accrual for uncertain tax positions.</w:t>
      </w:r>
    </w:p>
    <w:p>
      <w:pPr>
        <w:spacing w:after="0" w:line="193"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accounting for uncertain tax positions, business combinations, U.S. Manufacturer's deduction, closure of statute of limitations or settlement of tax audits, changes in valuation allowances and changes in tax laws including possible U.S. tax law changes that, if enacted, could significantly impact how U.S. multinational companies are taxed on foreign subsidiary earnings. A significant amount of our earnings is generated by our Europe and Asia Pacific subsidiaries. Our future effective tax rates may be adversely affected to the extent earnings are lower than anticipated in countries where we have lower statutory tax rates or we repatriate certain foreign earnings on which U.S. taxes have not previously been provided.</w:t>
      </w:r>
    </w:p>
    <w:p>
      <w:pPr>
        <w:spacing w:after="0" w:line="178"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At April 30, 2015, we had net deferred tax assets of $188.0 million. We believe that we will generate sufficient future taxable income in appropriate tax jurisdictions to realize these assets.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addition to our results determined under U.S. generally accepted accounting principles (“GAAP”) discussed above, we believe the following non-GAAP measures are useful to investors in evaluating our operating performance. For the three months ended April 30, 2015 and 2014, our gross profit, gross margin, income from operations, operating margin, net income and diluted earnings per share on a GAAP and non-GAAP basis were as follows (in millions except for year-over-year change in total net revenue and billings, year-over-year change in net subscription revenue and billings, gross margin, operating margin, and per share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Three Months Ended April 30,</w:t>
            </w:r>
          </w:p>
        </w:tc>
      </w:tr>
      <w:tr>
        <w:trPr>
          <w:trHeight w:val="264"/>
        </w:trPr>
        <w:tc>
          <w:tcPr>
            <w:tcW w:w="86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2014</w:t>
            </w:r>
          </w:p>
        </w:tc>
      </w:tr>
      <w:tr>
        <w:trPr>
          <w:trHeight w:val="196"/>
        </w:trPr>
        <w:tc>
          <w:tcPr>
            <w:tcW w:w="8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17"/>
                <w:szCs w:val="17"/>
                <w:color w:val="auto"/>
              </w:rPr>
            </w:pPr>
          </w:p>
        </w:tc>
      </w:tr>
      <w:tr>
        <w:trPr>
          <w:trHeight w:val="256"/>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Year-over-year change in total net revenue</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8620" w:type="dxa"/>
            <w:vAlign w:val="bottom"/>
          </w:tcPr>
          <w:p>
            <w:pPr>
              <w:ind w:left="40"/>
              <w:spacing w:after="0"/>
              <w:rPr>
                <w:sz w:val="20"/>
                <w:szCs w:val="20"/>
                <w:color w:val="auto"/>
              </w:rPr>
            </w:pPr>
            <w:r>
              <w:rPr>
                <w:rFonts w:ascii="Arial" w:cs="Arial" w:eastAsia="Arial" w:hAnsi="Arial"/>
                <w:sz w:val="16"/>
                <w:szCs w:val="16"/>
                <w:color w:val="auto"/>
              </w:rPr>
              <w:t>Year-over-year change in total net billings (1)</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3"/>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Year-over-year change in net subscription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8620" w:type="dxa"/>
            <w:vAlign w:val="bottom"/>
          </w:tcPr>
          <w:p>
            <w:pPr>
              <w:ind w:left="40"/>
              <w:spacing w:after="0"/>
              <w:rPr>
                <w:sz w:val="20"/>
                <w:szCs w:val="20"/>
                <w:color w:val="auto"/>
              </w:rPr>
            </w:pPr>
            <w:r>
              <w:rPr>
                <w:rFonts w:ascii="Arial" w:cs="Arial" w:eastAsia="Arial" w:hAnsi="Arial"/>
                <w:sz w:val="16"/>
                <w:szCs w:val="16"/>
                <w:color w:val="auto"/>
              </w:rPr>
              <w:t>Year-over-year change in net subscription billings (1)</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554.7</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513.8</w:t>
            </w:r>
          </w:p>
        </w:tc>
      </w:tr>
      <w:tr>
        <w:trPr>
          <w:trHeight w:val="237"/>
        </w:trPr>
        <w:tc>
          <w:tcPr>
            <w:tcW w:w="862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571.1</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528.5</w:t>
            </w:r>
          </w:p>
        </w:tc>
      </w:tr>
      <w:tr>
        <w:trPr>
          <w:trHeight w:val="33"/>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37"/>
        </w:trPr>
        <w:tc>
          <w:tcPr>
            <w:tcW w:w="862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w:t>
            </w: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33"/>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21.5</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42.2</w:t>
            </w:r>
          </w:p>
        </w:tc>
      </w:tr>
      <w:tr>
        <w:trPr>
          <w:trHeight w:val="237"/>
        </w:trPr>
        <w:tc>
          <w:tcPr>
            <w:tcW w:w="8620" w:type="dxa"/>
            <w:vAlign w:val="bottom"/>
          </w:tcPr>
          <w:p>
            <w:pPr>
              <w:ind w:left="40"/>
              <w:spacing w:after="0"/>
              <w:rPr>
                <w:sz w:val="20"/>
                <w:szCs w:val="20"/>
                <w:color w:val="auto"/>
              </w:rPr>
            </w:pPr>
            <w:r>
              <w:rPr>
                <w:rFonts w:ascii="Arial" w:cs="Arial" w:eastAsia="Arial" w:hAnsi="Arial"/>
                <w:sz w:val="16"/>
                <w:szCs w:val="16"/>
                <w:color w:val="auto"/>
              </w:rPr>
              <w:t>Non-GAAP income from operations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94.1</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102.0</w:t>
            </w:r>
          </w:p>
        </w:tc>
      </w:tr>
      <w:tr>
        <w:trPr>
          <w:trHeight w:val="33"/>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862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19.1</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28.3</w:t>
            </w:r>
          </w:p>
        </w:tc>
      </w:tr>
      <w:tr>
        <w:trPr>
          <w:trHeight w:val="237"/>
        </w:trPr>
        <w:tc>
          <w:tcPr>
            <w:tcW w:w="8620" w:type="dxa"/>
            <w:vAlign w:val="bottom"/>
          </w:tcPr>
          <w:p>
            <w:pPr>
              <w:ind w:left="40"/>
              <w:spacing w:after="0"/>
              <w:rPr>
                <w:sz w:val="20"/>
                <w:szCs w:val="20"/>
                <w:color w:val="auto"/>
              </w:rPr>
            </w:pPr>
            <w:r>
              <w:rPr>
                <w:rFonts w:ascii="Arial" w:cs="Arial" w:eastAsia="Arial" w:hAnsi="Arial"/>
                <w:sz w:val="16"/>
                <w:szCs w:val="16"/>
                <w:color w:val="auto"/>
              </w:rPr>
              <w:t>Non-GAAP 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69.1</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73.8</w:t>
            </w:r>
          </w:p>
        </w:tc>
      </w:tr>
      <w:tr>
        <w:trPr>
          <w:trHeight w:val="33"/>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 (2)</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0.08</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0.12</w:t>
            </w:r>
          </w:p>
        </w:tc>
      </w:tr>
      <w:tr>
        <w:trPr>
          <w:trHeight w:val="237"/>
        </w:trPr>
        <w:tc>
          <w:tcPr>
            <w:tcW w:w="8620" w:type="dxa"/>
            <w:vAlign w:val="bottom"/>
          </w:tcPr>
          <w:p>
            <w:pPr>
              <w:ind w:left="40"/>
              <w:spacing w:after="0"/>
              <w:rPr>
                <w:sz w:val="20"/>
                <w:szCs w:val="20"/>
                <w:color w:val="auto"/>
              </w:rPr>
            </w:pPr>
            <w:r>
              <w:rPr>
                <w:rFonts w:ascii="Arial" w:cs="Arial" w:eastAsia="Arial" w:hAnsi="Arial"/>
                <w:sz w:val="16"/>
                <w:szCs w:val="16"/>
                <w:color w:val="auto"/>
              </w:rPr>
              <w:t>Non-GAAP diluted earnings per share (2)</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0.30</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0.32</w:t>
            </w:r>
          </w:p>
        </w:tc>
      </w:tr>
      <w:tr>
        <w:trPr>
          <w:trHeight w:val="249"/>
        </w:trPr>
        <w:tc>
          <w:tcPr>
            <w:tcW w:w="8620" w:type="dxa"/>
            <w:vAlign w:val="bottom"/>
          </w:tcPr>
          <w:p>
            <w:pPr>
              <w:spacing w:after="0"/>
              <w:rPr>
                <w:sz w:val="20"/>
                <w:szCs w:val="20"/>
                <w:color w:val="auto"/>
              </w:rPr>
            </w:pPr>
            <w:r>
              <w:rPr>
                <w:rFonts w:ascii="Arial" w:cs="Arial" w:eastAsia="Arial" w:hAnsi="Arial"/>
                <w:sz w:val="18"/>
                <w:szCs w:val="18"/>
                <w:color w:val="auto"/>
              </w:rPr>
              <w:t>_______________</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ind w:left="420" w:hanging="412"/>
        <w:spacing w:after="0"/>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Prior period was adjusted to conform with current period's presentation to include the effects from hedging on billings.</w:t>
      </w:r>
    </w:p>
    <w:p>
      <w:pPr>
        <w:spacing w:after="0" w:line="9" w:lineRule="exact"/>
        <w:rPr>
          <w:rFonts w:ascii="Arial" w:cs="Arial" w:eastAsia="Arial" w:hAnsi="Arial"/>
          <w:sz w:val="16"/>
          <w:szCs w:val="16"/>
          <w:color w:val="auto"/>
        </w:rPr>
      </w:pPr>
    </w:p>
    <w:p>
      <w:pPr>
        <w:ind w:left="420" w:right="40" w:hanging="412"/>
        <w:spacing w:after="0" w:line="257"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Earnings per share were computed independently for each of the periods presented; therefore the sum of the earnings per share amount for the quarters may not equal the total for the year.</w:t>
      </w:r>
    </w:p>
    <w:p>
      <w:pPr>
        <w:spacing w:after="0" w:line="18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For our internal budgeting and resource allocation process and as a means to evaluate period-to-period comparisons, we use non-GAAP measures to supplement our condensed consolidated financial statements presented on a GAAP basis. These non-GAAP measures do not include certain items that may have a material impact upon our reported financial results. We use non-GAAP measures in making operating decisions because we believe those measures provide meaningful supplemental information regarding our earning potential and performance for management by excluding certain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17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0" w:right="239" w:bottom="1440" w:gutter="0" w:footer="0" w:header="0"/>
        </w:sectPr>
      </w:pPr>
    </w:p>
    <w:bookmarkStart w:id="38" w:name="page39"/>
    <w:bookmarkEnd w:id="38"/>
    <w:p>
      <w:pPr>
        <w:spacing w:after="0" w:line="277" w:lineRule="auto"/>
        <w:rPr>
          <w:sz w:val="20"/>
          <w:szCs w:val="20"/>
          <w:color w:val="auto"/>
        </w:rPr>
      </w:pPr>
      <w:r>
        <w:rPr>
          <w:rFonts w:ascii="Arial" w:cs="Arial" w:eastAsia="Arial" w:hAnsi="Arial"/>
          <w:sz w:val="18"/>
          <w:szCs w:val="18"/>
          <w:color w:val="auto"/>
        </w:rPr>
        <w:t>review the reconciliation of our non-GAAP financial measures to the comparable GAAP financial measures included below, and not to rely on any single financial measure to evaluate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Financial Measures to 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year-over-year changes, gross margin, operating margin,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20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(Unaudited)</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Year-over-year change in total net revenue</w:t>
            </w:r>
          </w:p>
        </w:tc>
        <w:tc>
          <w:tcPr>
            <w:tcW w:w="9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37"/>
        </w:trPr>
        <w:tc>
          <w:tcPr>
            <w:tcW w:w="8200" w:type="dxa"/>
            <w:vAlign w:val="bottom"/>
          </w:tcPr>
          <w:p>
            <w:pPr>
              <w:ind w:left="360"/>
              <w:spacing w:after="0"/>
              <w:rPr>
                <w:sz w:val="20"/>
                <w:szCs w:val="20"/>
                <w:color w:val="auto"/>
              </w:rPr>
            </w:pPr>
            <w:r>
              <w:rPr>
                <w:rFonts w:ascii="Arial" w:cs="Arial" w:eastAsia="Arial" w:hAnsi="Arial"/>
                <w:sz w:val="16"/>
                <w:szCs w:val="16"/>
                <w:color w:val="auto"/>
              </w:rPr>
              <w:t>Change in deferred revenue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33"/>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Change in hedge gain (loss) applicable to billings (1)</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8200" w:type="dxa"/>
            <w:vAlign w:val="bottom"/>
          </w:tcPr>
          <w:p>
            <w:pPr>
              <w:ind w:left="360"/>
              <w:spacing w:after="0"/>
              <w:rPr>
                <w:sz w:val="20"/>
                <w:szCs w:val="20"/>
                <w:color w:val="auto"/>
              </w:rPr>
            </w:pPr>
            <w:r>
              <w:rPr>
                <w:rFonts w:ascii="Arial" w:cs="Arial" w:eastAsia="Arial" w:hAnsi="Arial"/>
                <w:sz w:val="16"/>
                <w:szCs w:val="16"/>
                <w:color w:val="auto"/>
              </w:rPr>
              <w:t>Change in acquisition related deferred revenue and other</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82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Year-over-year change in total net billings</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Year-over-year change in net subscription revenue</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0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33"/>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Change in deferred subscription revenue</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37"/>
        </w:trPr>
        <w:tc>
          <w:tcPr>
            <w:tcW w:w="8200" w:type="dxa"/>
            <w:vAlign w:val="bottom"/>
          </w:tcPr>
          <w:p>
            <w:pPr>
              <w:ind w:left="360"/>
              <w:spacing w:after="0"/>
              <w:rPr>
                <w:sz w:val="20"/>
                <w:szCs w:val="20"/>
                <w:color w:val="auto"/>
              </w:rPr>
            </w:pPr>
            <w:r>
              <w:rPr>
                <w:rFonts w:ascii="Arial" w:cs="Arial" w:eastAsia="Arial" w:hAnsi="Arial"/>
                <w:sz w:val="16"/>
                <w:szCs w:val="16"/>
                <w:color w:val="auto"/>
              </w:rPr>
              <w:t>Change in hedge gain (loss) applicable to subscription billings (1)</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Change in acquisition related deferred subscription revenue and other</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8200" w:type="dxa"/>
            <w:vAlign w:val="bottom"/>
          </w:tcPr>
          <w:p>
            <w:pPr>
              <w:ind w:left="40"/>
              <w:spacing w:after="0"/>
              <w:rPr>
                <w:sz w:val="20"/>
                <w:szCs w:val="20"/>
                <w:color w:val="auto"/>
              </w:rPr>
            </w:pPr>
            <w:r>
              <w:rPr>
                <w:rFonts w:ascii="Arial" w:cs="Arial" w:eastAsia="Arial" w:hAnsi="Arial"/>
                <w:sz w:val="16"/>
                <w:szCs w:val="16"/>
                <w:color w:val="auto"/>
              </w:rPr>
              <w:t>Year-over-year change in net subscription billings (1)</w:t>
            </w: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73"/>
        </w:trPr>
        <w:tc>
          <w:tcPr>
            <w:tcW w:w="820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82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Gross profit</w:t>
            </w: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554.7</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513.8</w:t>
            </w:r>
          </w:p>
        </w:tc>
        <w:tc>
          <w:tcPr>
            <w:tcW w:w="0" w:type="dxa"/>
            <w:vAlign w:val="bottom"/>
          </w:tcPr>
          <w:p>
            <w:pPr>
              <w:spacing w:after="0"/>
              <w:rPr>
                <w:sz w:val="1"/>
                <w:szCs w:val="1"/>
                <w:color w:val="auto"/>
              </w:rPr>
            </w:pPr>
          </w:p>
        </w:tc>
      </w:tr>
      <w:tr>
        <w:trPr>
          <w:trHeight w:val="237"/>
        </w:trPr>
        <w:tc>
          <w:tcPr>
            <w:tcW w:w="82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960" w:type="dxa"/>
            <w:vAlign w:val="bottom"/>
          </w:tcPr>
          <w:p>
            <w:pPr>
              <w:spacing w:after="0"/>
              <w:rPr>
                <w:sz w:val="20"/>
                <w:szCs w:val="20"/>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7"/>
        </w:trPr>
        <w:tc>
          <w:tcPr>
            <w:tcW w:w="820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960" w:type="dxa"/>
            <w:vAlign w:val="bottom"/>
            <w:tcBorders>
              <w:top w:val="single" w:sz="8" w:color="auto"/>
            </w:tcBorders>
          </w:tcPr>
          <w:p>
            <w:pPr>
              <w:jc w:val="right"/>
              <w:ind w:right="761"/>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571.1</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right"/>
              <w:ind w:right="760"/>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528.5</w:t>
            </w:r>
          </w:p>
        </w:tc>
        <w:tc>
          <w:tcPr>
            <w:tcW w:w="0" w:type="dxa"/>
            <w:vAlign w:val="bottom"/>
          </w:tcPr>
          <w:p>
            <w:pPr>
              <w:spacing w:after="0"/>
              <w:rPr>
                <w:sz w:val="1"/>
                <w:szCs w:val="1"/>
                <w:color w:val="auto"/>
              </w:rPr>
            </w:pPr>
          </w:p>
        </w:tc>
      </w:tr>
      <w:tr>
        <w:trPr>
          <w:trHeight w:val="73"/>
        </w:trPr>
        <w:tc>
          <w:tcPr>
            <w:tcW w:w="820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82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Gross margin</w:t>
            </w:r>
          </w:p>
        </w:tc>
        <w:tc>
          <w:tcPr>
            <w:tcW w:w="9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0" w:type="dxa"/>
            <w:vAlign w:val="bottom"/>
          </w:tcPr>
          <w:p>
            <w:pPr>
              <w:spacing w:after="0"/>
              <w:rPr>
                <w:sz w:val="1"/>
                <w:szCs w:val="1"/>
                <w:color w:val="auto"/>
              </w:rPr>
            </w:pPr>
          </w:p>
        </w:tc>
      </w:tr>
      <w:tr>
        <w:trPr>
          <w:trHeight w:val="237"/>
        </w:trPr>
        <w:tc>
          <w:tcPr>
            <w:tcW w:w="82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96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Arial" w:cs="Arial" w:eastAsia="Arial" w:hAnsi="Arial"/>
                <w:sz w:val="16"/>
                <w:szCs w:val="16"/>
                <w:color w:val="auto"/>
              </w:rPr>
              <w:t>— %</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17"/>
        </w:trPr>
        <w:tc>
          <w:tcPr>
            <w:tcW w:w="820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88 %</w:t>
            </w: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73"/>
        </w:trPr>
        <w:tc>
          <w:tcPr>
            <w:tcW w:w="820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82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Income from operations</w:t>
            </w: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37"/>
        </w:trPr>
        <w:tc>
          <w:tcPr>
            <w:tcW w:w="82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960" w:type="dxa"/>
            <w:vAlign w:val="bottom"/>
          </w:tcPr>
          <w:p>
            <w:pPr>
              <w:spacing w:after="0"/>
              <w:rPr>
                <w:sz w:val="20"/>
                <w:szCs w:val="20"/>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33"/>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37"/>
        </w:trPr>
        <w:tc>
          <w:tcPr>
            <w:tcW w:w="820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960" w:type="dxa"/>
            <w:vAlign w:val="bottom"/>
          </w:tcPr>
          <w:p>
            <w:pPr>
              <w:spacing w:after="0"/>
              <w:rPr>
                <w:sz w:val="20"/>
                <w:szCs w:val="20"/>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33"/>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9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7"/>
        </w:trPr>
        <w:tc>
          <w:tcPr>
            <w:tcW w:w="8200" w:type="dxa"/>
            <w:vAlign w:val="bottom"/>
          </w:tcPr>
          <w:p>
            <w:pPr>
              <w:ind w:left="40"/>
              <w:spacing w:after="0"/>
              <w:rPr>
                <w:sz w:val="20"/>
                <w:szCs w:val="20"/>
                <w:color w:val="auto"/>
              </w:rPr>
            </w:pPr>
            <w:r>
              <w:rPr>
                <w:rFonts w:ascii="Arial" w:cs="Arial" w:eastAsia="Arial" w:hAnsi="Arial"/>
                <w:sz w:val="16"/>
                <w:szCs w:val="16"/>
                <w:color w:val="auto"/>
              </w:rPr>
              <w:t>Non-GAAP income from operations</w:t>
            </w:r>
          </w:p>
        </w:tc>
        <w:tc>
          <w:tcPr>
            <w:tcW w:w="960" w:type="dxa"/>
            <w:vAlign w:val="bottom"/>
            <w:tcBorders>
              <w:top w:val="single" w:sz="8" w:color="auto"/>
            </w:tcBorders>
          </w:tcPr>
          <w:p>
            <w:pPr>
              <w:jc w:val="right"/>
              <w:ind w:right="761"/>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right"/>
              <w:ind w:right="760"/>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102.0</w:t>
            </w:r>
          </w:p>
        </w:tc>
        <w:tc>
          <w:tcPr>
            <w:tcW w:w="0" w:type="dxa"/>
            <w:vAlign w:val="bottom"/>
          </w:tcPr>
          <w:p>
            <w:pPr>
              <w:spacing w:after="0"/>
              <w:rPr>
                <w:sz w:val="1"/>
                <w:szCs w:val="1"/>
                <w:color w:val="auto"/>
              </w:rPr>
            </w:pPr>
          </w:p>
        </w:tc>
      </w:tr>
      <w:tr>
        <w:trPr>
          <w:trHeight w:val="73"/>
        </w:trPr>
        <w:tc>
          <w:tcPr>
            <w:tcW w:w="820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82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Operating margin</w:t>
            </w:r>
          </w:p>
        </w:tc>
        <w:tc>
          <w:tcPr>
            <w:tcW w:w="9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37"/>
        </w:trPr>
        <w:tc>
          <w:tcPr>
            <w:tcW w:w="82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33"/>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37"/>
        </w:trPr>
        <w:tc>
          <w:tcPr>
            <w:tcW w:w="820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33"/>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9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 %</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820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73"/>
        </w:trPr>
        <w:tc>
          <w:tcPr>
            <w:tcW w:w="820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82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Net income</w:t>
            </w: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37"/>
        </w:trPr>
        <w:tc>
          <w:tcPr>
            <w:tcW w:w="82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960" w:type="dxa"/>
            <w:vAlign w:val="bottom"/>
          </w:tcPr>
          <w:p>
            <w:pPr>
              <w:spacing w:after="0"/>
              <w:rPr>
                <w:sz w:val="20"/>
                <w:szCs w:val="20"/>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33"/>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37"/>
        </w:trPr>
        <w:tc>
          <w:tcPr>
            <w:tcW w:w="820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960" w:type="dxa"/>
            <w:vAlign w:val="bottom"/>
          </w:tcPr>
          <w:p>
            <w:pPr>
              <w:spacing w:after="0"/>
              <w:rPr>
                <w:sz w:val="20"/>
                <w:szCs w:val="20"/>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33"/>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9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8200" w:type="dxa"/>
            <w:vAlign w:val="bottom"/>
          </w:tcPr>
          <w:p>
            <w:pPr>
              <w:ind w:left="380"/>
              <w:spacing w:after="0"/>
              <w:rPr>
                <w:sz w:val="20"/>
                <w:szCs w:val="20"/>
                <w:color w:val="auto"/>
              </w:rPr>
            </w:pPr>
            <w:r>
              <w:rPr>
                <w:rFonts w:ascii="Arial" w:cs="Arial" w:eastAsia="Arial" w:hAnsi="Arial"/>
                <w:sz w:val="16"/>
                <w:szCs w:val="16"/>
                <w:color w:val="auto"/>
              </w:rPr>
              <w:t>(Gain) loss on strategic investments</w:t>
            </w:r>
          </w:p>
        </w:tc>
        <w:tc>
          <w:tcPr>
            <w:tcW w:w="96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Discrete tax provision items</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8200" w:type="dxa"/>
            <w:vAlign w:val="bottom"/>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96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33"/>
        </w:trPr>
        <w:tc>
          <w:tcPr>
            <w:tcW w:w="82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net income</w:t>
            </w: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584" w:right="2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gridSpan w:val="3"/>
          </w:tcPr>
          <w:p>
            <w:pPr>
              <w:jc w:val="right"/>
              <w:ind w:right="562"/>
              <w:spacing w:after="0"/>
              <w:rPr>
                <w:sz w:val="20"/>
                <w:szCs w:val="20"/>
                <w:color w:val="auto"/>
              </w:rPr>
            </w:pPr>
            <w:r>
              <w:rPr>
                <w:rFonts w:ascii="Arial" w:cs="Arial" w:eastAsia="Arial" w:hAnsi="Arial"/>
                <w:sz w:val="14"/>
                <w:szCs w:val="14"/>
                <w:b w:val="1"/>
                <w:bCs w:val="1"/>
                <w:color w:val="auto"/>
              </w:rPr>
              <w:t>(Unaudited)</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income per share (2)</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(Gain) loss on strategic investments</w:t>
            </w:r>
          </w:p>
        </w:tc>
        <w:tc>
          <w:tcPr>
            <w:tcW w:w="96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Discrete tax provision items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diluted net income per share (2)</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Prior period was adjusted to conform with current period's presentation to include the effects from hedging on billings.</w:t>
      </w:r>
    </w:p>
    <w:p>
      <w:pPr>
        <w:spacing w:after="0" w:line="9" w:lineRule="exact"/>
        <w:rPr>
          <w:rFonts w:ascii="Arial" w:cs="Arial" w:eastAsia="Arial" w:hAnsi="Arial"/>
          <w:sz w:val="16"/>
          <w:szCs w:val="16"/>
          <w:color w:val="auto"/>
        </w:rPr>
      </w:pPr>
    </w:p>
    <w:p>
      <w:pPr>
        <w:ind w:left="420" w:right="40" w:hanging="412"/>
        <w:spacing w:after="0" w:line="257"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Earnings per share were computed independently for each of the periods presented; therefore the sum of the earnings per share amount for the quarters may not equal the total for the year.</w:t>
      </w:r>
    </w:p>
    <w:p>
      <w:pPr>
        <w:spacing w:after="0" w:line="181"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Our non-GAAP financial measures may exclude the following:</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Stock-based compensation expenses. </w:t>
      </w:r>
      <w:r>
        <w:rPr>
          <w:rFonts w:ascii="Arial" w:cs="Arial" w:eastAsia="Arial" w:hAnsi="Arial"/>
          <w:sz w:val="17"/>
          <w:szCs w:val="17"/>
          <w:color w:val="auto"/>
        </w:rPr>
        <w:t>We exclude stock-based compensation expenses from non-GAAP measures primarily because they are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7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Amortization of developed technologies and purchased intangibles. </w:t>
      </w:r>
      <w:r>
        <w:rPr>
          <w:rFonts w:ascii="Arial" w:cs="Arial" w:eastAsia="Arial" w:hAnsi="Arial"/>
          <w:sz w:val="17"/>
          <w:szCs w:val="17"/>
          <w:color w:val="auto"/>
        </w:rPr>
        <w:t>We incur amortization of acquisition-related developed technology and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8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 xml:space="preserve">Restructuring charges (benefits), net. </w:t>
      </w:r>
      <w:r>
        <w:rPr>
          <w:rFonts w:ascii="Arial" w:cs="Arial" w:eastAsia="Arial" w:hAnsi="Arial"/>
          <w:sz w:val="17"/>
          <w:szCs w:val="17"/>
          <w:color w:val="auto"/>
        </w:rPr>
        <w:t>These expenses are associated with realigning our business strategies based on current economic conditions.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these restructuring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Loss (gain) on strategic investments. </w:t>
      </w:r>
      <w:r>
        <w:rPr>
          <w:rFonts w:ascii="Arial" w:cs="Arial" w:eastAsia="Arial" w:hAnsi="Arial"/>
          <w:sz w:val="17"/>
          <w:szCs w:val="17"/>
          <w:color w:val="auto"/>
        </w:rPr>
        <w:t>We exclude gains and losses related to our strategic investments from our non-GAAP measures primarily because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finds it useful to exclude these variable gains and losses on these investments in assessing our financial results. Included in these amounts are non-cash unrealized gains and losses on the derivative components, realized gains and losses on the sales or losses on the impairment of these investments. We believe excluding these items is useful to investors because these excluded items do not correlate to the underlying performance of our business and these losses or gains were incurred in connection with strategic investments which do not occur regularly.</w:t>
      </w:r>
    </w:p>
    <w:p>
      <w:pPr>
        <w:spacing w:after="0" w:line="1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Establishment of a valuation allowance on certain net deferred tax assets. </w:t>
      </w:r>
      <w:r>
        <w:rPr>
          <w:rFonts w:ascii="Arial" w:cs="Arial" w:eastAsia="Arial" w:hAnsi="Arial"/>
          <w:sz w:val="18"/>
          <w:szCs w:val="18"/>
          <w:color w:val="auto"/>
        </w:rPr>
        <w:t>This is a non-cash charge to record a valuation allowance on certain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tax assets. As explained above, management finds it useful to exclude certain non-cash charges to assess the appropriate level of various cash expenses to assist in budgeting, planning and forecasting future periods.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06" w:right="239" w:bottom="1440" w:gutter="0" w:footer="0" w:header="0"/>
        </w:sectPr>
      </w:pPr>
    </w:p>
    <w:bookmarkStart w:id="40" w:name="page41"/>
    <w:bookmarkEnd w:id="40"/>
    <w:p>
      <w:pPr>
        <w:jc w:val="both"/>
        <w:ind w:firstLine="405"/>
        <w:spacing w:after="0" w:line="291" w:lineRule="auto"/>
        <w:rPr>
          <w:sz w:val="20"/>
          <w:szCs w:val="20"/>
          <w:color w:val="auto"/>
        </w:rPr>
      </w:pPr>
      <w:r>
        <w:rPr>
          <w:rFonts w:ascii="Arial" w:cs="Arial" w:eastAsia="Arial" w:hAnsi="Arial"/>
          <w:sz w:val="16"/>
          <w:szCs w:val="16"/>
          <w:i w:val="1"/>
          <w:iCs w:val="1"/>
          <w:color w:val="auto"/>
        </w:rPr>
        <w:t xml:space="preserve">Discrete tax items. </w:t>
      </w:r>
      <w:r>
        <w:rPr>
          <w:rFonts w:ascii="Arial" w:cs="Arial" w:eastAsia="Arial" w:hAnsi="Arial"/>
          <w:sz w:val="16"/>
          <w:szCs w:val="16"/>
          <w:color w:val="auto"/>
        </w:rPr>
        <w:t>We exclude the GAAP tax provision, including discrete items, from the non-GAAP measure of income, and include a non-GAAP tax</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 law. Management believes this approach assists investors in understanding the tax provision and the effective tax rate related to ongoing operations. We believe the exclusion of these discrete tax items provides investors with useful supplemental information about the Company's operational performance.</w:t>
      </w:r>
    </w:p>
    <w:p>
      <w:pPr>
        <w:spacing w:after="0" w:line="16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Income tax effects on the difference between GAAP and non-GAAP costs and expenses. </w:t>
      </w:r>
      <w:r>
        <w:rPr>
          <w:rFonts w:ascii="Arial" w:cs="Arial" w:eastAsia="Arial" w:hAnsi="Arial"/>
          <w:sz w:val="18"/>
          <w:szCs w:val="18"/>
          <w:color w:val="auto"/>
        </w:rPr>
        <w:t>The income tax effects that are excluded from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relate to the tax impact on the difference between GAAP and non-GAAP expenses, primarily due to stock-based compensation, amortization of purchased intangibles and restructuring charges (benefits) for GAAP and non-GAAP measures.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40" w:firstLine="405"/>
        <w:spacing w:after="0" w:line="279" w:lineRule="auto"/>
        <w:rPr>
          <w:sz w:val="20"/>
          <w:szCs w:val="20"/>
          <w:color w:val="auto"/>
        </w:rPr>
      </w:pPr>
      <w:r>
        <w:rPr>
          <w:rFonts w:ascii="Arial" w:cs="Arial" w:eastAsia="Arial" w:hAnsi="Arial"/>
          <w:sz w:val="17"/>
          <w:szCs w:val="17"/>
          <w:color w:val="auto"/>
        </w:rPr>
        <w:t>Our primary source of cash is from the sale of licenses to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fund our stock repurchase program and invest in our growth initiatives, which include acquisitions of products, technology and businesses. See further discussion of these items below.</w:t>
      </w:r>
    </w:p>
    <w:p>
      <w:pPr>
        <w:spacing w:after="0" w:line="171"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At April 30, 2015, our principal sources of liquidity were cash, cash equivalents and marketable securities totaling $2,271.2 million and net accounts receivable of $316.0 million.</w:t>
      </w:r>
    </w:p>
    <w:p>
      <w:pPr>
        <w:spacing w:after="0" w:line="170"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In fiscal 2013, we issued $400.0 million aggregate principal amount of 1.95% senior notes due December 15, 2017 and $350.0 million aggregate principal amount of 3.6% senior notes due December 15, 2022 (collectively, the “Senior Notes”). As of May 28, 2015, we have $750.0 million aggregate principal amount of Senior Notes outstanding. In addition, we have a line of credit facility that permits unsecured short-term borrowings of up to $400.0 million. As of May 28, 2015, we have no amounts outstanding under the credit facility. The credit facility expires in May 2018. Borrowings under the credit facility and the net proceeds from the offering of the Senior Notes are available for general corporate purposes.</w:t>
      </w:r>
    </w:p>
    <w:p>
      <w:pPr>
        <w:spacing w:after="0" w:line="173"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$400.0 million line of credit.</w:t>
      </w:r>
    </w:p>
    <w:p>
      <w:pPr>
        <w:spacing w:after="0" w:line="18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decrease in our cash, cash equivalents and marketable securities from $2,299.4 million at January 31, 2015 to $2,271.2 million at April 30, 2015 is primarily due to cash used for repurchases of common stock, acquisitions, including business combination and technology purchases, and capital expenditures, partially offset by cash generated by operating activities, and proceeds from the issuance of common stock following stock option exercises and employee stock plan purchases. The cash proceeds from issuance of common stock vary based on our stock price, stock option exercise activity and the volume of employee purchases under the Employee Stock Purchase Plan.</w:t>
      </w:r>
    </w:p>
    <w:p>
      <w:pPr>
        <w:spacing w:after="0" w:line="188"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The primary sources for net cash provided by operating activities of $86.5 million for the three months ended April 30, 2015 was net income of $19.1 million increased by the effect of non-cash expenses totaling $88.0 million associated with depreciation, amortization, accretion, and stock-based compensation. The primary working capital source of cash was a decrease in accounts receivable. Our days sales outstanding in trade receivables was 44 at April 30, 2015 compared to 63 days at January 31, 2015. The days sales outstanding decrease relates primarily to a seasonal billings linearity shift and lower maintenance subscription billings. The primary working capital uses of cash were decreases in accrued compensation and other accrued liabilities.</w:t>
      </w:r>
    </w:p>
    <w:p>
      <w:pPr>
        <w:spacing w:after="0" w:line="158"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At April 30, 2015, our short-term investment portfolio had an estimated fair value of $648.2 million and a cost basis of $643.8 million. The portfolio fair value consisted of $229.3 million invested in commercial paper, $151.6 million invested in certificates of deposit, $148.9 million invested in corporate debt securities, $43.8 million invested in U.S. government agency bonds, $19.0 million invested in municipal bonds, and $11.1 million invested in U.S. treasury bills.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p>
      <w:pPr>
        <w:ind w:right="460" w:firstLine="405"/>
        <w:spacing w:after="0" w:line="342" w:lineRule="auto"/>
        <w:rPr>
          <w:sz w:val="20"/>
          <w:szCs w:val="20"/>
          <w:color w:val="auto"/>
        </w:rPr>
      </w:pPr>
      <w:r>
        <w:rPr>
          <w:rFonts w:ascii="Arial" w:cs="Arial" w:eastAsia="Arial" w:hAnsi="Arial"/>
          <w:sz w:val="16"/>
          <w:szCs w:val="16"/>
          <w:color w:val="auto"/>
        </w:rPr>
        <w:t>At April 30, 2015, $44.5 million of trading securities were invested in a defined set of mutual funds as directed by the participants in our Deferred Compensation Plan (see Note 10, “Deferred Compensation,” in the Notes to Condensed Consolidated Financial Statements for further discussion).</w:t>
      </w:r>
    </w:p>
    <w:p>
      <w:pPr>
        <w:spacing w:after="0" w:line="124" w:lineRule="exact"/>
        <w:rPr>
          <w:sz w:val="20"/>
          <w:szCs w:val="20"/>
          <w:color w:val="auto"/>
        </w:rPr>
      </w:pPr>
    </w:p>
    <w:p>
      <w:pPr>
        <w:ind w:right="720" w:firstLine="405"/>
        <w:spacing w:after="0" w:line="264"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common stock repurchases; the acquisition of businesses, software products, or technologies complementary to our business; and capital expenditures, including the purchase and implementation of internal-use software applications.</w:t>
      </w:r>
    </w:p>
    <w:p>
      <w:pPr>
        <w:spacing w:after="0" w:line="18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in certain instances, negatively impact our operating margins. We continually review these trade-offs in making decisions regarding acquisitions. We currently anticipate that we will continue to acquire products, technology and businesses as compelling opportunities become available. Our decision to acquire businesses or technology is dependent on our business needs, the availability of suitable sellers and technology, and our own financial condition.</w:t>
      </w:r>
    </w:p>
    <w:p>
      <w:pPr>
        <w:spacing w:after="0" w:line="19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As of April 30, 2015, there have been no material changes in our contractual obligations or commercial commitments compared to those we disclosed in Management’s Discussion and Analysis of Financial Condition and Results of Operations included in our Annual Report on Form 10-K for the fiscal year ended January 31, 2015.</w:t>
      </w:r>
    </w:p>
    <w:p>
      <w:pPr>
        <w:spacing w:after="0" w:line="181"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Our cash, cash equivalent and marketable securities balances are concentrated in a few locations around the world, with substantial amounts held outside of the U.S. As of April 30, 2015, approximately 86% of our total cash, cash equivalents and marketable securities are located offshore and will fluctuate subject to business needs. Certain amounts held outside the U.S. could be repatriated to the U.S. (subject to local law restrictions), but under current U.S. tax law, could be subject to U.S. income taxes less applicable foreign tax credits. We have provided for the U.S. income tax liability on foreign earnings, except for foreign earnings that are considered permanently reinvested outside the U.S. Our intent is that amounts related to foreign earnings permanently reinvested outside the U.S. will remain outside the U.S. and we will meet our U.S. liquidity needs through ongoing cash flows, external borrowings, or both. We regularly review our capital structure and consider a variety of potential financing alternatives and planning strategies to ensure we have the proper liquidity available in the locations in which it is needed and to fund our existing stock buyback program with cash that has not been permanently reinvested outside the U.S.</w:t>
      </w:r>
    </w:p>
    <w:p>
      <w:pPr>
        <w:spacing w:after="0" w:line="19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Cash from operations could also be affected by various risks and uncertainties, including, but not limited to the risks detailed in Part II,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at least the next 12 months.</w:t>
      </w:r>
    </w:p>
    <w:p>
      <w:pPr>
        <w:spacing w:after="0" w:line="18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 Item 3, “Quantitative and Qualitative Disclosures about Market Risk” for further discussion.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Autodesk's stock repurchase program is largely to help offset the dilution from the issuance of stock under our employee stock plans and for such other purposes as may be in the interests of Autodesk and its stockholders. Stock repurchases have the effect of returning excess cash generated from our business to stockholders. The number of shares acquired and the timing of the purchases are based on several factors, including general market conditions, the volume of employee stock option exercises, stock issuance, the trading price of our common stock, cash on hand and available in the U.S., and company defined trading windows. During the three months ended April 30, 2015, we repurchased 1.6 million shares of our common stock. At April 30, 2015, 13.2 million shares remained available for repurchase under the repurchase program approved by the Board of Directors. This program does not have a fixed expiration date. See Note 15, “Common Stock Repurchase Program,” in the Notes to Condensed Consolidated Financial Statements for further discussion.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584" w:right="259" w:bottom="1440" w:gutter="0" w:footer="0" w:header="0"/>
        </w:sectPr>
      </w:pPr>
    </w:p>
    <w:bookmarkStart w:id="42" w:name="page43"/>
    <w:bookmarkEnd w:id="42"/>
    <w:p>
      <w:pPr>
        <w:ind w:left="420"/>
        <w:spacing w:after="0"/>
        <w:rPr>
          <w:sz w:val="20"/>
          <w:szCs w:val="20"/>
          <w:color w:val="auto"/>
        </w:rPr>
      </w:pPr>
      <w:r>
        <w:rPr>
          <w:rFonts w:ascii="Arial" w:cs="Arial" w:eastAsia="Arial" w:hAnsi="Arial"/>
          <w:sz w:val="16"/>
          <w:szCs w:val="16"/>
          <w:color w:val="auto"/>
        </w:rPr>
        <w:t>The following table provides information about the repurchase of common stock in open-market transactions during the quarter ended April 30, 2015:</w:t>
      </w:r>
    </w:p>
    <w:p>
      <w:pPr>
        <w:sectPr>
          <w:pgSz w:w="11900" w:h="16838" w:orient="portrait"/>
          <w:cols w:equalWidth="0" w:num="1">
            <w:col w:w="11420"/>
          </w:cols>
          <w:pgMar w:left="240" w:top="584" w:right="239" w:bottom="1440" w:gutter="0" w:footer="0" w:header="0"/>
        </w:sectPr>
      </w:pP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2080" w:type="dxa"/>
            <w:vAlign w:val="bottom"/>
          </w:tcPr>
          <w:p>
            <w:pPr>
              <w:jc w:val="center"/>
              <w:ind w:left="368"/>
              <w:spacing w:after="0"/>
              <w:rPr>
                <w:sz w:val="20"/>
                <w:szCs w:val="20"/>
                <w:color w:val="auto"/>
              </w:rPr>
            </w:pPr>
            <w:r>
              <w:rPr>
                <w:rFonts w:ascii="Arial" w:cs="Arial" w:eastAsia="Arial" w:hAnsi="Arial"/>
                <w:sz w:val="14"/>
                <w:szCs w:val="14"/>
                <w:b w:val="1"/>
                <w:bCs w:val="1"/>
                <w:color w:val="auto"/>
                <w:w w:val="93"/>
              </w:rPr>
              <w:t>Total Number of</w:t>
            </w:r>
          </w:p>
        </w:tc>
        <w:tc>
          <w:tcPr>
            <w:tcW w:w="148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2"/>
              </w:rPr>
              <w:t>Average Price</w:t>
            </w:r>
          </w:p>
        </w:tc>
        <w:tc>
          <w:tcPr>
            <w:tcW w:w="298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1"/>
              </w:rPr>
              <w:t>Total Number of Shares Purchased as Part of</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208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85"/>
              </w:rPr>
              <w:t>Shares</w:t>
            </w:r>
          </w:p>
        </w:tc>
        <w:tc>
          <w:tcPr>
            <w:tcW w:w="1480" w:type="dxa"/>
            <w:vAlign w:val="bottom"/>
            <w:vMerge w:val="continue"/>
          </w:tcPr>
          <w:p>
            <w:pPr>
              <w:spacing w:after="0"/>
              <w:rPr>
                <w:sz w:val="12"/>
                <w:szCs w:val="12"/>
                <w:color w:val="auto"/>
              </w:rPr>
            </w:pPr>
          </w:p>
        </w:tc>
        <w:tc>
          <w:tcPr>
            <w:tcW w:w="2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860" w:type="dxa"/>
            <w:vAlign w:val="bottom"/>
          </w:tcPr>
          <w:p>
            <w:pPr>
              <w:spacing w:after="0"/>
              <w:rPr>
                <w:sz w:val="20"/>
                <w:szCs w:val="20"/>
                <w:color w:val="auto"/>
              </w:rPr>
            </w:pPr>
            <w:r>
              <w:rPr>
                <w:rFonts w:ascii="Arial" w:cs="Arial" w:eastAsia="Arial" w:hAnsi="Arial"/>
                <w:sz w:val="14"/>
                <w:szCs w:val="14"/>
                <w:i w:val="1"/>
                <w:iCs w:val="1"/>
                <w:color w:val="auto"/>
              </w:rPr>
              <w:t>(Shares in millions)</w:t>
            </w:r>
          </w:p>
        </w:tc>
        <w:tc>
          <w:tcPr>
            <w:tcW w:w="2080" w:type="dxa"/>
            <w:vAlign w:val="bottom"/>
          </w:tcPr>
          <w:p>
            <w:pPr>
              <w:jc w:val="center"/>
              <w:ind w:left="368"/>
              <w:spacing w:after="0"/>
              <w:rPr>
                <w:sz w:val="20"/>
                <w:szCs w:val="20"/>
                <w:color w:val="auto"/>
              </w:rPr>
            </w:pPr>
            <w:r>
              <w:rPr>
                <w:rFonts w:ascii="Arial" w:cs="Arial" w:eastAsia="Arial" w:hAnsi="Arial"/>
                <w:sz w:val="14"/>
                <w:szCs w:val="14"/>
                <w:b w:val="1"/>
                <w:bCs w:val="1"/>
                <w:color w:val="auto"/>
                <w:w w:val="89"/>
              </w:rPr>
              <w:t>Purchased</w:t>
            </w:r>
          </w:p>
        </w:tc>
        <w:tc>
          <w:tcPr>
            <w:tcW w:w="1480" w:type="dxa"/>
            <w:vAlign w:val="bottom"/>
          </w:tcPr>
          <w:p>
            <w:pPr>
              <w:jc w:val="center"/>
              <w:ind w:left="48"/>
              <w:spacing w:after="0"/>
              <w:rPr>
                <w:sz w:val="20"/>
                <w:szCs w:val="20"/>
                <w:color w:val="auto"/>
              </w:rPr>
            </w:pPr>
            <w:r>
              <w:rPr>
                <w:rFonts w:ascii="Arial" w:cs="Arial" w:eastAsia="Arial" w:hAnsi="Arial"/>
                <w:sz w:val="14"/>
                <w:szCs w:val="14"/>
                <w:b w:val="1"/>
                <w:bCs w:val="1"/>
                <w:color w:val="auto"/>
                <w:w w:val="97"/>
              </w:rPr>
              <w:t>Paid per Share</w:t>
            </w:r>
          </w:p>
        </w:tc>
        <w:tc>
          <w:tcPr>
            <w:tcW w:w="2980" w:type="dxa"/>
            <w:vAlign w:val="bottom"/>
          </w:tcPr>
          <w:p>
            <w:pPr>
              <w:jc w:val="center"/>
              <w:ind w:left="148"/>
              <w:spacing w:after="0"/>
              <w:rPr>
                <w:sz w:val="20"/>
                <w:szCs w:val="20"/>
                <w:color w:val="auto"/>
              </w:rPr>
            </w:pPr>
            <w:r>
              <w:rPr>
                <w:rFonts w:ascii="Arial" w:cs="Arial" w:eastAsia="Arial" w:hAnsi="Arial"/>
                <w:sz w:val="14"/>
                <w:szCs w:val="14"/>
                <w:b w:val="1"/>
                <w:bCs w:val="1"/>
                <w:color w:val="auto"/>
                <w:w w:val="92"/>
              </w:rPr>
              <w:t>Publicly Announced Plans or Programs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jc w:val="center"/>
        <w:spacing w:after="0" w:line="284" w:lineRule="auto"/>
        <w:rPr>
          <w:sz w:val="20"/>
          <w:szCs w:val="20"/>
          <w:color w:val="auto"/>
        </w:rPr>
      </w:pPr>
      <w:r>
        <w:rPr>
          <w:rFonts w:ascii="Arial" w:cs="Arial" w:eastAsia="Arial" w:hAnsi="Arial"/>
          <w:sz w:val="13"/>
          <w:szCs w:val="13"/>
          <w:b w:val="1"/>
          <w:bCs w:val="1"/>
          <w:color w:val="auto"/>
        </w:rPr>
        <w:t>Maximum Number of Shares that May Yet Be Purchased Under the Plans or Programs (2)</w:t>
      </w:r>
    </w:p>
    <w:p>
      <w:pPr>
        <w:spacing w:after="0" w:line="1" w:lineRule="exact"/>
        <w:rPr>
          <w:sz w:val="20"/>
          <w:szCs w:val="20"/>
          <w:color w:val="auto"/>
        </w:rPr>
      </w:pPr>
    </w:p>
    <w:p>
      <w:pPr>
        <w:sectPr>
          <w:pgSz w:w="11900" w:h="16838" w:orient="portrait"/>
          <w:cols w:equalWidth="0" w:num="2">
            <w:col w:w="8440" w:space="160"/>
            <w:col w:w="2820"/>
          </w:cols>
          <w:pgMar w:left="240" w:top="584"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February 1 - February 28</w:t>
            </w:r>
          </w:p>
        </w:tc>
        <w:tc>
          <w:tcPr>
            <w:tcW w:w="15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March 1 - March 31</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60.80</w:t>
            </w:r>
          </w:p>
        </w:tc>
        <w:tc>
          <w:tcPr>
            <w:tcW w:w="100" w:type="dxa"/>
            <w:vAlign w:val="bottom"/>
          </w:tcPr>
          <w:p>
            <w:pPr>
              <w:spacing w:after="0"/>
              <w:rPr>
                <w:sz w:val="20"/>
                <w:szCs w:val="20"/>
                <w:color w:val="auto"/>
              </w:rPr>
            </w:pPr>
          </w:p>
        </w:tc>
        <w:tc>
          <w:tcPr>
            <w:tcW w:w="28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2940" w:type="dxa"/>
            <w:vAlign w:val="bottom"/>
            <w:gridSpan w:val="2"/>
          </w:tcPr>
          <w:p>
            <w:pPr>
              <w:jc w:val="right"/>
              <w:ind w:right="19"/>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April 1 - April 30</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58.46</w:t>
            </w:r>
          </w:p>
        </w:tc>
        <w:tc>
          <w:tcPr>
            <w:tcW w:w="10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29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44"/>
        </w:trPr>
        <w:tc>
          <w:tcPr>
            <w:tcW w:w="2420" w:type="dxa"/>
            <w:vAlign w:val="bottom"/>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1.6</w:t>
            </w:r>
          </w:p>
        </w:tc>
        <w:tc>
          <w:tcPr>
            <w:tcW w:w="680" w:type="dxa"/>
            <w:vAlign w:val="bottom"/>
            <w:gridSpan w:val="2"/>
          </w:tcPr>
          <w:p>
            <w:pPr>
              <w:jc w:val="right"/>
              <w:ind w:right="3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60.67</w:t>
            </w:r>
          </w:p>
        </w:tc>
        <w:tc>
          <w:tcPr>
            <w:tcW w:w="100" w:type="dxa"/>
            <w:vAlign w:val="bottom"/>
          </w:tcPr>
          <w:p>
            <w:pPr>
              <w:spacing w:after="0"/>
              <w:rPr>
                <w:sz w:val="21"/>
                <w:szCs w:val="21"/>
                <w:color w:val="auto"/>
              </w:rPr>
            </w:pPr>
          </w:p>
        </w:tc>
        <w:tc>
          <w:tcPr>
            <w:tcW w:w="2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2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2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shares purchased in open-market transactions under the stock repurchase plan approved by the Board of Directors.</w:t>
      </w:r>
    </w:p>
    <w:p>
      <w:pPr>
        <w:spacing w:after="0" w:line="9" w:lineRule="exact"/>
        <w:rPr>
          <w:rFonts w:ascii="Arial" w:cs="Arial" w:eastAsia="Arial" w:hAnsi="Arial"/>
          <w:sz w:val="16"/>
          <w:szCs w:val="16"/>
          <w:color w:val="auto"/>
        </w:rPr>
      </w:pPr>
    </w:p>
    <w:p>
      <w:pPr>
        <w:ind w:left="420" w:right="160" w:hanging="412"/>
        <w:spacing w:after="0" w:line="257" w:lineRule="auto"/>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These amounts correspond to the plan approved by the Board of Directors in June 2012 that authorized the repurchase of 30.0 million shares. This plan does not have a fixed expiration date.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April 30,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April 30, 2015, we did not have any significant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Billings</w:t>
      </w:r>
      <w:r>
        <w:rPr>
          <w:rFonts w:ascii="Arial" w:cs="Arial" w:eastAsia="Arial" w:hAnsi="Arial"/>
          <w:sz w:val="17"/>
          <w:szCs w:val="17"/>
          <w:b w:val="1"/>
          <w:bCs w:val="1"/>
          <w:color w:val="auto"/>
        </w:rPr>
        <w:t>—</w:t>
      </w:r>
      <w:r>
        <w:rPr>
          <w:rFonts w:ascii="Arial" w:cs="Arial" w:eastAsia="Arial" w:hAnsi="Arial"/>
          <w:sz w:val="17"/>
          <w:szCs w:val="17"/>
          <w:color w:val="auto"/>
        </w:rPr>
        <w:t>Amounts billed to customers during the current fiscal period net of any partner incentives, hedge gains or losses, or other discounts.</w:t>
      </w:r>
    </w:p>
    <w:p>
      <w:pPr>
        <w:spacing w:after="0" w:line="237" w:lineRule="exact"/>
        <w:rPr>
          <w:sz w:val="20"/>
          <w:szCs w:val="20"/>
          <w:color w:val="auto"/>
        </w:rPr>
      </w:pPr>
    </w:p>
    <w:p>
      <w:pPr>
        <w:ind w:right="240" w:firstLine="405"/>
        <w:spacing w:after="0" w:line="266" w:lineRule="auto"/>
        <w:rPr>
          <w:sz w:val="20"/>
          <w:szCs w:val="20"/>
          <w:color w:val="auto"/>
        </w:rPr>
      </w:pPr>
      <w:r>
        <w:rPr>
          <w:rFonts w:ascii="Arial" w:cs="Arial" w:eastAsia="Arial" w:hAnsi="Arial"/>
          <w:sz w:val="18"/>
          <w:szCs w:val="18"/>
          <w:i w:val="1"/>
          <w:iCs w:val="1"/>
          <w:color w:val="auto"/>
        </w:rPr>
        <w:t>BIM (Building Information Modeling)</w:t>
      </w:r>
      <w:r>
        <w:rPr>
          <w:rFonts w:ascii="Arial" w:cs="Arial" w:eastAsia="Arial" w:hAnsi="Arial"/>
          <w:sz w:val="18"/>
          <w:szCs w:val="18"/>
          <w:b w:val="1"/>
          <w:bCs w:val="1"/>
          <w:color w:val="auto"/>
        </w:rPr>
        <w:t>—</w:t>
      </w:r>
      <w:r>
        <w:rPr>
          <w:rFonts w:ascii="Arial" w:cs="Arial" w:eastAsia="Arial" w:hAnsi="Arial"/>
          <w:sz w:val="18"/>
          <w:szCs w:val="18"/>
          <w:color w:val="auto"/>
        </w:rPr>
        <w:t>BIM describes a model-based technology linked with a database of project information, and is the process of</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176" w:lineRule="exact"/>
        <w:rPr>
          <w:sz w:val="20"/>
          <w:szCs w:val="20"/>
          <w:color w:val="auto"/>
        </w:rPr>
      </w:pPr>
    </w:p>
    <w:p>
      <w:pPr>
        <w:ind w:right="300" w:firstLine="405"/>
        <w:spacing w:after="0" w:line="266" w:lineRule="auto"/>
        <w:rPr>
          <w:sz w:val="20"/>
          <w:szCs w:val="20"/>
          <w:color w:val="auto"/>
        </w:rPr>
      </w:pPr>
      <w:r>
        <w:rPr>
          <w:rFonts w:ascii="Arial" w:cs="Arial" w:eastAsia="Arial" w:hAnsi="Arial"/>
          <w:sz w:val="18"/>
          <w:szCs w:val="18"/>
          <w:i w:val="1"/>
          <w:iCs w:val="1"/>
          <w:color w:val="auto"/>
        </w:rPr>
        <w:t>Constant currency growth rates</w:t>
      </w:r>
      <w:r>
        <w:rPr>
          <w:rFonts w:ascii="Arial" w:cs="Arial" w:eastAsia="Arial" w:hAnsi="Arial"/>
          <w:sz w:val="18"/>
          <w:szCs w:val="18"/>
          <w:b w:val="1"/>
          <w:bCs w:val="1"/>
          <w:color w:val="auto"/>
        </w:rPr>
        <w:t>—</w:t>
      </w:r>
      <w:r>
        <w:rPr>
          <w:rFonts w:ascii="Arial" w:cs="Arial" w:eastAsia="Arial" w:hAnsi="Arial"/>
          <w:sz w:val="18"/>
          <w:szCs w:val="18"/>
          <w:color w:val="auto"/>
        </w:rPr>
        <w:t>We attempt to represent the changes in the underlying business operations by eliminating fluctuations caused by</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foreign currency exchange rates as well as eliminating hedge gains or losses recorded within the current and comparative periods. Our constant currency methodology removes all hedging gains and losses from the calculation.</w:t>
      </w:r>
    </w:p>
    <w:p>
      <w:pPr>
        <w:spacing w:after="0" w:line="176" w:lineRule="exact"/>
        <w:rPr>
          <w:sz w:val="20"/>
          <w:szCs w:val="20"/>
          <w:color w:val="auto"/>
        </w:rPr>
      </w:pPr>
    </w:p>
    <w:p>
      <w:pPr>
        <w:ind w:right="60" w:firstLine="405"/>
        <w:spacing w:after="0" w:line="282" w:lineRule="auto"/>
        <w:rPr>
          <w:sz w:val="20"/>
          <w:szCs w:val="20"/>
          <w:color w:val="auto"/>
        </w:rPr>
      </w:pPr>
      <w:r>
        <w:rPr>
          <w:rFonts w:ascii="Arial" w:cs="Arial" w:eastAsia="Arial" w:hAnsi="Arial"/>
          <w:sz w:val="18"/>
          <w:szCs w:val="18"/>
          <w:i w:val="1"/>
          <w:iCs w:val="1"/>
          <w:color w:val="auto"/>
        </w:rPr>
        <w:t>Digital prototyping</w:t>
      </w:r>
      <w:r>
        <w:rPr>
          <w:rFonts w:ascii="Arial" w:cs="Arial" w:eastAsia="Arial" w:hAnsi="Arial"/>
          <w:sz w:val="18"/>
          <w:szCs w:val="18"/>
          <w:b w:val="1"/>
          <w:bCs w:val="1"/>
          <w:color w:val="auto"/>
        </w:rPr>
        <w:t>—</w:t>
      </w:r>
      <w:r>
        <w:rPr>
          <w:rFonts w:ascii="Arial" w:cs="Arial" w:eastAsia="Arial" w:hAnsi="Arial"/>
          <w:sz w:val="18"/>
          <w:szCs w:val="18"/>
          <w:color w:val="auto"/>
        </w:rPr>
        <w:t>Digital prototyping allows designers, architects and engineers to analyze, simulate, and visualize a design using a digital or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model rather than a physical model.</w:t>
      </w:r>
    </w:p>
    <w:p>
      <w:pPr>
        <w:spacing w:after="0" w:line="162" w:lineRule="exact"/>
        <w:rPr>
          <w:sz w:val="20"/>
          <w:szCs w:val="20"/>
          <w:color w:val="auto"/>
        </w:rPr>
      </w:pPr>
    </w:p>
    <w:p>
      <w:pPr>
        <w:ind w:right="160" w:firstLine="405"/>
        <w:spacing w:after="0" w:line="266" w:lineRule="auto"/>
        <w:rPr>
          <w:sz w:val="20"/>
          <w:szCs w:val="20"/>
          <w:color w:val="auto"/>
        </w:rPr>
      </w:pPr>
      <w:r>
        <w:rPr>
          <w:rFonts w:ascii="Arial" w:cs="Arial" w:eastAsia="Arial" w:hAnsi="Arial"/>
          <w:sz w:val="18"/>
          <w:szCs w:val="18"/>
          <w:i w:val="1"/>
          <w:iCs w:val="1"/>
          <w:color w:val="auto"/>
        </w:rPr>
        <w:t>Flagship</w:t>
      </w:r>
      <w:r>
        <w:rPr>
          <w:rFonts w:ascii="Arial" w:cs="Arial" w:eastAsia="Arial" w:hAnsi="Arial"/>
          <w:sz w:val="18"/>
          <w:szCs w:val="18"/>
          <w:b w:val="1"/>
          <w:bCs w:val="1"/>
          <w:color w:val="auto"/>
        </w:rPr>
        <w:t>—</w:t>
      </w:r>
      <w:r>
        <w:rPr>
          <w:rFonts w:ascii="Arial" w:cs="Arial" w:eastAsia="Arial" w:hAnsi="Arial"/>
          <w:sz w:val="18"/>
          <w:szCs w:val="18"/>
          <w:color w:val="auto"/>
        </w:rPr>
        <w:t>Autodesk flagship products are our core design products. Flagship includes the following products: 3ds Max, AutoCAD, AutoCAD LT,</w:t>
      </w:r>
      <w:r>
        <w:rPr>
          <w:rFonts w:ascii="Arial" w:cs="Arial" w:eastAsia="Arial" w:hAnsi="Arial"/>
          <w:sz w:val="18"/>
          <w:szCs w:val="18"/>
          <w:i w:val="1"/>
          <w:iCs w:val="1"/>
          <w:color w:val="auto"/>
        </w:rPr>
        <w:t xml:space="preserve"> </w:t>
      </w:r>
      <w:r>
        <w:rPr>
          <w:rFonts w:ascii="Arial" w:cs="Arial" w:eastAsia="Arial" w:hAnsi="Arial"/>
          <w:sz w:val="18"/>
          <w:szCs w:val="18"/>
          <w:color w:val="auto"/>
        </w:rPr>
        <w:t>AutoCAD vertical products (such as AutoCAD Architecture and Mechanical), Civil 3D, Inventor products (standalone), Map 3D, Maya, and Revit products (standalone).</w:t>
      </w:r>
    </w:p>
    <w:p>
      <w:pPr>
        <w:spacing w:after="0" w:line="176" w:lineRule="exact"/>
        <w:rPr>
          <w:sz w:val="20"/>
          <w:szCs w:val="20"/>
          <w:color w:val="auto"/>
        </w:rPr>
      </w:pPr>
    </w:p>
    <w:p>
      <w:pPr>
        <w:jc w:val="both"/>
        <w:ind w:right="300" w:firstLine="405"/>
        <w:spacing w:after="0" w:line="261" w:lineRule="auto"/>
        <w:rPr>
          <w:sz w:val="20"/>
          <w:szCs w:val="20"/>
          <w:color w:val="auto"/>
        </w:rPr>
      </w:pPr>
      <w:r>
        <w:rPr>
          <w:rFonts w:ascii="Arial" w:cs="Arial" w:eastAsia="Arial" w:hAnsi="Arial"/>
          <w:sz w:val="18"/>
          <w:szCs w:val="18"/>
          <w:i w:val="1"/>
          <w:iCs w:val="1"/>
          <w:color w:val="auto"/>
        </w:rPr>
        <w:t>License and Other revenue</w:t>
      </w:r>
      <w:r>
        <w:rPr>
          <w:rFonts w:ascii="Arial" w:cs="Arial" w:eastAsia="Arial" w:hAnsi="Arial"/>
          <w:sz w:val="18"/>
          <w:szCs w:val="18"/>
          <w:b w:val="1"/>
          <w:bCs w:val="1"/>
          <w:color w:val="auto"/>
        </w:rPr>
        <w:t>—</w:t>
      </w:r>
      <w:r>
        <w:rPr>
          <w:rFonts w:ascii="Arial" w:cs="Arial" w:eastAsia="Arial" w:hAnsi="Arial"/>
          <w:sz w:val="18"/>
          <w:szCs w:val="18"/>
          <w:color w:val="auto"/>
        </w:rPr>
        <w:t>License and other revenue consists of two components: (1) all forms of product license revenue and (2) other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license revenue includes software license revenue from the sale of seat licenses, term-based licenses from our desktop subscription and enterprise offerings, and product revenue for Creative Finishing. Other revenue includes revenue from consulting, training, and Creative Finishing customer support, and is recognized over time, as the services are performed.</w:t>
      </w:r>
    </w:p>
    <w:p>
      <w:pPr>
        <w:spacing w:after="0" w:line="180"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i w:val="1"/>
          <w:iCs w:val="1"/>
          <w:color w:val="auto"/>
        </w:rPr>
        <w:t>Maintenance</w:t>
      </w:r>
      <w:r>
        <w:rPr>
          <w:rFonts w:ascii="Arial" w:cs="Arial" w:eastAsia="Arial" w:hAnsi="Arial"/>
          <w:sz w:val="18"/>
          <w:szCs w:val="18"/>
          <w:b w:val="1"/>
          <w:bCs w:val="1"/>
          <w:color w:val="auto"/>
        </w:rPr>
        <w:t>—</w:t>
      </w:r>
      <w:r>
        <w:rPr>
          <w:rFonts w:ascii="Arial" w:cs="Arial" w:eastAsia="Arial" w:hAnsi="Arial"/>
          <w:sz w:val="18"/>
          <w:szCs w:val="18"/>
          <w:color w:val="auto"/>
        </w:rPr>
        <w:t>Our maintenance program provides our customers with a cost effective and predictable budgetary option to obtain the productivity</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over the term of the agreements, generally between one and three years.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type w:val="continuous"/>
        </w:sectPr>
      </w:pPr>
    </w:p>
    <w:bookmarkStart w:id="43" w:name="page44"/>
    <w:bookmarkEnd w:id="43"/>
    <w:p>
      <w:pPr>
        <w:ind w:right="60" w:firstLine="405"/>
        <w:spacing w:after="0" w:line="258" w:lineRule="auto"/>
        <w:rPr>
          <w:sz w:val="20"/>
          <w:szCs w:val="20"/>
          <w:color w:val="auto"/>
        </w:rPr>
      </w:pPr>
      <w:r>
        <w:rPr>
          <w:rFonts w:ascii="Arial" w:cs="Arial" w:eastAsia="Arial" w:hAnsi="Arial"/>
          <w:sz w:val="18"/>
          <w:szCs w:val="18"/>
          <w:i w:val="1"/>
          <w:iCs w:val="1"/>
          <w:color w:val="auto"/>
        </w:rPr>
        <w:t>New and Adjacent</w:t>
      </w:r>
      <w:r>
        <w:rPr>
          <w:rFonts w:ascii="Arial" w:cs="Arial" w:eastAsia="Arial" w:hAnsi="Arial"/>
          <w:sz w:val="18"/>
          <w:szCs w:val="18"/>
          <w:b w:val="1"/>
          <w:bCs w:val="1"/>
          <w:color w:val="auto"/>
        </w:rPr>
        <w:t>—</w:t>
      </w:r>
      <w:r>
        <w:rPr>
          <w:rFonts w:ascii="Arial" w:cs="Arial" w:eastAsia="Arial" w:hAnsi="Arial"/>
          <w:sz w:val="18"/>
          <w:szCs w:val="18"/>
          <w:color w:val="auto"/>
        </w:rPr>
        <w:t>Autodesk new and adjacent products include Autodesk's new product offerings as well as products that are not included in flagship</w:t>
      </w:r>
      <w:r>
        <w:rPr>
          <w:rFonts w:ascii="Arial" w:cs="Arial" w:eastAsia="Arial" w:hAnsi="Arial"/>
          <w:sz w:val="18"/>
          <w:szCs w:val="18"/>
          <w:i w:val="1"/>
          <w:iCs w:val="1"/>
          <w:color w:val="auto"/>
        </w:rPr>
        <w:t xml:space="preserve"> </w:t>
      </w:r>
      <w:r>
        <w:rPr>
          <w:rFonts w:ascii="Arial" w:cs="Arial" w:eastAsia="Arial" w:hAnsi="Arial"/>
          <w:sz w:val="18"/>
          <w:szCs w:val="18"/>
          <w:color w:val="auto"/>
        </w:rPr>
        <w:t>or suites. New and adjacent includes the following services and products: Autodesk Alias Design products, Autodesk 360 products, Autodesk Consulting, Autodesk Simulation, Autodesk Simulation Multiphysics, Autodesk Buzzsaw, Autodesk CF Design, Autodesk Constructware, Autodesk Consumer products, Autodesk Creative Finishing products, Delcam products, Autodesk Moldflow products, Autodesk Navisworks, Autodesk Scaleform, Autodesk Vault products, and all other products.</w:t>
      </w:r>
    </w:p>
    <w:p>
      <w:pPr>
        <w:spacing w:after="0" w:line="184" w:lineRule="exact"/>
        <w:rPr>
          <w:sz w:val="20"/>
          <w:szCs w:val="20"/>
          <w:color w:val="auto"/>
        </w:rPr>
      </w:pPr>
    </w:p>
    <w:p>
      <w:pPr>
        <w:ind w:right="180" w:firstLine="405"/>
        <w:spacing w:after="0" w:line="261" w:lineRule="auto"/>
        <w:rPr>
          <w:sz w:val="20"/>
          <w:szCs w:val="20"/>
          <w:color w:val="auto"/>
        </w:rPr>
      </w:pPr>
      <w:r>
        <w:rPr>
          <w:rFonts w:ascii="Arial" w:cs="Arial" w:eastAsia="Arial" w:hAnsi="Arial"/>
          <w:sz w:val="18"/>
          <w:szCs w:val="18"/>
          <w:i w:val="1"/>
          <w:iCs w:val="1"/>
          <w:color w:val="auto"/>
        </w:rPr>
        <w:t>Suites</w:t>
      </w:r>
      <w:r>
        <w:rPr>
          <w:rFonts w:ascii="Arial" w:cs="Arial" w:eastAsia="Arial" w:hAnsi="Arial"/>
          <w:sz w:val="18"/>
          <w:szCs w:val="18"/>
          <w:b w:val="1"/>
          <w:bCs w:val="1"/>
          <w:color w:val="auto"/>
        </w:rPr>
        <w:t>—</w:t>
      </w:r>
      <w:r>
        <w:rPr>
          <w:rFonts w:ascii="Arial" w:cs="Arial" w:eastAsia="Arial" w:hAnsi="Arial"/>
          <w:sz w:val="18"/>
          <w:szCs w:val="18"/>
          <w:color w:val="auto"/>
        </w:rPr>
        <w:t>Autodesk design suites are a combination of products that target a specific user objective (product design, building design, etc.) and support a</w:t>
      </w:r>
      <w:r>
        <w:rPr>
          <w:rFonts w:ascii="Arial" w:cs="Arial" w:eastAsia="Arial" w:hAnsi="Arial"/>
          <w:sz w:val="18"/>
          <w:szCs w:val="18"/>
          <w:i w:val="1"/>
          <w:iCs w:val="1"/>
          <w:color w:val="auto"/>
        </w:rPr>
        <w:t xml:space="preserve"> </w:t>
      </w:r>
      <w:r>
        <w:rPr>
          <w:rFonts w:ascii="Arial" w:cs="Arial" w:eastAsia="Arial" w:hAnsi="Arial"/>
          <w:sz w:val="18"/>
          <w:szCs w:val="18"/>
          <w:color w:val="auto"/>
        </w:rPr>
        <w:t>set of workflows for that objective. Our current design and creation suites include: AutoCAD Design Suite, Autodesk Building Design Suite, Autodesk Entertainment Creation Suite, Autodesk Factory Design Suite, Autodesk Infrastructure Design Suite, Autodesk Plant Design Suite, and Autodesk Product Design Suite.</w:t>
      </w:r>
    </w:p>
    <w:p>
      <w:pPr>
        <w:spacing w:after="0" w:line="180" w:lineRule="exact"/>
        <w:rPr>
          <w:sz w:val="20"/>
          <w:szCs w:val="20"/>
          <w:color w:val="auto"/>
        </w:rPr>
      </w:pPr>
    </w:p>
    <w:p>
      <w:pPr>
        <w:ind w:right="700" w:firstLine="405"/>
        <w:spacing w:after="0" w:line="347" w:lineRule="auto"/>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b w:val="1"/>
          <w:bCs w:val="1"/>
          <w:color w:val="auto"/>
        </w:rPr>
        <w:t>—</w:t>
      </w:r>
      <w:r>
        <w:rPr>
          <w:rFonts w:ascii="Arial" w:cs="Arial" w:eastAsia="Arial" w:hAnsi="Arial"/>
          <w:sz w:val="16"/>
          <w:szCs w:val="16"/>
          <w:color w:val="auto"/>
        </w:rPr>
        <w:t>Autodesk subscription revenue consists of three components: (1) maintenance revenue from our software products; (2)</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revenue from our term-based desktop subscription and enterprise offerings; and (3) revenue from our cloud service offerings.</w:t>
      </w:r>
    </w:p>
    <w:p>
      <w:pPr>
        <w:spacing w:after="0" w:line="120" w:lineRule="exact"/>
        <w:rPr>
          <w:sz w:val="20"/>
          <w:szCs w:val="20"/>
          <w:color w:val="auto"/>
        </w:rPr>
      </w:pPr>
    </w:p>
    <w:p>
      <w:pPr>
        <w:ind w:right="200" w:firstLine="405"/>
        <w:spacing w:after="0" w:line="297" w:lineRule="auto"/>
        <w:rPr>
          <w:sz w:val="20"/>
          <w:szCs w:val="20"/>
          <w:color w:val="auto"/>
        </w:rPr>
      </w:pPr>
      <w:r>
        <w:rPr>
          <w:rFonts w:ascii="Arial" w:cs="Arial" w:eastAsia="Arial" w:hAnsi="Arial"/>
          <w:sz w:val="16"/>
          <w:szCs w:val="16"/>
          <w:i w:val="1"/>
          <w:iCs w:val="1"/>
          <w:color w:val="auto"/>
        </w:rPr>
        <w:t>Total Subscriptions</w:t>
      </w:r>
      <w:r>
        <w:rPr>
          <w:rFonts w:ascii="Arial" w:cs="Arial" w:eastAsia="Arial" w:hAnsi="Arial"/>
          <w:sz w:val="16"/>
          <w:szCs w:val="16"/>
          <w:color w:val="auto"/>
        </w:rPr>
        <w:t>—Consists of subscriptions from our maintenance, desktop, cloud service and enterprise license offerings that are active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end date. For certain cloud based and enterprise license offerings, subscriptions represent the monthly average activity reported within the last three months of the quarter end date. Total subscriptions do not include data from education offerings, consumer product offerings, certain Creative Finishing product offerings, Autodesk Buzzsaw, Autodesk Constructware, and third party products. Subscriptions acquired with the acquisition of a business are captured once the data conforms to our subscription count methodology and when added, may cause variability in the comparison of this calculation.</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April 30, 2015 and January 31, 2015,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net notional amount of our option and forward contracts was $367.8 million and $381.2 million at April 30, 2015 and January 31, 2015, respectively.</w:t>
      </w:r>
    </w:p>
    <w:p>
      <w:pPr>
        <w:spacing w:after="0" w:line="17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use foreign currency contracts to reduce the exchange rate impact on the net revenue and operating expenses of certain anticipated transactions. A sensitivity analysis performed on our hedging portfolio as of April 30, 2015 indicated that a hypothetical 10% appreciation of the U.S. dollar from its value at April 30, 2015 and January 31, 2015 would increase the fair value of our foreign currency contracts by $33.5 million and $35.1 million, respectively. A hypothetical 10% depreciation of the dollar from its value at April 30, 2015 and January 31, 2015 would decrease the fair value of our foreign currency contracts by $16.6 million and $16.5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Interest rate movements affect both the interest income we earn on our short term investments and the market value of certain longer term securities. At April 30, 2015, we had $1,630.0 million of cash equivalents and marketable securities, including $648.2 million classified as short-term marketable securities and $440.3 million classified as long-term marketable securities. If interest rates were to move up or down by 50 or 100 basis points over a twelve month period, the market value change of our marketable securities would have a unrealized gain or loss of $4.5 million and $7.5 million, respectively.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80"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Other Market Risk</w:t>
      </w:r>
    </w:p>
    <w:p>
      <w:pPr>
        <w:spacing w:after="0" w:line="229"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From time to time we make direct investments in privately held companies. The privately held companies in which we invest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management evaluated, with the participation of our Chief Executive Officer and Chief Financial Officer, the effectiveness of our disclosure controls and procedures as of the end of the period covered by this Quarterly Report on Form 10-Q. Based on this evaluation, our Chief Executive Officer and Chief Financial Officer have concluded that our disclosure controls and procedures are effective at the reasonable assurance level to ensure that information we are required to disclose in reports that we file or submit under the Securities Exchange Act of 1934 (i) is recorded, processed, summarized and reported within the time periods specified in Securities and Exchange Commission rules and forms, and (ii) is accumulated and communicated to Autodesk’s management, including our Chief Executive Officer and Chief Financial Officer, as appropriate to allow timely decisions regarding required disclosure. Our disclosure controls and procedures are designed to provide reasonable assurance that such information is accumulated and communicated to our management.</w:t>
      </w:r>
    </w:p>
    <w:p>
      <w:pPr>
        <w:spacing w:after="0" w:line="167"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Our disclosure controls and procedures include components of our internal control over financial reporting.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Securities Exchange Act of 1934, as amended) during the quarter ended April 30, 2015 that have materially affected, or are reasonably likely to materially affect, our internal controls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80" w:right="25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and political conditions may further impact our business, financial results and financial condition.</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As our business has expanded globally, we have increasingly become subject to risks arising from adverse changes in global economic and political conditions. The past several years were characterized by weak global economic conditions, volatile credit markets, relatively high unemployment, increased government deficit spending and debt levels, uncertainty about certain governments' abilities to repay such debt or to address certain fiscal issues, and volatility in many financial instrument markets. If economic growth in countries where we do business slows, such as in Japan, or if such countries experience further economic recessions, customers may delay or reduce technology purchases. This could result in reductions in sales of our products and services, longer sales cycles and slower adoption of our technologies.</w:t>
      </w:r>
    </w:p>
    <w:p>
      <w:pPr>
        <w:spacing w:after="0" w:line="193"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Over the past several years, many of our customers have experienced tighter credit, negative financial news and weaker financial performance of their businesses and have reduced their workforces, thereby reducing the number of licenses and the number of maintenance contracts they purchase from us. In addition, a number of our customers rely, directly and indirectly, on government spending. Current debt balances of many countries without proportionate increases in revenues have caused many countries to reduce spending and in some cases have forced those countries to restructure their debt in an effort to avoid defaulting under those obligations. This has not only impacted those countries but others that are holders of such debt and those assisting in such restructuring.</w:t>
      </w:r>
    </w:p>
    <w:p>
      <w:pPr>
        <w:spacing w:after="0" w:line="193"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These actions may impact, and over the past several years have negatively impacted, our business, financial results and financial condition. Moreover, our financial performance may be negatively impacted by:</w:t>
      </w:r>
    </w:p>
    <w:p>
      <w:pPr>
        <w:spacing w:after="0" w:line="17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credit available to and the insolvency of key channel partners, which may impair our distribution channels and cash flows;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counterparty failures negatively impacting our treasury functions, including timely access to our cash reserves and third-party fulfillment of hedging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counterparty failures negatively affecting our insured risks;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of banks to honor our existing line of credit, which could increase our borrowing expenses or eliminate our ability to obtain short-term financing;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decreased borrowing and spending by our end users on small and large projects in the industries we serve, thereby reducing demand for our products.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96" w:right="239" w:bottom="1440" w:gutter="0" w:footer="0" w:header="0"/>
        </w:sectPr>
      </w:pPr>
    </w:p>
    <w:bookmarkStart w:id="46" w:name="page47"/>
    <w:bookmarkEnd w:id="46"/>
    <w:p>
      <w:pPr>
        <w:ind w:right="120" w:firstLine="405"/>
        <w:spacing w:after="0" w:line="277" w:lineRule="auto"/>
        <w:rPr>
          <w:sz w:val="20"/>
          <w:szCs w:val="20"/>
          <w:color w:val="auto"/>
        </w:rPr>
      </w:pPr>
      <w:r>
        <w:rPr>
          <w:rFonts w:ascii="Arial" w:cs="Arial" w:eastAsia="Arial" w:hAnsi="Arial"/>
          <w:sz w:val="18"/>
          <w:szCs w:val="18"/>
          <w:color w:val="auto"/>
        </w:rPr>
        <w:t>Uncertainty about current and future economic and political conditions on us, our customers and partners, makes it difficult for us to forecast operating results and to make decisions about future investments.</w:t>
      </w:r>
    </w:p>
    <w:p>
      <w:pPr>
        <w:spacing w:after="0" w:line="170" w:lineRule="exact"/>
        <w:rPr>
          <w:sz w:val="20"/>
          <w:szCs w:val="20"/>
          <w:color w:val="auto"/>
        </w:rPr>
      </w:pPr>
    </w:p>
    <w:p>
      <w:pPr>
        <w:ind w:right="360" w:firstLine="405"/>
        <w:spacing w:after="0" w:line="342" w:lineRule="auto"/>
        <w:rPr>
          <w:sz w:val="20"/>
          <w:szCs w:val="20"/>
          <w:color w:val="auto"/>
        </w:rPr>
      </w:pPr>
      <w:r>
        <w:rPr>
          <w:rFonts w:ascii="Arial" w:cs="Arial" w:eastAsia="Arial" w:hAnsi="Arial"/>
          <w:sz w:val="16"/>
          <w:szCs w:val="16"/>
          <w:color w:val="auto"/>
        </w:rPr>
        <w:t>A slower economic recovery in industries important to our business may adversely affect our business, financial results and financial condition. If a macro-economic recovery does not occur as rapidly as anticipated, our ability to meet our long-term financial targets may also be adversely affected.</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If we fail to successfully manage our business model transition to cloud-based products and more flexible product licenses, our results of operations could be negatively impacted.</w:t>
      </w:r>
    </w:p>
    <w:p>
      <w:pPr>
        <w:spacing w:after="0" w:line="170" w:lineRule="exact"/>
        <w:rPr>
          <w:sz w:val="20"/>
          <w:szCs w:val="20"/>
          <w:color w:val="auto"/>
        </w:rPr>
      </w:pPr>
    </w:p>
    <w:p>
      <w:pPr>
        <w:ind w:right="80" w:firstLine="392"/>
        <w:spacing w:after="0" w:line="289" w:lineRule="auto"/>
        <w:rPr>
          <w:sz w:val="20"/>
          <w:szCs w:val="20"/>
          <w:color w:val="auto"/>
        </w:rPr>
      </w:pPr>
      <w:r>
        <w:rPr>
          <w:rFonts w:ascii="Arial" w:cs="Arial" w:eastAsia="Arial" w:hAnsi="Arial"/>
          <w:sz w:val="16"/>
          <w:szCs w:val="16"/>
          <w:color w:val="auto"/>
        </w:rPr>
        <w:t>To address the industry transition from personal computer to cloud, social, and mobile computing, we have accelerated our move to the cloud and are offering more flexible product licenses. As part of this transition, we announced in fiscal 2014 that we are discontinuing upgrades after fiscal 2015 and, on February 4, 2015, we also announced that new commercial seats of most standalone software products will be available only by desktop subscription beginning February 1, 2016. Additionally, we plan to discontinue selling new perpetual licenses for suites during fiscal 2017. As a result, we expect to derive an increasing portion of our revenues in the future from subscriptions. This subscription model prices and delivers our products in a way that differs from the historical perpetual pricing and delivery methods. These changes reflect a significant shift from perpetual license sales and distribution of our software in favor of providing our customers the right to access certain of our software in a hosted environment or use downloaded software for a specified subscription period. During our transition, revenue, gross margin, operating margin, earnings per share, deferred revenue, and cash flow from operations will be impacted as more revenue is recognized ratably rather than up front and as new offerings bring a wider variety of price points.</w:t>
      </w:r>
    </w:p>
    <w:p>
      <w:pPr>
        <w:spacing w:after="0" w:line="167" w:lineRule="exact"/>
        <w:rPr>
          <w:sz w:val="20"/>
          <w:szCs w:val="20"/>
          <w:color w:val="auto"/>
        </w:rPr>
      </w:pPr>
    </w:p>
    <w:p>
      <w:pPr>
        <w:ind w:right="20" w:firstLine="392"/>
        <w:spacing w:after="0" w:line="270" w:lineRule="auto"/>
        <w:rPr>
          <w:sz w:val="20"/>
          <w:szCs w:val="20"/>
          <w:color w:val="auto"/>
        </w:rPr>
      </w:pPr>
      <w:r>
        <w:rPr>
          <w:rFonts w:ascii="Arial" w:cs="Arial" w:eastAsia="Arial" w:hAnsi="Arial"/>
          <w:sz w:val="17"/>
          <w:szCs w:val="17"/>
          <w:color w:val="auto"/>
        </w:rPr>
        <w:t>Our ability to achieve our financial objectives is subject to risks and uncertainties. The new offerings require a considerable investment of technical, financial, legal, and sales resources, and a scalable organization. Market acceptance of such offerings is affected by a variety of factors, including but not limited to: security, reliability, performance, current license terms, customer preference, social/community engagement, customer concerns with entrusting a third party to store and manage their data, public concerns regarding privacy and the enactment of restrictive laws or regulations. Whether our business model transition will prove successful and will accomplish our business and financial objectives is subject to numerous uncertainties, including but not limited to: customer demand, attach and renewal rates, channel acceptance, our ability to further develop and scale infrastructure, our ability to include functionality and usability in such offerings that address customer requirements, tax and accounting implications, pricing, and our costs. In addition, the metrics we use to gauge the status of our business model transition may evolve over the course of the transition as significant trends emerge. If we are unable to successfully establish these new offerings and navigate our business model transition in light of the foregoing risks and uncertainties, our results of operations could be negatively impacted.</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Our strategy to develop and introduce new products and services exposes us to risks such as limited customer acceptance, costs related to product defects and large expenditures, each of which may not result in additional net revenue or could result in decreased net revenue.</w:t>
      </w:r>
    </w:p>
    <w:p>
      <w:pPr>
        <w:spacing w:after="0" w:line="170"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Rapid technological changes, as well as changes in customer requirements and preferences, characterize the software industry. Just as the transition from mainframes to personal computers transformed the industry 30 years ago, we believe our industry is undergoing a similar transition from the personal computer to cloud, mobile, and social computing. Customers are also reconsidering the manner in which they license software products, which requires us to constantly evaluate our business model and strategy. In response, we are focused on providing solutions to enable our customers to be more agile and collaborative on their projects. We are also developing consumer products for digital art, personal design and creativity, and home design. We devote significant resources to the development of new technologies. In addition, we frequently introduce new business models or methods that require a considerable investment of technical and financial resources such as an increase in our portfolio of, and focus on, suites and, most recently, our introduction of flexible license and service offerings. We are making such investments through further development and enhancement of our existing products and services, as well as through acquisitions of new product lines. Such investments may not result in sufficient revenue generation to justify their costs and could result in decreased net revenue. For example, in fiscal 2015, we announced that we would create Spark, a 3D printing software platform for developers to facilitate the advancement of 3D printing technology, and begin manufacturing and selling Ember, an Autodesk-branded 3D printer. If we are not able to meet customer requirements, either with respect to our software or hardware products or the manner in which we provide such products, or if we are not able to adapt our business model to meet our customers' requirements, our business, financial condition or results of operations may be adversely impacted.</w:t>
      </w:r>
    </w:p>
    <w:p>
      <w:pPr>
        <w:spacing w:after="0" w:line="17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particular, a critical component of our growth strategy is to have customers of our AutoCAD and AutoCAD LT products expand their portfolios to include our suites and cloud-based services. We want customers using standalone Autodesk products to expand their portfolio with our suites and cloud-based offerings, and we are taking steps to accelerate this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84" w:right="259" w:bottom="1440" w:gutter="0" w:footer="0" w:header="0"/>
        </w:sectPr>
      </w:pPr>
    </w:p>
    <w:bookmarkStart w:id="47" w:name="page48"/>
    <w:bookmarkEnd w:id="47"/>
    <w:p>
      <w:pPr>
        <w:ind w:right="20"/>
        <w:spacing w:after="0" w:line="272" w:lineRule="auto"/>
        <w:rPr>
          <w:sz w:val="20"/>
          <w:szCs w:val="20"/>
          <w:color w:val="auto"/>
        </w:rPr>
      </w:pPr>
      <w:r>
        <w:rPr>
          <w:rFonts w:ascii="Arial" w:cs="Arial" w:eastAsia="Arial" w:hAnsi="Arial"/>
          <w:sz w:val="17"/>
          <w:szCs w:val="17"/>
          <w:color w:val="auto"/>
        </w:rPr>
        <w:t>migration. At times, sales of licenses of our AutoCAD and AutoCAD LT or standalone Autodesk flagship products have decreased without a corresponding increase in suites product or cloud-based services revenue or without purchases of customer seats to our suites. Should this continue, our results of operations will be adversely affected. Also, adoption of our cloud and mobile computing offerings and changes in the delivery of our software and services to our customers, such as desktop subscription (formally referred to as rental) offerings, will change the way in which we recognize revenue relating to our software and services, with a potential negative impact on our financial performance. The accounting impact of these offerings and other business decisions are expected to result in an increase in the percentage of our ratable revenue, as well as recurring revenue, making for a more predictable business over time, while potentially reducing our upfront perpetual revenue stream.</w:t>
      </w:r>
    </w:p>
    <w:p>
      <w:pPr>
        <w:spacing w:after="0" w:line="178"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Our executive management team must act quickly, continuously,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that strategy as market conditions evolve,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78"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Our entry into 3D printing presents many of the risks described above concerning developing and introducing new products as well as new risks for us. The manufacturing and 3D printing markets are highly competitive and some of our competitors have superior experience and resources to us. We have limited experience designing, developing, and selling hardware products and no experience developing and selling printers. The market for 3D printing is nascent and may not develop as rapidly as we expect. Our sale of 3D printers could subject us to product and other liability that we do not currently face. If any of these risks materialize, it could adversely affect our business and financial performance as well as our reputation and brand.</w:t>
      </w:r>
    </w:p>
    <w:p>
      <w:pPr>
        <w:spacing w:after="0" w:line="15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i w:val="1"/>
          <w:iCs w:val="1"/>
          <w:color w:val="auto"/>
        </w:rPr>
        <w:t>Our software is highly complex and may contain undetected errors, defects or vulnerabilities, each of which could harm our business and financial performance.</w:t>
      </w:r>
    </w:p>
    <w:p>
      <w:pPr>
        <w:spacing w:after="0" w:line="170"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The software products that we offer are complex, and despite extensive testing and quality control, may contain errors, defects or vulnerabilities. Some errors, defects and vulnerabilities in our software products may only be discovered after the product or service has been released. Any errors, defects or vulnerabilities could result in the need for corrective releases to our software products, damage to our reputation, loss of revenue, an increase in product returns or lack of market acceptance of our products, any of which would likely harm our business and financial performance.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70"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We are dependent on our international operations for a significant portion of our revenue. International net revenue represented 69% of our net revenue for the three months ended April 30, 2015.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At times, these factors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 Further, a significant portion of our earnings from our international operations may not be freely transferable to the U.S. due to remittance restrictions, adverse tax consequences or other factors. Our intent is that amounts related to foreign earnings permanently reinvested outside the U.S. will remain outside the U.S., and we will meet our U.S. liquidity needs through ongoing cash flows, external borrowings (such as our Senior Notes), or both. However, if, in the future, amounts held by foreign subsidiaries are needed to fund our operations in the U.S., or to service our external borrowings, the repatriation of such amounts to the U.S. could result in a significant incremental tax liability in the period in which the decision to repatriate occurs and payment of any such tax liability would reduce the cash available to fund our operations.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584" w:right="279" w:bottom="1440" w:gutter="0" w:footer="0" w:header="0"/>
        </w:sectPr>
      </w:pPr>
    </w:p>
    <w:bookmarkStart w:id="48" w:name="page49"/>
    <w:bookmarkEnd w:id="48"/>
    <w:p>
      <w:pPr>
        <w:ind w:firstLine="432"/>
        <w:spacing w:after="0" w:line="264" w:lineRule="auto"/>
        <w:rPr>
          <w:sz w:val="20"/>
          <w:szCs w:val="20"/>
          <w:color w:val="auto"/>
        </w:rPr>
      </w:pPr>
      <w:r>
        <w:rPr>
          <w:rFonts w:ascii="Arial" w:cs="Arial" w:eastAsia="Arial" w:hAnsi="Arial"/>
          <w:sz w:val="18"/>
          <w:szCs w:val="18"/>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w:t>
      </w:r>
    </w:p>
    <w:p>
      <w:pPr>
        <w:spacing w:after="0" w:line="18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volatility;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fluctuating currency exchange rates, including risks related to any hedging activities we undertake;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resulting from difficulty in obtaining export licenses for certain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different purchase patters as compared to the developed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tariffs, quotas, and other trade barriers and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transportation delays;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in locations with a higher incidence of corruption and fraudulent business practices, particularly in emerging economies;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 enforcement by the U.S. under the Foreign Corrupt Practices Act, adoption of stricter anti-corruption laws in certain countries, including the United Kingdom;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and development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local 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longer collection cycles for accounts receivable;</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changes in tax laws, including possible U.S. and foreign tax law changes that, if enacted, could significantly impact how multinational companies are taxed;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 arrangements with foreign governments, including our ability to meet and renew the terms of those tax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 regarding the management of and access to data and public networks;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possible future limitations upon foreign owned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inadequate local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difficulty in protecting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software piracy;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factors beyond our control, including popular uprisings, terrorism, war, natural disasters, and diseases.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Some of our business partners also have international operations and are subject to the risks described above. Even if we are able to successfully</w:t>
      </w:r>
    </w:p>
    <w:p>
      <w:pPr>
        <w:spacing w:after="0" w:line="3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manage the risks of international operations, our business may be adversely affected if our business partners are not able to successfully manage these risks.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2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software industry has limited barriers to entry, and the availability of computing devices with continually expanding performance at progressively lower prices contributes to the ease of market entry. The industry is presently undergoing a</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00"/>
          </w:cols>
          <w:pgMar w:left="240" w:top="800" w:right="359" w:bottom="1440" w:gutter="0" w:footer="0" w:header="0"/>
        </w:sectPr>
      </w:pPr>
    </w:p>
    <w:bookmarkStart w:id="49" w:name="page50"/>
    <w:bookmarkEnd w:id="49"/>
    <w:p>
      <w:pPr>
        <w:spacing w:after="0" w:line="254" w:lineRule="auto"/>
        <w:rPr>
          <w:sz w:val="20"/>
          <w:szCs w:val="20"/>
          <w:color w:val="auto"/>
        </w:rPr>
      </w:pPr>
      <w:r>
        <w:rPr>
          <w:rFonts w:ascii="Arial" w:cs="Arial" w:eastAsia="Arial" w:hAnsi="Arial"/>
          <w:sz w:val="18"/>
          <w:szCs w:val="18"/>
          <w:color w:val="auto"/>
        </w:rPr>
        <w:t>platform shift from the personal computer to cloud and mobile computing. This shift further lowers barriers to entry and poses a disruptive challenge to established software companies.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and they could have a material adverse impact on our financial results and cash flows.</w:t>
      </w:r>
    </w:p>
    <w:p>
      <w:pPr>
        <w:spacing w:after="0" w:line="147"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 protection against currency exposures. However, our attempts to hedge against these risks may not be completely successful, resulting in an adverse impact on our financial results.</w:t>
      </w:r>
    </w:p>
    <w:p>
      <w:pPr>
        <w:spacing w:after="0" w:line="188"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5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achieve anticipated levels of sell-through, our ability to generate revenue will be adversely affected. If our distribution channel suffers financial losses, becomes financially unstable or insolvent, or is not provided the right mix of incentives to sell our products, our ability to generate revenue will be adversely affected.</w:t>
      </w:r>
    </w:p>
    <w:p>
      <w:pPr>
        <w:spacing w:after="0" w:line="18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sell our software products both directly to end-users and through a network of distributors and resellers. For the three months ended April 30, 2015, approximately 81%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82"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We rely significantly upon major distributors and resellers in both the U.S. and international regions, including the distributor Tech Data Corporation and its global affiliates (“Tech Data”). Tech Data accounted for 26% of our total net revenue for both the three months ended April 30, 2015 and April 30, 2014, respectively. Although we believe that we are not substantially dependent on Tech Data, if Tech Data were to experience a significant disruption with its business or if our relationship with Tech Data were to significantly deteriorate, it is possible that our ability to sell to end users would be, at least temporarily, negatively impacted. This could in turn negatively impact our financial results.</w:t>
      </w:r>
    </w:p>
    <w:p>
      <w:pPr>
        <w:spacing w:after="0" w:line="173"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0" w:name="page51"/>
    <w:bookmarkEnd w:id="50"/>
    <w:p>
      <w:pPr>
        <w:ind w:right="20"/>
        <w:spacing w:after="0" w:line="264" w:lineRule="auto"/>
        <w:rPr>
          <w:sz w:val="20"/>
          <w:szCs w:val="20"/>
          <w:color w:val="auto"/>
        </w:rPr>
      </w:pPr>
      <w:r>
        <w:rPr>
          <w:rFonts w:ascii="Arial" w:cs="Arial" w:eastAsia="Arial" w:hAnsi="Arial"/>
          <w:sz w:val="18"/>
          <w:szCs w:val="18"/>
          <w:color w:val="auto"/>
        </w:rPr>
        <w:t>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financial results fluctuate within each quarter and from quarter to quarter making our future revenue and financial results difficult to predict.</w:t>
      </w:r>
    </w:p>
    <w:p>
      <w:pPr>
        <w:spacing w:after="0" w:line="23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quarterly financial results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factors described in this Part II, Item 1A, some of the factors that could cause our financial results to fluctuate include:</w:t>
      </w:r>
    </w:p>
    <w:p>
      <w:pPr>
        <w:spacing w:after="0" w:line="18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general market, economic, business, and political conditions in particular geographies, including Europe, APAC, and emerging economies;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produce sufficient revenue, billings or subscription growth, and profitability;</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to our business model transition, including the impact of the end of upgrades and perpetual licenses;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weak or negative growth in one or more of the industries we serve, including AEC, manufacturing, and digital media and entertainment markets;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achieve and maintain cost reductions and productivity increases;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product mix, pricing pressure or changes in product pricing;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ability of governments around the world to adopt fiscal policies, meet their financial and debt obligations, and to finance infrastructure projects;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growth or contraction of our maintenance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expand our AutoCAD and AutoCAD LT customer base to related design products and services;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rapidly adapt to technological and customer preference changes, including those related to cloud computing, mobile devices, new computing platforms, and 3D printing;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of new business or sales initiatives and increasing our portfolio of product suites;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20"/>
          </w:cols>
          <w:pgMar w:left="240" w:top="584" w:right="339" w:bottom="1440" w:gutter="0" w:footer="0" w:header="0"/>
        </w:sectPr>
      </w:pPr>
    </w:p>
    <w:bookmarkStart w:id="51" w:name="page52"/>
    <w:bookmarkEnd w:id="51"/>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cloud services-related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security breaches and potential financial penalties to customers and government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of additional investments in the development of our platform or deployment of our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tax laws or regulations, tax arrangements with foreign governments or accounting rules, such as increased use of fair value measures;</w:t>
      </w:r>
    </w:p>
    <w:p>
      <w:pPr>
        <w:spacing w:after="0" w:line="248" w:lineRule="exact"/>
        <w:rPr>
          <w:rFonts w:ascii="Arial" w:cs="Arial" w:eastAsia="Arial" w:hAnsi="Arial"/>
          <w:sz w:val="16"/>
          <w:szCs w:val="16"/>
          <w:color w:val="auto"/>
        </w:rPr>
      </w:pPr>
    </w:p>
    <w:p>
      <w:pPr>
        <w:ind w:left="660" w:right="2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revenue recognition or other accounting guidelines employed by us and/or established by the Financial Accounting Standards Board or other rule-making bodies;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third-party developers;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catastrophic events or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compliance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appropriately estimate the scope of services under consulting arrangements;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adjustments arising from ongoing or future tax examinations.</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or political conditions. In particular, our financial results in Europe during our third quarter are usually affected by a slower summer period, and our Asia Pacific operations typically experience seasonal slowing in our third and fourth quarters.</w:t>
      </w:r>
    </w:p>
    <w:p>
      <w:pPr>
        <w:spacing w:after="0" w:line="195"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suffer as a result of risks, costs and charges associated with strategic acquisitions and investments.</w:t>
      </w:r>
    </w:p>
    <w:p>
      <w:pPr>
        <w:spacing w:after="0" w:line="225"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We regularly acquire or invest in businesses, software products and technologies that are complementary to our business through acquisitions, strategic alliances or equity or debt investments. For example, in fiscal 2015 we acquired Delcam, a leading supplier of advanced CADCAM and industrial measurement solutions for the manufacturing industry.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584" w:right="279" w:bottom="1440" w:gutter="0" w:footer="0" w:header="0"/>
        </w:sectPr>
      </w:pPr>
    </w:p>
    <w:bookmarkStart w:id="52" w:name="page53"/>
    <w:bookmarkEnd w:id="52"/>
    <w:p>
      <w:pPr>
        <w:ind w:left="44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inability to retain customers, key employees, vendors, distributors, business partners, and other entities associated with the acquired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higher than anticipated transaction or integration-related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additional exposure to fluctuations in currency exchange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and distributors as business partners as a result of acquiring another business.</w:t>
      </w:r>
    </w:p>
    <w:p>
      <w:pPr>
        <w:spacing w:after="0" w:line="248"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AutoCAD-based software products and suites, if these products are not successful, our revenue will be adversely affected.</w:t>
      </w:r>
    </w:p>
    <w:p>
      <w:pPr>
        <w:spacing w:after="0" w:line="17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derive a substantial portion of our net revenue from sales of licenses of a limited number of our products, including AutoCAD software, products based on AutoCAD, which include our suites that serve specific markets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the three months ended April 30, 2015, combined revenue from our AutoCAD and AutoCAD LT products, not including suites having AutoCAD or AutoCAD LT as a component, represented 25% of our total net revenue.</w:t>
      </w:r>
    </w:p>
    <w:p>
      <w:pPr>
        <w:spacing w:after="0" w:line="19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A breach of security in our products, services or computer systems may compromise the integrity of our products or services, harm our reputation, create additional liability and adversely impact our financial results.</w:t>
      </w:r>
    </w:p>
    <w:p>
      <w:pPr>
        <w:spacing w:after="0" w:line="17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We make significant efforts to maintain the security and integrity of our source code and computer systems. The risk of a security breach or disruption,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DNS attacks, wireless network attacks, viruses and worms, advanced persistent threat (APT), application centric attacks, peer-to-peer attacks, phishing, backdoor trojans and distributed denial of service (DDoS) attacks. Any of the foregoing could attack our products, services or computer systems. Despite significant efforts to create security barriers to such programs, it is virtually impossible for us to entirely eliminate this risk. Like all software, our software is vulnerable to cyber attacks. In the past, hackers have targeted our software, and they may do so in the future. The impact of cyber attacks could disrupt the proper functioning of our software products or services, cause errors in the output of our customers' work, allow unauthorized access to sensitive, proprietary or confidential information of ours or our customers, and other destructive outcomes. Moreover, as we continue to invest in new lines of consumer products and services we are exposed to increased security risks and the potential for unauthorized access to, or improper use of, the information of our consumer users. If any of the foregoing were to occur, our reputation may suffer, customers may stop buying our products or services, we could face lawsuits and potential liability, and our financial performance could be negatively impacted.</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584" w:right="279" w:bottom="1440" w:gutter="0" w:footer="0" w:header="0"/>
        </w:sectPr>
      </w:pPr>
    </w:p>
    <w:bookmarkStart w:id="53" w:name="page54"/>
    <w:bookmarkEnd w:id="53"/>
    <w:p>
      <w:pPr>
        <w:ind w:right="240"/>
        <w:spacing w:after="0" w:line="264" w:lineRule="auto"/>
        <w:rPr>
          <w:sz w:val="20"/>
          <w:szCs w:val="20"/>
          <w:color w:val="auto"/>
        </w:rPr>
      </w:pPr>
      <w:r>
        <w:rPr>
          <w:rFonts w:ascii="Arial" w:cs="Arial" w:eastAsia="Arial" w:hAnsi="Arial"/>
          <w:sz w:val="18"/>
          <w:szCs w:val="18"/>
          <w:i w:val="1"/>
          <w:iCs w:val="1"/>
          <w:color w:val="auto"/>
        </w:rPr>
        <w:t>We rely on third-parties to provide us with a number of operational services, including hosting and delivery and certain of our customer services and other operations; any interruption or delay in service from these third parties, breaches of security or privacy, or failures in data collection could expose us to liability, harm our reputation and adversely impact our financial performance.</w:t>
      </w:r>
    </w:p>
    <w:p>
      <w:pPr>
        <w:spacing w:after="0" w:line="18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or result in the theft of customer data. In addition, our operations could be negatively affected in the event of a security breach, and we could be subject to the loss or theft of confidential or proprietary information, including source code.</w:t>
      </w:r>
    </w:p>
    <w:p>
      <w:pPr>
        <w:spacing w:after="0" w:line="18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Unauthorized access to this data may be obtained through break-ins, breaches of our secure networks by unauthorized parties, employee theft or misuse, or other misconduct. We rely on a number of third party suppliers in the operation of our business for the provision of various services and materials that we use in the operation of our business and production of our products.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We are unable to measure the extent to which piracy of our software products exists and we expect that software piracy will remain a persistent problem, particularly in emerging economies. Furthermore, our means of protecting our proprietary rights may not be adequate.</w:t>
      </w:r>
    </w:p>
    <w:p>
      <w:pPr>
        <w:spacing w:after="0" w:line="173"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the loss of significant rights.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grows and the functionality of products in different industry segments overlaps,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6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A significant portion of our revenue is generated through maintenance revenue; decreases in maintenance attach or renewal rates or a decrease in the number of new licenses we sell would negatively impact our future revenue and financial results.</w:t>
      </w:r>
    </w:p>
    <w:p>
      <w:pPr>
        <w:spacing w:after="0" w:line="17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Our maintenance customers have no obligation to attach maintenance to their initial license or renew their maintenance contract after the expiration of their initial maintenance period, which is typically one year. Our customers' attach and renewal rates may decline or fluctuate as a result of a number of factors, including the overall global economy, the health of their businesses, and the perceived value of the maintenance program. If our customers do not attach maintenance to their initial license or renew their maintenance contract for our products, our maintenance revenue will decline and our financial results will suffer.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4" w:right="239" w:bottom="1440" w:gutter="0" w:footer="0" w:header="0"/>
        </w:sectPr>
      </w:pPr>
    </w:p>
    <w:bookmarkStart w:id="54" w:name="page55"/>
    <w:bookmarkEnd w:id="54"/>
    <w:p>
      <w:pPr>
        <w:ind w:right="180" w:firstLine="432"/>
        <w:spacing w:after="0" w:line="264" w:lineRule="auto"/>
        <w:rPr>
          <w:sz w:val="20"/>
          <w:szCs w:val="20"/>
          <w:color w:val="auto"/>
        </w:rPr>
      </w:pPr>
      <w:r>
        <w:rPr>
          <w:rFonts w:ascii="Arial" w:cs="Arial" w:eastAsia="Arial" w:hAnsi="Arial"/>
          <w:sz w:val="18"/>
          <w:szCs w:val="18"/>
          <w:color w:val="auto"/>
        </w:rPr>
        <w:t>In addition, a portion of the growth of our maintenance revenue has typically been associated with growth of the number of licenses that we sell. Any reduction in the number of licenses that we sell, even if our customers' attach rates do not change, will have a negative impact on our future maintenance revenue. This in turn would impact our business and harm our financial results.</w:t>
      </w:r>
    </w:p>
    <w:p>
      <w:pPr>
        <w:spacing w:after="0" w:line="18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We recognize maintenance revenue ratably over the term of the maintenance contracts, which is predominantly one year, but may also range up to five years. Decreases in maintenance billings will negatively impact future maintenance revenue, however future maintenance revenue will also be impacted by other factors such as the amount, timing and mix of contract terms of future billings.</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As part of our effort to accommodate our customers' needs and demands and the rapid evolution of technology, we from time to time evolve our business and sales initiatives such as realigning our development and marketing organizations, and expanding our portfolio of suites and our offering of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 billings, earnings or subscriptions shortfalls or the volatility of the market generally may cause the market price of our stock to decline.</w:t>
      </w:r>
    </w:p>
    <w:p>
      <w:pPr>
        <w:spacing w:after="0" w:line="237"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II, Item 1A and the following:</w:t>
      </w:r>
    </w:p>
    <w:p>
      <w:pPr>
        <w:spacing w:after="0" w:line="14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billings, earnings, subscriptions, or other key performance metrics;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results and future projections related to our business model transition, including the impact of the end of upgrades and perpetual licenses;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or confusion on the part of analysts and investors about the short-term and long-term impact to our business resulting from our business model transition;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800" w:right="279" w:bottom="1440" w:gutter="0" w:footer="0" w:header="0"/>
        </w:sectPr>
      </w:pPr>
    </w:p>
    <w:bookmarkStart w:id="55" w:name="page56"/>
    <w:bookmarkEnd w:id="55"/>
    <w:p>
      <w:pPr>
        <w:ind w:right="180" w:firstLine="432"/>
        <w:spacing w:after="0" w:line="264" w:lineRule="auto"/>
        <w:rPr>
          <w:sz w:val="20"/>
          <w:szCs w:val="20"/>
          <w:color w:val="auto"/>
        </w:rPr>
      </w:pPr>
      <w:r>
        <w:rPr>
          <w:rFonts w:ascii="Arial" w:cs="Arial" w:eastAsia="Arial" w:hAnsi="Arial"/>
          <w:sz w:val="18"/>
          <w:szCs w:val="18"/>
          <w:color w:val="auto"/>
        </w:rPr>
        <w:t>Significant changes in the price of our common stock could expose us to additional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Changes in laws and/or regulations related to the Internet or related to privacy and data security concerns may impact our business or expose us to increased liability.</w:t>
      </w:r>
    </w:p>
    <w:p>
      <w:pPr>
        <w:spacing w:after="0" w:line="170"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data privacy and the transmission of certain types of content using the Internet. For example, the State of California has adopted legislation requiring operators of commercial websites and mobile applications that collect personal information from California residents to conspicuously post and comply with privacy policies that satisfy certain requirements. Several other U.S. states have adopted legislation requiring companies to protect the security of personal information that they collect from consumers over the Internet, and more states may adopt similar legislation in the future. Additionally, the Federal Trade Commission has used its authority under Section 5 of the Federal Trade Commission Act to bring actions against companies for failing to maintain adequate security for personal information collected from consumers over the Internet and for failing to comply with privacy-related representations made to Internet users. The U.S. Congress has at various times proposed federal legislation intended to protect the privacy of Internet users and the security of personal information collected from Internet users that would impose additional compliance burdens upon companies collecting personal information from Internet users, and the U.S. Congress may adopt such legislation in the future. The European Union also has adopted various directives regulating data privacy and security and the transmission of content using the Internet involving residents of the European Union, including those directives known as the Data Protection Directive, the E-Privacy Directive, and the Privacy and Electronic Communications Directive, and may adopt similar directives in the future. Several other countries, including Canada and several Latin American and Asian countries, have constitutional protections for, or have adopted legislation protecting, individuals' personal information. Additionally, some federal, state, or foreign governmental bodies have established laws that seek to censor the transmission of certain types of content over the Internet or require that individuals be provided with the ability to permanently delete all electronic personal information, such as the German Multimedia Law of 1997.</w:t>
      </w:r>
    </w:p>
    <w:p>
      <w:pPr>
        <w:spacing w:after="0" w:line="394"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Given the variety of global privacy and data protection regimes, it is possible we may find ourselves subject to inconsistent obligations. For instance, the USA Patriot Act is considered by some to be in conflict with certain directives of the European Union. Situations such as these require that we make prospective determinations regarding compliance with conflicting regulations. Increased enforcement of existing laws and regulations, as well as any laws, regulations or changes that may be adopted or implemented in the future, could limit the growth of the use of public cloud applications or communications generally, result in a decline in the use of the Internet and the viability of Internet-based applications, and require implementation of additional technological safeguards.</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Our investment portfolio consists of a variety of investment vehicles in a number of countries that are subject to interest rate trends, market volatility, and other economic factors. If general economic conditions decline, this could cause the credit ratings of our investments to deteriorate, illiquidity in the financial marketplace, and we may experience a decline in interest income, and an inability to sell our investments, leading to impairment in the value of our investments.</w:t>
      </w:r>
    </w:p>
    <w:p>
      <w:pPr>
        <w:spacing w:after="0" w:line="187"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investment income, or result in material charges, which in turn could impact our overall net income and earnings per share.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4" w:right="239" w:bottom="1440" w:gutter="0" w:footer="0" w:header="0"/>
        </w:sectPr>
      </w:pPr>
    </w:p>
    <w:bookmarkStart w:id="56" w:name="page57"/>
    <w:bookmarkEnd w:id="56"/>
    <w:p>
      <w:pPr>
        <w:ind w:right="60" w:firstLine="432"/>
        <w:spacing w:after="0" w:line="276" w:lineRule="auto"/>
        <w:rPr>
          <w:sz w:val="20"/>
          <w:szCs w:val="20"/>
          <w:color w:val="auto"/>
        </w:rPr>
      </w:pPr>
      <w:r>
        <w:rPr>
          <w:rFonts w:ascii="Arial" w:cs="Arial" w:eastAsia="Arial" w:hAnsi="Arial"/>
          <w:sz w:val="17"/>
          <w:szCs w:val="17"/>
          <w:color w:val="auto"/>
        </w:rPr>
        <w:t>From time to time we make direct investments in privately held companies. The privately held companies in which we invest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73"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A loss on any of our investments may cause us to record an other-than-temporary impairment charge. The effect of this charge could impact our overall net income and earnings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181"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results of operations, cash flows or the trading prices for our securities could be negatively impacted.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jc w:val="both"/>
        <w:ind w:right="24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166"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Generally Accepted Accounting Principles (“GAAP”) under SEC regulations and those who are required to follow International Financial Reporting Standards ("IFRS") outside of the U.S. These efforts by the FASB and IASB may result in different accounting principles under GAAP that may result in materially different financial results for us in areas including, but not limited to principles for recognizing revenue and lease accounting.</w:t>
      </w:r>
    </w:p>
    <w:p>
      <w:pPr>
        <w:spacing w:after="0" w:line="19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It is not clear if or when these potential changes in accounting principles may become effective, whether we have the proper systems and controls in place to accommodate such changes and the impact that any such changes may have on our consolidated financial position, results of operations and cash flows. In addition, as we evolve and change our business and sales models, we are currently unable to determine how these potential changes may impact our new models, particularly in the area of revenue recognition.</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We regularly invest resources to update and improve our information technology systems. Should our investments not succeed, or if delays or other issues with new or existing internal technology systems disrupt our operations, our business could be harmed.</w:t>
      </w:r>
    </w:p>
    <w:p>
      <w:pPr>
        <w:spacing w:after="0" w:line="17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rely on our network and data center infrastructure, technology systems and our websites for our development, marketing, operational, support, sales, accounting and financial reporting activities. We are continually investing resources to update and improve these systems and environments in order to meet the growing and evolving requirements of our business and customers. Such improvements are often complex, costly and time consuming. In addition, such improvements can be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584" w:right="259" w:bottom="1440" w:gutter="0" w:footer="0" w:header="0"/>
        </w:sectPr>
      </w:pPr>
    </w:p>
    <w:bookmarkStart w:id="57" w:name="page58"/>
    <w:bookmarkEnd w:id="57"/>
    <w:p>
      <w:pPr>
        <w:ind w:right="160"/>
        <w:spacing w:after="0" w:line="264" w:lineRule="auto"/>
        <w:rPr>
          <w:sz w:val="20"/>
          <w:szCs w:val="20"/>
          <w:color w:val="auto"/>
        </w:rPr>
      </w:pPr>
      <w:r>
        <w:rPr>
          <w:rFonts w:ascii="Arial" w:cs="Arial" w:eastAsia="Arial" w:hAnsi="Arial"/>
          <w:sz w:val="18"/>
          <w:szCs w:val="18"/>
          <w:color w:val="auto"/>
        </w:rPr>
        <w:t>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Although we believe we currently have adequate internal control over financial reporting, 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8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87"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Although we have determined that our internal control over financial reporting was effective as of January 31, 2015, as indicated in our Management Report on Internal Control over Financial Reporting, included in our Annual Report on Form 10-K for the fiscal year ended January 31, 2015, we must continue to monitor and assess our internal control over financial reporting.</w:t>
      </w:r>
    </w:p>
    <w:p>
      <w:pPr>
        <w:spacing w:after="0" w:line="181" w:lineRule="exact"/>
        <w:rPr>
          <w:sz w:val="20"/>
          <w:szCs w:val="20"/>
          <w:color w:val="auto"/>
        </w:rPr>
      </w:pPr>
    </w:p>
    <w:p>
      <w:pPr>
        <w:ind w:right="220" w:firstLine="432"/>
        <w:spacing w:after="0" w:line="297" w:lineRule="auto"/>
        <w:rPr>
          <w:sz w:val="20"/>
          <w:szCs w:val="20"/>
          <w:color w:val="auto"/>
        </w:rPr>
      </w:pPr>
      <w:r>
        <w:rPr>
          <w:rFonts w:ascii="Arial" w:cs="Arial" w:eastAsia="Arial" w:hAnsi="Arial"/>
          <w:sz w:val="16"/>
          <w:szCs w:val="16"/>
          <w:color w:val="auto"/>
        </w:rPr>
        <w:t>If our management or auditor identifies one or more material weaknesses in our internal control over financial reporting and such weakness remains uncorrected at fiscal year-end, we will be unable to assert such internal control is effective at fiscal year-end. If we are unable to assert that our internal control over financial reporting is effective at fiscal year-end (or if our independent registered public accounting firm is unable to express an opinion on the effectiveness of our internal controls or concludes that we have a material weakness in our internal controls), we could lose investor confidence in the accuracy and completeness of our financial reports, which would likely have an adverse effect on our business and stock price.</w:t>
      </w:r>
    </w:p>
    <w:p>
      <w:pPr>
        <w:spacing w:after="0" w:line="15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7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could be negatively impacted if our tax positions are overturned by tax authorities.</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based on our expected geographic mix of earnings, statutory rates, intercompany transfer pricing, and enacted tax rules. Significant judgment is required in determining our effective tax rate and in evaluating our tax positions on a worldwide basis. We believe our tax positions, including intercompany transfer pricing policies, are consistent with the tax laws in the jurisdictions in which we conduct our business. It is possible that these positions may be overturned by jurisdictional tax authorities and may have a significant impact on our effective tax rate.</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170" w:lineRule="exact"/>
        <w:rPr>
          <w:sz w:val="20"/>
          <w:szCs w:val="20"/>
          <w:color w:val="auto"/>
        </w:rPr>
      </w:pPr>
    </w:p>
    <w:p>
      <w:pPr>
        <w:jc w:val="both"/>
        <w:ind w:right="160" w:firstLine="432"/>
        <w:spacing w:after="0" w:line="25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8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87"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have certain additional risks such as effective integration into existing products, adequate transfer of technology know-how and ownership and protection of transferred intellectual property.</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19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i w:val="1"/>
          <w:iCs w:val="1"/>
          <w:color w:val="auto"/>
        </w:rPr>
        <w:t>We issued $750.0 million aggregate principal amount of senior unsecured notes in a debt offering in December 2012 and have an existing $400.0 million revolving credit facility, and may incur other debt in the future, which may adversely affect our financial condition and future financial results.</w:t>
      </w:r>
    </w:p>
    <w:p>
      <w:pPr>
        <w:spacing w:after="0" w:line="147" w:lineRule="exact"/>
        <w:rPr>
          <w:sz w:val="20"/>
          <w:szCs w:val="20"/>
          <w:color w:val="auto"/>
        </w:rPr>
      </w:pPr>
    </w:p>
    <w:p>
      <w:pPr>
        <w:ind w:right="260" w:firstLine="405"/>
        <w:spacing w:after="0" w:line="279" w:lineRule="auto"/>
        <w:rPr>
          <w:sz w:val="20"/>
          <w:szCs w:val="20"/>
          <w:color w:val="auto"/>
        </w:rPr>
      </w:pPr>
      <w:r>
        <w:rPr>
          <w:rFonts w:ascii="Arial" w:cs="Arial" w:eastAsia="Arial" w:hAnsi="Arial"/>
          <w:sz w:val="17"/>
          <w:szCs w:val="17"/>
          <w:color w:val="auto"/>
        </w:rPr>
        <w:t>In December 2012, we issued 1.95% notes due December 15, 2017 in an aggregate principal amount of $400.0 million and 3.6% notes due December 15, 2022 in an aggregate principal amount of $350.0 million. As the December 2017 and December 2022 debt matures, we will have to expend significant resources to either repay or refinance these notes. If we decide to refinance the notes, we may be required to do so on different or less favorable terms or we may be unable to refinance the notes at all, both of which may adversely affect our financial condition.</w:t>
      </w:r>
    </w:p>
    <w:p>
      <w:pPr>
        <w:spacing w:after="0" w:line="17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also have a $400.0 million revolving credit facility. As of April 30, 2015, we had no outstanding borrowings on the line of credit. Although we have no current plans to borrow under this credit facility, we may use the proceeds of any future borrowing for general corporate purposes, or for future acquisitions or expansion of our business. Our existing and future levels of indebtedness may adversely affect our financial condition and future financial results by, among other things:</w:t>
      </w:r>
    </w:p>
    <w:p>
      <w:pPr>
        <w:spacing w:after="0" w:line="187" w:lineRule="exact"/>
        <w:rPr>
          <w:sz w:val="20"/>
          <w:szCs w:val="20"/>
          <w:color w:val="auto"/>
        </w:rPr>
      </w:pPr>
    </w:p>
    <w:p>
      <w:pPr>
        <w:ind w:left="5620" w:right="3120" w:hanging="5288"/>
        <w:spacing w:after="0" w:line="810" w:lineRule="auto"/>
        <w:tabs>
          <w:tab w:leader="none" w:pos="6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competitive conditions; 59</w:t>
      </w:r>
    </w:p>
    <w:p>
      <w:pPr>
        <w:sectPr>
          <w:pgSz w:w="11900" w:h="16838" w:orient="portrait"/>
          <w:cols w:equalWidth="0" w:num="1">
            <w:col w:w="11400"/>
          </w:cols>
          <w:pgMar w:left="240" w:top="584" w:right="259" w:bottom="1440" w:gutter="0" w:footer="0" w:header="0"/>
        </w:sectPr>
      </w:pPr>
    </w:p>
    <w:bookmarkStart w:id="59" w:name="page60"/>
    <w:bookmarkEnd w:id="59"/>
    <w:p>
      <w:pPr>
        <w:ind w:left="660" w:right="20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requiring the dedication of a greater than expected portion of our expected cash from operations to service our indebtedness, thereby reducing the amount of expected cash flow available for other purposes, including capital expenditures and acquisitions;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are required to comply with the covenants set forth in our senior unsecured notes and revolving credit facility. Our ability to comply with these covenants may be affected by events beyond our control. If we breach any of the covenants and do not obtain a waiver from the note holders or lenders, then, subject to applicable cure periods, any outstanding indebtedness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revolving credit facility could increase. Downgrades in our credit ratings could also restrict our ability to obtain additional financing in the future and could affect the terms of any such financing.</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April 30, 2015.</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40"/>
          </w:cols>
          <w:pgMar w:left="240" w:top="584" w:right="319" w:bottom="1440" w:gutter="0" w:footer="0" w:header="0"/>
        </w:sectPr>
      </w:pPr>
    </w:p>
    <w:bookmarkStart w:id="60" w:name="page61"/>
    <w:bookmarkEnd w:id="60"/>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Exhibits listed below are filed or incorporated by reference as part of this Form 10-Q.</w:t>
      </w: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524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700" w:type="dxa"/>
            <w:vAlign w:val="bottom"/>
          </w:tcPr>
          <w:p>
            <w:pPr>
              <w:spacing w:after="0"/>
              <w:rPr>
                <w:sz w:val="20"/>
                <w:szCs w:val="20"/>
                <w:color w:val="auto"/>
              </w:rPr>
            </w:pPr>
            <w:r>
              <w:rPr>
                <w:rFonts w:ascii="Arial" w:cs="Arial" w:eastAsia="Arial" w:hAnsi="Arial"/>
                <w:sz w:val="16"/>
                <w:szCs w:val="16"/>
                <w:color w:val="auto"/>
              </w:rPr>
              <w:t>10.1*</w:t>
            </w:r>
          </w:p>
        </w:tc>
        <w:tc>
          <w:tcPr>
            <w:tcW w:w="10640" w:type="dxa"/>
            <w:vAlign w:val="bottom"/>
            <w:gridSpan w:val="3"/>
            <w:vMerge w:val="restart"/>
          </w:tcPr>
          <w:p>
            <w:pPr>
              <w:ind w:left="560"/>
              <w:spacing w:after="0"/>
              <w:rPr>
                <w:sz w:val="20"/>
                <w:szCs w:val="20"/>
                <w:color w:val="auto"/>
              </w:rPr>
            </w:pPr>
            <w:r>
              <w:rPr>
                <w:rFonts w:ascii="Arial" w:cs="Arial" w:eastAsia="Arial" w:hAnsi="Arial"/>
                <w:sz w:val="16"/>
                <w:szCs w:val="16"/>
                <w:color w:val="auto"/>
                <w:w w:val="91"/>
              </w:rPr>
              <w:t>Participants, target awards and payout formulas for fiscal year 2016 under the Registrant's Executive Incentive Plan (</w:t>
            </w:r>
            <w:r>
              <w:rPr>
                <w:rFonts w:ascii="Arial" w:cs="Arial" w:eastAsia="Arial" w:hAnsi="Arial"/>
                <w:sz w:val="16"/>
                <w:szCs w:val="16"/>
                <w:i w:val="1"/>
                <w:iCs w:val="1"/>
                <w:color w:val="auto"/>
                <w:w w:val="91"/>
              </w:rPr>
              <w:t>incorporated by reference to Item 5.02</w:t>
            </w:r>
          </w:p>
        </w:tc>
        <w:tc>
          <w:tcPr>
            <w:tcW w:w="0" w:type="dxa"/>
            <w:vAlign w:val="bottom"/>
          </w:tcPr>
          <w:p>
            <w:pPr>
              <w:spacing w:after="0"/>
              <w:rPr>
                <w:sz w:val="1"/>
                <w:szCs w:val="1"/>
                <w:color w:val="auto"/>
              </w:rPr>
            </w:pPr>
          </w:p>
        </w:tc>
      </w:tr>
      <w:tr>
        <w:trPr>
          <w:trHeight w:val="77"/>
        </w:trPr>
        <w:tc>
          <w:tcPr>
            <w:tcW w:w="700" w:type="dxa"/>
            <w:vAlign w:val="bottom"/>
          </w:tcPr>
          <w:p>
            <w:pPr>
              <w:spacing w:after="0"/>
              <w:rPr>
                <w:sz w:val="6"/>
                <w:szCs w:val="6"/>
                <w:color w:val="auto"/>
              </w:rPr>
            </w:pPr>
          </w:p>
        </w:tc>
        <w:tc>
          <w:tcPr>
            <w:tcW w:w="106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10640" w:type="dxa"/>
            <w:vAlign w:val="bottom"/>
            <w:gridSpan w:val="3"/>
          </w:tcPr>
          <w:p>
            <w:pPr>
              <w:ind w:left="560"/>
              <w:spacing w:after="0"/>
              <w:rPr>
                <w:sz w:val="20"/>
                <w:szCs w:val="20"/>
                <w:color w:val="auto"/>
              </w:rPr>
            </w:pPr>
            <w:r>
              <w:rPr>
                <w:rFonts w:ascii="Arial" w:cs="Arial" w:eastAsia="Arial" w:hAnsi="Arial"/>
                <w:sz w:val="16"/>
                <w:szCs w:val="16"/>
                <w:i w:val="1"/>
                <w:iCs w:val="1"/>
                <w:color w:val="auto"/>
              </w:rPr>
              <w:t>of the Registrant's Current Report on Form 8-K filed on March 17, 2015</w:t>
            </w: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58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Sales Commission Plan (</w:t>
      </w:r>
      <w:r>
        <w:rPr>
          <w:rFonts w:ascii="Arial" w:cs="Arial" w:eastAsia="Arial" w:hAnsi="Arial"/>
          <w:sz w:val="14"/>
          <w:szCs w:val="14"/>
          <w:i w:val="1"/>
          <w:iCs w:val="1"/>
          <w:color w:val="auto"/>
        </w:rPr>
        <w:t>incorporated by reference to Item 5.02 of the Registrant's Current Report on Form 8-K filed on March 17, 2015</w:t>
      </w:r>
      <w:r>
        <w:rPr>
          <w:rFonts w:ascii="Arial" w:cs="Arial" w:eastAsia="Arial" w:hAnsi="Arial"/>
          <w:sz w:val="14"/>
          <w:szCs w:val="14"/>
          <w:color w:val="auto"/>
        </w:rPr>
        <w:t>)</w:t>
      </w:r>
    </w:p>
    <w:p>
      <w:pPr>
        <w:spacing w:after="0" w:line="211" w:lineRule="exact"/>
        <w:rPr>
          <w:sz w:val="20"/>
          <w:szCs w:val="20"/>
          <w:color w:val="auto"/>
        </w:rPr>
      </w:pPr>
    </w:p>
    <w:p>
      <w:pPr>
        <w:sectPr>
          <w:pgSz w:w="11900" w:h="16838" w:orient="portrait"/>
          <w:cols w:equalWidth="0" w:num="2">
            <w:col w:w="580" w:space="720"/>
            <w:col w:w="10080"/>
          </w:cols>
          <w:pgMar w:left="240" w:top="580" w:right="279" w:bottom="1440" w:gutter="0" w:footer="0" w:header="0"/>
          <w:type w:val="continuous"/>
        </w:sect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Description of Performance Stock Unit Program (</w:t>
      </w:r>
      <w:r>
        <w:rPr>
          <w:rFonts w:ascii="Arial" w:cs="Arial" w:eastAsia="Arial" w:hAnsi="Arial"/>
          <w:sz w:val="16"/>
          <w:szCs w:val="16"/>
          <w:i w:val="1"/>
          <w:iCs w:val="1"/>
          <w:color w:val="auto"/>
        </w:rPr>
        <w:t>incorporated by reference to Item 5.02 of the Registrant's Current Report on Form 8-K filed on March</w:t>
      </w:r>
      <w:r>
        <w:rPr>
          <w:rFonts w:ascii="Arial" w:cs="Arial" w:eastAsia="Arial" w:hAnsi="Arial"/>
          <w:sz w:val="16"/>
          <w:szCs w:val="16"/>
          <w:color w:val="auto"/>
        </w:rPr>
        <w:t xml:space="preserve"> </w:t>
      </w:r>
      <w:r>
        <w:rPr>
          <w:rFonts w:ascii="Arial" w:cs="Arial" w:eastAsia="Arial" w:hAnsi="Arial"/>
          <w:sz w:val="16"/>
          <w:szCs w:val="16"/>
          <w:i w:val="1"/>
          <w:iCs w:val="1"/>
          <w:color w:val="auto"/>
        </w:rPr>
        <w:t>17, 2015</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580" w:space="720"/>
            <w:col w:w="10080"/>
          </w:cols>
          <w:pgMar w:left="240" w:top="580" w:right="279" w:bottom="1440" w:gutter="0" w:footer="0" w:header="0"/>
          <w:type w:val="continuous"/>
        </w:sectPr>
      </w:pPr>
    </w:p>
    <w:p>
      <w:pPr>
        <w:spacing w:after="0" w:line="134" w:lineRule="exact"/>
        <w:rPr>
          <w:sz w:val="20"/>
          <w:szCs w:val="20"/>
          <w:color w:val="auto"/>
        </w:rPr>
      </w:pPr>
    </w:p>
    <w:p>
      <w:pPr>
        <w:ind w:left="40"/>
        <w:spacing w:after="0"/>
        <w:rPr>
          <w:sz w:val="20"/>
          <w:szCs w:val="20"/>
          <w:color w:val="auto"/>
        </w:rPr>
      </w:pPr>
      <w:r>
        <w:rPr>
          <w:rFonts w:ascii="Arial" w:cs="Arial" w:eastAsia="Arial" w:hAnsi="Arial"/>
          <w:sz w:val="14"/>
          <w:szCs w:val="14"/>
          <w:color w:val="auto"/>
        </w:rPr>
        <w:t>31.1</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Certification of Chief Executive Officer pursuant to Rule 13a-14(a) of the Securities Exchange Act of 1934</w:t>
      </w:r>
    </w:p>
    <w:p>
      <w:pPr>
        <w:spacing w:after="0" w:line="200" w:lineRule="exact"/>
        <w:rPr>
          <w:sz w:val="20"/>
          <w:szCs w:val="20"/>
          <w:color w:val="auto"/>
        </w:rPr>
      </w:pPr>
    </w:p>
    <w:p>
      <w:pPr>
        <w:sectPr>
          <w:pgSz w:w="11900" w:h="16838" w:orient="portrait"/>
          <w:cols w:equalWidth="0" w:num="2">
            <w:col w:w="580" w:space="720"/>
            <w:col w:w="10080"/>
          </w:cols>
          <w:pgMar w:left="240" w:top="580" w:right="279" w:bottom="1440" w:gutter="0" w:footer="0" w:header="0"/>
          <w:type w:val="continuous"/>
        </w:sectPr>
      </w:pPr>
    </w:p>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31.2</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Certification of Chief Financial Officer pursuant to Rule 13a-14(a) of the Securities Exchange Act of 1934</w:t>
      </w:r>
    </w:p>
    <w:p>
      <w:pPr>
        <w:spacing w:after="0" w:line="200" w:lineRule="exact"/>
        <w:rPr>
          <w:sz w:val="20"/>
          <w:szCs w:val="20"/>
          <w:color w:val="auto"/>
        </w:rPr>
      </w:pPr>
    </w:p>
    <w:p>
      <w:pPr>
        <w:sectPr>
          <w:pgSz w:w="11900" w:h="16838" w:orient="portrait"/>
          <w:cols w:equalWidth="0" w:num="2">
            <w:col w:w="580" w:space="720"/>
            <w:col w:w="10080"/>
          </w:cols>
          <w:pgMar w:left="240" w:top="580" w:right="279" w:bottom="1440" w:gutter="0" w:footer="0" w:header="0"/>
          <w:type w:val="continuous"/>
        </w:sectPr>
      </w:pPr>
    </w:p>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32.1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580"/>
        <w:spacing w:after="0" w:line="293" w:lineRule="auto"/>
        <w:rPr>
          <w:sz w:val="20"/>
          <w:szCs w:val="20"/>
          <w:color w:val="auto"/>
        </w:rPr>
      </w:pPr>
      <w:r>
        <w:rPr>
          <w:rFonts w:ascii="Arial" w:cs="Arial" w:eastAsia="Arial" w:hAnsi="Arial"/>
          <w:sz w:val="16"/>
          <w:szCs w:val="16"/>
          <w:color w:val="auto"/>
        </w:rPr>
        <w:t>Certification of Chief Executive Officer and Chief Financial Officer pursuant to 18 U.S.C. Section 1350, as adopted pursuant to Section 906 of the Sarbanes-Oxley Act of 2002</w:t>
      </w:r>
    </w:p>
    <w:p>
      <w:pPr>
        <w:spacing w:after="0" w:line="131" w:lineRule="exact"/>
        <w:rPr>
          <w:sz w:val="20"/>
          <w:szCs w:val="20"/>
          <w:color w:val="auto"/>
        </w:rPr>
      </w:pPr>
    </w:p>
    <w:p>
      <w:pPr>
        <w:sectPr>
          <w:pgSz w:w="11900" w:h="16838" w:orient="portrait"/>
          <w:cols w:equalWidth="0" w:num="2">
            <w:col w:w="580" w:space="720"/>
            <w:col w:w="10080"/>
          </w:cols>
          <w:pgMar w:left="240" w:top="580" w:right="27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101.INS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XBRL Instance Document</w:t>
      </w:r>
    </w:p>
    <w:p>
      <w:pPr>
        <w:spacing w:after="0" w:line="200" w:lineRule="exact"/>
        <w:rPr>
          <w:sz w:val="20"/>
          <w:szCs w:val="20"/>
          <w:color w:val="auto"/>
        </w:rPr>
      </w:pPr>
    </w:p>
    <w:p>
      <w:pPr>
        <w:sectPr>
          <w:pgSz w:w="11900" w:h="16838" w:orient="portrait"/>
          <w:cols w:equalWidth="0" w:num="2">
            <w:col w:w="780" w:space="520"/>
            <w:col w:w="10080"/>
          </w:cols>
          <w:pgMar w:left="240" w:top="580" w:right="279" w:bottom="1440" w:gutter="0" w:footer="0" w:header="0"/>
          <w:type w:val="continuous"/>
        </w:sectPr>
      </w:pPr>
    </w:p>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101.SCH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Schema</w:t>
      </w:r>
    </w:p>
    <w:p>
      <w:pPr>
        <w:spacing w:after="0" w:line="200" w:lineRule="exact"/>
        <w:rPr>
          <w:sz w:val="20"/>
          <w:szCs w:val="20"/>
          <w:color w:val="auto"/>
        </w:rPr>
      </w:pPr>
    </w:p>
    <w:p>
      <w:pPr>
        <w:sectPr>
          <w:pgSz w:w="11900" w:h="16838" w:orient="portrait"/>
          <w:cols w:equalWidth="0" w:num="2">
            <w:col w:w="840" w:space="460"/>
            <w:col w:w="10080"/>
          </w:cols>
          <w:pgMar w:left="240" w:top="580" w:right="279" w:bottom="1440" w:gutter="0" w:footer="0" w:header="0"/>
          <w:type w:val="continuous"/>
        </w:sectPr>
      </w:pPr>
    </w:p>
    <w:p>
      <w:pPr>
        <w:spacing w:after="0" w:line="31" w:lineRule="exact"/>
        <w:rPr>
          <w:sz w:val="20"/>
          <w:szCs w:val="20"/>
          <w:color w:val="auto"/>
        </w:rPr>
      </w:pPr>
    </w:p>
    <w:p>
      <w:pPr>
        <w:ind w:left="40"/>
        <w:spacing w:after="0"/>
        <w:rPr>
          <w:sz w:val="20"/>
          <w:szCs w:val="20"/>
          <w:color w:val="auto"/>
        </w:rPr>
      </w:pPr>
      <w:r>
        <w:rPr>
          <w:rFonts w:ascii="Arial" w:cs="Arial" w:eastAsia="Arial" w:hAnsi="Arial"/>
          <w:sz w:val="15"/>
          <w:szCs w:val="15"/>
          <w:color w:val="auto"/>
        </w:rPr>
        <w:t>101.CAL ††</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Calculation Linkbase</w:t>
      </w:r>
    </w:p>
    <w:p>
      <w:pPr>
        <w:spacing w:after="0" w:line="211" w:lineRule="exact"/>
        <w:rPr>
          <w:sz w:val="20"/>
          <w:szCs w:val="20"/>
          <w:color w:val="auto"/>
        </w:rPr>
      </w:pPr>
    </w:p>
    <w:p>
      <w:pPr>
        <w:sectPr>
          <w:pgSz w:w="11900" w:h="16838" w:orient="portrait"/>
          <w:cols w:equalWidth="0" w:num="2">
            <w:col w:w="840" w:space="460"/>
            <w:col w:w="10080"/>
          </w:cols>
          <w:pgMar w:left="240" w:top="580" w:right="279" w:bottom="1440" w:gutter="0" w:footer="0" w:header="0"/>
          <w:type w:val="continuous"/>
        </w:sectPr>
      </w:pPr>
    </w:p>
    <w:p>
      <w:pPr>
        <w:spacing w:after="0" w:line="19"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101.DEF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XBRL Taxonomy Definition Linkbase</w:t>
      </w:r>
    </w:p>
    <w:p>
      <w:pPr>
        <w:spacing w:after="0" w:line="200" w:lineRule="exact"/>
        <w:rPr>
          <w:sz w:val="20"/>
          <w:szCs w:val="20"/>
          <w:color w:val="auto"/>
        </w:rPr>
      </w:pPr>
    </w:p>
    <w:p>
      <w:pPr>
        <w:sectPr>
          <w:pgSz w:w="11900" w:h="16838" w:orient="portrait"/>
          <w:cols w:equalWidth="0" w:num="2">
            <w:col w:w="820" w:space="480"/>
            <w:col w:w="10080"/>
          </w:cols>
          <w:pgMar w:left="240" w:top="580" w:right="279" w:bottom="1440" w:gutter="0" w:footer="0" w:header="0"/>
          <w:type w:val="continuous"/>
        </w:sectPr>
      </w:pPr>
    </w:p>
    <w:p>
      <w:pPr>
        <w:spacing w:after="0" w:line="19" w:lineRule="exact"/>
        <w:rPr>
          <w:sz w:val="20"/>
          <w:szCs w:val="20"/>
          <w:color w:val="auto"/>
        </w:rPr>
      </w:pPr>
    </w:p>
    <w:p>
      <w:pPr>
        <w:ind w:left="40"/>
        <w:spacing w:after="0"/>
        <w:rPr>
          <w:sz w:val="20"/>
          <w:szCs w:val="20"/>
          <w:color w:val="auto"/>
        </w:rPr>
      </w:pPr>
      <w:r>
        <w:rPr>
          <w:rFonts w:ascii="Arial" w:cs="Arial" w:eastAsia="Arial" w:hAnsi="Arial"/>
          <w:sz w:val="15"/>
          <w:szCs w:val="15"/>
          <w:color w:val="auto"/>
        </w:rPr>
        <w:t>101.LAB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XBRL Taxonomy Extension Label Linkbase</w:t>
      </w:r>
    </w:p>
    <w:p>
      <w:pPr>
        <w:spacing w:after="0" w:line="211" w:lineRule="exact"/>
        <w:rPr>
          <w:sz w:val="20"/>
          <w:szCs w:val="20"/>
          <w:color w:val="auto"/>
        </w:rPr>
      </w:pPr>
    </w:p>
    <w:p>
      <w:pPr>
        <w:sectPr>
          <w:pgSz w:w="11900" w:h="16838" w:orient="portrait"/>
          <w:cols w:equalWidth="0" w:num="2">
            <w:col w:w="840" w:space="460"/>
            <w:col w:w="10080"/>
          </w:cols>
          <w:pgMar w:left="240" w:top="580" w:right="279" w:bottom="1440" w:gutter="0" w:footer="0" w:header="0"/>
          <w:type w:val="continuous"/>
        </w:sectPr>
      </w:pPr>
    </w:p>
    <w:p>
      <w:pPr>
        <w:spacing w:after="0" w:line="19"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101.PRE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XBRL Taxonomy Extension Presentation Linkbase</w:t>
      </w:r>
    </w:p>
    <w:p>
      <w:pPr>
        <w:spacing w:after="0" w:line="200" w:lineRule="exact"/>
        <w:rPr>
          <w:sz w:val="20"/>
          <w:szCs w:val="20"/>
          <w:color w:val="auto"/>
        </w:rPr>
      </w:pPr>
    </w:p>
    <w:p>
      <w:pPr>
        <w:sectPr>
          <w:pgSz w:w="11900" w:h="16838" w:orient="portrait"/>
          <w:cols w:equalWidth="0" w:num="2">
            <w:col w:w="820" w:space="480"/>
            <w:col w:w="10080"/>
          </w:cols>
          <w:pgMar w:left="240" w:top="580" w:right="279" w:bottom="1440" w:gutter="0" w:footer="0" w:header="0"/>
          <w:type w:val="continuous"/>
        </w:sectPr>
      </w:pPr>
    </w:p>
    <w:p>
      <w:pPr>
        <w:spacing w:after="0" w:line="44" w:lineRule="exact"/>
        <w:rPr>
          <w:sz w:val="20"/>
          <w:szCs w:val="20"/>
          <w:color w:val="auto"/>
        </w:rPr>
      </w:pPr>
    </w:p>
    <w:p>
      <w:pPr>
        <w:ind w:left="720" w:hanging="685"/>
        <w:spacing w:after="0"/>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248" w:lineRule="exact"/>
        <w:rPr>
          <w:sz w:val="20"/>
          <w:szCs w:val="20"/>
          <w:color w:val="auto"/>
        </w:rPr>
      </w:pPr>
    </w:p>
    <w:p>
      <w:pPr>
        <w:jc w:val="both"/>
        <w:ind w:left="720" w:right="100" w:hanging="685"/>
        <w:spacing w:after="0" w:line="335" w:lineRule="auto"/>
        <w:tabs>
          <w:tab w:leader="none" w:pos="7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109" w:lineRule="exact"/>
        <w:rPr>
          <w:sz w:val="20"/>
          <w:szCs w:val="20"/>
          <w:color w:val="auto"/>
        </w:rPr>
      </w:pPr>
    </w:p>
    <w:p>
      <w:pPr>
        <w:ind w:left="720" w:hanging="685"/>
        <w:spacing w:after="0"/>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84"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61</w:t>
      </w:r>
    </w:p>
    <w:p>
      <w:pPr>
        <w:sectPr>
          <w:pgSz w:w="11900" w:h="16838" w:orient="portrait"/>
          <w:cols w:equalWidth="0" w:num="1">
            <w:col w:w="11380"/>
          </w:cols>
          <w:pgMar w:left="240" w:top="580" w:right="279" w:bottom="1440" w:gutter="0" w:footer="0" w:header="0"/>
          <w:type w:val="continuous"/>
        </w:sectPr>
      </w:pPr>
    </w:p>
    <w:bookmarkStart w:id="61" w:name="page62"/>
    <w:bookmarkEnd w:id="61"/>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28,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AUTODESK, INC.</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7460"/>
        <w:spacing w:after="0"/>
        <w:tabs>
          <w:tab w:leader="none" w:pos="78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PAUL UNDERWOOD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31750</wp:posOffset>
            </wp:positionV>
            <wp:extent cx="36791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Paul Underwood</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Vice President and Corporate Controller</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(Principal Accounting Officer)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720"/>
          </w:cols>
          <w:pgMar w:left="240" w:top="580" w:right="9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171"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28, 2015</w:t>
      </w:r>
    </w:p>
    <w:p>
      <w:pPr>
        <w:spacing w:after="0" w:line="252"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858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60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1420"/>
          </w:cols>
          <w:pgMar w:left="240" w:top="66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 Scott Herren, certify that:</w:t>
      </w:r>
    </w:p>
    <w:p>
      <w:pPr>
        <w:spacing w:after="0" w:line="17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28, 2015</w:t>
      </w:r>
    </w:p>
    <w:p>
      <w:pPr>
        <w:spacing w:after="0" w:line="252"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8360"/>
        <w:spacing w:after="0"/>
        <w:rPr>
          <w:sz w:val="20"/>
          <w:szCs w:val="20"/>
          <w:color w:val="auto"/>
        </w:rPr>
      </w:pPr>
      <w:r>
        <w:rPr>
          <w:rFonts w:ascii="Arial" w:cs="Arial" w:eastAsia="Arial" w:hAnsi="Arial"/>
          <w:sz w:val="16"/>
          <w:szCs w:val="16"/>
          <w:b w:val="1"/>
          <w:bCs w:val="1"/>
          <w:color w:val="auto"/>
        </w:rPr>
        <w:t>R. Scott Herren</w:t>
      </w:r>
    </w:p>
    <w:p>
      <w:pPr>
        <w:spacing w:after="0" w:line="73"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(Principal Financial Officer)</w:t>
      </w:r>
    </w:p>
    <w:p>
      <w:pPr>
        <w:sectPr>
          <w:pgSz w:w="11900" w:h="16838" w:orient="portrait"/>
          <w:cols w:equalWidth="0" w:num="1">
            <w:col w:w="11420"/>
          </w:cols>
          <w:pgMar w:left="240" w:top="66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Quarterly Report of Autodesk, Inc. on Form 10-Q for the quarterly period ended April 30, 2015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May 28, 2015</w:t>
      </w:r>
    </w:p>
    <w:p>
      <w:pPr>
        <w:spacing w:after="0" w:line="252"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858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60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(Principal Executive Officer)</w:t>
      </w:r>
    </w:p>
    <w:p>
      <w:pPr>
        <w:spacing w:after="0" w:line="33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R. Scott Herren, certify, pursuant to 18 U.S.C. Section 1350, as adopted pursuant to Section 906 of the Sarbanes-Oxley Act of 2002, that the Quarterly Report of Autodesk, Inc. on Form 10-Q for the quarterly period ended April 30, 2015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May 28, 2015</w:t>
      </w:r>
    </w:p>
    <w:p>
      <w:pPr>
        <w:spacing w:after="0" w:line="252" w:lineRule="exact"/>
        <w:rPr>
          <w:sz w:val="20"/>
          <w:szCs w:val="20"/>
          <w:color w:val="auto"/>
        </w:rPr>
      </w:pPr>
    </w:p>
    <w:p>
      <w:pPr>
        <w:jc w:val="center"/>
        <w:ind w:left="632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31750</wp:posOffset>
            </wp:positionV>
            <wp:extent cx="32416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57"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R. Scott Herren</w:t>
      </w:r>
    </w:p>
    <w:p>
      <w:pPr>
        <w:spacing w:after="0" w:line="86"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86"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(Principal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decimal"/>
      <w:start w:val="7"/>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2019-12-29T17:04:02Z</dcterms:created>
  <dcterms:modified xsi:type="dcterms:W3CDTF">2019-12-29T17:04:02Z</dcterms:modified>
</cp:coreProperties>
</file>