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6"/>
          </w:tcPr>
          <w:p>
            <w:pPr>
              <w:jc w:val="center"/>
              <w:ind w:right="19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80" w:type="dxa"/>
            <w:vAlign w:val="bottom"/>
            <w:gridSpan w:val="7"/>
          </w:tcPr>
          <w:p>
            <w:pPr>
              <w:jc w:val="center"/>
              <w:ind w:right="146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0" w:type="dxa"/>
            <w:vAlign w:val="bottom"/>
            <w:gridSpan w:val="6"/>
          </w:tcPr>
          <w:p>
            <w:pPr>
              <w:jc w:val="center"/>
              <w:ind w:right="19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420" w:type="dxa"/>
            <w:vAlign w:val="bottom"/>
          </w:tcPr>
          <w:p>
            <w:pPr>
              <w:spacing w:after="0"/>
              <w:rPr>
                <w:sz w:val="17"/>
                <w:szCs w:val="17"/>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4"/>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8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77"/>
        </w:trPr>
        <w:tc>
          <w:tcPr>
            <w:tcW w:w="682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72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bl>
    <w:p>
      <w:pPr>
        <w:ind w:left="340"/>
        <w:spacing w:after="0" w:line="162"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whether the registrant (1) has filed all reports required to be filed by Section 13 or 15(d) of the Exchange Act during the preceding 12 months (or for such shorter period</w:t>
      </w:r>
    </w:p>
    <w:p>
      <w:pPr>
        <w:spacing w:after="0" w:line="161" w:lineRule="exact"/>
        <w:tabs>
          <w:tab w:leader="none" w:pos="7320" w:val="left"/>
          <w:tab w:leader="none" w:pos="7800" w:val="left"/>
          <w:tab w:leader="none" w:pos="812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Yes x</w:t>
        <w:tab/>
        <w:t>No</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ind w:right="320" w:firstLine="324"/>
        <w:spacing w:after="0" w:line="252"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320" w:firstLine="324"/>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p>
      <w:pPr>
        <w:ind w:left="640"/>
        <w:spacing w:after="0"/>
        <w:tabs>
          <w:tab w:leader="none" w:pos="2240" w:val="left"/>
          <w:tab w:leader="none" w:pos="4100" w:val="left"/>
          <w:tab w:leader="none" w:pos="6180" w:val="left"/>
          <w:tab w:leader="none" w:pos="8720" w:val="left"/>
        </w:tabs>
        <w:rPr>
          <w:sz w:val="20"/>
          <w:szCs w:val="20"/>
          <w:color w:val="auto"/>
        </w:rPr>
      </w:pPr>
      <w:r>
        <w:rPr>
          <w:rFonts w:ascii="Arial" w:cs="Arial" w:eastAsia="Arial" w:hAnsi="Arial"/>
          <w:sz w:val="14"/>
          <w:szCs w:val="14"/>
          <w:color w:val="auto"/>
        </w:rPr>
        <w:t>Large accelerated filer x</w:t>
        <w:tab/>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21" w:lineRule="exact"/>
        <w:rPr>
          <w:sz w:val="24"/>
          <w:szCs w:val="24"/>
          <w:color w:val="auto"/>
        </w:rPr>
      </w:pPr>
    </w:p>
    <w:p>
      <w:pPr>
        <w:ind w:right="420" w:firstLine="324"/>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7020" w:val="left"/>
          <w:tab w:leader="none" w:pos="7380" w:val="left"/>
          <w:tab w:leader="none" w:pos="768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 x</w:t>
      </w:r>
    </w:p>
    <w:p>
      <w:pPr>
        <w:spacing w:after="0" w:line="6" w:lineRule="exact"/>
        <w:rPr>
          <w:sz w:val="24"/>
          <w:szCs w:val="24"/>
          <w:color w:val="auto"/>
        </w:rPr>
      </w:pPr>
    </w:p>
    <w:p>
      <w:pPr>
        <w:ind w:right="20" w:firstLine="324"/>
        <w:spacing w:after="0" w:line="241" w:lineRule="auto"/>
        <w:rPr>
          <w:sz w:val="20"/>
          <w:szCs w:val="20"/>
          <w:color w:val="auto"/>
        </w:rPr>
      </w:pPr>
      <w:r>
        <w:rPr>
          <w:rFonts w:ascii="Arial" w:cs="Arial" w:eastAsia="Arial" w:hAnsi="Arial"/>
          <w:sz w:val="14"/>
          <w:szCs w:val="14"/>
          <w:color w:val="auto"/>
        </w:rPr>
        <w:t>As of July 31, 2017, the last business day of the registrant’s most recently completed second fiscal quarter, there were approximately 218.5 million shares of the registrant’s common stock outstanding that were held by non-affiliates, and the aggregate market value of such shares held by non-affiliates of the registrant (based on the closing sale price of such shares on the NASDAQ Global Select Market on July 31, 2017) was approximately $24.2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12, 2018, the registrant had outstanding 218,327,862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6248400</wp:posOffset>
            </wp:positionH>
            <wp:positionV relativeFrom="paragraph">
              <wp:posOffset>262255</wp:posOffset>
            </wp:positionV>
            <wp:extent cx="100330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2018 Form 10-K 1</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0330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2</w:t>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rPr>
              <w:t>AUTODESK, INC. FORM 10-K</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5"/>
          </w:tcPr>
          <w:p>
            <w:pPr>
              <w:spacing w:after="0" w:line="189"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80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860" w:type="dxa"/>
            <w:vAlign w:val="bottom"/>
            <w:gridSpan w:val="19"/>
          </w:tcPr>
          <w:p>
            <w:pPr>
              <w:spacing w:after="0"/>
              <w:rPr>
                <w:sz w:val="24"/>
                <w:szCs w:val="24"/>
                <w:color w:val="auto"/>
              </w:rPr>
            </w:pPr>
          </w:p>
        </w:tc>
        <w:tc>
          <w:tcPr>
            <w:tcW w:w="13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50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5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6460" w:type="dxa"/>
            <w:vAlign w:val="bottom"/>
            <w:gridSpan w:val="11"/>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Legal Proceedings</w:t>
              </w:r>
            </w:hyperlink>
          </w:p>
        </w:tc>
        <w:tc>
          <w:tcPr>
            <w:tcW w:w="7160" w:type="dxa"/>
            <w:vAlign w:val="bottom"/>
            <w:gridSpan w:val="16"/>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5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 Securities</w:t>
              </w:r>
            </w:hyperlink>
          </w:p>
        </w:tc>
        <w:tc>
          <w:tcPr>
            <w:tcW w:w="420" w:type="dxa"/>
            <w:vAlign w:val="bottom"/>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420" w:type="dxa"/>
            <w:vAlign w:val="bottom"/>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040" w:type="dxa"/>
            <w:vAlign w:val="bottom"/>
            <w:gridSpan w:val="4"/>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040" w:type="dxa"/>
            <w:vAlign w:val="bottom"/>
            <w:gridSpan w:val="4"/>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4140" w:type="dxa"/>
            <w:vAlign w:val="bottom"/>
            <w:gridSpan w:val="6"/>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Changes in and Disagreements With Accountants on Accounting and Financial Disclosure</w:t>
              </w:r>
            </w:hyperlink>
          </w:p>
        </w:tc>
        <w:tc>
          <w:tcPr>
            <w:tcW w:w="198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106</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8500" w:type="dxa"/>
            <w:vAlign w:val="bottom"/>
            <w:gridSpan w:val="2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106</w:t>
              </w:r>
            </w:hyperlink>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Other Information</w:t>
              </w:r>
            </w:hyperlink>
          </w:p>
        </w:tc>
        <w:tc>
          <w:tcPr>
            <w:tcW w:w="6740" w:type="dxa"/>
            <w:vAlign w:val="bottom"/>
            <w:gridSpan w:val="13"/>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106</w:t>
              </w:r>
            </w:hyperlink>
          </w:p>
        </w:tc>
        <w:tc>
          <w:tcPr>
            <w:tcW w:w="20" w:type="dxa"/>
            <w:vAlign w:val="bottom"/>
          </w:tcPr>
          <w:p>
            <w:pPr>
              <w:spacing w:after="0"/>
              <w:rPr>
                <w:sz w:val="24"/>
                <w:szCs w:val="24"/>
                <w:color w:val="auto"/>
              </w:rPr>
            </w:pPr>
          </w:p>
        </w:tc>
      </w:tr>
      <w:tr>
        <w:trPr>
          <w:trHeight w:val="37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Directors, Executive Officers and Corporate Governance</w:t>
              </w:r>
            </w:hyperlink>
          </w:p>
        </w:tc>
        <w:tc>
          <w:tcPr>
            <w:tcW w:w="4400" w:type="dxa"/>
            <w:vAlign w:val="bottom"/>
            <w:gridSpan w:val="7"/>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107</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850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Executive Compensation</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Security Ownership of Certain Beneficial Owners and Management and Related Stockholder Matters</w:t>
              </w:r>
            </w:hyperlink>
          </w:p>
        </w:tc>
        <w:tc>
          <w:tcPr>
            <w:tcW w:w="120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8">
              <w:r>
                <w:rPr>
                  <w:rFonts w:ascii="Arial" w:cs="Arial" w:eastAsia="Arial" w:hAnsi="Arial"/>
                  <w:sz w:val="18"/>
                  <w:szCs w:val="18"/>
                  <w:color w:val="0000EE"/>
                  <w:w w:val="79"/>
                </w:rPr>
                <w:t>108</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Certain Relationships and Related Transactions, and Director Independence</w:t>
              </w:r>
            </w:hyperlink>
          </w:p>
        </w:tc>
        <w:tc>
          <w:tcPr>
            <w:tcW w:w="3040" w:type="dxa"/>
            <w:vAlign w:val="bottom"/>
            <w:gridSpan w:val="5"/>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8">
              <w:r>
                <w:rPr>
                  <w:rFonts w:ascii="Arial" w:cs="Arial" w:eastAsia="Arial" w:hAnsi="Arial"/>
                  <w:sz w:val="18"/>
                  <w:szCs w:val="18"/>
                  <w:color w:val="0000EE"/>
                  <w:w w:val="79"/>
                </w:rPr>
                <w:t>108</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850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09">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Exhibits and Financial Statement Schedules</w:t>
              </w:r>
            </w:hyperlink>
          </w:p>
        </w:tc>
        <w:tc>
          <w:tcPr>
            <w:tcW w:w="534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109</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850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Form 10-K Summary</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r>
      <w:tr>
        <w:trPr>
          <w:trHeight w:val="37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Borders>
              <w:top w:val="single" w:sz="8" w:color="0000EE"/>
            </w:tcBorders>
            <w:gridSpan w:val="2"/>
          </w:tcPr>
          <w:p>
            <w:pPr>
              <w:spacing w:after="0"/>
              <w:rPr>
                <w:rFonts w:ascii="Arial" w:cs="Arial" w:eastAsia="Arial" w:hAnsi="Arial"/>
                <w:sz w:val="18"/>
                <w:szCs w:val="18"/>
                <w:color w:val="0000EE"/>
                <w:w w:val="78"/>
              </w:rPr>
            </w:pPr>
            <w:hyperlink w:anchor="page111">
              <w:r>
                <w:rPr>
                  <w:rFonts w:ascii="Arial" w:cs="Arial" w:eastAsia="Arial" w:hAnsi="Arial"/>
                  <w:sz w:val="18"/>
                  <w:szCs w:val="18"/>
                  <w:color w:val="0000EE"/>
                  <w:w w:val="78"/>
                </w:rPr>
                <w:t>Signatures</w:t>
              </w:r>
            </w:hyperlink>
          </w:p>
        </w:tc>
        <w:tc>
          <w:tcPr>
            <w:tcW w:w="820" w:type="dxa"/>
            <w:vAlign w:val="bottom"/>
            <w:tcBorders>
              <w:top w:val="single" w:sz="8" w:color="0000EE"/>
            </w:tcBorders>
            <w:gridSpan w:val="3"/>
          </w:tcPr>
          <w:p>
            <w:pPr>
              <w:spacing w:after="0"/>
              <w:rPr>
                <w:sz w:val="24"/>
                <w:szCs w:val="24"/>
                <w:color w:val="auto"/>
              </w:rPr>
            </w:pPr>
          </w:p>
        </w:tc>
        <w:tc>
          <w:tcPr>
            <w:tcW w:w="6960" w:type="dxa"/>
            <w:vAlign w:val="bottom"/>
            <w:gridSpan w:val="15"/>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111</w:t>
              </w:r>
            </w:hyperlink>
          </w:p>
        </w:tc>
        <w:tc>
          <w:tcPr>
            <w:tcW w:w="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188595</wp:posOffset>
            </wp:positionV>
            <wp:extent cx="100330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future financial results ( by product type and geography) and subscriptions, the effectiveness of our restructuring efforts, the effectiveness of our efforts to successfully manage transitions to new business models and markets, our expectations regarding the continued transition of our business model, expectations for and our ability to increase our subscription base, expected market trends, including the growth of cloud and mobile computing, the effect of unemployment, the availability of credit, the effects of global economic conditions, the effects of revenue recognition, the effects of newly recently issued accounting standards,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and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100330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4</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w:t>
      </w:r>
      <w:r>
        <w:rPr>
          <w:sz w:val="20"/>
          <w:szCs w:val="20"/>
          <w:color w:val="auto"/>
        </w:rPr>
        <w:tab/>
      </w:r>
      <w:r>
        <w:rPr>
          <w:rFonts w:ascii="Arial" w:cs="Arial" w:eastAsia="Arial" w:hAnsi="Arial"/>
          <w:sz w:val="17"/>
          <w:szCs w:val="17"/>
          <w:b w:val="1"/>
          <w:bCs w:val="1"/>
          <w:color w:val="0696D7"/>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a global leader in design software and services, offering customers productive business solutions through powerful technology products and services. We serve customers in architecture, engineering and construction; product design and manufacturing; and digital media and entertainment industries. Our customers are able to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communicate plans, and collaborate with others. Our professional software products are sold globally, both directly to customers and through a network of resellers and distributors.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Segments</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report segment information based on the “management” approach. The management approach designates the internal reporting used by management for making decisions, allocating resources and assessing performance as the source of our reportable segments. The Company's chief operating decision maker ("CODM") allocates resources and assesses the operating performance of the Company as a whole. As such, Autodesk has one segment manager (the CODM), and one operating segment.</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summary of our revenue by geographic area and product family is found in Note 13, “Segment, Geographic and Product Family Information,” in the Notes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Corporate Information</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 The public may also read and copy any material we file with the SEC at the SEC's Public Reference Room at 100 F Street N.E. Washington, D.C. 20549. The public may obtain information on the operation of the Public Reference Room by calling the SEC at 1 (800) 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Our architecture, engineering and construction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and accuracy through process automation. Our digital media and entertainment products provide tools for digital sculpting, modeling, animation, effects, rendering, and compositing for design visualization, visual effects and games production. Our portfolio of products and services enables our customers to foster innovation, optimize and improve their designs, save time and money, improve quality, communicate plans, and collaborate with others.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Autodesk’s product offerings include: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AutoCAD software, which is our largest single revenue-generating product, is a customizable and extensible CAD application for professional design, drafting, detailing, and visualization. AutoCAD software provides digital tools that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used independently and in conjunction with other specific applications in fields ranging from construction and civil engineering to manufacturing and plant design.</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LT</w:t>
      </w:r>
    </w:p>
    <w:p>
      <w:pPr>
        <w:spacing w:after="0" w:line="22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 AutoCAD LT software is our second largest revenue-generating product.</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25"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Autodesk's Industry Collections provide our customers with increased access to a broader selection of Autodesk products, greater value, more flexibility, and a simpler way to subscribe and manage Autodesk subscriptions. The collections are tailored to provide the essential software needed by professionals within each industry: AEC, Product Design, and M&amp;E.</w:t>
      </w:r>
    </w:p>
    <w:p>
      <w:pPr>
        <w:spacing w:after="0" w:line="18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AEC Collection aims to help our customers design, engineer, and construct higher quality, more predictable building and civil infrastructure projects, commonly used by AEC industry experts, such as AutoCAD, AutoCAD Civil3D, and Revit.</w:t>
      </w:r>
    </w:p>
    <w:p>
      <w:pPr>
        <w:spacing w:after="0" w:line="170"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The Product Design Collection offers connected, professional-grade tools that help our customers make great products today and compete in the changing manufacturing landscape of the future. The collection offers access to a wide range of our products, including AutoCAD and Inventor.</w:t>
      </w:r>
    </w:p>
    <w:p>
      <w:pPr>
        <w:spacing w:after="0" w:line="12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M&amp;E Collection provides end-to-end creative tools for entertainment creation. This collection enables animators, modelers and visual effect artists to access the tool they need, including Maya and 3ds Max, to create compelling effects, 3D characters and digital worlds.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0696D7"/>
        </w:rPr>
      </w:pPr>
      <w:r>
        <w:rPr>
          <w:rFonts w:ascii="Arial" w:cs="Arial" w:eastAsia="Arial" w:hAnsi="Arial"/>
          <w:sz w:val="18"/>
          <w:szCs w:val="18"/>
          <w:i w:val="1"/>
          <w:iCs w:val="1"/>
          <w:color w:val="0696D7"/>
        </w:rPr>
        <w:t>CAM Solutions</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computer-aided manufacturing ("CAM") software offers industry-leading solutions for Computer Numeric Control ("CNC") machining, inspection, and modeling for manufacturing. A comprehensive line-up of expert products, including PowerMill, FeatureCAM, PowerInspect, PowerShare, and others, help our customers manufacture complex, innovative products and components with maximum quality, control, and production efficiency.</w:t>
      </w:r>
    </w:p>
    <w:p>
      <w:pPr>
        <w:spacing w:after="0" w:line="14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Civil 3D</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0696D7"/>
        </w:rPr>
      </w:pPr>
      <w:r>
        <w:rPr>
          <w:rFonts w:ascii="Arial" w:cs="Arial" w:eastAsia="Arial" w:hAnsi="Arial"/>
          <w:sz w:val="18"/>
          <w:szCs w:val="18"/>
          <w:i w:val="1"/>
          <w:iCs w:val="1"/>
          <w:color w:val="0696D7"/>
        </w:rPr>
        <w:t>Maya</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 length animated feature films.</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0696D7"/>
        </w:rPr>
      </w:pPr>
      <w:r>
        <w:rPr>
          <w:rFonts w:ascii="Arial" w:cs="Arial" w:eastAsia="Arial" w:hAnsi="Arial"/>
          <w:sz w:val="18"/>
          <w:szCs w:val="18"/>
          <w:i w:val="1"/>
          <w:iCs w:val="1"/>
          <w:color w:val="0696D7"/>
        </w:rPr>
        <w:t>3ds Max</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0696D7"/>
        </w:rPr>
      </w:pPr>
      <w:r>
        <w:rPr>
          <w:rFonts w:ascii="Arial" w:cs="Arial" w:eastAsia="Arial" w:hAnsi="Arial"/>
          <w:sz w:val="18"/>
          <w:szCs w:val="18"/>
          <w:i w:val="1"/>
          <w:iCs w:val="1"/>
          <w:color w:val="0696D7"/>
        </w:rPr>
        <w:t>Revit</w:t>
      </w:r>
    </w:p>
    <w:p>
      <w:pPr>
        <w:spacing w:after="0" w:line="22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Revit software is built for Building Information Modeling ("BIM") to help professionals design, build, and maintain higher-quality, more energy-efficient buildings. Using the information-rich models created with Revit, architects, engineers,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0330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0696D7"/>
        </w:rPr>
      </w:pPr>
      <w:r>
        <w:rPr>
          <w:rFonts w:ascii="Arial" w:cs="Arial" w:eastAsia="Arial" w:hAnsi="Arial"/>
          <w:sz w:val="18"/>
          <w:szCs w:val="18"/>
          <w:i w:val="1"/>
          <w:iCs w:val="1"/>
          <w:color w:val="0696D7"/>
        </w:rPr>
        <w:t>Inventor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0696D7"/>
        </w:rPr>
      </w:pPr>
      <w:r>
        <w:rPr>
          <w:rFonts w:ascii="Arial" w:cs="Arial" w:eastAsia="Arial" w:hAnsi="Arial"/>
          <w:sz w:val="18"/>
          <w:szCs w:val="18"/>
          <w:i w:val="1"/>
          <w:iCs w:val="1"/>
          <w:color w:val="0696D7"/>
        </w:rPr>
        <w:t>BIM 360</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BIM 360 construction management cloud-based software enables almost anytime, anywhere access to project data throughout the building construction lifecycle. BIM 360 empowers those in the field to better anticipate and act, and those in the back office to optimize and manage all aspects of construction performance.</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0696D7"/>
        </w:rPr>
      </w:pPr>
      <w:r>
        <w:rPr>
          <w:rFonts w:ascii="Arial" w:cs="Arial" w:eastAsia="Arial" w:hAnsi="Arial"/>
          <w:sz w:val="18"/>
          <w:szCs w:val="18"/>
          <w:i w:val="1"/>
          <w:iCs w:val="1"/>
          <w:color w:val="0696D7"/>
        </w:rPr>
        <w:t>Shotgun</w:t>
      </w:r>
    </w:p>
    <w:p>
      <w:pPr>
        <w:spacing w:after="0" w:line="22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Shotgun is cloud-based software for review and production tracking in the M&amp;E industry. Creative companies use the Shotgun platform to provide essential business tools for managers and visual collaboration tools for artists and supervisors, who often work globally with distributed teams.</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0696D7"/>
        </w:rPr>
      </w:pPr>
      <w:r>
        <w:rPr>
          <w:rFonts w:ascii="Arial" w:cs="Arial" w:eastAsia="Arial" w:hAnsi="Arial"/>
          <w:sz w:val="18"/>
          <w:szCs w:val="18"/>
          <w:i w:val="1"/>
          <w:iCs w:val="1"/>
          <w:color w:val="0696D7"/>
        </w:rPr>
        <w:t>Fusion 360</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Fusion 360 is the first 3D CAD, CAM, and Computer-aided Engineering ("CAE") tool of its kind. It connects the entire product development process on a single cloud-based platform that works on both Apple and PC operating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w:t>
      </w:r>
    </w:p>
    <w:p>
      <w:pPr>
        <w:spacing w:after="0" w:line="166"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software industry is undergoing a transition from the personal computer to cloud, social, and mobile computing. In fiscal 2018, we continued to successfully implement a strategic transition of our business model announced in fiscal 2014. To support our transition, effective February 1, 2016, we discontinued the sale of new commercial seats of most individual software products, which are now exclusively available by desktop subscription, and discontinued selling perpetual licenses of suites while introducing industry collections effective August 1, 2016. Industry collections allow access to a broad set of products and cloud services that exceeds those previously available in suites - simplifying the customers' ability to access a complete set of industry tools. Additionally, on June 15, 2017, we commenced a program to incentivize maintenance plan customers to move to subscription plan offerings. Through this program we offer discounts to those maintenance plan customers that move to subscription plan offerings, while at the same time increasing maintenance plan pricing over time for customers that remain on maintenance plans. Subscription plan offerings are designed to give our customers increased flexibility with how they use our products and service offerings and to attract a broader range of customers such as project-based users and small businesses. Subscriptions represent a combined hybrid offering of desktop software and cloud functionality which provides a device-independent, collaborative design workflow for designers and their stakeholders.</w:t>
      </w:r>
    </w:p>
    <w:p>
      <w:pPr>
        <w:spacing w:after="0" w:line="183"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dedicate considerable technical and financial resources to research and development to further enhance our existing products and to create new products and technologies to expand our market opportunity. For example, in fiscal 2018, we continued and expanded our investments in construction. We continued to make investments in the traditional data creation tools to support the design and pre-construction phases, while expanding our investment in the areas of site execution with process and project management cloud-based tools. Recognizing the value of data continuity across the construction lifecycle of design, building and operations, we made investments in the handover and operations phase of the project through our cloud-based tools. To connect the phases of construction upstream with design, we invested in and announced our cloud-based project delivery platform that allows individuals, teams and projects to be connected across all phases in a common data platform. We anticipate ongoing investments in construction that support pre-construction, site execution as well as the handover phase of the project and will continue to invest in connecting workflows and data across the ecosystem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132080</wp:posOffset>
            </wp:positionV>
            <wp:extent cx="100330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Research and development expenditures were $755.5 million or 37% of fiscal 2018 net revenue, $766.1 million or 38% of fiscal 2017 net revenue and $790.0 million or 32% of fiscal 2016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Canada, and the United Kingdom.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87" w:lineRule="exact"/>
        <w:rPr>
          <w:sz w:val="20"/>
          <w:szCs w:val="20"/>
          <w:color w:val="auto"/>
        </w:rPr>
      </w:pPr>
    </w:p>
    <w:p>
      <w:pPr>
        <w:jc w:val="both"/>
        <w:ind w:right="380" w:firstLine="432"/>
        <w:spacing w:after="0" w:line="259" w:lineRule="auto"/>
        <w:rPr>
          <w:sz w:val="20"/>
          <w:szCs w:val="20"/>
          <w:color w:val="auto"/>
        </w:rPr>
      </w:pPr>
      <w:r>
        <w:rPr>
          <w:rFonts w:ascii="Arial" w:cs="Arial" w:eastAsia="Arial" w:hAnsi="Arial"/>
          <w:sz w:val="18"/>
          <w:szCs w:val="18"/>
          <w:color w:val="auto"/>
        </w:rPr>
        <w:t>We plan to continue managing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license or sell our products and services globally, primarily through indirect channels consisting of distributors and resellers. To a lesser extent we also transact directly with our enterprise and named account customers and with customers through our online Autodesk branded store. Our indirect channel model includes both a two-tiered distribution structure, where distributors sell to resellers, and a one-tiered structure, where Autodesk sells directly to resellers. We have a network of approximately 1,600 resellers and distributors worldwide. For fiscal 2018, approximately 70% of our revenue was derived from indirect channel sales through distributors and resellers.</w:t>
      </w:r>
    </w:p>
    <w:p>
      <w:pPr>
        <w:spacing w:after="0" w:line="18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anticipate that our channel mix will continue to change, particularly as we scale our online Autodesk branded store business and our largest accounts shift towards direct-only business models. Importantly, we expect our indirect channel will continue to transact and support the majority of our future revenue. We employ a variety of incentive programs and promotions to align our reseller channel with our business strategies. 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58"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Sales through our largest distributor, Tech Data Corporation and its global affiliates, accounted for 31%, 30%, and 25% of our net revenue for fiscal years ended January 31, 2018, 2017, and 2016, respectively.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reseller, or direct customer accounted for 10% or more of our revenue.</w:t>
      </w:r>
    </w:p>
    <w:p>
      <w:pPr>
        <w:spacing w:after="0" w:line="178"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2018 net revenue in the Americas, EMEA, and APAC was $871.1 million (42%), $815.4 million (40%), and $370.1 million (18%), respectively.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A summary of our financial information by geographic location is found in Note 13, “Segment, Geographic and Product Family Information,” in the Notes to Consolidated Financial Statements. Our international operations and sales subject us to a variety of risks; see Item 1A, “Risk Factors,”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00330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 and services.</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generate revenue primarily through various offerings that provide recurring revenue. Under our maintenance plan program, our customers who own a perpetual use license for the most recent version of the underlying product are able to renew a previously purchased maintenance plan that provides them with unspecified upgrades when and if available, and receive online support during the term of their maintenance contract. Under our subscription plan, customers can use our software anytime, anywhere, and get access to the latest updates to previous versions through term-based product subscriptions, cloud service offerings, and enterprise business agreements. With the discontinuation of the sale of perpetual licenses, we have transitioned away from selling a mix of perpetual licenses and maintenance plans in favor of a consolidated subscription model.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 tier support to the resellers and distributors. Other customers are supported directly via self-service using the Autodesk Knowledge Network which guides customers to answers in our online support assets, support forums, webinars or to support representatives using a number of different modalities such as social media, phone, email and webchat. We also support our resellers and distributors through technical product training, sales training classes, webinars and other knowledge sharing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SUSTAINABILITY, AND PHILANTHROPIC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Education</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Autodesk is committed to helping fuel a lifelong passion for design and making among students of all ages, both within and outside the classroom. We offer free educational licenses of Autodesk's professional software to students, educators, and accredited educational institutions worldwide. We inspire and support beginners with Tinkercad, a simple online 3D design and 3D printing tool. Through Autodesk Design Academy, we provide secondary and postsecondary schools hundreds of standards-aligned class projects to support design-based disciplines in Science, Technology, Engineering, Digital Arts, and Math (STEAM) using Autodesk's professional-grade design, engineering and entertainment software. Autodesk Design Academy curricula is also syndicated on iTunes U and Udemy, where millions of students go to learn online. Classes and projects are available on our Instructables website for anyone looking to expand their "making" skills. Our intention is to make Autodesk software ubiquitous and the design and making software of choice for those poised to become the next generation of professional users.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Sustainability Programs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To help our customers imagine, design, and make a better world, our Sustainability initiatives focus our efforts on the area where we can have the greatest impact enabling sustainable practices through our products delivering free sustainable-design learning and training resources, providing software grants to qualifying nonprofits and entrepreneurs, and leading by example with our sustainable business practices. Through our products and services, we are supporting our customers to better understand and improve the environmental performance of everything they make.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Climate Change</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hand-in-hand with our reputation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281940</wp:posOffset>
            </wp:positionV>
            <wp:extent cx="100330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Management Actions</w:t>
      </w:r>
    </w:p>
    <w:p>
      <w:pPr>
        <w:spacing w:after="0" w:line="225" w:lineRule="exact"/>
        <w:rPr>
          <w:sz w:val="20"/>
          <w:szCs w:val="20"/>
          <w:color w:val="auto"/>
        </w:rPr>
      </w:pPr>
    </w:p>
    <w:p>
      <w:pPr>
        <w:jc w:val="both"/>
        <w:ind w:right="60" w:firstLine="405"/>
        <w:spacing w:after="0" w:line="302" w:lineRule="auto"/>
        <w:rPr>
          <w:sz w:val="20"/>
          <w:szCs w:val="20"/>
          <w:color w:val="auto"/>
        </w:rPr>
      </w:pPr>
      <w:r>
        <w:rPr>
          <w:rFonts w:ascii="Arial" w:cs="Arial" w:eastAsia="Arial" w:hAnsi="Arial"/>
          <w:sz w:val="16"/>
          <w:szCs w:val="16"/>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provide software and support to early stage entrepreneurs and start-up companies who are designing clean technologies. We plan to expand these offerings in the future based upon demand and opportunity in response to challenges posed by climate change.</w:t>
      </w:r>
    </w:p>
    <w:p>
      <w:pPr>
        <w:spacing w:after="0" w:line="15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Internally, we are investing in best practices to mitigate our greenhouse gas emissions and climate change risk through investments in renewable energy, energy efficiency, disaster management and recovery strategies, and materials innovation. We are on track to meet our science-based greenhouse gas reduction target of 43% absolute emissions by 2020.</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Governance</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With oversight from our CEO, the Sustainability &amp; Foundation Team has direct responsibility for setting and implementing the corporate sustainability strategy, including the climate change strategy.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Emissions Performance &amp; Other Key Performance Indicators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By end of fiscal 2017, Autodesk had reduced its net greenhouse gas emissions for its operational boundary by 44% from our fiscal year 2009 baseline to 156,000 metric tons of carbon dioxide equivalent. This reduction was accomplished through increased investment in renewable energy and energy efficiency in our global real estate portfolio, and continued transition from physical software delivery to cloud and electronic software delivery. More information about our sustainability commitment can be found in our annual sustainability reports, which we have published on our website since 2008. Our fiscal 2018 sustainability report will be published in the second quarter of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Philanthropy</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200" w:firstLine="432"/>
        <w:spacing w:after="0" w:line="290" w:lineRule="auto"/>
        <w:rPr>
          <w:sz w:val="20"/>
          <w:szCs w:val="20"/>
          <w:color w:val="auto"/>
        </w:rPr>
      </w:pPr>
      <w:r>
        <w:rPr>
          <w:rFonts w:ascii="Arial" w:cs="Arial" w:eastAsia="Arial" w:hAnsi="Arial"/>
          <w:sz w:val="16"/>
          <w:szCs w:val="16"/>
          <w:color w:val="auto"/>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open-architecture design of our software products to facilitate third-party development of complementary products and industry-specific software solutions. This approach enables customers and third-parties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created our web services platform, Autodesk Forge. The Forge Platform includes a number of web services that enable software developers to rapidly develop the next generation of applications, and experiences that will power the future of making things. Forge facilitates the development of a single connected ecosystem for integrating Autodesk applications with other enterprise, web and mobile solutions.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00330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competitors include large, global, publicly traded companies; small, geographically focused firms; startup firms; and solutions produced in-house by their users. Our primary global competitors include Adobe Systems Incorporated, ANSYS, Inc., Apple Inc., AVEVA Group plc, Avid Technology, Inc., Bentley Systems, Inc., Dassault Systèmes S.A. and its subsidiary Dassault Systèmes SolidWorks Corp., Intergraph Corporation, a wholly owned subsidiary of Hexagon AB, MSC Software Corporation, Nemetschek AG, PTC, 3D Systems, Siemens PLM, SONY Corporation, Technicolor, and Trimble Navigation Limited, among others.</w:t>
      </w:r>
    </w:p>
    <w:p>
      <w:pPr>
        <w:spacing w:after="0" w:line="188"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67"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15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8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pirated.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272415</wp:posOffset>
            </wp:positionV>
            <wp:extent cx="100330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Over 95% of our customers choose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 The purchase of media and the transfer of the software programs onto media for distribution to customers are performed by us and by licensed subcontractors.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As of January 31, 2018, we employed approximately 8,800 people. None of our employees in the United States are represented by a labor union.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Over the past three years, we acquired new technology or supplemented our technology by purchasing businesses or technology related assets focused in specific markets or industries. For the fiscal years ended January 31, 2018, 2017, and 2016, we acquired companies and technology related assets, some of which were accounted for as business combinations. The following were significant acquisitions for fiscal years 2018, 2017, and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Date of closing</w:t>
            </w:r>
          </w:p>
        </w:tc>
        <w:tc>
          <w:tcPr>
            <w:tcW w:w="86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Company</w:t>
            </w:r>
          </w:p>
        </w:tc>
        <w:tc>
          <w:tcPr>
            <w:tcW w:w="7720" w:type="dxa"/>
            <w:vAlign w:val="bottom"/>
            <w:gridSpan w:val="3"/>
          </w:tcPr>
          <w:p>
            <w:pPr>
              <w:ind w:left="3700"/>
              <w:spacing w:after="0"/>
              <w:rPr>
                <w:sz w:val="20"/>
                <w:szCs w:val="20"/>
                <w:color w:val="auto"/>
              </w:rPr>
            </w:pPr>
            <w:r>
              <w:rPr>
                <w:rFonts w:ascii="Arial" w:cs="Arial" w:eastAsia="Arial" w:hAnsi="Arial"/>
                <w:sz w:val="14"/>
                <w:szCs w:val="14"/>
                <w:b w:val="1"/>
                <w:bCs w:val="1"/>
                <w:color w:val="auto"/>
              </w:rPr>
              <w:t>Details</w:t>
            </w:r>
          </w:p>
        </w:tc>
      </w:tr>
      <w:tr>
        <w:trPr>
          <w:trHeight w:val="21"/>
        </w:trPr>
        <w:tc>
          <w:tcPr>
            <w:tcW w:w="4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November 2015</w:t>
            </w:r>
          </w:p>
        </w:tc>
        <w:tc>
          <w:tcPr>
            <w:tcW w:w="2120" w:type="dxa"/>
            <w:vAlign w:val="bottom"/>
            <w:gridSpan w:val="3"/>
            <w:shd w:val="clear" w:color="auto" w:fill="CCEEFF"/>
          </w:tcPr>
          <w:p>
            <w:pPr>
              <w:jc w:val="center"/>
              <w:ind w:left="99"/>
              <w:spacing w:after="0"/>
              <w:rPr>
                <w:sz w:val="20"/>
                <w:szCs w:val="20"/>
                <w:color w:val="auto"/>
              </w:rPr>
            </w:pPr>
            <w:r>
              <w:rPr>
                <w:rFonts w:ascii="Arial" w:cs="Arial" w:eastAsia="Arial" w:hAnsi="Arial"/>
                <w:sz w:val="16"/>
                <w:szCs w:val="16"/>
                <w:color w:val="auto"/>
                <w:w w:val="94"/>
              </w:rPr>
              <w:t>netfabb GmbH ("netfabb")</w:t>
            </w: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6"/>
              </w:rPr>
              <w:t>The acquisition of netfabb GmbH (“netfabb”) provided Autodesk with software solutions that reduced production</w:t>
            </w:r>
          </w:p>
        </w:tc>
      </w:tr>
      <w:tr>
        <w:trPr>
          <w:trHeight w:val="206"/>
        </w:trPr>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costs and increased efficiency in 3D printing and additive manufacturing.</w:t>
            </w:r>
          </w:p>
        </w:tc>
      </w:tr>
      <w:tr>
        <w:trPr>
          <w:trHeight w:val="33"/>
        </w:trPr>
        <w:tc>
          <w:tcPr>
            <w:tcW w:w="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 AND UNBILLED DEFERRED REVENUE</w:t>
      </w:r>
    </w:p>
    <w:p>
      <w:pPr>
        <w:spacing w:after="0" w:line="229"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Our deferred revenue balance at January 31, 2018 was $1,955.1 million and primarily relates to subscription and maintenance agreements invoiced for which the revenue has not yet been recognized but will be recognized as revenue ratably over the life of the contracts. The term of our subscription contracts is typically between one and three years.</w:t>
      </w:r>
    </w:p>
    <w:p>
      <w:pPr>
        <w:spacing w:after="0" w:line="18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define unbilled deferred revenue as contractually stated or committed orders under multi-year billing plans for subscription, services, license and maintenance for which the associated deferred revenue has not been recognized and the customer has not been invoiced. Unbilled deferred revenue is not included on our Condensed Consolidated Balance Sheet until invoiced to the customer.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Fiscal Year Ended</w:t>
            </w:r>
          </w:p>
        </w:tc>
      </w:tr>
      <w:tr>
        <w:trPr>
          <w:trHeight w:val="196"/>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January 31, 2018</w:t>
            </w:r>
          </w:p>
        </w:tc>
      </w:tr>
      <w:tr>
        <w:trPr>
          <w:trHeight w:val="236"/>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1,955.1</w:t>
            </w:r>
          </w:p>
        </w:tc>
      </w:tr>
      <w:tr>
        <w:trPr>
          <w:trHeight w:val="224"/>
        </w:trPr>
        <w:tc>
          <w:tcPr>
            <w:tcW w:w="9260" w:type="dxa"/>
            <w:vAlign w:val="bottom"/>
          </w:tcPr>
          <w:p>
            <w:pPr>
              <w:ind w:left="380"/>
              <w:spacing w:after="0"/>
              <w:rPr>
                <w:sz w:val="20"/>
                <w:szCs w:val="20"/>
                <w:color w:val="auto"/>
              </w:rPr>
            </w:pPr>
            <w:r>
              <w:rPr>
                <w:rFonts w:ascii="Arial" w:cs="Arial" w:eastAsia="Arial" w:hAnsi="Arial"/>
                <w:sz w:val="16"/>
                <w:szCs w:val="16"/>
                <w:color w:val="auto"/>
              </w:rPr>
              <w:t>Unbilled deferred revenue (1)</w:t>
            </w:r>
          </w:p>
        </w:tc>
        <w:tc>
          <w:tcPr>
            <w:tcW w:w="320" w:type="dxa"/>
            <w:vAlign w:val="bottom"/>
          </w:tcPr>
          <w:p>
            <w:pPr>
              <w:spacing w:after="0"/>
              <w:rPr>
                <w:sz w:val="19"/>
                <w:szCs w:val="19"/>
                <w:color w:val="auto"/>
              </w:rPr>
            </w:pPr>
          </w:p>
        </w:tc>
        <w:tc>
          <w:tcPr>
            <w:tcW w:w="1840" w:type="dxa"/>
            <w:vAlign w:val="bottom"/>
          </w:tcPr>
          <w:p>
            <w:pPr>
              <w:jc w:val="right"/>
              <w:ind w:right="23"/>
              <w:spacing w:after="0"/>
              <w:rPr>
                <w:sz w:val="20"/>
                <w:szCs w:val="20"/>
                <w:color w:val="auto"/>
              </w:rPr>
            </w:pPr>
            <w:r>
              <w:rPr>
                <w:rFonts w:ascii="Arial" w:cs="Arial" w:eastAsia="Arial" w:hAnsi="Arial"/>
                <w:sz w:val="16"/>
                <w:szCs w:val="16"/>
                <w:color w:val="auto"/>
              </w:rPr>
              <w:t>326.4</w:t>
            </w:r>
          </w:p>
        </w:tc>
      </w:tr>
      <w:tr>
        <w:trPr>
          <w:trHeight w:val="33"/>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2,281.5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0330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right="220" w:hanging="412"/>
        <w:spacing w:after="0" w:line="263"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is our first year presenting this metric and we are not able to provide historical information at this time. Comparative information will not be available until fiscal 2019.</w:t>
      </w:r>
    </w:p>
    <w:p>
      <w:pPr>
        <w:spacing w:after="0" w:line="177"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We expect that the amount of unbilled deferred revenue and deferred revenue will change from quarter to quarter for several reasons, including the specific timing, duration and size of large customer subscription and support agreements, varying billing cycles of such agreements, the specific timing of customer renewals, foreign currency fluctuations and the timing of when billed and unbilled deferred revenue are recognized as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i w:val="1"/>
          <w:iCs w:val="1"/>
          <w:color w:val="auto"/>
        </w:rPr>
        <w:t xml:space="preserve">Annualized Recurring Revenue (ARR)— </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jc w:val="both"/>
        <w:ind w:right="520" w:firstLine="405"/>
        <w:spacing w:after="0" w:line="266" w:lineRule="auto"/>
        <w:rPr>
          <w:sz w:val="20"/>
          <w:szCs w:val="20"/>
          <w:color w:val="auto"/>
        </w:rPr>
      </w:pPr>
      <w:r>
        <w:rPr>
          <w:rFonts w:ascii="Arial" w:cs="Arial" w:eastAsia="Arial" w:hAnsi="Arial"/>
          <w:sz w:val="18"/>
          <w:szCs w:val="18"/>
          <w:i w:val="1"/>
          <w:iCs w:val="1"/>
          <w:color w:val="auto"/>
        </w:rPr>
        <w:t>Building Information Modeling (BIM)</w:t>
      </w:r>
      <w:r>
        <w:rPr>
          <w:rFonts w:ascii="Arial" w:cs="Arial" w:eastAsia="Arial" w:hAnsi="Arial"/>
          <w:sz w:val="18"/>
          <w:szCs w:val="18"/>
          <w:b w:val="1"/>
          <w:bCs w:val="1"/>
          <w:color w:val="auto"/>
        </w:rPr>
        <w:t>—</w:t>
      </w:r>
      <w:r>
        <w:rPr>
          <w:rFonts w:ascii="Arial" w:cs="Arial" w:eastAsia="Arial" w:hAnsi="Arial"/>
          <w:sz w:val="18"/>
          <w:szCs w:val="18"/>
          <w:color w:val="auto"/>
        </w:rPr>
        <w:t>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2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8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seats to a broad pool of Autodesk products over a defined contract term.</w:t>
      </w:r>
    </w:p>
    <w:p>
      <w:pPr>
        <w:spacing w:after="0" w:line="166"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We introduced industry collections effective August 1, 2016 to replace our suites.</w:t>
      </w:r>
    </w:p>
    <w:p>
      <w:pPr>
        <w:spacing w:after="0" w:line="143" w:lineRule="exact"/>
        <w:rPr>
          <w:sz w:val="20"/>
          <w:szCs w:val="20"/>
          <w:color w:val="auto"/>
        </w:rPr>
      </w:pPr>
    </w:p>
    <w:p>
      <w:pPr>
        <w:jc w:val="both"/>
        <w:ind w:right="560" w:firstLine="405"/>
        <w:spacing w:after="0" w:line="266"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Represents (1) perpetual license revenue and (2) other revenue. Perpetual license revenue includes software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the sale of perpetual licenses, and Creative Finishing. Other revenue includes revenue such as standalone consulting and training, and is recognized over time as the services are performed.</w:t>
      </w:r>
    </w:p>
    <w:p>
      <w:pPr>
        <w:spacing w:after="0" w:line="176"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Maintenance Plans</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140" w:firstLine="405"/>
        <w:spacing w:after="0" w:line="266" w:lineRule="auto"/>
        <w:rPr>
          <w:sz w:val="20"/>
          <w:szCs w:val="20"/>
          <w:color w:val="auto"/>
        </w:rPr>
      </w:pPr>
      <w:r>
        <w:rPr>
          <w:rFonts w:ascii="Arial" w:cs="Arial" w:eastAsia="Arial" w:hAnsi="Arial"/>
          <w:sz w:val="18"/>
          <w:szCs w:val="18"/>
          <w:i w:val="1"/>
          <w:iCs w:val="1"/>
          <w:color w:val="auto"/>
        </w:rPr>
        <w:t>Product Subscriptions</w:t>
      </w:r>
      <w:r>
        <w:rPr>
          <w:rFonts w:ascii="Arial" w:cs="Arial" w:eastAsia="Arial" w:hAnsi="Arial"/>
          <w:sz w:val="18"/>
          <w:szCs w:val="18"/>
          <w:b w:val="1"/>
          <w:bCs w:val="1"/>
          <w:color w:val="auto"/>
        </w:rPr>
        <w:t>—</w:t>
      </w:r>
      <w:r>
        <w:rPr>
          <w:rFonts w:ascii="Arial" w:cs="Arial" w:eastAsia="Arial" w:hAnsi="Arial"/>
          <w:sz w:val="18"/>
          <w:szCs w:val="18"/>
          <w:color w:val="auto"/>
        </w:rPr>
        <w:t>Provide customers the most flexible, cost-effective way to access and manage 3D design, engineering,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tools. Our product subscriptions currently represent a hybrid of desktop and SaaS functionality, which provides a device-independent, collaborative design workflow for designers and their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278130</wp:posOffset>
            </wp:positionV>
            <wp:extent cx="100330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i w:val="1"/>
          <w:iCs w:val="1"/>
          <w:color w:val="auto"/>
        </w:rPr>
        <w:t>Subscription Plans</w:t>
      </w:r>
      <w:r>
        <w:rPr>
          <w:rFonts w:ascii="Arial" w:cs="Arial" w:eastAsia="Arial" w:hAnsi="Arial"/>
          <w:sz w:val="18"/>
          <w:szCs w:val="18"/>
          <w:b w:val="1"/>
          <w:bCs w:val="1"/>
          <w:color w:val="auto"/>
        </w:rPr>
        <w:t>—</w:t>
      </w:r>
      <w:r>
        <w:rPr>
          <w:rFonts w:ascii="Arial" w:cs="Arial" w:eastAsia="Arial" w:hAnsi="Arial"/>
          <w:sz w:val="18"/>
          <w:szCs w:val="18"/>
          <w:color w:val="auto"/>
        </w:rPr>
        <w:t>Comprises our term-based product subscriptions, cloud service offerings, and enterprise business agreements (EBAs).</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Subscriptions represent a 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80" w:lineRule="exact"/>
        <w:rPr>
          <w:sz w:val="20"/>
          <w:szCs w:val="20"/>
          <w:color w:val="auto"/>
        </w:rPr>
      </w:pPr>
    </w:p>
    <w:p>
      <w:pPr>
        <w:jc w:val="both"/>
        <w:ind w:right="12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Includes subscription fees from product subscriptions, cloud service offerings, and enterprise business agreements (EBAs)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other services as part of a bundled subscription agreement accounted for as a single unit of accounting. (</w:t>
      </w:r>
      <w:r>
        <w:rPr>
          <w:rFonts w:ascii="Arial" w:cs="Arial" w:eastAsia="Arial" w:hAnsi="Arial"/>
          <w:sz w:val="16"/>
          <w:szCs w:val="16"/>
          <w:i w:val="1"/>
          <w:iCs w:val="1"/>
          <w:color w:val="auto"/>
        </w:rPr>
        <w:t>i.e.</w:t>
      </w:r>
      <w:r>
        <w:rPr>
          <w:rFonts w:ascii="Arial" w:cs="Arial" w:eastAsia="Arial" w:hAnsi="Arial"/>
          <w:sz w:val="16"/>
          <w:szCs w:val="16"/>
          <w:color w:val="auto"/>
        </w:rPr>
        <w:t xml:space="preserve"> cloud services, maintenance, and consulting).</w:t>
      </w:r>
    </w:p>
    <w:p>
      <w:pPr>
        <w:spacing w:after="0" w:line="12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plans and subscription plan offerings that are active and paid as of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date. For certain cloud service offerings and enterprise business agreements (EBAs), subscriptions represent the monthly average activity reported within the last three months of the fiscal year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ind w:right="240" w:firstLine="405"/>
        <w:spacing w:after="0" w:line="289" w:lineRule="auto"/>
        <w:rPr>
          <w:sz w:val="20"/>
          <w:szCs w:val="20"/>
          <w:color w:val="auto"/>
        </w:rPr>
      </w:pPr>
      <w:r>
        <w:rPr>
          <w:rFonts w:ascii="Arial" w:cs="Arial" w:eastAsia="Arial" w:hAnsi="Arial"/>
          <w:sz w:val="17"/>
          <w:szCs w:val="17"/>
          <w:i w:val="1"/>
          <w:iCs w:val="1"/>
          <w:color w:val="auto"/>
        </w:rPr>
        <w:t>Unbilled deferred revenue</w:t>
      </w:r>
      <w:r>
        <w:rPr>
          <w:rFonts w:ascii="Arial" w:cs="Arial" w:eastAsia="Arial" w:hAnsi="Arial"/>
          <w:sz w:val="17"/>
          <w:szCs w:val="17"/>
          <w:b w:val="1"/>
          <w:bCs w:val="1"/>
          <w:color w:val="auto"/>
        </w:rPr>
        <w:t>—</w:t>
      </w:r>
      <w:r>
        <w:rPr>
          <w:rFonts w:ascii="Arial" w:cs="Arial" w:eastAsia="Arial" w:hAnsi="Arial"/>
          <w:sz w:val="17"/>
          <w:szCs w:val="17"/>
          <w:color w:val="auto"/>
        </w:rPr>
        <w:t>Unbilled deferred revenue represents contractually stated or committed orders under multi-year billing plans for</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 services, license and maintenance for which the associated deferred revenue has not been recognized and the customer has not been invoiced. Unbilled deferred revenue is not included on our Consolidated Balance Sheet until invoiced to the customer.</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1A.</w:t>
      </w:r>
      <w:r>
        <w:rPr>
          <w:sz w:val="20"/>
          <w:szCs w:val="20"/>
          <w:color w:val="auto"/>
        </w:rPr>
        <w:tab/>
      </w:r>
      <w:r>
        <w:rPr>
          <w:rFonts w:ascii="Arial" w:cs="Arial" w:eastAsia="Arial" w:hAnsi="Arial"/>
          <w:sz w:val="17"/>
          <w:szCs w:val="17"/>
          <w:b w:val="1"/>
          <w:bCs w:val="1"/>
          <w:color w:val="0696D7"/>
        </w:rPr>
        <w:t>RISK FACTORS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2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26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00330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these events could harm our business, results of operations and financial condition.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To address the industry transition from personal computer to cloud, mobile, and social computing, we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On June 15, 2017, we commenced a program to incentivize maintenance plan customers to move to subscription plan offerings. Through this program we offer discounts to those maintenance plan customers that move to subscription plan offerings, while at the same time increasing maintenance plan pricing over time for customers that remain on maintenance.</w:t>
      </w:r>
    </w:p>
    <w:p>
      <w:pPr>
        <w:spacing w:after="0" w:line="158"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the first three years of the transition, revenue, billings, gross margin, operating margin, net income (loss), earnings (loss) per share, deferred revenue, and cash flow from operations have been impacted as more revenue is recognized ratably rather than upfront and as new offerings bring a wider variety of price points.</w:t>
      </w:r>
    </w:p>
    <w:p>
      <w:pPr>
        <w:spacing w:after="0" w:line="19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industry collections or cloud-based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135255</wp:posOffset>
            </wp:positionV>
            <wp:extent cx="100330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services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product subscription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9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subscription revenue, our future revenue and financial results will be negatively impacted.</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opportunities to sell maintenance. On June 15, 2017, we commenced a program to incentivize maintenance plan customers to move to subscription plan offerings. As a result,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subscriptions, our future revenue and financial results will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The discontinuance of our perpetual licenses for most individual software products on February 1, 2016 and for perpetual suites on August 1, 2016 has and will continue to result in the loss of future upfront licensing revenue. This also has frozen the growth of our maintenance revenue because there will be no further opportunities to attach maintenance licensing. On June 15, 2017, we commenced a program to incentivize maintenance plan customers to move to subscription plan offerings. As a result, we expect our maintenance revenue to decline over time, but it may decline more quickly than anticipated due to low maintenance renewals. At the same time, our subscription revenue may not grow as rapidly as anticipated. Our subscription pricing allows customers to use our offerings at a lower initial cost when compared to the sale of a perpetual license. Although our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that we are taking to restructure our business in alignment with our strategic priorities may not be as effective as anticipated.</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fourth quarter of fiscal 2018, we commenced a world-wide restructuring plan to support the Company's strategic priorities of completing the subscription transition; digitizing the Company; and re-imagining manufacturing, construction, and production. Through the restructuring, we seek to reduce our investment in areas not aligned with our strategic priorities, including in areas related to research and development and go-to-market activities. At the same time, we plan to further invest in strategic priority areas related to as digital infrastructure, customer success,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00330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As a result of these actions, we will incur additional costs in the short term that will have the effect of reducing our GAAP operating margins. We may encounter challenges in the execution of these efforts, and these challenges could impact our financial results. If we are unable to successfully complete our restructuring efforts, our business and operating results may be harmed.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64% and 63% of our net revenue in fiscal 2018 and 2017,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178"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169545</wp:posOffset>
            </wp:positionV>
            <wp:extent cx="100330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2960" w:hanging="88"/>
        <w:spacing w:after="0" w:line="563" w:lineRule="auto"/>
        <w:tabs>
          <w:tab w:leader="none" w:pos="6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shipment of certain products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Violations of U.S. sanctions or export control laws can result in fines or penalties. While we have extensive compliance procedures in place, licensing of our product offerings may have been made in potential violation of the export control and economic sanctions laws. We filed a Voluntary Self Disclosure in December 2016 with the U.S. Treasury Department’s Office of Foreign Assets Control (“OFAC”) with respect to the sale of certain licenses in an aggregate amount of less than $700,000. We are currently waiting for OFAC to complete its review of this matter. We could be subject to monetary penalties or other sanctions by OFAC in connection with its review of this issue.</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4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00330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products,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As we digitize the Company and use cloud and web base technologies to leverage customer data to deliver the total customer experience, we are exposed to increased security risks and the potential for unauthorized access to, or improper use of our and our customers' information. Like all software products and systems, ours are vulnerable to security incidents. We devote resources to maintain the security and integrity of our systems, products,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w:t>
      </w:r>
    </w:p>
    <w:p>
      <w:pPr>
        <w:spacing w:after="0" w:line="118" w:lineRule="exact"/>
        <w:rPr>
          <w:sz w:val="20"/>
          <w:szCs w:val="20"/>
          <w:color w:val="auto"/>
        </w:rPr>
      </w:pPr>
    </w:p>
    <w:p>
      <w:pPr>
        <w:jc w:val="both"/>
        <w:ind w:right="340" w:firstLine="405"/>
        <w:spacing w:after="0" w:line="312" w:lineRule="auto"/>
        <w:rPr>
          <w:sz w:val="20"/>
          <w:szCs w:val="20"/>
          <w:color w:val="auto"/>
        </w:rPr>
      </w:pPr>
      <w:r>
        <w:rPr>
          <w:rFonts w:ascii="Arial" w:cs="Arial" w:eastAsia="Arial" w:hAnsi="Arial"/>
          <w:sz w:val="16"/>
          <w:szCs w:val="16"/>
          <w:color w:val="auto"/>
        </w:rPr>
        <w:t>Hackers regularly have targeted our systems, products, services and applications, and we expect them to do so in the future. The impact of security incidents could disrupt the proper functioning of our systems, products or services; cause errors in the output of our customers' work; allow unauthorized access to sensitive, data or intellectual property, including proprietary or confidential information of ours or our customers; or other destructive outcomes.</w:t>
      </w:r>
    </w:p>
    <w:p>
      <w:pPr>
        <w:spacing w:after="0" w:line="106"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Any of the foregoing could attack our systems, products or services. Despite efforts to create security barriers to such programs, it is virtually impossible for us to entirely eliminate this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243840</wp:posOffset>
            </wp:positionV>
            <wp:extent cx="10033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any of the foregoing were to occur, our reputation may suffer, our competitive position may be diminished, customers may stop buying our products and services, we could face lawsuits and potential liability, and our financial performance could be negatively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strategy to digitize the Company involves increasing our use of cloud and web based technologies and applications to leverage customer data. To accomplish this strategy, we must collect customer data, which may include personal data. Federal, state and foreign government privacy and data security laws apply to the treatment of personal data. Governments, the plaintiffs’ bar, privacy advocates and customers have increased their focus on how companies collect, process, use, store, share and transmit personal data.</w:t>
      </w:r>
    </w:p>
    <w:p>
      <w:pPr>
        <w:spacing w:after="0" w:line="14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General Data Protection Regulation ("GDPR") will apply in all EU member states effective May 25, 2018, and replace the current EU Data Protection Directive. The GDPR introduces new data protection requirements in the EU and substantial fines for non-compliance. The GDPR increases our responsibility and potential liability in relation to personal data, and we have and will continue to put in place additional processes and programs to demonstrate compliance. Compliance with these laws is costly and could delay or impede the development of new offerings. Any failure to comply with GDPR or other data privacy laws could lead to government enforcement actions and significant penalties. Further, any perceived privacy right violation could cause result in reputational harm, third-party claims, lawsuits or investigations. Additionally, we store customer information and content and if our customers fail to comply with contractual obligations or applicable laws, it could result in litigation or reputational harm to us.</w:t>
      </w:r>
    </w:p>
    <w:p>
      <w:pPr>
        <w:spacing w:after="0" w:line="13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GDPR, other new laws and self-regulatory codes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products and services and result in more onerous contract obligations.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rely on third-parties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rely on third-parties, such as Amazon Web Services, to provide us with operational and technical services. These third parties may have access to our systems, provide hosting services, or otherwise process data about us, our customers, employees, or partners. Any third party security incident could compromise the integrity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this data may be obtained through break-ins, network breaches by unauthorized parties, employee theft or misuse, or other misconduct. If any of the foregoing were to occur, our reputation may suffer, our competitive position may be diminished, customers may stop buying our products and services, we could face lawsuits and potential liability, and our financial performance could be negatively impacted.</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rely on third-party services; any interruption or delay in service from these third parties could expose us to liability, harm our reputation, damage our competitiveness and adversely impact our financial performance.</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rely on a number of third party suppliers, such as Amazon Web Services,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00330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fiscal 2018 and fiscal 2017, approximately 70% and 72%,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 Tech Data. Tech Data accounted for 31% and 30% of our total net revenue for fiscal 2018 and 2017,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54"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model transition, move to competitive products, or may not have the skills or ability to support customers under the new model. The loss of or a significant reduction in business with those distributors or resellerscould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perpetual licenses and the introduction of our maintenance-to-subscription program;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321310</wp:posOffset>
            </wp:positionV>
            <wp:extent cx="100330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renewals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0330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2018 Form 10-K 22</w:t>
      </w:r>
    </w:p>
    <w:p>
      <w:pPr>
        <w:sectPr>
          <w:pgSz w:w="11900" w:h="16838" w:orient="portrait"/>
          <w:cols w:equalWidth="0" w:num="1">
            <w:col w:w="11280"/>
          </w:cols>
          <w:pgMar w:left="240" w:top="125" w:right="37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273050</wp:posOffset>
            </wp:positionV>
            <wp:extent cx="100330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17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fiscal 2018 and 2017, combined revenue from our AutoCAD and AutoCAD LT products, not including collections (formerly suites) having AutoCAD or AutoCAD LT as a component, represented 20% and 16% of our total net revenue, respectively.</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the Company and support our business model transition. Should our investments not succeed, or if delays or other issues with new or existing internal technology systems disrupt our operations, our business model transition could be compromised and our business could be harmed.</w:t>
      </w:r>
    </w:p>
    <w:p>
      <w:pPr>
        <w:spacing w:after="0" w:line="181"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subscription-only business model requires considerable investment in the development of technologies, as well as back office systems for technical, financial, compliance and sales resources to enable a scalable organization.</w:t>
      </w:r>
    </w:p>
    <w:p>
      <w:pPr>
        <w:spacing w:after="0" w:line="188"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compromise our business model transition.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00330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delays or require us to enter into royalty or licensing agreements. In addition, such royalty or license agreements, if required, may not be available on acceptable terms, if at all, which would likely harm our business.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shortfalls in our expected financial results, including net revenue, billings, ARR, ARPS, earnings, subscriptions, or other key performance metrics;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119380</wp:posOffset>
            </wp:positionV>
            <wp:extent cx="100330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particularly engineering and sales personnel, could make it difficult to meet key objectives, such as timely and effective product introductions and financial goals.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For example, the U.S. government enacted significant tax law changes in December 2017, commonly referred to as the U.S. Tax Cuts and Jobs Act (the “Tax Act”), which will impact our tax obligations and effective tax rate beginning in our fiscal 2018 tax year. Increasingly, governmental tax authorities are scrutinizing corporate tax strategies. 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40"/>
        <w:spacing w:after="0" w:line="302" w:lineRule="auto"/>
        <w:rPr>
          <w:sz w:val="20"/>
          <w:szCs w:val="20"/>
          <w:color w:val="auto"/>
        </w:rPr>
      </w:pPr>
      <w:r>
        <w:rPr>
          <w:rFonts w:ascii="Arial" w:cs="Arial" w:eastAsia="Arial" w:hAnsi="Arial"/>
          <w:sz w:val="16"/>
          <w:szCs w:val="16"/>
          <w:color w:val="auto"/>
        </w:rPr>
        <w:t>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in the interpretation and application of the Tax Act could materially affect our tax obligations and effective tax rate.</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Tax Act was enacted on December 22, 2017, and provides broad and significant changes to the U.S. tax code and how the U.S. imposes income tax on multinational corporations. Due to the complexity and varying interpretations of the Tax Act, the U.S. Department of Treasury and other standard-setting bodies may issue regulations and interpretative guidance that could significantly impact how we will apply the law and the ultimate impact to our results of operations from the Tax Act.</w:t>
      </w:r>
    </w:p>
    <w:p>
      <w:pPr>
        <w:spacing w:after="0" w:line="187"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In conjunction with the Tax Act, the SEC issued Staff Accounting Bulletin 118 (“SAB 118”) which allows for the Company to record provisional amounts until a final assessment can be made within a period not to exceed one year from the date of enactment. As a result, we have recorded a provisional estimate on the effect of the Tax Act in our financial statements based on our initial assessment. As additional regulatory guidance is issued and we continue to collect and analyze necessary data, we may make adjustments to provisional amounts previously recorded. We do not anticipate these adjustments to materially impact our provision for income taxes in the period in which the adjustments are made since we are in a full valuation allowance in the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6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For example, in May 2014, FASB issued ASU 2014-09, Revenue from Contracts with Customers, which supersedes nearly all existing revenue recognition guidance under U.S. GAAP. This standard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In August 2015, FASB subsequently issued ASU 2015-14, which deferred the effectiveness of ASU 2014-09, so that it will now be effective for annual reporting periods beginning after December 15, 2017, including interim periods within that reporting period. The revised effective date for the Company under the new standard will be the beginning of fiscal 2019. We are implementing changes to our policies, procedures and systems in order to successfully adopt the standard. This new standard is both technical and complex, and we expect to incur significant ongoing costs to implement and maintain compliance with this new standard. In addition, there may be greater uncertainty with respect to projecting revenue results from future operations as we work through the new revenue recognition standard.</w:t>
      </w:r>
    </w:p>
    <w:p>
      <w:pPr>
        <w:spacing w:after="0" w:line="18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Adoption of ASU 2014-09 along with any other changes in accounting principles or interpretations could have a significant effect on our reported financial results and could affect the reporting of transactions completed before the announcement of a change. Any difficulties in the implementation of new or changed accounting standards including ASU 2014-09 could cause us to fail to meet our financial reporting obligations. If our estimates relating to our critical accounting policies are based on assumptions or judgments that change or prove to be incorrect, our operating results could fall below expectations of securities analysts and investors, resulting in a decline in our stock price. In addition, as we evolve and change our business and sales models, we are currently unable to determine how these potential changes may impact our new models, particularly in the area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276860</wp:posOffset>
            </wp:positionV>
            <wp:extent cx="100330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80" w:firstLine="392"/>
        <w:spacing w:after="0" w:line="288"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tax assets in fiscal 2018.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$1.6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240" w:firstLine="392"/>
        <w:spacing w:after="0" w:line="255" w:lineRule="auto"/>
        <w:rPr>
          <w:sz w:val="20"/>
          <w:szCs w:val="20"/>
          <w:color w:val="auto"/>
        </w:rPr>
      </w:pPr>
      <w:r>
        <w:rPr>
          <w:rFonts w:ascii="Arial" w:cs="Arial" w:eastAsia="Arial" w:hAnsi="Arial"/>
          <w:sz w:val="18"/>
          <w:szCs w:val="18"/>
          <w:color w:val="auto"/>
        </w:rPr>
        <w:t>In June 2017, we issued $500.0 million aggregate principal amount of 3.5% notes due June 15, 2027. In June 2015, we issued 3.125% notes due June 15, 2020 in an aggregate principal amount of $450.0 million and 4.375% notes due June 15, 2025 in an aggregate principal amount of $300.0 million. In December 2012, we issued 3.6% notes due December 15, 2022 in an aggregate principal amount of $350.0 million. As the debt matures, we will have to expend significant resources to either repay or refinance these notes. For example, in July 2017, we redeemed outstanding senior notes due December 15, 2017, for a total cash repayment of $401.8 million by using the proceeds from the notes we issued in 2017. If we decide to refinance notes in the future, we may be required to do so on different or less favorable terms or we may be unable to refinance the notes at all, both of which may adversely affect our financial condition.</w:t>
      </w:r>
    </w:p>
    <w:p>
      <w:pPr>
        <w:spacing w:after="0" w:line="189" w:lineRule="exact"/>
        <w:rPr>
          <w:sz w:val="20"/>
          <w:szCs w:val="20"/>
          <w:color w:val="auto"/>
        </w:rPr>
      </w:pPr>
    </w:p>
    <w:p>
      <w:pPr>
        <w:ind w:right="280" w:firstLine="392"/>
        <w:spacing w:after="0" w:line="264" w:lineRule="auto"/>
        <w:rPr>
          <w:sz w:val="20"/>
          <w:szCs w:val="20"/>
          <w:color w:val="auto"/>
        </w:rPr>
      </w:pPr>
      <w:r>
        <w:rPr>
          <w:rFonts w:ascii="Arial" w:cs="Arial" w:eastAsia="Arial" w:hAnsi="Arial"/>
          <w:sz w:val="18"/>
          <w:szCs w:val="18"/>
          <w:color w:val="auto"/>
        </w:rPr>
        <w:t>We also have a $400.0 million revolving credit facility. As of January 31, 2018, we had no outstanding borrowings on the line of credit. Although we have no current plans to borrow under this credit facility, we may use the proceeds of any future borrowing for general corporate purposes, or for future acquisitions or expansion of our business. Our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141605</wp:posOffset>
            </wp:positionV>
            <wp:extent cx="100330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and future levels of indebtedness may adversely affect our financial condition and future financial results by, among other things: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392"/>
        <w:spacing w:after="0" w:line="312" w:lineRule="auto"/>
        <w:rPr>
          <w:sz w:val="20"/>
          <w:szCs w:val="20"/>
          <w:color w:val="auto"/>
        </w:rPr>
      </w:pPr>
      <w:r>
        <w:rPr>
          <w:rFonts w:ascii="Arial" w:cs="Arial" w:eastAsia="Arial" w:hAnsi="Arial"/>
          <w:sz w:val="16"/>
          <w:szCs w:val="16"/>
          <w:color w:val="auto"/>
        </w:rPr>
        <w:t>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maximum debt to total cash ratio, a fixed charge coverage ratio through April 30, 2018, and, after April 30, 2018, a minimum interest coverage ratio.</w:t>
      </w:r>
    </w:p>
    <w:p>
      <w:pPr>
        <w:spacing w:after="0" w:line="147"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we would not be able to incur additional indebtedness under the credit facility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1B.</w:t>
      </w:r>
      <w:r>
        <w:rPr>
          <w:sz w:val="20"/>
          <w:szCs w:val="20"/>
          <w:color w:val="auto"/>
        </w:rPr>
        <w:tab/>
      </w:r>
      <w:r>
        <w:rPr>
          <w:rFonts w:ascii="Arial" w:cs="Arial" w:eastAsia="Arial" w:hAnsi="Arial"/>
          <w:sz w:val="17"/>
          <w:szCs w:val="17"/>
          <w:b w:val="1"/>
          <w:bCs w:val="1"/>
          <w:color w:val="0696D7"/>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2.</w:t>
      </w:r>
      <w:r>
        <w:rPr>
          <w:sz w:val="20"/>
          <w:szCs w:val="20"/>
          <w:color w:val="auto"/>
        </w:rPr>
        <w:tab/>
      </w:r>
      <w:r>
        <w:rPr>
          <w:rFonts w:ascii="Arial" w:cs="Arial" w:eastAsia="Arial" w:hAnsi="Arial"/>
          <w:sz w:val="17"/>
          <w:szCs w:val="17"/>
          <w:b w:val="1"/>
          <w:bCs w:val="1"/>
          <w:color w:val="0696D7"/>
        </w:rPr>
        <w:t>PROPERTIES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lease 2,128,261 square feet of office space in 124 locations in the United States and internationally through our foreign subsidiaries. Our executive offices are located in leased office space in San Francisco, California, and our corporate headquarters are located in leased office space in San Rafael, California. Our San Rafael facilities consist of approximately 189,000 square feet under leases that have expiration dates ranging from February 2018 to December 2019. Our San Francisco facilities consist of approximately 264,000 square feet under leases that have expiration dates ranging from December 2018 to December 2023. We and our foreign subsidiaries lease additional space in various locations throughout the world for local sales, product development, and technical support personnel.</w:t>
      </w:r>
    </w:p>
    <w:p>
      <w:pPr>
        <w:spacing w:after="0" w:line="19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All facilities are in good condition. Our facilities are operating at capacities averaging 80% occupancy worldwide as of January 31, 2018.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3.</w:t>
      </w:r>
      <w:r>
        <w:rPr>
          <w:sz w:val="20"/>
          <w:szCs w:val="20"/>
          <w:color w:val="auto"/>
        </w:rPr>
        <w:tab/>
      </w:r>
      <w:r>
        <w:rPr>
          <w:rFonts w:ascii="Arial" w:cs="Arial" w:eastAsia="Arial" w:hAnsi="Arial"/>
          <w:sz w:val="18"/>
          <w:szCs w:val="18"/>
          <w:b w:val="1"/>
          <w:bCs w:val="1"/>
          <w:color w:val="0696D7"/>
        </w:rPr>
        <w:t>LEGAL PROCEEDINGS</w:t>
      </w:r>
    </w:p>
    <w:p>
      <w:pPr>
        <w:spacing w:after="0" w:line="22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4.</w:t>
      </w:r>
      <w:r>
        <w:rPr>
          <w:sz w:val="20"/>
          <w:szCs w:val="20"/>
          <w:color w:val="auto"/>
        </w:rPr>
        <w:tab/>
      </w:r>
      <w:r>
        <w:rPr>
          <w:rFonts w:ascii="Arial" w:cs="Arial" w:eastAsia="Arial" w:hAnsi="Arial"/>
          <w:sz w:val="17"/>
          <w:szCs w:val="17"/>
          <w:b w:val="1"/>
          <w:bCs w:val="1"/>
          <w:color w:val="0696D7"/>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5.</w:t>
      </w:r>
      <w:r>
        <w:rPr>
          <w:sz w:val="20"/>
          <w:szCs w:val="20"/>
          <w:color w:val="auto"/>
        </w:rPr>
        <w:tab/>
      </w:r>
      <w:r>
        <w:rPr>
          <w:rFonts w:ascii="Arial" w:cs="Arial" w:eastAsia="Arial" w:hAnsi="Arial"/>
          <w:sz w:val="18"/>
          <w:szCs w:val="18"/>
          <w:b w:val="1"/>
          <w:bCs w:val="1"/>
          <w:color w:val="0696D7"/>
        </w:rPr>
        <w:t>MARKET FOR REGISTRANT’S COMMON EQUITY, RELATED STOCKHOLDER MATTERS AND ISSUER PURCHASES OF EQUITY SECURITIES</w:t>
      </w:r>
    </w:p>
    <w:p>
      <w:pPr>
        <w:spacing w:after="0" w:line="16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intraday high and low sales prices for each quarter in the last two fiscal years.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Low</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2018</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83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First Quarter</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90.94</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80.04</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Second Quarter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91.17</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Third Quarter</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125.01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104.77</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Fourth Quarter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103.19</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Fiscal 2017</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First Quarter</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41.60</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Second Quarter</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49.82</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Third Quarter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56.80</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Fourth Quarter</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67.15</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did not declare any cash or stock dividends in either fiscal 2018 or fiscal 2017. We anticipate that, for the foreseeable future, we will not pay any cash or stock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January 31, 2018, the number of common stockholders of record was 388.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share repurchase program does not have an expiration date and the pace and timing of repurchases will depend on factors such as cash generation from operations, available surplus, the volume of employee stock plan activity, cash requirements for acquisitions, economic and market conditions, stock price and legal and regulatory requirements. In September 2016, the Board of Directors approved a plan which authorized the repurchase of up to an additional 30.0 million shares of the Company's common stock. As of January 31, 2018, 10.4 million shares have been repurchased under this plan. During the three and twelve months ended January 31, 2018, we repurchased 2.5 million and 6.9 million shares, respectively, of our common stock under the Board of Director authorized share repurchase program. At January 31, 2018, 19.6 million shares remained available for repurchase under the repurchase program approved by the Board of Directors. See Note 9, “Stockholders' (Deficit) Equity (Deficit),” in the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269240</wp:posOffset>
            </wp:positionV>
            <wp:extent cx="100330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the repurchase of common stock in open-market transactions during the quarter ended January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 that May Yet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November 30</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0.4</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109.18</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0.4</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December 1 - December 31</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107.35</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6"/>
                <w:szCs w:val="16"/>
                <w:color w:val="auto"/>
              </w:rPr>
              <w:t>2.0</w:t>
            </w:r>
          </w:p>
        </w:tc>
        <w:tc>
          <w:tcPr>
            <w:tcW w:w="2840" w:type="dxa"/>
            <w:vAlign w:val="bottom"/>
            <w:gridSpan w:val="2"/>
          </w:tcPr>
          <w:p>
            <w:pPr>
              <w:jc w:val="right"/>
              <w:ind w:right="28"/>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113.26</w:t>
            </w:r>
          </w:p>
        </w:tc>
        <w:tc>
          <w:tcPr>
            <w:tcW w:w="1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0.1</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107.86</w:t>
            </w:r>
          </w:p>
        </w:tc>
        <w:tc>
          <w:tcPr>
            <w:tcW w:w="120" w:type="dxa"/>
            <w:vAlign w:val="bottom"/>
          </w:tcPr>
          <w:p>
            <w:pPr>
              <w:spacing w:after="0"/>
              <w:rPr>
                <w:sz w:val="21"/>
                <w:szCs w:val="21"/>
                <w:color w:val="auto"/>
              </w:rPr>
            </w:pPr>
          </w:p>
        </w:tc>
        <w:tc>
          <w:tcPr>
            <w:tcW w:w="2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9" w:lineRule="exact"/>
        <w:rPr>
          <w:rFonts w:ascii="Arial" w:cs="Arial" w:eastAsia="Arial" w:hAnsi="Arial"/>
          <w:sz w:val="16"/>
          <w:szCs w:val="16"/>
          <w:color w:val="auto"/>
        </w:rPr>
      </w:pPr>
    </w:p>
    <w:p>
      <w:pPr>
        <w:ind w:left="420" w:right="280" w:hanging="412"/>
        <w:spacing w:after="0" w:line="257"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September 2016 that authorizes the repurchase of 30.0 million shares. The plan does not have a fixed expiration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15240</wp:posOffset>
            </wp:positionV>
            <wp:extent cx="4570730" cy="3430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707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20" w:right="40" w:hanging="412"/>
        <w:spacing w:after="0" w:line="263" w:lineRule="auto"/>
        <w:tabs>
          <w:tab w:leader="none" w:pos="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Assumes $100 invested on January 31, 2013, in Autodesk’s stock, the Standard &amp; Poor’s 500 Stock Index, and the Dow Jones U.S. Software Index, with reinvestment of all dividends. Total stockholder returns for prior periods are not an indication of future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258445</wp:posOffset>
            </wp:positionV>
            <wp:extent cx="100330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6.</w:t>
      </w:r>
      <w:r>
        <w:rPr>
          <w:sz w:val="20"/>
          <w:szCs w:val="20"/>
          <w:color w:val="auto"/>
        </w:rPr>
        <w:tab/>
      </w:r>
      <w:r>
        <w:rPr>
          <w:rFonts w:ascii="Arial" w:cs="Arial" w:eastAsia="Arial" w:hAnsi="Arial"/>
          <w:sz w:val="18"/>
          <w:szCs w:val="18"/>
          <w:b w:val="1"/>
          <w:bCs w:val="1"/>
          <w:color w:val="0696D7"/>
        </w:rPr>
        <w:t>SELECTED FINANCIAL DATA</w:t>
      </w:r>
    </w:p>
    <w:p>
      <w:pPr>
        <w:spacing w:after="0" w:line="22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fiscal years ended January 31, 2018 and 2017 are derived from, and are qualified by reference to, the audited consolidated financial statements that are included in this Form 10-K. The Consolidated Statements of Operations and the Consolidated Statements of Cash Flows data for the year ended January 31, 2016 are derived from, and are qualified by reference to, the audited consolidated financial statements that are included in this Form 10-K. The Consolidated Balance Sheet data for the fiscal year ended January 31, 2016 and the remaining financial data for the fiscal years ended January 31, 2015 and 2014 are derived from audited, consolidated financial statements which are not included in this Form 10-K.</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Fiscal Year Ended January 31,</w:t>
            </w: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r>
      <w:tr>
        <w:trPr>
          <w:trHeight w:val="196"/>
        </w:trPr>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Fiscal Year:</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Net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2,056.6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2,031.0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2,504.1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2,512.2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2,273.9</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(509.1)</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(499.6)</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120.7</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284.8</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(566.9)</w:t>
            </w:r>
          </w:p>
        </w:tc>
        <w:tc>
          <w:tcPr>
            <w:tcW w:w="38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(582.1)</w:t>
            </w: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(330.5)</w:t>
            </w:r>
          </w:p>
        </w:tc>
        <w:tc>
          <w:tcPr>
            <w:tcW w:w="4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81.8</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228.8</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169.7</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414.0</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708.6</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572.6</w:t>
            </w:r>
          </w:p>
        </w:tc>
      </w:tr>
      <w:tr>
        <w:trPr>
          <w:trHeight w:val="224"/>
        </w:trPr>
        <w:tc>
          <w:tcPr>
            <w:tcW w:w="4680" w:type="dxa"/>
            <w:vAlign w:val="bottom"/>
          </w:tcPr>
          <w:p>
            <w:pPr>
              <w:ind w:left="20"/>
              <w:spacing w:after="0"/>
              <w:rPr>
                <w:sz w:val="20"/>
                <w:szCs w:val="20"/>
                <w:color w:val="auto"/>
              </w:rPr>
            </w:pPr>
            <w:r>
              <w:rPr>
                <w:rFonts w:ascii="Arial" w:cs="Arial" w:eastAsia="Arial" w:hAnsi="Arial"/>
                <w:sz w:val="16"/>
                <w:szCs w:val="16"/>
                <w:color w:val="auto"/>
              </w:rPr>
              <w:t>Common Stock Data: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net (loss) income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(2.61)</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Diluted net (loss) income per share</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38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(2.61)</w:t>
            </w:r>
          </w:p>
        </w:tc>
        <w:tc>
          <w:tcPr>
            <w:tcW w:w="3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(1.46)</w:t>
            </w:r>
          </w:p>
        </w:tc>
        <w:tc>
          <w:tcPr>
            <w:tcW w:w="4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0.35</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1.00</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 Year End: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4,113.6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4,798.1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5,515.3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4,909.7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4,589.9</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2,246.4</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1,879.1</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2,304.7</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1,290.4</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1,256.9</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Stockholders’ (deficit) equity</w:t>
            </w:r>
          </w:p>
        </w:tc>
        <w:tc>
          <w:tcPr>
            <w:tcW w:w="3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(256.0)</w:t>
            </w:r>
          </w:p>
        </w:tc>
        <w:tc>
          <w:tcPr>
            <w:tcW w:w="38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733.6</w:t>
            </w:r>
          </w:p>
        </w:tc>
        <w:tc>
          <w:tcPr>
            <w:tcW w:w="38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1,619.6</w:t>
            </w:r>
          </w:p>
        </w:tc>
        <w:tc>
          <w:tcPr>
            <w:tcW w:w="4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2,219.2</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100330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w:t>
      </w:r>
      <w:r>
        <w:rPr>
          <w:sz w:val="20"/>
          <w:szCs w:val="20"/>
          <w:color w:val="auto"/>
        </w:rPr>
        <w:tab/>
      </w:r>
      <w:r>
        <w:rPr>
          <w:rFonts w:ascii="Arial" w:cs="Arial" w:eastAsia="Arial" w:hAnsi="Arial"/>
          <w:sz w:val="17"/>
          <w:szCs w:val="17"/>
          <w:b w:val="1"/>
          <w:bCs w:val="1"/>
          <w:color w:val="0696D7"/>
        </w:rPr>
        <w:t>MANAGEMENT’S DISCUSSION AND ANALYSIS OF FINANCIAL CONDITION AND RESULTS OF OPERATIONS</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Fiscal 2018” below, future net revenue, operating expenses, recurring revenue, annualized recurring revenue, annualized revenue per subscription, other future financial results (by product type and geography) and subscriptions, the effectiveness of our restructuring efforts, the effectiveness of our efforts to successfully manage transitions to new business models and markets, our expectations regarding the continued transition of our business model, expectations for our maintenance plan and subscription plan subscriptions, our ability to increase our subscription base, expected market trends, including the growth of cloud and mobile computing, the effect of unemployment, the availability of credit, our expectations for our restructuring, the effects of global economic conditions, the effects of revenue recognition, the effects of recently issued accounting standards,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currently represent a hybrid of desktop software and cloud functionality, which provides a device-independent, collaborative design workflow for designers and their stakeholders. Our SaaS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Our strategy is to lead the industries we serve to cloud-based technologies and business models. This entails both a technological shift and a business model shift. As part of the transition, we discontinued selling new perpetual licenses of most individual software products effective February 1, 2016, and discontinued selling new perpetual licenses of suites while introducing industry collections effective August 1, 2016. Industry collections provide our customers with increased access to a broader selection of Autodesk products and services that exceeds those previously available in suites - simplifying the customer ability to get access to a complete set of tools for their industry. We now offer subscriptions for individual products and industry collections, cloud service offerings, and flexible enterprise business agreements (collectively referred to as "subscription plan"). These subscription plan offerings are designed to give our customers more flexibility with how they use our products and service offerings and to attract a broader range of customers, such as project-based users and small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285750</wp:posOffset>
            </wp:positionV>
            <wp:extent cx="100330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With the discontinuation of the sale of most perpetual licenses, we have transitioned away from selling a mix of perpetual licenses and term-based product subscriptions toward a single subscription model. On June 15, 2017, we commenced a program to incentivize maintenance plan customers to move to subscription plan offerings. Through this program we offer discounts to those maintenance customers that move to a subscription plan, while at the same time increasing maintenance plan pricing over time for customers that remain on maintenance.</w:t>
      </w:r>
    </w:p>
    <w:p>
      <w:pPr>
        <w:spacing w:after="0" w:line="17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To provide more meaningful information as to the performance of different categories of product and services, we have changed our presentation of revenue and cost of revenue on our Condensed Consolidated Statements of Operations effective the first quarter of fiscal 2018. See Note 1, "Business and Summary of Significant Accounting Policies," for additional information.</w:t>
      </w:r>
    </w:p>
    <w:p>
      <w:pPr>
        <w:spacing w:after="0" w:line="181"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During the first three years of the transition, revenue, margins, EPS, deferred revenue and cash flow from operations have been impacted as more revenue is recognized ratably rather than upfront and as subscription plan offerings generally have a lower initial purchase price.</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we progress through the current stage of the business model transition, annualized recurring revenue ("ARR"), growth of billings, and total subscriptions better reflect business momentum. To further analyze progress, we disaggregate our growth between the original maintenance model ("maintenance plan") and the subscription plan model. Maintenance plan subscriptions peaked in the fourth quarter of our fiscal 2016 as we discontinued selling new maintenance plan subscriptions in fiscal 2017, and we expect them to decline slowly over time as maintenance plan customers continue to convert to our subscription plans.</w:t>
      </w:r>
    </w:p>
    <w:p>
      <w:pPr>
        <w:spacing w:after="0" w:line="18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order to support our strategic priorities of completing the subscription transition, digitizing the Company, and re-imagining manufacturing, construction, and production, we commenced a world-wide restructuring plan in the fourth quarter of fiscal 2018. Through the restructuring, we seek to reduce our investments in areas not aligned with our strategic priorities, including in areas related to research and development and go-to-market activities. At the same time, we plan to further invest in strategic priority areas related to digital infrastructure, customer success, and construction. By re-balancing resources to better align with our strategic priorities, we are positioning ourselves to meet our long-term goals, while keeping non-GAAP spend flat in fiscal 2019. We anticipate incurring pre-tax restructuring charges of $135 million to $149 million, substantially all of which would result in cash expenditures, $124 million to $137 million of which would be for one-time employee termination benefits, and $11 million to $12 million of which would be for facilities-related and other costs. If we are unable to successfully complete our reorganizational efforts we may need to undertake additional restructuring efforts, and our business and operating results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The following chart shows our split between indirect and direct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channels for the fiscal years ended January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142875</wp:posOffset>
            </wp:positionV>
            <wp:extent cx="5154295" cy="3344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5429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58"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141605</wp:posOffset>
            </wp:positionV>
            <wp:extent cx="100330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iTunes U and Udemy. Our intention is to make Autodesk software ubiquitous and the design and making software of choice for those poised to become the next generation of professional users.</w:t>
      </w:r>
    </w:p>
    <w:p>
      <w:pPr>
        <w:spacing w:after="0" w:line="171"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7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when persuasive evidence of an arrangement exists, delivery has occurred or services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6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For multiple element arrangements containing only software and software-related elements, we allocate the sales price among each of the deliverables using the residual method, under which revenue is allocated to undelivered elements based on our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product subscriptions, maintenance or services, the revenue for the arrangement is recognized over the longest contractual service period in the arrangement. We are required to exercise judgment in determining whether VSOE exists for each undelivered element based on whether our pricing for these elements is sufficiently consistent.</w:t>
      </w:r>
    </w:p>
    <w:p>
      <w:pPr>
        <w:spacing w:after="0" w:line="17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 xml:space="preserve">For multiple elements arrangements involving non-software elements, including cloud subscription services, our revenue recognition policy is based upon the accounting guidance contained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We exercise judgment and use estimates in connection with the determination of the amount of revenue to be recognized in each accounting period.</w:t>
      </w:r>
    </w:p>
    <w:p>
      <w:pPr>
        <w:spacing w:after="0" w:line="15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allocate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neither VSOE nor TPE are available, we perform a quantitative analysis of pricing data points for historical standalone transactions involving such elements for a twelve-month period. As part of this analysis, we monitor and evaluate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we offer our products and services, and the type of customer (i.e. distributor, value-added reseller, and direct end user, among others). We analyze BESP at least annually or on a more frequent basis if a significant change in our business necessitates a more timely analysis or if we experience significant variances in our selling prices.</w:t>
      </w:r>
    </w:p>
    <w:p>
      <w:pPr>
        <w:spacing w:after="0" w:line="178"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In situations when we have multiple contracts with a single counterparty, we use the guidance in ASC 985-605 to evaluate both the form and the substance of the arrangements to determine if they should be combined and accounted for as one arrangement or as separate arrangements.</w:t>
      </w:r>
    </w:p>
    <w:p>
      <w:pPr>
        <w:spacing w:after="0" w:line="12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assessment of the likelihood of collection is also a critical factor in determining the timing of revenue recognition. If we do not believe that collection is probable, the revenue will be deferred until payment is received.</w:t>
      </w:r>
    </w:p>
    <w:p>
      <w:pPr>
        <w:spacing w:after="0" w:line="17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Our indirect channel model includes both a two-tiered distribution structure, where distributors sell to resellers, and a one-tiered structure where Autodesk sells directly to resellers. Our subscription revenue from distributors and resellers generally commences recognition at the time access is provided to their customers,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If we were to change any of these assumptions or judgments, it could cause a material increase or decrease in the amount of revenue that we report in a particular period.</w:t>
      </w:r>
    </w:p>
    <w:p>
      <w:pPr>
        <w:spacing w:after="0" w:line="17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subscription transaction is billed and subsequently recognized as a reduction to subscription revenue over the contract period. These incentive balances do not require significant assumptions or judgments. Depending on how the payments are made, the reserves associated with the partner incentive program are treated on the balance sheet as either contra account receivable or accounts payable.</w:t>
      </w:r>
    </w:p>
    <w:p>
      <w:pPr>
        <w:spacing w:after="0" w:line="17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Marketable Securities and Privately Held Company Investments. </w:t>
      </w:r>
      <w:r>
        <w:rPr>
          <w:rFonts w:ascii="Arial" w:cs="Arial" w:eastAsia="Arial" w:hAnsi="Arial"/>
          <w:sz w:val="18"/>
          <w:szCs w:val="18"/>
          <w:color w:val="auto"/>
        </w:rPr>
        <w:t>As described in Note 2, “Financial Instruments,” in the Notes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our investments in marketable securities are measured at the end of each reporting period and reported at fair value. 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8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32BCAD"/>
        </w:rPr>
        <w:t>Level 1</w:t>
      </w:r>
      <w:r>
        <w:rPr>
          <w:rFonts w:ascii="Arial" w:cs="Arial" w:eastAsia="Arial" w:hAnsi="Arial"/>
          <w:sz w:val="18"/>
          <w:szCs w:val="18"/>
          <w:color w:val="32BCAD"/>
        </w:rPr>
        <w:t xml:space="preserve"> </w:t>
      </w:r>
      <w:r>
        <w:rPr>
          <w:rFonts w:ascii="Arial" w:cs="Arial" w:eastAsia="Arial" w:hAnsi="Arial"/>
          <w:sz w:val="18"/>
          <w:szCs w:val="18"/>
          <w:color w:val="000000"/>
        </w:rPr>
        <w:t>- Quoted prices for identical instruments in active markets;</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32BCAD"/>
        </w:rPr>
        <w:t>Level 2</w:t>
      </w:r>
      <w:r>
        <w:rPr>
          <w:rFonts w:ascii="Arial" w:cs="Arial" w:eastAsia="Arial" w:hAnsi="Arial"/>
          <w:sz w:val="17"/>
          <w:szCs w:val="17"/>
          <w:color w:val="32BCAD"/>
        </w:rPr>
        <w:t xml:space="preserve"> </w:t>
      </w:r>
      <w:r>
        <w:rPr>
          <w:rFonts w:ascii="Arial" w:cs="Arial" w:eastAsia="Arial" w:hAnsi="Arial"/>
          <w:sz w:val="17"/>
          <w:szCs w:val="17"/>
          <w:color w:val="000000"/>
        </w:rPr>
        <w:t>- Quoted prices for similar instruments in active markets, quoted prices for identical or similar instruments in markets that are not active, and</w:t>
      </w:r>
      <w:r>
        <w:rPr>
          <w:rFonts w:ascii="Arial" w:cs="Arial" w:eastAsia="Arial" w:hAnsi="Arial"/>
          <w:sz w:val="17"/>
          <w:szCs w:val="17"/>
          <w:color w:val="32BCAD"/>
        </w:rPr>
        <w:t xml:space="preserve"> </w:t>
      </w:r>
      <w:r>
        <w:rPr>
          <w:rFonts w:ascii="Arial" w:cs="Arial" w:eastAsia="Arial" w:hAnsi="Arial"/>
          <w:sz w:val="17"/>
          <w:szCs w:val="17"/>
          <w:color w:val="000000"/>
        </w:rPr>
        <w:t>model-derived valuations in which all significant inputs and significant value drivers are observable in active markets;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32BCAD"/>
        </w:rPr>
        <w:t>Level 3</w:t>
      </w:r>
      <w:r>
        <w:rPr>
          <w:rFonts w:ascii="Arial" w:cs="Arial" w:eastAsia="Arial" w:hAnsi="Arial"/>
          <w:sz w:val="17"/>
          <w:szCs w:val="17"/>
          <w:color w:val="32BCAD"/>
        </w:rPr>
        <w:t xml:space="preserve"> </w:t>
      </w:r>
      <w:r>
        <w:rPr>
          <w:rFonts w:ascii="Arial" w:cs="Arial" w:eastAsia="Arial" w:hAnsi="Arial"/>
          <w:sz w:val="17"/>
          <w:szCs w:val="17"/>
          <w:color w:val="000000"/>
        </w:rPr>
        <w:t>- Valuations derived from valuation techniques in which one or more significant inputs or significant value drivers are unobservable.</w:t>
      </w:r>
    </w:p>
    <w:p>
      <w:pPr>
        <w:spacing w:after="0" w:line="23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assets and Level 2 assets. However, determining the fair value of marketable securities or convertible note investments in privately held companies when observable inputs are not available (Level 3) requires significant judgment. For example, we use probability weighted discounted cash flow models, in which some of the inputs are unobservable in the market, to estimate the fair value of our convertible debt securities.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283845</wp:posOffset>
            </wp:positionV>
            <wp:extent cx="100330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All of Autodesk’s marketable securities and privately held company investments are subject to a periodic impairment review. We recognize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w:t>
      </w:r>
    </w:p>
    <w:p>
      <w:pPr>
        <w:spacing w:after="0" w:line="18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fair value of the consideration transferred to the assets and liabilities acquired, as well as to in-process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18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expected cash flows from sales, maintenance agreements, and acquired developed technologies;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acquired company's trade name, trademark and existing customer relationship, as well as assumptions about the period of time the acquired trade name and trademark will continue to be used in the our product portfolio;</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8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 xml:space="preserve">Realizability of Long-Lived Assets. </w:t>
      </w:r>
      <w:r>
        <w:rPr>
          <w:rFonts w:ascii="Arial" w:cs="Arial" w:eastAsia="Arial" w:hAnsi="Arial"/>
          <w:sz w:val="17"/>
          <w:szCs w:val="17"/>
          <w:color w:val="auto"/>
        </w:rPr>
        <w:t>We assess the realizability of our long-lived assets and related intangible assets, other than goodwill, quarterly, or</w:t>
      </w:r>
      <w:r>
        <w:rPr>
          <w:rFonts w:ascii="Arial" w:cs="Arial" w:eastAsia="Arial" w:hAnsi="Arial"/>
          <w:sz w:val="17"/>
          <w:szCs w:val="17"/>
          <w:i w:val="1"/>
          <w:iCs w:val="1"/>
          <w:color w:val="auto"/>
        </w:rPr>
        <w:t xml:space="preserve"> </w:t>
      </w:r>
      <w:r>
        <w:rPr>
          <w:rFonts w:ascii="Arial" w:cs="Arial" w:eastAsia="Arial" w:hAnsi="Arial"/>
          <w:sz w:val="17"/>
          <w:szCs w:val="17"/>
          <w:color w:val="auto"/>
        </w:rPr>
        <w:t>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7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8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70"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approach. Under this method, deferred tax assets, including those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tax loss carryforwards and credits, and deferred tax liabilities are determined based on the differences between the financial statement and tax bases of assets and liabilities using enacted tax rates in effect for the year in which the differences are expected to reverse. We recognize the tax benefit for an uncertain tax position when it meets a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likely than not threshold. We recognize potential accrued interest and penalties related to unrecognized tax benefits as income tax expense.</w:t>
      </w:r>
    </w:p>
    <w:p>
      <w:pPr>
        <w:spacing w:after="0" w:line="225"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valuation allowance, we consider all available evidence including past operating results and estimates of future taxable income. Beginning in the second quarter of fiscal 2016, we considered cumulative losses in the U.S. arising from the Company’s business model transition as a significant source of negative evidence. Considering this negative evidence and the absence of sufficient positive objective evidence that we would generate sufficient taxable income in the U.S. to realize the deferred tax assets, we determined that it was more likely than not that the Company would not realize U.S. federal and state deferred tax assets and recorded a valuation allowance on our federal and state deferred tax assets. We continue to have a full valuation allowance against our U.S. deferred tax assets in fiscal 2018.</w:t>
      </w:r>
    </w:p>
    <w:p>
      <w:pPr>
        <w:spacing w:after="0" w:line="16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we continually strive to optimize our overall business model, tax planning strategies may become feasible and prudent whereby management may determine that it is more likely than not that the federal and state deferred tax assets will be realized; therefore, we will continue to evaluate the evidence around our ability to utilize our net deferred tax assets each quarter, both in the US and in foreign jurisdictions, based on all available evidence, both positive and negative.</w:t>
      </w:r>
    </w:p>
    <w:p>
      <w:pPr>
        <w:spacing w:after="0" w:line="18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measure stock-based compensation cost at the grant date fair value of the award, and recognize expense ratably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requisite service period, which is generally the vesting period. We estimate the fair value of certain stock-based payment awards (including grants of employee stock purchases related to the employee stock purchase plan) using either the Black-Scholes-Merton option-pricing model or a binomial-lattice model (e.g., Monte Carlo simulation model). To determine the grant-date fair value of our stock-based payment awards, we use a Black-Scholes model or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The value of the portion of the award that is ultimately expected to vest is recognized as expense in our Consolidated Statements of Operations.</w:t>
      </w:r>
    </w:p>
    <w:p>
      <w:pPr>
        <w:spacing w:after="0" w:line="169"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i w:val="1"/>
          <w:iCs w:val="1"/>
          <w:color w:val="auto"/>
        </w:rPr>
        <w:t>Legal Contingencies</w:t>
      </w:r>
      <w:r>
        <w:rPr>
          <w:rFonts w:ascii="Arial" w:cs="Arial" w:eastAsia="Arial" w:hAnsi="Arial"/>
          <w:sz w:val="17"/>
          <w:szCs w:val="17"/>
          <w:color w:val="auto"/>
        </w:rPr>
        <w:t>. As described in Part I, Item 3, “Legal Proceedings” and Part II, Item 8, Note 8, “Commitments and Contingencies,”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78"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i w:val="1"/>
          <w:iCs w:val="1"/>
          <w:color w:val="auto"/>
        </w:rPr>
        <w:t>Restructuring Charges and other facility exit costs, net and Accruals</w:t>
      </w:r>
      <w:r>
        <w:rPr>
          <w:rFonts w:ascii="Arial" w:cs="Arial" w:eastAsia="Arial" w:hAnsi="Arial"/>
          <w:sz w:val="16"/>
          <w:szCs w:val="16"/>
          <w:color w:val="auto"/>
        </w:rPr>
        <w:t>. The Company’s restructuring plans include one–time termination benefits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certain contractual termination benefits. We record costs associated with exit activities related to restructuring plans in accordance with the ASC Topic 420, </w:t>
      </w:r>
      <w:r>
        <w:rPr>
          <w:rFonts w:ascii="Arial" w:cs="Arial" w:eastAsia="Arial" w:hAnsi="Arial"/>
          <w:sz w:val="16"/>
          <w:szCs w:val="16"/>
          <w:i w:val="1"/>
          <w:iCs w:val="1"/>
          <w:color w:val="auto"/>
        </w:rPr>
        <w:t>Exit or Disposal Obligations</w:t>
      </w:r>
      <w:r>
        <w:rPr>
          <w:rFonts w:ascii="Arial" w:cs="Arial" w:eastAsia="Arial" w:hAnsi="Arial"/>
          <w:sz w:val="16"/>
          <w:szCs w:val="16"/>
          <w:color w:val="auto"/>
        </w:rPr>
        <w:t>. Liabilities for costs associated with an exit or disposal activity are recognized in the period in which the liability is incurred.</w:t>
      </w:r>
    </w:p>
    <w:p>
      <w:pPr>
        <w:ind w:right="300"/>
        <w:spacing w:after="0" w:line="261" w:lineRule="auto"/>
        <w:rPr>
          <w:sz w:val="20"/>
          <w:szCs w:val="20"/>
          <w:color w:val="auto"/>
        </w:rPr>
      </w:pPr>
      <w:r>
        <w:rPr>
          <w:rFonts w:ascii="Arial" w:cs="Arial" w:eastAsia="Arial" w:hAnsi="Arial"/>
          <w:sz w:val="18"/>
          <w:szCs w:val="18"/>
          <w:color w:val="auto"/>
        </w:rPr>
        <w:t>The timing of associated cash payments is dependent upon the type of exit cost and may extend over a 12-month period or longer. We record restructuring charge liabilities in “Other accrued liabilities,” or "Other liabilities" in the consolidated balance sheet.</w:t>
      </w:r>
    </w:p>
    <w:p>
      <w:pPr>
        <w:spacing w:after="0" w:line="18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Restructuring charges include employee termination costs, facility closure, accelerated depreciation of certain assets and relocation costs, and contract termination costs. One–time termination benefits are recognized as a liability at estimated fair value when the approved plan of termination has been communicated to employees, unless employees must provide future service that is longer than the statutory requirement, in which case the benefits are recognized ratably over the future service period. For the facility-related restructuring charges, we recognize upon exiting all or a portion of a leased facility and meeting cease-use and other requirements. The amount of restructuring charges is based on the fair value of the lease obligation for the abandoned space, which includes a sublease assumption that could be reasonably obtained. We also recognize accelerated depreciation related to assets at the time we commit to a plan to abandon.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283845</wp:posOffset>
            </wp:positionV>
            <wp:extent cx="100330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Restructuring charges require significant estimates and assumptions, including sub-lease income and expenses for severance and other employee separation costs. Our estimates involve a number of risks and uncertainties, some of which are beyond our control, including future real estate market conditions and our ability to successfully enter into subleases or termination agreements with terms as favorable as those assumed when arriving at our estimates. We monitor these estimates and assumptions on at least a quarterly basis for changes in circumstances and any corresponding adjustments to the accrual are recorded in our statement of operations in the period when such changes are known.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2018</w:t>
      </w:r>
    </w:p>
    <w:p>
      <w:pPr>
        <w:spacing w:after="0" w:line="22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Total net revenue increased 1 percent during fiscal 2018 as compared to the prior fiscal year.</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ARR increased 25 percent as of January 31, 2018, as compared to the end of fiscal 2017.</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subscriptions increased 20 percent to $3.72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base of both subscription plan ARR and subscriptions surpassed the base of maintenance plan ARR and subscriptions.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spend (cost of revenue + operating expenses) increased 1 percent.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deferred revenue (short term + long term deferred revenue) increased 9 percent.</w:t>
      </w:r>
    </w:p>
    <w:p>
      <w:pPr>
        <w:spacing w:after="0" w:line="279"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are undergoing a business model transition in which we have discontinued selling new perpetual licenses for most of our products in favor of subscriptions. During the first three years of the transition, revenue, margins, EPS, deferred revenue and cash flow from operations were impacted as more revenue is recognized ratably rather than upfront and as product subscription plan offerings generally have a lower initial purchase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Revenue Analysis</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During fiscal 2018, net revenue increased 1%, as compared to the prior fiscal year, primarily due to a 102% increase in subscription revenue. The increase in subscription revenue was partially offset by a 64% decrease in license and other revenue.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described below under the heading “Results from Operations.”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Total sales to Tech Data accounted for 31%, 30%, and 25% of our consolidated net revenue during fiscal 2018, 2017, and 2016, respectively. Our customers through Tech Data are the resellers and end users who purchase our software licenses and services. Should any of the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Business Model Transition Metrics</w:t>
      </w:r>
    </w:p>
    <w:p>
      <w:pPr>
        <w:spacing w:after="0" w:line="225"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order to help better understand our financial performance during and after the business model transition, we use several metrics including recurring revenue, total subscriptions, ARR, and annualized revenue per subscription ("ARPS"). ARR, ARPS, and recurring revenue are performance metrics and should be viewed independently of revenue and deferred revenue as ARR, ARPS, and recurring revenue are not intended to be combined with those items. Our determination and presentation may differ from that of other companies. Please refer to the Glossary of Terms for the definitions of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00330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42</w:t>
      </w:r>
    </w:p>
    <w:p>
      <w:pPr>
        <w:sectPr>
          <w:pgSz w:w="11900" w:h="16838" w:orient="portrait"/>
          <w:cols w:equalWidth="0" w:num="1">
            <w:col w:w="11240"/>
          </w:cols>
          <w:pgMar w:left="240" w:top="125" w:right="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fiscal years ended 2018, 2017, and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Change compared to</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7"/>
              </w:rPr>
              <w:t>Fiscal Year</w:t>
            </w:r>
          </w:p>
        </w:tc>
        <w:tc>
          <w:tcPr>
            <w:tcW w:w="300" w:type="dxa"/>
            <w:vAlign w:val="bottom"/>
          </w:tcPr>
          <w:p>
            <w:pPr>
              <w:spacing w:after="0"/>
              <w:rPr>
                <w:sz w:val="14"/>
                <w:szCs w:val="14"/>
                <w:color w:val="auto"/>
              </w:rPr>
            </w:pP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Change compared to</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ind w:left="180"/>
              <w:spacing w:after="0" w:line="145" w:lineRule="exact"/>
              <w:rPr>
                <w:sz w:val="20"/>
                <w:szCs w:val="20"/>
                <w:color w:val="auto"/>
              </w:rPr>
            </w:pPr>
            <w:r>
              <w:rPr>
                <w:rFonts w:ascii="Arial" w:cs="Arial" w:eastAsia="Arial" w:hAnsi="Arial"/>
                <w:sz w:val="14"/>
                <w:szCs w:val="14"/>
                <w:b w:val="1"/>
                <w:bCs w:val="1"/>
                <w:color w:val="auto"/>
                <w:w w:val="97"/>
              </w:rPr>
              <w:t>prior fiscal year end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ind w:left="200"/>
              <w:spacing w:after="0" w:line="145" w:lineRule="exact"/>
              <w:rPr>
                <w:sz w:val="20"/>
                <w:szCs w:val="20"/>
                <w:color w:val="auto"/>
              </w:rPr>
            </w:pPr>
            <w:r>
              <w:rPr>
                <w:rFonts w:ascii="Arial" w:cs="Arial" w:eastAsia="Arial" w:hAnsi="Arial"/>
                <w:sz w:val="14"/>
                <w:szCs w:val="14"/>
                <w:b w:val="1"/>
                <w:bCs w:val="1"/>
                <w:color w:val="auto"/>
                <w:w w:val="96"/>
              </w:rPr>
              <w:t>prior fiscal year end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116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Ended January</w:t>
            </w: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Ended January</w:t>
            </w: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Ended January</w:t>
            </w:r>
          </w:p>
        </w:tc>
        <w:tc>
          <w:tcPr>
            <w:tcW w:w="0" w:type="dxa"/>
            <w:vAlign w:val="bottom"/>
          </w:tcPr>
          <w:p>
            <w:pPr>
              <w:spacing w:after="0"/>
              <w:rPr>
                <w:sz w:val="1"/>
                <w:szCs w:val="1"/>
                <w:color w:val="auto"/>
              </w:rPr>
            </w:pPr>
          </w:p>
        </w:tc>
      </w:tr>
      <w:tr>
        <w:trPr>
          <w:trHeight w:val="65"/>
        </w:trPr>
        <w:tc>
          <w:tcPr>
            <w:tcW w:w="36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31, 2018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7"/>
              </w:rPr>
              <w:t>31, 2017(1)</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7"/>
              </w:rPr>
              <w:t>31, 2016(1)</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Recurring Revenue </w:t>
            </w:r>
            <w:r>
              <w:rPr>
                <w:rFonts w:ascii="Arial" w:cs="Arial" w:eastAsia="Arial" w:hAnsi="Arial"/>
                <w:sz w:val="16"/>
                <w:szCs w:val="16"/>
                <w:i w:val="1"/>
                <w:iCs w:val="1"/>
                <w:color w:val="auto"/>
              </w:rPr>
              <w:t>(in millions)</w:t>
            </w:r>
            <w:r>
              <w:rPr>
                <w:rFonts w:ascii="Arial" w:cs="Arial" w:eastAsia="Arial" w:hAnsi="Arial"/>
                <w:sz w:val="16"/>
                <w:szCs w:val="16"/>
                <w:color w:val="auto"/>
              </w:rPr>
              <w:t xml:space="preserve">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1,882.3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342.0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1,540.3</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160.2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1,380.1</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9"/>
        </w:trPr>
        <w:tc>
          <w:tcPr>
            <w:tcW w:w="36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w:t>
      </w:r>
    </w:p>
    <w:p>
      <w:pPr>
        <w:spacing w:after="0" w:line="9" w:lineRule="exact"/>
        <w:rPr>
          <w:rFonts w:ascii="Arial" w:cs="Arial" w:eastAsia="Arial" w:hAnsi="Arial"/>
          <w:sz w:val="16"/>
          <w:szCs w:val="16"/>
          <w:color w:val="auto"/>
        </w:rPr>
      </w:pPr>
    </w:p>
    <w:p>
      <w:pPr>
        <w:ind w:left="420" w:right="20" w:hanging="412"/>
        <w:spacing w:after="0" w:line="257"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Consolidated Statement of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our ARR, subscriptions, and ARPS metrics as of fiscal years ended January 31,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compared to</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January 31, 2018</w:t>
            </w:r>
          </w:p>
        </w:tc>
        <w:tc>
          <w:tcPr>
            <w:tcW w:w="200" w:type="dxa"/>
            <w:vAlign w:val="bottom"/>
          </w:tcPr>
          <w:p>
            <w:pPr>
              <w:spacing w:after="0"/>
              <w:rPr>
                <w:sz w:val="13"/>
                <w:szCs w:val="13"/>
                <w:color w:val="auto"/>
              </w:rPr>
            </w:pPr>
          </w:p>
        </w:tc>
        <w:tc>
          <w:tcPr>
            <w:tcW w:w="6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w w:val="99"/>
              </w:rPr>
              <w:t>January 31, 2017</w:t>
            </w: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46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6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1,175.0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603.6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1,068.0</w:t>
            </w:r>
          </w:p>
        </w:tc>
        <w:tc>
          <w:tcPr>
            <w:tcW w:w="0" w:type="dxa"/>
            <w:vAlign w:val="bottom"/>
          </w:tcPr>
          <w:p>
            <w:pPr>
              <w:spacing w:after="0"/>
              <w:rPr>
                <w:sz w:val="1"/>
                <w:szCs w:val="1"/>
                <w:color w:val="auto"/>
              </w:rPr>
            </w:pPr>
          </w:p>
        </w:tc>
      </w:tr>
      <w:tr>
        <w:trPr>
          <w:trHeight w:val="284"/>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ARR (2)</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2,054.1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414.7</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1,639.4</w:t>
            </w:r>
          </w:p>
        </w:tc>
        <w:tc>
          <w:tcPr>
            <w:tcW w:w="0" w:type="dxa"/>
            <w:vAlign w:val="bottom"/>
          </w:tcPr>
          <w:p>
            <w:pPr>
              <w:spacing w:after="0"/>
              <w:rPr>
                <w:sz w:val="1"/>
                <w:szCs w:val="1"/>
                <w:color w:val="auto"/>
              </w:rPr>
            </w:pPr>
          </w:p>
        </w:tc>
      </w:tr>
      <w:tr>
        <w:trPr>
          <w:trHeight w:val="311"/>
        </w:trPr>
        <w:tc>
          <w:tcPr>
            <w:tcW w:w="6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b w:val="1"/>
                <w:bCs w:val="1"/>
                <w:color w:val="auto"/>
              </w:rPr>
              <w:t xml:space="preserve">Number of Subscriptions </w:t>
            </w:r>
            <w:r>
              <w:rPr>
                <w:rFonts w:ascii="Arial" w:cs="Arial" w:eastAsia="Arial" w:hAnsi="Arial"/>
                <w:sz w:val="14"/>
                <w:szCs w:val="14"/>
                <w:i w:val="1"/>
                <w:iCs w:val="1"/>
                <w:color w:val="auto"/>
              </w:rPr>
              <w:t>(in thousands)</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1,179.7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1,087.1</w:t>
            </w:r>
          </w:p>
        </w:tc>
        <w:tc>
          <w:tcPr>
            <w:tcW w:w="0" w:type="dxa"/>
            <w:vAlign w:val="bottom"/>
          </w:tcPr>
          <w:p>
            <w:pPr>
              <w:spacing w:after="0"/>
              <w:rPr>
                <w:sz w:val="1"/>
                <w:szCs w:val="1"/>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(569.1)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2,018.0</w:t>
            </w:r>
          </w:p>
        </w:tc>
        <w:tc>
          <w:tcPr>
            <w:tcW w:w="0" w:type="dxa"/>
            <w:vAlign w:val="bottom"/>
          </w:tcPr>
          <w:p>
            <w:pPr>
              <w:spacing w:after="0"/>
              <w:rPr>
                <w:sz w:val="1"/>
                <w:szCs w:val="1"/>
                <w:color w:val="auto"/>
              </w:rPr>
            </w:pPr>
          </w:p>
        </w:tc>
      </w:tr>
      <w:tr>
        <w:trPr>
          <w:trHeight w:val="33"/>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subscriptions</w:t>
            </w: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3,105.1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Subscription plan ARPS</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ARPS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7"/>
        </w:trPr>
        <w:tc>
          <w:tcPr>
            <w:tcW w:w="6820" w:type="dxa"/>
            <w:vAlign w:val="bottom"/>
          </w:tcPr>
          <w:p>
            <w:pPr>
              <w:ind w:left="360"/>
              <w:spacing w:after="0"/>
              <w:rPr>
                <w:sz w:val="20"/>
                <w:szCs w:val="20"/>
                <w:color w:val="auto"/>
              </w:rPr>
            </w:pPr>
            <w:r>
              <w:rPr>
                <w:rFonts w:ascii="Arial" w:cs="Arial" w:eastAsia="Arial" w:hAnsi="Arial"/>
                <w:sz w:val="16"/>
                <w:szCs w:val="16"/>
                <w:color w:val="auto"/>
              </w:rPr>
              <w:t>Total ARPS (3)</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49"/>
        </w:trPr>
        <w:tc>
          <w:tcPr>
            <w:tcW w:w="682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w:t>
      </w:r>
    </w:p>
    <w:p>
      <w:pPr>
        <w:spacing w:after="0" w:line="9" w:lineRule="exact"/>
        <w:rPr>
          <w:rFonts w:ascii="Arial" w:cs="Arial" w:eastAsia="Arial" w:hAnsi="Arial"/>
          <w:sz w:val="16"/>
          <w:szCs w:val="16"/>
          <w:color w:val="auto"/>
        </w:rPr>
      </w:pPr>
    </w:p>
    <w:p>
      <w:pPr>
        <w:ind w:left="420" w:right="840" w:hanging="412"/>
        <w:spacing w:after="0" w:line="246"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Consolidated Statement of Operations.</w:t>
      </w:r>
    </w:p>
    <w:p>
      <w:pPr>
        <w:ind w:left="420" w:right="40" w:hanging="412"/>
        <w:spacing w:after="0" w:line="252"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pacing w:after="0" w:line="18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Total ARR increased 25% as of January 31, 2018 as compared to the end of fiscal 2017, due to a 106% increase in subscription plan ARR, which for the first time represents the majority of our total ARR. The increase in subscription plan ARR was driven by growth in all subscription plan types, led by product subscription. The increase was partially offset by an 18% decrease in maintenance plan ARR.</w:t>
      </w:r>
    </w:p>
    <w:p>
      <w:pPr>
        <w:spacing w:after="0" w:line="18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Subscription plan subscriptions increased 109% or approximately 1.2 million as compared to the end of fiscal 2017, driven by growth in all subscription plan types, led by new product subscriptions. Subscription plan subscriptions benefited from approximately 342,000 maintenance subscribers that were converted to product subscription under the maintenance-to-subscription program during the fiscal year ended January 31, 2018.</w:t>
      </w:r>
    </w:p>
    <w:p>
      <w:pPr>
        <w:spacing w:after="0" w:line="16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Maintenance plan subscriptions decreased 28% or approximately 569,000 as compared to the end of fiscal 2017, primarily as a result of the discontinuation of new maintenance agreement sales as well as the maintenance-to-subscription program in which approximately 342,000 maintenance plan subscriptions were converted to product subscription during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141605</wp:posOffset>
            </wp:positionV>
            <wp:extent cx="100330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ended January 31, 2018. The net decrease was expected and we expect to see ongoing declines in maintenance plan subscriptions going forward as part of the business model transition. The rate of decline will vary based on the number of subscriptions subject to renewal, the renewal rate, and our ability to incentivize customers to switch over to enterprise business agreements ("EBAs") or product subscriptions.</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ARPS was $553, a 5% increase compared to the prior fiscal year primarily driven by a 15% increase in maintenance plan ARPS as a result of the maintenance-to-subscription program and a 14% increase in product subscription ARPS, which is a component of our subscription plan. Partially offsetting the increase in maintenance plan and product subscription ARPS was a decrease in both cloud and EBA subscription ARPS.</w:t>
      </w:r>
    </w:p>
    <w:p>
      <w:pPr>
        <w:spacing w:after="0" w:line="166" w:lineRule="exact"/>
        <w:rPr>
          <w:sz w:val="20"/>
          <w:szCs w:val="20"/>
          <w:color w:val="auto"/>
        </w:rPr>
      </w:pPr>
    </w:p>
    <w:p>
      <w:pPr>
        <w:jc w:val="both"/>
        <w:ind w:right="520" w:firstLine="405"/>
        <w:spacing w:after="0" w:line="259" w:lineRule="auto"/>
        <w:rPr>
          <w:sz w:val="20"/>
          <w:szCs w:val="20"/>
          <w:color w:val="auto"/>
        </w:rPr>
      </w:pPr>
      <w:r>
        <w:rPr>
          <w:rFonts w:ascii="Arial" w:cs="Arial" w:eastAsia="Arial" w:hAnsi="Arial"/>
          <w:sz w:val="18"/>
          <w:szCs w:val="18"/>
          <w:color w:val="auto"/>
        </w:rPr>
        <w:t>Our ARPS is currently, and will continue to be, affected by various factors including subscription term-length, migration from maintenance plan subscriptions, geography and product mix, promotions, sales linearity within a quarter, pricing changes, and foreign currency. We expect to see ARPS fluctuate up or down on a quarterly basis. As we progress through our business model transition, we expect all of the impacts of these factors to start to stabilize.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U.S., Germany, Japan, the United Kingdom and Canada.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exchanges rate changes on our net revenue and total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Fiscal Year Ended January 31, 2018</w:t>
            </w: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Percent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Constant Currency percent</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Positive/Negative/Neutral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prior fiscal year (as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impact from foreign</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prior fiscal year (2)</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Spend (1)</w:t>
            </w: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6"/>
              </w:rPr>
              <w:t>Neutral</w:t>
            </w:r>
          </w:p>
        </w:tc>
        <w:tc>
          <w:tcPr>
            <w:tcW w:w="0" w:type="dxa"/>
            <w:vAlign w:val="bottom"/>
          </w:tcPr>
          <w:p>
            <w:pPr>
              <w:spacing w:after="0"/>
              <w:rPr>
                <w:sz w:val="1"/>
                <w:szCs w:val="1"/>
                <w:color w:val="auto"/>
              </w:rPr>
            </w:pPr>
          </w:p>
        </w:tc>
      </w:tr>
      <w:tr>
        <w:trPr>
          <w:trHeight w:val="249"/>
        </w:trPr>
        <w:tc>
          <w:tcPr>
            <w:tcW w:w="582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total spend is defined as cost of revenue plus operating expenses.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Please refer to Glossary of Terms for the definitions of our constant currency growth rates.</w:t>
      </w:r>
    </w:p>
    <w:p>
      <w:pPr>
        <w:spacing w:after="0" w:line="17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Deferred Revenue and Unbilled Deferred Revenue</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deferred revenue balance at January 31, 2018, was $1.96 billion and primarily relates to subscription and maintenance agreements invoiced for which the revenue has not yet been recognized but will be recognized as revenue ratably over the life of the contracts. The term of our subscription contracts is typically between one and three years.</w:t>
      </w:r>
    </w:p>
    <w:p>
      <w:pPr>
        <w:spacing w:after="0" w:line="18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define unbilled deferred revenue as contractually stated or committed orders under multi-year billing plans for subscription, services, license and maintenance for which the associated deferred revenue has not been recognized and the customer has not been invoiced. Unbilled deferred revenue is not included on our Consolidated Balance Sheet until invoiced to the customer.</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w w:val="97"/>
              </w:rPr>
              <w:t>Fiscal Year Ended January 31,</w:t>
            </w:r>
          </w:p>
        </w:tc>
        <w:tc>
          <w:tcPr>
            <w:tcW w:w="0" w:type="dxa"/>
            <w:vAlign w:val="bottom"/>
          </w:tcPr>
          <w:p>
            <w:pPr>
              <w:spacing w:after="0"/>
              <w:rPr>
                <w:sz w:val="1"/>
                <w:szCs w:val="1"/>
                <w:color w:val="auto"/>
              </w:rPr>
            </w:pPr>
          </w:p>
        </w:tc>
      </w:tr>
      <w:tr>
        <w:trPr>
          <w:trHeight w:val="19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5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1,955.1</w:t>
            </w:r>
          </w:p>
        </w:tc>
        <w:tc>
          <w:tcPr>
            <w:tcW w:w="0" w:type="dxa"/>
            <w:vAlign w:val="bottom"/>
          </w:tcPr>
          <w:p>
            <w:pPr>
              <w:spacing w:after="0"/>
              <w:rPr>
                <w:sz w:val="1"/>
                <w:szCs w:val="1"/>
                <w:color w:val="auto"/>
              </w:rPr>
            </w:pPr>
          </w:p>
        </w:tc>
      </w:tr>
      <w:tr>
        <w:trPr>
          <w:trHeight w:val="224"/>
        </w:trPr>
        <w:tc>
          <w:tcPr>
            <w:tcW w:w="9360" w:type="dxa"/>
            <w:vAlign w:val="bottom"/>
          </w:tcPr>
          <w:p>
            <w:pPr>
              <w:ind w:left="380"/>
              <w:spacing w:after="0"/>
              <w:rPr>
                <w:sz w:val="20"/>
                <w:szCs w:val="20"/>
                <w:color w:val="auto"/>
              </w:rPr>
            </w:pPr>
            <w:r>
              <w:rPr>
                <w:rFonts w:ascii="Arial" w:cs="Arial" w:eastAsia="Arial" w:hAnsi="Arial"/>
                <w:sz w:val="16"/>
                <w:szCs w:val="16"/>
                <w:color w:val="auto"/>
              </w:rPr>
              <w:t>Unbilled deferred revenue (1)</w:t>
            </w:r>
          </w:p>
        </w:tc>
        <w:tc>
          <w:tcPr>
            <w:tcW w:w="500" w:type="dxa"/>
            <w:vAlign w:val="bottom"/>
          </w:tcPr>
          <w:p>
            <w:pPr>
              <w:spacing w:after="0"/>
              <w:rPr>
                <w:sz w:val="19"/>
                <w:szCs w:val="19"/>
                <w:color w:val="auto"/>
              </w:rPr>
            </w:pPr>
          </w:p>
        </w:tc>
        <w:tc>
          <w:tcPr>
            <w:tcW w:w="1560" w:type="dxa"/>
            <w:vAlign w:val="bottom"/>
          </w:tcPr>
          <w:p>
            <w:pPr>
              <w:jc w:val="right"/>
              <w:ind w:right="21"/>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2,281.5</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3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0" w:hanging="412"/>
        <w:spacing w:after="0" w:line="263"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is our first year presenting this metric and we are not able to provide historical information at this time. Comparative information will not be available until our first quarter of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100330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We expect that the amount of unbilled deferred revenue and deferred revenue will change from quarter to quarter for several reasons, including the specific timing, duration and size of large customer subscription and support agreements, varying billing cycles of such agreements, the specific timing of customer renewals, foreign currency fluctuations and the timing of when unbilled deferred revenue is recognized as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Balance Sheet and Cash Flow Items</w:t>
      </w:r>
    </w:p>
    <w:p>
      <w:pPr>
        <w:spacing w:after="0" w:line="225" w:lineRule="exact"/>
        <w:rPr>
          <w:sz w:val="20"/>
          <w:szCs w:val="20"/>
          <w:color w:val="auto"/>
        </w:rPr>
      </w:pPr>
    </w:p>
    <w:p>
      <w:pPr>
        <w:jc w:val="both"/>
        <w:ind w:right="200" w:firstLine="405"/>
        <w:spacing w:after="0" w:line="288" w:lineRule="auto"/>
        <w:rPr>
          <w:sz w:val="20"/>
          <w:szCs w:val="20"/>
          <w:color w:val="auto"/>
        </w:rPr>
      </w:pPr>
      <w:r>
        <w:rPr>
          <w:rFonts w:ascii="Arial" w:cs="Arial" w:eastAsia="Arial" w:hAnsi="Arial"/>
          <w:sz w:val="16"/>
          <w:szCs w:val="16"/>
          <w:color w:val="auto"/>
        </w:rPr>
        <w:t>At January 31, 2018, we had $1.51 billion in cash and marketable securities. This amount includes the aggregate net proceeds of $492.0 million, after deducting the underwriting discounts and related offering expenses, from our June 2017 registered underwritten public offering of $500.0 million aggregate principal amount of 3.5% notes due June 15, 2027. On July 27, 2017, we redeemed in full, $400.0 million in aggregate principal amount of outstanding</w:t>
      </w:r>
    </w:p>
    <w:p>
      <w:pPr>
        <w:spacing w:after="0" w:line="252" w:lineRule="auto"/>
        <w:rPr>
          <w:sz w:val="20"/>
          <w:szCs w:val="20"/>
          <w:color w:val="auto"/>
        </w:rPr>
      </w:pPr>
      <w:r>
        <w:rPr>
          <w:rFonts w:ascii="Arial" w:cs="Arial" w:eastAsia="Arial" w:hAnsi="Arial"/>
          <w:sz w:val="18"/>
          <w:szCs w:val="18"/>
          <w:color w:val="auto"/>
        </w:rPr>
        <w:t>1.95% senior notes due December 15, 2017. To redeem the notes, we used a portion of the proceeds of the June 2017 notes to pay a redemption price of approximately $400.9 million, plus accrued and unpaid interest from June 15, 2017, to, but excluding, the redemption date. Total cash repayment was $401.8 million. Our cash flow from operations decreased 99% to $0.9 million for the fiscal year ended January 31, 2018 from $169.7 million for the fiscal year ended January 31, 2017. We repurchased 6.9 million shares of our common stock for $690.1 million during fiscal 2018. Comparatively, we repurchased 9.7 million shares of our common stock for $631.6 million during fiscal 2017. Further discussion regarding the balance sheet and cash flow activities are discussed below under the heading “Liquidity and Capital Resources.”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32BCAD"/>
        </w:rPr>
        <w:t>Income Statement Presentation</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over the term of the agreements, generally between one and three years.</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Subscription revenue consists of our term-based product subscriptions, cloud service offerings, and flexible enterprise business arrangements. Note that with the change in our presentation of revenue in our condensed consolidated statement of operations in the first quarter of fiscal 2018, our term-based product subscriptions and flexible enterprise business arrangements are classified and presented in a single line item. Revenue from these arrangements is recognized ratably over the contract term. Revenue for our cloud service offerings is recognized ratably over the contract term commencing with the date our service is made available to customers and when all other revenue recognition criteria have been satisfied.</w:t>
      </w:r>
    </w:p>
    <w:p>
      <w:pPr>
        <w:spacing w:after="0" w:line="173"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License and other revenue consists of (1) license revenue and (2) other revenue. License revenue includes software license revenue from the sale of perpetual licenses. Other revenue includes revenue such as consulting and training, and is recognized over time as the services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241935</wp:posOffset>
            </wp:positionV>
            <wp:extent cx="100330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Fiscal Year</w:t>
            </w:r>
          </w:p>
        </w:tc>
        <w:tc>
          <w:tcPr>
            <w:tcW w:w="200" w:type="dxa"/>
            <w:vAlign w:val="bottom"/>
          </w:tcPr>
          <w:p>
            <w:pPr>
              <w:spacing w:after="0"/>
              <w:rPr>
                <w:sz w:val="14"/>
                <w:szCs w:val="14"/>
                <w:color w:val="auto"/>
              </w:rPr>
            </w:pPr>
          </w:p>
        </w:tc>
        <w:tc>
          <w:tcPr>
            <w:tcW w:w="1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80" w:type="dxa"/>
            <w:vAlign w:val="bottom"/>
          </w:tcPr>
          <w:p>
            <w:pPr>
              <w:spacing w:after="0"/>
              <w:rPr>
                <w:sz w:val="12"/>
                <w:szCs w:val="12"/>
                <w:color w:val="auto"/>
              </w:rPr>
            </w:pPr>
          </w:p>
        </w:tc>
        <w:tc>
          <w:tcPr>
            <w:tcW w:w="6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98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January 31,</w:t>
            </w: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restart"/>
          </w:tcPr>
          <w:p>
            <w:pPr>
              <w:jc w:val="right"/>
              <w:ind w:right="421"/>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1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7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70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7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760" w:type="dxa"/>
            <w:vAlign w:val="bottom"/>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989.6</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(113.5)</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1,103.1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w w:val="91"/>
              </w:rPr>
              <w:t>The decrease in maintenance revenue is driven</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by the discontinuation of new maintenance</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w w:val="94"/>
              </w:rPr>
              <w:t>agreements. We expect maintenance revenue</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will slowly decline; however, the rate of</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decline will vary based on the number of</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w w:val="98"/>
              </w:rPr>
              <w:t>renewals, the renewal rate, and our ability to</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incentivize maintenance plan customers to</w:t>
            </w: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switch over to subscription plan offerings.</w:t>
            </w: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451.2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increase in subscription revenue is</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primarily a result of the business model</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We saw growth across all</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plan types, led by product</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subscriptions and enterprise business</w:t>
            </w: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60" w:type="dxa"/>
            <w:vAlign w:val="bottom"/>
          </w:tcPr>
          <w:p>
            <w:pPr>
              <w:ind w:left="520"/>
              <w:spacing w:after="0"/>
              <w:rPr>
                <w:sz w:val="20"/>
                <w:szCs w:val="20"/>
                <w:color w:val="auto"/>
              </w:rPr>
            </w:pPr>
            <w:r>
              <w:rPr>
                <w:rFonts w:ascii="Arial" w:cs="Arial" w:eastAsia="Arial" w:hAnsi="Arial"/>
                <w:sz w:val="16"/>
                <w:szCs w:val="16"/>
                <w:color w:val="auto"/>
              </w:rPr>
              <w:t>Total maintenance and subscription revenue</w:t>
            </w:r>
          </w:p>
        </w:tc>
        <w:tc>
          <w:tcPr>
            <w:tcW w:w="160" w:type="dxa"/>
            <w:vAlign w:val="bottom"/>
          </w:tcPr>
          <w:p>
            <w:pPr>
              <w:spacing w:after="0"/>
              <w:rPr>
                <w:sz w:val="18"/>
                <w:szCs w:val="18"/>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1,883.9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337.7</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1,546.2</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License and other (1) (2)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484.8</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The decrease in license revenue is driven by</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business model transition, and the</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discontinuation of suite license sales, resulting</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a decrease in revenue from perpetual</w:t>
            </w: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licenses.</w:t>
            </w: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2,056.6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25.6</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2,031.0</w:t>
            </w:r>
          </w:p>
        </w:tc>
        <w:tc>
          <w:tcPr>
            <w:tcW w:w="1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500" w:hanging="412"/>
        <w:spacing w:after="0" w:line="249"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"Business and Summary of Significant Accounting Policies" of our consolidated financial statements for additional information.</w:t>
      </w:r>
    </w:p>
    <w:p>
      <w:pPr>
        <w:ind w:left="420" w:hanging="412"/>
        <w:spacing w:after="0" w:line="257"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Within license and other revenue, there was an 18% decrease in other revenue during fiscal 2018 as compared to fiscal 2017. Other revenue represented 5% and 6% of total revenue for fiscal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46</w:t>
      </w:r>
    </w:p>
    <w:p>
      <w:pPr>
        <w:sectPr>
          <w:pgSz w:w="11900" w:h="16838" w:orient="portrait"/>
          <w:cols w:equalWidth="0" w:num="1">
            <w:col w:w="11220"/>
          </w:cols>
          <w:pgMar w:left="240" w:top="125" w:right="4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Fiscal Year</w:t>
            </w:r>
          </w:p>
        </w:tc>
        <w:tc>
          <w:tcPr>
            <w:tcW w:w="220" w:type="dxa"/>
            <w:vAlign w:val="bottom"/>
          </w:tcPr>
          <w:p>
            <w:pPr>
              <w:spacing w:after="0"/>
              <w:rPr>
                <w:sz w:val="14"/>
                <w:szCs w:val="14"/>
                <w:color w:val="auto"/>
              </w:rPr>
            </w:pPr>
          </w:p>
        </w:tc>
        <w:tc>
          <w:tcPr>
            <w:tcW w:w="18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Change compared to</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80" w:type="dxa"/>
            <w:vAlign w:val="bottom"/>
          </w:tcPr>
          <w:p>
            <w:pPr>
              <w:spacing w:after="0"/>
              <w:rPr>
                <w:sz w:val="12"/>
                <w:szCs w:val="12"/>
                <w:color w:val="auto"/>
              </w:rPr>
            </w:pPr>
          </w:p>
        </w:tc>
        <w:tc>
          <w:tcPr>
            <w:tcW w:w="6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760" w:type="dxa"/>
            <w:vAlign w:val="bottom"/>
          </w:tcPr>
          <w:p>
            <w:pPr>
              <w:spacing w:after="0"/>
              <w:rPr>
                <w:sz w:val="4"/>
                <w:szCs w:val="4"/>
                <w:color w:val="auto"/>
              </w:rPr>
            </w:pPr>
          </w:p>
        </w:tc>
        <w:tc>
          <w:tcPr>
            <w:tcW w:w="9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January 31,</w:t>
            </w: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76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7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70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7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760" w:type="dxa"/>
            <w:vAlign w:val="bottom"/>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1,103.1</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(49.4)</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1,152.5</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w w:val="91"/>
              </w:rPr>
              <w:t>The decrease in maintenance revenue is driven</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by the discontinuation of new maintenance</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w w:val="94"/>
              </w:rPr>
              <w:t>agreements. We expect maintenance revenue</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will slowly decline; however, the rate of</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decline will vary based on the number of</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w w:val="98"/>
              </w:rPr>
              <w:t>renewals, the renewal rate, and our ability to</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incentivize maintenance plan customers to</w:t>
            </w: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6"/>
                <w:szCs w:val="16"/>
                <w:color w:val="auto"/>
              </w:rPr>
              <w:t>switch over to subscription plan offerings.</w:t>
            </w: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228.1</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increase in subscription revenue is</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primarily a result of the business model</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We saw growth across all</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plan types, led by product</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subscriptions and enterprise business</w:t>
            </w:r>
          </w:p>
        </w:tc>
        <w:tc>
          <w:tcPr>
            <w:tcW w:w="0" w:type="dxa"/>
            <w:vAlign w:val="bottom"/>
          </w:tcPr>
          <w:p>
            <w:pPr>
              <w:spacing w:after="0"/>
              <w:rPr>
                <w:sz w:val="1"/>
                <w:szCs w:val="1"/>
                <w:color w:val="auto"/>
              </w:rPr>
            </w:pPr>
          </w:p>
        </w:tc>
      </w:tr>
      <w:tr>
        <w:trPr>
          <w:trHeight w:val="239"/>
        </w:trPr>
        <w:tc>
          <w:tcPr>
            <w:tcW w:w="3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217"/>
        </w:trPr>
        <w:tc>
          <w:tcPr>
            <w:tcW w:w="3760" w:type="dxa"/>
            <w:vAlign w:val="bottom"/>
          </w:tcPr>
          <w:p>
            <w:pPr>
              <w:ind w:left="520"/>
              <w:spacing w:after="0"/>
              <w:rPr>
                <w:sz w:val="20"/>
                <w:szCs w:val="20"/>
                <w:color w:val="auto"/>
              </w:rPr>
            </w:pPr>
            <w:r>
              <w:rPr>
                <w:rFonts w:ascii="Arial" w:cs="Arial" w:eastAsia="Arial" w:hAnsi="Arial"/>
                <w:sz w:val="16"/>
                <w:szCs w:val="16"/>
                <w:color w:val="auto"/>
              </w:rPr>
              <w:t>Total maintenance and subscription revenue</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1,546.2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165.6</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1,380.6</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License and other (1) (2)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1,123.5</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The decrease in license and other revenue is</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driven by the discontinuation of our perpetual</w:t>
            </w: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license sales in favor of subscription offerings.</w:t>
            </w: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2,031.0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2,504.1</w:t>
            </w:r>
          </w:p>
        </w:tc>
        <w:tc>
          <w:tcPr>
            <w:tcW w:w="1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700" w:hanging="412"/>
        <w:spacing w:after="0" w:line="249"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"Business and Summary of Significant Accounting Policies" of our consolidated financial statements for additional information.</w:t>
      </w:r>
    </w:p>
    <w:p>
      <w:pPr>
        <w:ind w:left="420" w:right="280" w:hanging="412"/>
        <w:spacing w:after="0" w:line="257"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Within license and other revenue, there was a 17% decrease in other revenue during fiscal 2017 as compared to fiscal 2016. Other revenue represented 6% and 6% of total revenue for fiscal 2017 and 2016,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0696D7"/>
        </w:rPr>
        <w:t>Net Revenue by Product Family</w:t>
      </w:r>
    </w:p>
    <w:p>
      <w:pPr>
        <w:spacing w:after="0" w:line="22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product offerings are focused in four primary product families: AEC, MFG, AutoCAD and AutoCAD LT (“ACAD”), and M&amp;E. During the business model transition, revenue has been and will be negatively impacted as more revenue is recognized ratably rather than upfront and as new product offerings generally have a lower initial purchase price. As part of the transition, we discontinued selling new perpetual licenses of most individual software products effective February 1, 2016, and discontinued selling new perpetual licenses of suites effective August 1, 2016. These broad impacts are reflected in the summary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283210</wp:posOffset>
            </wp:positionV>
            <wp:extent cx="100330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4"/>
                <w:szCs w:val="14"/>
                <w:color w:val="auto"/>
              </w:rPr>
            </w:pPr>
          </w:p>
        </w:tc>
        <w:tc>
          <w:tcPr>
            <w:tcW w:w="1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Change compared to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62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January 31,</w:t>
            </w: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restart"/>
          </w:tcPr>
          <w:p>
            <w:pPr>
              <w:ind w:left="20"/>
              <w:spacing w:after="0" w:line="126" w:lineRule="exact"/>
              <w:rPr>
                <w:sz w:val="20"/>
                <w:szCs w:val="20"/>
                <w:color w:val="auto"/>
              </w:rPr>
            </w:pPr>
            <w:r>
              <w:rPr>
                <w:rFonts w:ascii="Arial" w:cs="Arial" w:eastAsia="Arial" w:hAnsi="Arial"/>
                <w:sz w:val="14"/>
                <w:szCs w:val="14"/>
                <w:b w:val="1"/>
                <w:bCs w:val="1"/>
                <w:color w:val="auto"/>
                <w:w w:val="95"/>
              </w:rPr>
              <w:t>January 31,</w:t>
            </w:r>
          </w:p>
        </w:tc>
        <w:tc>
          <w:tcPr>
            <w:tcW w:w="1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4"/>
                <w:szCs w:val="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Net Revenue by Product Family:</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Driven by a net decrease in AEC collections and legacy</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("AEC")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suites due to the discontinuation of perpetual licenses. The</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decrease was partially offset by an increase in revenue</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from individual AEC product offerings and EBAs driven</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by the respective increases in subscription additions.</w:t>
            </w:r>
          </w:p>
        </w:tc>
        <w:tc>
          <w:tcPr>
            <w:tcW w:w="0" w:type="dxa"/>
            <w:vAlign w:val="bottom"/>
          </w:tcPr>
          <w:p>
            <w:pPr>
              <w:spacing w:after="0"/>
              <w:rPr>
                <w:sz w:val="1"/>
                <w:szCs w:val="1"/>
                <w:color w:val="auto"/>
              </w:rPr>
            </w:pPr>
          </w:p>
        </w:tc>
      </w:tr>
      <w:tr>
        <w:trPr>
          <w:trHeight w:val="236"/>
        </w:trPr>
        <w:tc>
          <w:tcPr>
            <w:tcW w:w="3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Manufacturing ("MFG")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589.2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(36.6)</w:t>
            </w: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gridSpan w:val="4"/>
          </w:tcPr>
          <w:p>
            <w:pPr>
              <w:ind w:left="160"/>
              <w:spacing w:after="0"/>
              <w:rPr>
                <w:sz w:val="20"/>
                <w:szCs w:val="20"/>
                <w:color w:val="auto"/>
              </w:rPr>
            </w:pPr>
            <w:r>
              <w:rPr>
                <w:rFonts w:ascii="Arial" w:cs="Arial" w:eastAsia="Arial" w:hAnsi="Arial"/>
                <w:sz w:val="16"/>
                <w:szCs w:val="16"/>
                <w:color w:val="auto"/>
                <w:w w:val="98"/>
              </w:rPr>
              <w:t>625.8   Driven by a net decrease in MFG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w w:val="99"/>
              </w:rPr>
              <w:t>suites due to the discontinuation of perpetual licenses,</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w w:val="93"/>
              </w:rPr>
              <w:t>partially offset by an increase in revenue from MFG EBAs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rPr>
              <w:t>driven by an increase in subscription additions.</w:t>
            </w:r>
          </w:p>
        </w:tc>
        <w:tc>
          <w:tcPr>
            <w:tcW w:w="0" w:type="dxa"/>
            <w:vAlign w:val="bottom"/>
          </w:tcPr>
          <w:p>
            <w:pPr>
              <w:spacing w:after="0"/>
              <w:rPr>
                <w:sz w:val="1"/>
                <w:szCs w:val="1"/>
                <w:color w:val="auto"/>
              </w:rPr>
            </w:pPr>
          </w:p>
        </w:tc>
      </w:tr>
      <w:tr>
        <w:trPr>
          <w:trHeight w:val="236"/>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AutoCAD and AutoCAD LT ("ACAD")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326.7   Driven by increases in both AutoCAD LT and AutoCAD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to increases in subscription additions.</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Media and Entertainment ("M&amp;E")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13.1</w:t>
            </w: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gridSpan w:val="4"/>
          </w:tcPr>
          <w:p>
            <w:pPr>
              <w:ind w:left="160"/>
              <w:spacing w:after="0"/>
              <w:rPr>
                <w:sz w:val="20"/>
                <w:szCs w:val="20"/>
                <w:color w:val="auto"/>
              </w:rPr>
            </w:pPr>
            <w:r>
              <w:rPr>
                <w:rFonts w:ascii="Arial" w:cs="Arial" w:eastAsia="Arial" w:hAnsi="Arial"/>
                <w:sz w:val="16"/>
                <w:szCs w:val="16"/>
                <w:color w:val="auto"/>
              </w:rPr>
              <w:t>138.9   Driven by an increase in Animation, partially offset by a</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Arial" w:cs="Arial" w:eastAsia="Arial" w:hAnsi="Arial"/>
                <w:sz w:val="16"/>
                <w:szCs w:val="16"/>
                <w:color w:val="auto"/>
              </w:rPr>
              <w:t>decrease in Creative Finishing.</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w:t>
            </w: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2,056.6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25.6</w:t>
            </w: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2,031.0</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660" w:type="dxa"/>
            <w:vAlign w:val="bottom"/>
          </w:tcPr>
          <w:p>
            <w:pPr>
              <w:spacing w:after="0"/>
              <w:rPr>
                <w:sz w:val="24"/>
                <w:szCs w:val="2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24"/>
                <w:szCs w:val="2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Change compared to</w:t>
            </w:r>
          </w:p>
        </w:tc>
        <w:tc>
          <w:tcPr>
            <w:tcW w:w="1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6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000" w:type="dxa"/>
            <w:vAlign w:val="bottom"/>
            <w:gridSpan w:val="4"/>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January 31,</w:t>
            </w: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5"/>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66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tcPr>
          <w:p>
            <w:pPr>
              <w:jc w:val="right"/>
              <w:ind w:right="28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4"/>
                <w:szCs w:val="4"/>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4"/>
                <w:szCs w:val="4"/>
                <w:color w:val="auto"/>
              </w:rPr>
            </w:pPr>
          </w:p>
        </w:tc>
        <w:tc>
          <w:tcPr>
            <w:tcW w:w="10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388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Arial" w:cs="Arial" w:eastAsia="Arial" w:hAnsi="Arial"/>
                <w:sz w:val="16"/>
                <w:szCs w:val="16"/>
                <w:color w:val="auto"/>
              </w:rPr>
              <w:t>Net Revenue by Product Family: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10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9"/>
                <w:szCs w:val="19"/>
                <w:color w:val="auto"/>
              </w:rPr>
            </w:pPr>
          </w:p>
        </w:tc>
        <w:tc>
          <w:tcPr>
            <w:tcW w:w="4620" w:type="dxa"/>
            <w:vAlign w:val="bottom"/>
            <w:gridSpan w:val="4"/>
            <w:shd w:val="clear" w:color="auto" w:fill="CCEEFF"/>
          </w:tcPr>
          <w:p>
            <w:pPr>
              <w:ind w:left="60"/>
              <w:spacing w:after="0"/>
              <w:rPr>
                <w:sz w:val="20"/>
                <w:szCs w:val="20"/>
                <w:color w:val="auto"/>
              </w:rPr>
            </w:pPr>
            <w:r>
              <w:rPr>
                <w:rFonts w:ascii="Arial" w:cs="Arial" w:eastAsia="Arial" w:hAnsi="Arial"/>
                <w:sz w:val="16"/>
                <w:szCs w:val="16"/>
                <w:color w:val="auto"/>
              </w:rPr>
              <w:t>949.1   Driven by a decrease in revenue from individual product</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("AEC")</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offerings.</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Manufacturing ("MFG")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625.8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gridSpan w:val="4"/>
          </w:tcPr>
          <w:p>
            <w:pPr>
              <w:ind w:left="60"/>
              <w:spacing w:after="0"/>
              <w:rPr>
                <w:sz w:val="20"/>
                <w:szCs w:val="20"/>
                <w:color w:val="auto"/>
              </w:rPr>
            </w:pPr>
            <w:r>
              <w:rPr>
                <w:rFonts w:ascii="Arial" w:cs="Arial" w:eastAsia="Arial" w:hAnsi="Arial"/>
                <w:sz w:val="16"/>
                <w:szCs w:val="16"/>
                <w:color w:val="auto"/>
                <w:w w:val="98"/>
              </w:rPr>
              <w:t>724.6   Driven by a decrease in individual product offerings and a</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2"/>
          </w:tcPr>
          <w:p>
            <w:pPr>
              <w:ind w:left="20"/>
              <w:spacing w:after="0"/>
              <w:rPr>
                <w:sz w:val="20"/>
                <w:szCs w:val="20"/>
                <w:color w:val="auto"/>
              </w:rPr>
            </w:pPr>
            <w:r>
              <w:rPr>
                <w:rFonts w:ascii="Arial" w:cs="Arial" w:eastAsia="Arial" w:hAnsi="Arial"/>
                <w:sz w:val="16"/>
                <w:szCs w:val="16"/>
                <w:color w:val="auto"/>
              </w:rPr>
              <w:t>decrease in our MFG suites.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10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AutoCAD and AutoCAD LT ("ACAD")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20" w:type="dxa"/>
            <w:vAlign w:val="bottom"/>
            <w:gridSpan w:val="4"/>
            <w:shd w:val="clear" w:color="auto" w:fill="CCEEFF"/>
          </w:tcPr>
          <w:p>
            <w:pPr>
              <w:ind w:left="60"/>
              <w:spacing w:after="0"/>
              <w:rPr>
                <w:sz w:val="20"/>
                <w:szCs w:val="20"/>
                <w:color w:val="auto"/>
              </w:rPr>
            </w:pPr>
            <w:r>
              <w:rPr>
                <w:rFonts w:ascii="Arial" w:cs="Arial" w:eastAsia="Arial" w:hAnsi="Arial"/>
                <w:sz w:val="16"/>
                <w:szCs w:val="16"/>
                <w:color w:val="auto"/>
                <w:w w:val="95"/>
              </w:rPr>
              <w:t>594.8   As part of the transition to term-based product subscriptions</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 our individual software products in February 2016,</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products like AutoCAD and AutoCAD LT were negatively</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impacted when compared to the same period in the prior</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year as revenue is recognized ratably rather than</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upfront.</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Media and Entertainment ("M&amp;E")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gridSpan w:val="4"/>
          </w:tcPr>
          <w:p>
            <w:pPr>
              <w:ind w:left="60"/>
              <w:spacing w:after="0"/>
              <w:rPr>
                <w:sz w:val="20"/>
                <w:szCs w:val="20"/>
                <w:color w:val="auto"/>
              </w:rPr>
            </w:pPr>
            <w:r>
              <w:rPr>
                <w:rFonts w:ascii="Arial" w:cs="Arial" w:eastAsia="Arial" w:hAnsi="Arial"/>
                <w:sz w:val="16"/>
                <w:szCs w:val="16"/>
                <w:color w:val="auto"/>
                <w:w w:val="94"/>
              </w:rPr>
              <w:t>160.0   Driven by a decrease in Creative Finishing, as we exited the</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2"/>
          </w:tcPr>
          <w:p>
            <w:pPr>
              <w:ind w:left="20"/>
              <w:spacing w:after="0"/>
              <w:rPr>
                <w:sz w:val="20"/>
                <w:szCs w:val="20"/>
                <w:color w:val="auto"/>
              </w:rPr>
            </w:pPr>
            <w:r>
              <w:rPr>
                <w:rFonts w:ascii="Arial" w:cs="Arial" w:eastAsia="Arial" w:hAnsi="Arial"/>
                <w:sz w:val="16"/>
                <w:szCs w:val="16"/>
                <w:color w:val="auto"/>
                <w:w w:val="97"/>
              </w:rPr>
              <w:t>Creative Finishing hardware business at the beginning of</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2"/>
          </w:tcPr>
          <w:p>
            <w:pPr>
              <w:ind w:left="20"/>
              <w:spacing w:after="0"/>
              <w:rPr>
                <w:sz w:val="20"/>
                <w:szCs w:val="20"/>
                <w:color w:val="auto"/>
              </w:rPr>
            </w:pPr>
            <w:r>
              <w:rPr>
                <w:rFonts w:ascii="Arial" w:cs="Arial" w:eastAsia="Arial" w:hAnsi="Arial"/>
                <w:sz w:val="16"/>
                <w:szCs w:val="16"/>
                <w:color w:val="auto"/>
              </w:rPr>
              <w:t>the fourth quarter of fiscal 2016.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2,031.0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1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2,504.1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00330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Geographic Area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Fiscal Year</w:t>
            </w:r>
          </w:p>
        </w:tc>
        <w:tc>
          <w:tcPr>
            <w:tcW w:w="180" w:type="dxa"/>
            <w:vAlign w:val="bottom"/>
          </w:tcPr>
          <w:p>
            <w:pPr>
              <w:spacing w:after="0"/>
              <w:rPr>
                <w:sz w:val="12"/>
                <w:szCs w:val="12"/>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 compared to</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prior fiscal</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18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Change compared to</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prior fiscal</w:t>
            </w:r>
          </w:p>
        </w:tc>
        <w:tc>
          <w:tcPr>
            <w:tcW w:w="120" w:type="dxa"/>
            <w:vAlign w:val="bottom"/>
          </w:tcPr>
          <w:p>
            <w:pPr>
              <w:spacing w:after="0"/>
              <w:rPr>
                <w:sz w:val="12"/>
                <w:szCs w:val="12"/>
                <w:color w:val="auto"/>
              </w:rPr>
            </w:pPr>
          </w:p>
        </w:tc>
        <w:tc>
          <w:tcPr>
            <w:tcW w:w="8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year</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1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year</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6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prior fiscal year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7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5"/>
              </w:rPr>
              <w:t>January 31,</w:t>
            </w: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January 31,</w:t>
            </w: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42"/>
              <w:spacing w:after="0" w:line="126" w:lineRule="exact"/>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Other Americas</w:t>
            </w:r>
          </w:p>
        </w:tc>
        <w:tc>
          <w:tcPr>
            <w:tcW w:w="12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(39.1)</w:t>
            </w: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02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972.8</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Europe, Middle East, and</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Africa ("EMEA")</w:t>
            </w:r>
          </w:p>
        </w:tc>
        <w:tc>
          <w:tcPr>
            <w:tcW w:w="1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815.4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15.0</w:t>
            </w:r>
          </w:p>
        </w:tc>
        <w:tc>
          <w:tcPr>
            <w:tcW w:w="9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800.4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(134.2)</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934.6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 ("APAC")</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596.7</w:t>
            </w:r>
          </w:p>
        </w:tc>
        <w:tc>
          <w:tcPr>
            <w:tcW w:w="0" w:type="dxa"/>
            <w:vAlign w:val="bottom"/>
          </w:tcPr>
          <w:p>
            <w:pPr>
              <w:spacing w:after="0"/>
              <w:rPr>
                <w:sz w:val="1"/>
                <w:szCs w:val="1"/>
                <w:color w:val="auto"/>
              </w:rPr>
            </w:pPr>
          </w:p>
        </w:tc>
      </w:tr>
      <w:tr>
        <w:trPr>
          <w:trHeight w:val="28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Net Revenue (1)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2,056.6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25.6</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2,031.0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2,504.1</w:t>
            </w:r>
          </w:p>
        </w:tc>
        <w:tc>
          <w:tcPr>
            <w:tcW w:w="0" w:type="dxa"/>
            <w:vAlign w:val="bottom"/>
          </w:tcPr>
          <w:p>
            <w:pPr>
              <w:spacing w:after="0"/>
              <w:rPr>
                <w:sz w:val="1"/>
                <w:szCs w:val="1"/>
                <w:color w:val="auto"/>
              </w:rPr>
            </w:pPr>
          </w:p>
        </w:tc>
      </w:tr>
      <w:tr>
        <w:trPr>
          <w:trHeight w:val="284"/>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Emerging Economies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226.5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(138.4)</w:t>
            </w: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365.9</w:t>
            </w:r>
          </w:p>
        </w:tc>
        <w:tc>
          <w:tcPr>
            <w:tcW w:w="0" w:type="dxa"/>
            <w:vAlign w:val="bottom"/>
          </w:tcPr>
          <w:p>
            <w:pPr>
              <w:spacing w:after="0"/>
              <w:rPr>
                <w:sz w:val="1"/>
                <w:szCs w:val="1"/>
                <w:color w:val="auto"/>
              </w:rPr>
            </w:pPr>
          </w:p>
        </w:tc>
      </w:tr>
      <w:tr>
        <w:trPr>
          <w:trHeight w:val="226"/>
        </w:trPr>
        <w:tc>
          <w:tcPr>
            <w:tcW w:w="2300" w:type="dxa"/>
            <w:vAlign w:val="bottom"/>
          </w:tcPr>
          <w:p>
            <w:pPr>
              <w:ind w:left="60"/>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Constant currency data not provided at this level.</w:t>
      </w:r>
    </w:p>
    <w:p>
      <w:pPr>
        <w:spacing w:after="0" w:line="20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 Additionally, during the first three years of the business model transition, revenue has been impacted as more revenue is recognized ratably rather than upfront and as new product offerings generally have a lower initial purchase price. While the transition to a subscription model has had a broad impact within all markets, it has had a particular impact to emerging economies as sales of perpetual licenses have historically comprised a greater percentage of total emerging economy sales in comparison to mature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 of Revenue and Operating Expenses</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Cost of maintenance and subscription revenue includes the labor costs of providing product support to our maintenance and subscription customers, including allocated IT and facilities costs, shipping and handling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Cost of license and other revenue includes labor costs associated with product setup, costs of consulting and training services contracts, and collaborative project management services contracts. Cost of license and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278765</wp:posOffset>
            </wp:positionV>
            <wp:extent cx="100330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gains and losses on our operating expense cash flow hedges, and allocated IT and facilities costs.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General and administrative expenses include salaries, bonuses,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40" w:type="dxa"/>
            <w:vAlign w:val="bottom"/>
          </w:tcPr>
          <w:p>
            <w:pPr>
              <w:spacing w:after="0"/>
              <w:rPr>
                <w:sz w:val="14"/>
                <w:szCs w:val="14"/>
                <w:color w:val="auto"/>
              </w:rPr>
            </w:pPr>
          </w:p>
        </w:tc>
        <w:tc>
          <w:tcPr>
            <w:tcW w:w="8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120" w:type="dxa"/>
            <w:vAlign w:val="bottom"/>
            <w:gridSpan w:val="3"/>
            <w:vMerge w:val="restart"/>
          </w:tcPr>
          <w:p>
            <w:pPr>
              <w:ind w:left="20"/>
              <w:spacing w:after="0" w:line="126" w:lineRule="exact"/>
              <w:rPr>
                <w:sz w:val="20"/>
                <w:szCs w:val="20"/>
                <w:color w:val="auto"/>
              </w:rPr>
            </w:pPr>
            <w:r>
              <w:rPr>
                <w:rFonts w:ascii="Arial" w:cs="Arial" w:eastAsia="Arial" w:hAnsi="Arial"/>
                <w:sz w:val="14"/>
                <w:szCs w:val="14"/>
                <w:b w:val="1"/>
                <w:bCs w:val="1"/>
                <w:color w:val="auto"/>
              </w:rPr>
              <w:t>Ended January</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2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1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5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880" w:type="dxa"/>
            <w:vAlign w:val="bottom"/>
          </w:tcPr>
          <w:p>
            <w:pPr>
              <w:jc w:val="right"/>
              <w:ind w:right="160"/>
              <w:spacing w:after="0"/>
              <w:rPr>
                <w:sz w:val="20"/>
                <w:szCs w:val="20"/>
                <w:color w:val="auto"/>
              </w:rPr>
            </w:pPr>
            <w:r>
              <w:rPr>
                <w:rFonts w:ascii="Arial" w:cs="Arial" w:eastAsia="Arial" w:hAnsi="Arial"/>
                <w:sz w:val="14"/>
                <w:szCs w:val="14"/>
                <w:b w:val="1"/>
                <w:bCs w:val="1"/>
                <w:color w:val="auto"/>
              </w:rPr>
              <w:t>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31, 2017</w:t>
            </w:r>
          </w:p>
        </w:tc>
        <w:tc>
          <w:tcPr>
            <w:tcW w:w="1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Maintenance and subscription</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Up due to an increase in employee-related costs driven by increased</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headcount associated with maintenance and subscription services in</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support of the business model transition.</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License and other (1)</w:t>
            </w: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(37.6)</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4"/>
              </w:rPr>
              <w:t>Down due to lower employee-related costs from reduced headcount</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1"/>
              </w:rPr>
              <w:t>associated with license and other revenue products and services as a</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result of our move to a subscription based business model.</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as previously acquired developed technologies continue to</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technology (1)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become fully amortized while fewer assets are acquired compared to</w:t>
            </w:r>
          </w:p>
        </w:tc>
        <w:tc>
          <w:tcPr>
            <w:tcW w:w="0" w:type="dxa"/>
            <w:vAlign w:val="bottom"/>
          </w:tcPr>
          <w:p>
            <w:pPr>
              <w:spacing w:after="0"/>
              <w:rPr>
                <w:sz w:val="1"/>
                <w:szCs w:val="1"/>
                <w:color w:val="auto"/>
              </w:rPr>
            </w:pPr>
          </w:p>
        </w:tc>
      </w:tr>
      <w:tr>
        <w:trPr>
          <w:trHeight w:val="239"/>
        </w:trPr>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prior year.</w:t>
            </w:r>
          </w:p>
        </w:tc>
        <w:tc>
          <w:tcPr>
            <w:tcW w:w="0" w:type="dxa"/>
            <w:vAlign w:val="bottom"/>
          </w:tcPr>
          <w:p>
            <w:pPr>
              <w:spacing w:after="0"/>
              <w:rPr>
                <w:sz w:val="1"/>
                <w:szCs w:val="1"/>
                <w:color w:val="auto"/>
              </w:rPr>
            </w:pPr>
          </w:p>
        </w:tc>
      </w:tr>
      <w:tr>
        <w:trPr>
          <w:trHeight w:val="217"/>
        </w:trPr>
        <w:tc>
          <w:tcPr>
            <w:tcW w:w="2500" w:type="dxa"/>
            <w:vAlign w:val="bottom"/>
          </w:tcPr>
          <w:p>
            <w:pPr>
              <w:ind w:left="48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341.9</w:t>
            </w: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5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5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1,087.3</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64.8</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1,022.5</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2"/>
              </w:rPr>
              <w:t>Up due to increase in employee-related costs from higher headcount,</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6"/>
              </w:rPr>
              <w:t>increased commissions, and increased stock-based compensation</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expense from a higher fair value of awards granted.</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766.1</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a decrease in employee-related costs from lower</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17.4</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Up driven by costs associated with the CEO transition and an</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7"/>
              </w:rPr>
              <w:t>increase in stock-based compensation expense from a higher fair</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4"/>
              </w:rPr>
              <w:t>value of awards granted, partially offset by a decrease in employee-</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related costs from lower headcount.</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purchased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Down as previously acquired intangible assets continue to become</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intangibles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fully amortized and fewer assets are acquired compared to the prior</w:t>
            </w:r>
          </w:p>
        </w:tc>
        <w:tc>
          <w:tcPr>
            <w:tcW w:w="0" w:type="dxa"/>
            <w:vAlign w:val="bottom"/>
          </w:tcPr>
          <w:p>
            <w:pPr>
              <w:spacing w:after="0"/>
              <w:rPr>
                <w:sz w:val="1"/>
                <w:szCs w:val="1"/>
                <w:color w:val="auto"/>
              </w:rPr>
            </w:pPr>
          </w:p>
        </w:tc>
      </w:tr>
      <w:tr>
        <w:trPr>
          <w:trHeight w:val="206"/>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w w:val="92"/>
              </w:rPr>
              <w:t>Restructuring charges and other</w:t>
            </w: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2"/>
              </w:rPr>
              <w:t>Driven by the Fiscal 2018 Plan to re-balance resources to better align</w:t>
            </w:r>
          </w:p>
        </w:tc>
        <w:tc>
          <w:tcPr>
            <w:tcW w:w="0" w:type="dxa"/>
            <w:vAlign w:val="bottom"/>
          </w:tcPr>
          <w:p>
            <w:pPr>
              <w:spacing w:after="0"/>
              <w:rPr>
                <w:sz w:val="1"/>
                <w:szCs w:val="1"/>
                <w:color w:val="auto"/>
              </w:rPr>
            </w:pPr>
          </w:p>
        </w:tc>
      </w:tr>
      <w:tr>
        <w:trPr>
          <w:trHeight w:val="203"/>
        </w:trPr>
        <w:tc>
          <w:tcPr>
            <w:tcW w:w="2500" w:type="dxa"/>
            <w:vAlign w:val="bottom"/>
          </w:tcPr>
          <w:p>
            <w:pPr>
              <w:ind w:left="520"/>
              <w:spacing w:after="0"/>
              <w:rPr>
                <w:sz w:val="20"/>
                <w:szCs w:val="20"/>
                <w:color w:val="auto"/>
              </w:rPr>
            </w:pPr>
            <w:r>
              <w:rPr>
                <w:rFonts w:ascii="Arial" w:cs="Arial" w:eastAsia="Arial" w:hAnsi="Arial"/>
                <w:sz w:val="16"/>
                <w:szCs w:val="16"/>
                <w:color w:val="auto"/>
              </w:rPr>
              <w:t>facility exit costs, net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9"/>
              </w:rPr>
              <w:t>with the Company's strategic priorities and position itself to meet</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long-term goals. Costs associated with the Fiscal 2018 Plan are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9"/>
              </w:rPr>
              <w:t>principally from employee termination benefits, lease termination</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costs and other exit costs.</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2,188.7</w:t>
            </w:r>
          </w:p>
        </w:tc>
        <w:tc>
          <w:tcPr>
            <w:tcW w:w="1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00330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40" w:type="dxa"/>
            <w:vAlign w:val="bottom"/>
          </w:tcPr>
          <w:p>
            <w:pPr>
              <w:spacing w:after="0"/>
              <w:rPr>
                <w:sz w:val="14"/>
                <w:szCs w:val="14"/>
                <w:color w:val="auto"/>
              </w:rPr>
            </w:pPr>
          </w:p>
        </w:tc>
        <w:tc>
          <w:tcPr>
            <w:tcW w:w="8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120" w:type="dxa"/>
            <w:vAlign w:val="bottom"/>
            <w:gridSpan w:val="3"/>
            <w:vMerge w:val="restart"/>
          </w:tcPr>
          <w:p>
            <w:pPr>
              <w:ind w:left="20"/>
              <w:spacing w:after="0" w:line="126" w:lineRule="exact"/>
              <w:rPr>
                <w:sz w:val="20"/>
                <w:szCs w:val="20"/>
                <w:color w:val="auto"/>
              </w:rPr>
            </w:pPr>
            <w:r>
              <w:rPr>
                <w:rFonts w:ascii="Arial" w:cs="Arial" w:eastAsia="Arial" w:hAnsi="Arial"/>
                <w:sz w:val="14"/>
                <w:szCs w:val="14"/>
                <w:b w:val="1"/>
                <w:bCs w:val="1"/>
                <w:color w:val="auto"/>
              </w:rPr>
              <w:t>Ended January</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2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1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5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880" w:type="dxa"/>
            <w:vAlign w:val="bottom"/>
          </w:tcPr>
          <w:p>
            <w:pPr>
              <w:jc w:val="right"/>
              <w:ind w:right="160"/>
              <w:spacing w:after="0"/>
              <w:rPr>
                <w:sz w:val="20"/>
                <w:szCs w:val="20"/>
                <w:color w:val="auto"/>
              </w:rPr>
            </w:pPr>
            <w:r>
              <w:rPr>
                <w:rFonts w:ascii="Arial" w:cs="Arial" w:eastAsia="Arial" w:hAnsi="Arial"/>
                <w:sz w:val="14"/>
                <w:szCs w:val="14"/>
                <w:b w:val="1"/>
                <w:bCs w:val="1"/>
                <w:color w:val="auto"/>
              </w:rPr>
              <w:t>31, 2017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31, 2016</w:t>
            </w:r>
          </w:p>
        </w:tc>
        <w:tc>
          <w:tcPr>
            <w:tcW w:w="1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Maintenance and subscription</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increases in employee related costs and direct costs</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associated with our subscription plan offerings, such as royalties and</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29.4</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162.3</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fulfillment costs.</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License and other (1)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8"/>
              </w:rPr>
              <w:t>Down due to lower professional fees and employee-related costs</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4"/>
              </w:rPr>
              <w:t>from reduced headcount associated with license and other revenue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products and the elimination of our Creative Finishing hardware</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159.4</w:t>
            </w: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business that was exited in the fourth quarter of fiscal 2016.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as previously acquired developed technologies continue to</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technology (1)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become fully amortized while fewer assets are acquired compared to</w:t>
            </w:r>
          </w:p>
        </w:tc>
        <w:tc>
          <w:tcPr>
            <w:tcW w:w="0" w:type="dxa"/>
            <w:vAlign w:val="bottom"/>
          </w:tcPr>
          <w:p>
            <w:pPr>
              <w:spacing w:after="0"/>
              <w:rPr>
                <w:sz w:val="1"/>
                <w:szCs w:val="1"/>
                <w:color w:val="auto"/>
              </w:rPr>
            </w:pPr>
          </w:p>
        </w:tc>
      </w:tr>
      <w:tr>
        <w:trPr>
          <w:trHeight w:val="239"/>
        </w:trPr>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prior year.</w:t>
            </w:r>
          </w:p>
        </w:tc>
        <w:tc>
          <w:tcPr>
            <w:tcW w:w="0" w:type="dxa"/>
            <w:vAlign w:val="bottom"/>
          </w:tcPr>
          <w:p>
            <w:pPr>
              <w:spacing w:after="0"/>
              <w:rPr>
                <w:sz w:val="1"/>
                <w:szCs w:val="1"/>
                <w:color w:val="auto"/>
              </w:rPr>
            </w:pPr>
          </w:p>
        </w:tc>
      </w:tr>
      <w:tr>
        <w:trPr>
          <w:trHeight w:val="284"/>
        </w:trPr>
        <w:tc>
          <w:tcPr>
            <w:tcW w:w="2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341.9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370.7</w:t>
            </w:r>
          </w:p>
        </w:tc>
        <w:tc>
          <w:tcPr>
            <w:tcW w:w="120" w:type="dxa"/>
            <w:vAlign w:val="bottom"/>
            <w:tcBorders>
              <w:bottom w:val="single" w:sz="8" w:color="CCEEFF"/>
            </w:tcBorders>
          </w:tcPr>
          <w:p>
            <w:pPr>
              <w:spacing w:after="0"/>
              <w:rPr>
                <w:sz w:val="24"/>
                <w:szCs w:val="24"/>
                <w:color w:val="auto"/>
              </w:rPr>
            </w:pPr>
          </w:p>
        </w:tc>
        <w:tc>
          <w:tcPr>
            <w:tcW w:w="45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0"/>
              </w:rPr>
              <w:t>Up due to increases in stock-based compensation and advertising and</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1"/>
              </w:rPr>
              <w:t>promotional expenses, offset by a decrease in employee-related costs</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1,022.5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1,015.5</w:t>
            </w: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from reduced headcount and lower professional fees.</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Down due to a decrease in professional fees and employee-related</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costs, partially offset by an increase in stock-based compensation</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790.0</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0" w:type="dxa"/>
            <w:vAlign w:val="bottom"/>
          </w:tcPr>
          <w:p>
            <w:pPr>
              <w:spacing w:after="0"/>
              <w:rPr>
                <w:sz w:val="1"/>
                <w:szCs w:val="1"/>
                <w:color w:val="auto"/>
              </w:rPr>
            </w:pPr>
          </w:p>
        </w:tc>
      </w:tr>
      <w:tr>
        <w:trPr>
          <w:trHeight w:val="237"/>
        </w:trPr>
        <w:tc>
          <w:tcPr>
            <w:tcW w:w="25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4"/>
              </w:rPr>
              <w:t>Down due to decreases in bad debt expense and professional fees.</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purchased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Down as previously acquired intangible assets continue to become</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intangibles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fully amortized and fewer assets are acquired compared to the prior</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220"/>
        </w:trPr>
        <w:tc>
          <w:tcPr>
            <w:tcW w:w="2500" w:type="dxa"/>
            <w:vAlign w:val="bottom"/>
          </w:tcPr>
          <w:p>
            <w:pPr>
              <w:ind w:left="360"/>
              <w:spacing w:after="0"/>
              <w:rPr>
                <w:sz w:val="20"/>
                <w:szCs w:val="20"/>
                <w:color w:val="auto"/>
              </w:rPr>
            </w:pPr>
            <w:r>
              <w:rPr>
                <w:rFonts w:ascii="Arial" w:cs="Arial" w:eastAsia="Arial" w:hAnsi="Arial"/>
                <w:sz w:val="16"/>
                <w:szCs w:val="16"/>
                <w:color w:val="auto"/>
                <w:w w:val="92"/>
              </w:rPr>
              <w:t>Restructuring charges and other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Driven by the Fiscal 2017 Plan to re-balance staffing levels and</w:t>
            </w:r>
          </w:p>
        </w:tc>
        <w:tc>
          <w:tcPr>
            <w:tcW w:w="0" w:type="dxa"/>
            <w:vAlign w:val="bottom"/>
          </w:tcPr>
          <w:p>
            <w:pPr>
              <w:spacing w:after="0"/>
              <w:rPr>
                <w:sz w:val="1"/>
                <w:szCs w:val="1"/>
                <w:color w:val="auto"/>
              </w:rPr>
            </w:pPr>
          </w:p>
        </w:tc>
      </w:tr>
      <w:tr>
        <w:trPr>
          <w:trHeight w:val="203"/>
        </w:trPr>
        <w:tc>
          <w:tcPr>
            <w:tcW w:w="2500" w:type="dxa"/>
            <w:vAlign w:val="bottom"/>
          </w:tcPr>
          <w:p>
            <w:pPr>
              <w:ind w:left="520"/>
              <w:spacing w:after="0"/>
              <w:rPr>
                <w:sz w:val="20"/>
                <w:szCs w:val="20"/>
                <w:color w:val="auto"/>
              </w:rPr>
            </w:pPr>
            <w:r>
              <w:rPr>
                <w:rFonts w:ascii="Arial" w:cs="Arial" w:eastAsia="Arial" w:hAnsi="Arial"/>
                <w:sz w:val="16"/>
                <w:szCs w:val="16"/>
                <w:color w:val="auto"/>
              </w:rPr>
              <w:t>facility exit costs, net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3"/>
              </w:rPr>
              <w:t>reduce operating expenses to better align with the evolving needs of</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the Company. Costs associated with the Fiscal 2017 Plan are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w w:val="99"/>
              </w:rPr>
              <w:t>principally from employee termination benefits, lease termination</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80.5</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costs and other exit costs.</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2,188.7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2,132.1</w:t>
            </w: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Prior periods have been adjusted to conform with current period's presentation. See Note 11, Business and Summary of Significant Accounting Policies, Basis of</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Presentation, of our consolidated financial statements for additional information.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Percentage is not meaningful.</w:t>
      </w:r>
    </w:p>
    <w:p>
      <w:pPr>
        <w:spacing w:after="0" w:line="2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fiscal 2019 as compared to fiscal 2018:</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Absolute dollar impact</w:t>
            </w: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of net revenue impact</w:t>
            </w:r>
          </w:p>
        </w:tc>
      </w:tr>
      <w:tr>
        <w:trPr>
          <w:trHeight w:val="23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4"/>
              </w:rPr>
              <w:t>Decrease</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Marketing and sales</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4"/>
              </w:rPr>
              <w:t>Decrease</w:t>
            </w:r>
          </w:p>
        </w:tc>
      </w:tr>
      <w:tr>
        <w:trPr>
          <w:trHeight w:val="33"/>
        </w:trPr>
        <w:tc>
          <w:tcPr>
            <w:tcW w:w="6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4"/>
              </w:rPr>
              <w:t>Decrease</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4"/>
              </w:rPr>
              <w:t>Decrease</w:t>
            </w:r>
          </w:p>
        </w:tc>
      </w:tr>
      <w:tr>
        <w:trPr>
          <w:trHeight w:val="33"/>
        </w:trPr>
        <w:tc>
          <w:tcPr>
            <w:tcW w:w="6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Decrease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Flat</w:t>
            </w:r>
          </w:p>
        </w:tc>
      </w:tr>
      <w:tr>
        <w:trPr>
          <w:trHeight w:val="33"/>
        </w:trPr>
        <w:tc>
          <w:tcPr>
            <w:tcW w:w="67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291465</wp:posOffset>
            </wp:positionV>
            <wp:extent cx="100330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4"/>
                <w:szCs w:val="14"/>
                <w:b w:val="1"/>
                <w:bCs w:val="1"/>
                <w:color w:val="auto"/>
                <w:w w:val="94"/>
              </w:rPr>
              <w:t>Fiscal Year Ended January 31,</w:t>
            </w:r>
          </w:p>
        </w:tc>
        <w:tc>
          <w:tcPr>
            <w:tcW w:w="1100" w:type="dxa"/>
            <w:vAlign w:val="bottom"/>
            <w:tcBorders>
              <w:bottom w:val="single" w:sz="8" w:color="auto"/>
            </w:tcBorders>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196"/>
        </w:trPr>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Loss on foreign currency</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gain on strategic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8.5</w:t>
            </w: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Interest and other expense, net, increased $24.0 million during fiscal 2018, as compared to fiscal 2017, primarily related to increases in impairment losses on certain of our privately-held strategic investments and interest expense resulting from our June 2017 issuance of $500.0 million aggregate principal amount of 3.5% notes due June 15, 2027.</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Interest and other expense, net, increased $2.6 million during fiscal 2017, as compared to fiscal 2016, primarily related to a decrease in gains on certain of our privately-held strategic investments and an increase in losses on foreign currency. This increase was partially offset by a decrease in interest and investments expense, net, that was primarily driven by mark to market gains on deferred compensation plans partially offset by an increase in interest expense resulting from the June 2015 issuance of $450.0 million aggregate principal amount of 3.125% senior notes due June 15, 2020 and $300.0 million aggregate principal amount of 4.375% senior notes due June 15, 2025.</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Interest expense and investment income fluctuates based on average cash, marketable securities and debt balances, average maturities and interest rates.</w:t>
      </w:r>
    </w:p>
    <w:p>
      <w:pPr>
        <w:spacing w:after="0" w:line="26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Income tax expense was $9.6 million and $58.3 million for fiscal 2018 and 2017, respectively, relative to pre-tax losses of $557.3 million and $523.8 million, respectively, for the same periods. Tax expense for fiscal 2018 consists primarily of foreign tax expense including withholding tax, and tax amortization on indefinite-lived intangibles offset by a benefit on the revaluation of our deferred tax liability due to the corporate rate reduction under the Tax Act. Tax expense for fiscal 2017 consisted primarily of foreign tax expense including withholding tax, and tax amortization on indefinite-lived intangibles.</w:t>
      </w:r>
    </w:p>
    <w:p>
      <w:pPr>
        <w:spacing w:after="0" w:line="15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Tax Act was enacted on December 22, 2017, and provides broad and significant changes to the U.S. tax code and how the U.S. imposes income tax on multinational corporations. 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In conjunction with the Tax Act, the SEC issued SAB 118 that allows for the Company to record provisional amounts until a final assessment can be made within a period not to exceed one year from the date of enactment.</w:t>
      </w:r>
    </w:p>
    <w:p>
      <w:pPr>
        <w:spacing w:after="0" w:line="173"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We have not completed our determination of the accounting implications of the Tax Act on our results of operations. However, we have reasonably estimated the effects of the Tax Act and recorded provisional amounts in our financial statements as of January 31, 2018. We recorded a provisional tax benefit for the impact of the Tax Act of approximately $32.3 million. This amount is primarily comprised of the remeasurement of our indefinite-lived deferred tax liability resulting from the permanent reduction in the U.S. statutory corporate rate from 35% to 21%. We recorded a provisional estimate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00330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mandatory one-time tax on accumulated earnings of our foreign subsidiaries that is primarily offset by other current year operating losses and net operating loss carryforwards that are fully valued resulting in no impact to the current year effective tax rate. As additional regulatory guidance is issued and we continue to collect and analyze necessary data, we may make adjustments to provisional amounts previously recorded. We do not anticipate these adjustments to materially impact our provision for income taxes in the period in which the adjustments are made since we are in a full valuation allowance in the U.S.</w:t>
      </w:r>
    </w:p>
    <w:p>
      <w:pPr>
        <w:spacing w:after="0" w:line="15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U.S. arising from the Company's business model transition as a significant source of negative evidence. Considering this negative evidence and the absence of sufficient positive objective evidence that we would generate sufficient taxable income in the U.S. to realize the deferred tax assets, we determined that it was more likely than not that the Company would not realize the U.S. federal and state deferred tax assets and recorded a full valuation allowance.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As of January 31, 2018, the Company had $337.6 million of gross unrecognized tax benefits, of which $304.8 million would reduce our valuation allowance, if recognized. The remaining $32.8 million would impact the effective tax rate. It is possible that the amount of unrecognized tax benefits will change in the next twelve months; however, an estimate of the range of the possible change cannot be made at this time.</w:t>
      </w:r>
    </w:p>
    <w:p>
      <w:pPr>
        <w:spacing w:after="0" w:line="16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17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At January 31, 2018, we had non-current foreign net deferred tax assets of $68.0 million that management believes are more likely than not to be realized in future years.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33.81%, see Note 4, “Income Taxes,” in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2018, 2017, and 2016, our gross profit, gross margin, (loss) income from operations, operating margin, net (loss) income, diluted net (loss) income per share and diluted shares used in per share calculation on a GAAP and non-GAAP basis were as follows (in millions except for gross margin, operating margin,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center"/>
              <w:ind w:left="720"/>
              <w:spacing w:after="0"/>
              <w:rPr>
                <w:sz w:val="20"/>
                <w:szCs w:val="20"/>
                <w:color w:val="auto"/>
              </w:rPr>
            </w:pPr>
            <w:r>
              <w:rPr>
                <w:rFonts w:ascii="Arial" w:cs="Arial" w:eastAsia="Arial" w:hAnsi="Arial"/>
                <w:sz w:val="14"/>
                <w:szCs w:val="14"/>
                <w:b w:val="1"/>
                <w:bCs w:val="1"/>
                <w:color w:val="auto"/>
                <w:w w:val="93"/>
              </w:rPr>
              <w:t>Fiscal Year Ended January 31,</w:t>
            </w:r>
          </w:p>
        </w:tc>
        <w:tc>
          <w:tcPr>
            <w:tcW w:w="1140" w:type="dxa"/>
            <w:vAlign w:val="bottom"/>
            <w:tcBorders>
              <w:bottom w:val="single" w:sz="8" w:color="auto"/>
            </w:tcBorders>
          </w:tcPr>
          <w:p>
            <w:pPr>
              <w:spacing w:after="0"/>
              <w:rPr>
                <w:sz w:val="16"/>
                <w:szCs w:val="16"/>
                <w:color w:val="auto"/>
              </w:rPr>
            </w:pPr>
          </w:p>
        </w:tc>
      </w:tr>
      <w:tr>
        <w:trPr>
          <w:trHeight w:val="264"/>
        </w:trPr>
        <w:tc>
          <w:tcPr>
            <w:tcW w:w="66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r>
      <w:tr>
        <w:trPr>
          <w:trHeight w:val="256"/>
        </w:trPr>
        <w:tc>
          <w:tcPr>
            <w:tcW w:w="6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80"/>
              <w:spacing w:after="0"/>
              <w:rPr>
                <w:sz w:val="20"/>
                <w:szCs w:val="20"/>
                <w:color w:val="auto"/>
              </w:rPr>
            </w:pPr>
            <w:r>
              <w:rPr>
                <w:rFonts w:ascii="Arial" w:cs="Arial" w:eastAsia="Arial" w:hAnsi="Arial"/>
                <w:sz w:val="16"/>
                <w:szCs w:val="16"/>
                <w:color w:val="auto"/>
              </w:rPr>
              <w:t>1,753.2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80"/>
              <w:spacing w:after="0"/>
              <w:rPr>
                <w:sz w:val="20"/>
                <w:szCs w:val="20"/>
                <w:color w:val="auto"/>
              </w:rPr>
            </w:pPr>
            <w:r>
              <w:rPr>
                <w:rFonts w:ascii="Arial" w:cs="Arial" w:eastAsia="Arial" w:hAnsi="Arial"/>
                <w:sz w:val="16"/>
                <w:szCs w:val="16"/>
                <w:color w:val="auto"/>
              </w:rPr>
              <w:t>1,689.1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2,133.4</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gross profit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1,785.5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1,743.2</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2,194.2</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85 %</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83 %</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(Loss) income from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(509.1)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(499.6)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1.3</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(loss) income from operations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(112.0)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(125.5)</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280.7</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Operating margin</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(566.9)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(582.1)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(330.5)</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(loss)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(106.3)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(111.0)</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194.1</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Diluted net (loss) income per share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(2.58)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(2.61)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(1.46)</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(loss) income per share (1)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(0.48)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(0.50)</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0.84</w:t>
            </w:r>
          </w:p>
        </w:tc>
      </w:tr>
      <w:tr>
        <w:trPr>
          <w:trHeight w:val="237"/>
        </w:trPr>
        <w:tc>
          <w:tcPr>
            <w:tcW w:w="6600" w:type="dxa"/>
            <w:vAlign w:val="bottom"/>
          </w:tcPr>
          <w:p>
            <w:pPr>
              <w:ind w:left="4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360" w:type="dxa"/>
            <w:vAlign w:val="bottom"/>
          </w:tcPr>
          <w:p>
            <w:pPr>
              <w:spacing w:after="0"/>
              <w:rPr>
                <w:sz w:val="20"/>
                <w:szCs w:val="20"/>
                <w:color w:val="auto"/>
              </w:rPr>
            </w:pPr>
          </w:p>
        </w:tc>
        <w:tc>
          <w:tcPr>
            <w:tcW w:w="1240" w:type="dxa"/>
            <w:vAlign w:val="bottom"/>
          </w:tcPr>
          <w:p>
            <w:pPr>
              <w:jc w:val="right"/>
              <w:ind w:right="180"/>
              <w:spacing w:after="0"/>
              <w:rPr>
                <w:sz w:val="20"/>
                <w:szCs w:val="20"/>
                <w:color w:val="auto"/>
              </w:rPr>
            </w:pPr>
            <w:r>
              <w:rPr>
                <w:rFonts w:ascii="Arial" w:cs="Arial" w:eastAsia="Arial" w:hAnsi="Arial"/>
                <w:sz w:val="16"/>
                <w:szCs w:val="16"/>
                <w:color w:val="auto"/>
              </w:rPr>
              <w:t>219.5</w:t>
            </w:r>
          </w:p>
        </w:tc>
        <w:tc>
          <w:tcPr>
            <w:tcW w:w="300" w:type="dxa"/>
            <w:vAlign w:val="bottom"/>
          </w:tcPr>
          <w:p>
            <w:pPr>
              <w:spacing w:after="0"/>
              <w:rPr>
                <w:sz w:val="20"/>
                <w:szCs w:val="20"/>
                <w:color w:val="auto"/>
              </w:rPr>
            </w:pPr>
          </w:p>
        </w:tc>
        <w:tc>
          <w:tcPr>
            <w:tcW w:w="1360" w:type="dxa"/>
            <w:vAlign w:val="bottom"/>
          </w:tcPr>
          <w:p>
            <w:pPr>
              <w:jc w:val="right"/>
              <w:ind w:right="180"/>
              <w:spacing w:after="0"/>
              <w:rPr>
                <w:sz w:val="20"/>
                <w:szCs w:val="20"/>
                <w:color w:val="auto"/>
              </w:rPr>
            </w:pPr>
            <w:r>
              <w:rPr>
                <w:rFonts w:ascii="Arial" w:cs="Arial" w:eastAsia="Arial" w:hAnsi="Arial"/>
                <w:sz w:val="16"/>
                <w:szCs w:val="16"/>
                <w:color w:val="auto"/>
              </w:rPr>
              <w:t>222.7</w:t>
            </w:r>
          </w:p>
        </w:tc>
        <w:tc>
          <w:tcPr>
            <w:tcW w:w="42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226.0</w:t>
            </w:r>
          </w:p>
        </w:tc>
      </w:tr>
      <w:tr>
        <w:trPr>
          <w:trHeight w:val="3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219.5</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222.7</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230.7</w:t>
            </w:r>
          </w:p>
        </w:tc>
      </w:tr>
      <w:tr>
        <w:trPr>
          <w:trHeight w:val="33"/>
        </w:trPr>
        <w:tc>
          <w:tcPr>
            <w:tcW w:w="6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420" w:right="100" w:hanging="412"/>
        <w:spacing w:after="0" w:line="281"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year.</w:t>
      </w:r>
    </w:p>
    <w:p>
      <w:pPr>
        <w:spacing w:after="0" w:line="17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00330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340"/>
        <w:spacing w:after="0" w:line="525"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4"/>
                <w:szCs w:val="14"/>
                <w:b w:val="1"/>
                <w:bCs w:val="1"/>
                <w:color w:val="auto"/>
                <w:w w:val="94"/>
              </w:rPr>
              <w:t>Fiscal Year Ended January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1,753.2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1,689.1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2,133.4</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1,785.5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1,743.2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73"/>
        </w:trPr>
        <w:tc>
          <w:tcPr>
            <w:tcW w:w="65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color w:val="auto"/>
              </w:rPr>
              <w:t>Non-GAAP gross margin</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73"/>
        </w:trPr>
        <w:tc>
          <w:tcPr>
            <w:tcW w:w="65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(Loss) income from operations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(509.1)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(loss) income from operations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280.7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CEO transition costs (1)</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9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73"/>
        </w:trPr>
        <w:tc>
          <w:tcPr>
            <w:tcW w:w="65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(566.9)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(582.1)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24"/>
        </w:trPr>
        <w:tc>
          <w:tcPr>
            <w:tcW w:w="65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19"/>
                <w:szCs w:val="19"/>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6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(loss)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154305</wp:posOffset>
            </wp:positionV>
            <wp:extent cx="100330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4"/>
                <w:szCs w:val="14"/>
                <w:b w:val="1"/>
                <w:bCs w:val="1"/>
                <w:color w:val="auto"/>
                <w:w w:val="94"/>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 (2)</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diluted (loss) income per share (2)</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40" w:type="dxa"/>
            <w:vAlign w:val="bottom"/>
            <w:gridSpan w:val="2"/>
            <w:vMerge w:val="restart"/>
          </w:tcPr>
          <w:p>
            <w:pPr>
              <w:jc w:val="right"/>
              <w:ind w:right="5299"/>
              <w:spacing w:after="0"/>
              <w:rPr>
                <w:sz w:val="20"/>
                <w:szCs w:val="20"/>
                <w:color w:val="auto"/>
              </w:rPr>
            </w:pPr>
            <w:r>
              <w:rPr>
                <w:rFonts w:ascii="Arial" w:cs="Arial" w:eastAsia="Arial" w:hAnsi="Arial"/>
                <w:sz w:val="18"/>
                <w:szCs w:val="18"/>
                <w:color w:val="auto"/>
                <w:w w:val="89"/>
              </w:rPr>
              <w:t>_______________</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40" w:hanging="412"/>
        <w:spacing w:after="0" w:line="249"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CEO transition costs include stock-based compensation of $16.4 million related to the acceleration of eligible stock awards in conjunction with the Company's former CEOs' transition agreements.</w:t>
      </w:r>
    </w:p>
    <w:p>
      <w:pPr>
        <w:ind w:left="420" w:right="100" w:hanging="412"/>
        <w:spacing w:after="0" w:line="257"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s. 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Restructuring charges and other facility exit costs (benefits), net. </w:t>
      </w:r>
      <w:r>
        <w:rPr>
          <w:rFonts w:ascii="Arial" w:cs="Arial" w:eastAsia="Arial" w:hAnsi="Arial"/>
          <w:sz w:val="18"/>
          <w:szCs w:val="18"/>
          <w:color w:val="auto"/>
        </w:rPr>
        <w:t>These expenses are associated with realigning our business strategies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00330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ability to utilize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restructuring charges and other facilities exit costs, and impacts of the corporate rate reduction and one-time deemed mandatory repatriation of certain foreign earnings under the Tax Act, net for GAAP and non-GAAP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primary source of cash is from subscriptions to our products, maintenance payments,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54"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At January 31, 2018, our principal sources of liquidity were cash, cash equivalents, and marketable securities totaling $1.5 billion and net accounts receivable of $438.2 million.</w:t>
      </w:r>
    </w:p>
    <w:p>
      <w:pPr>
        <w:spacing w:after="0" w:line="17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$450.0 million aggregate principal amount of 3.125% notes due June 15, 2020, and $300.0 million aggregate principal amount of 4.375% notes due June 15, 2025. In December 2012, we issued $400.0 million aggregate principal amount of 1.95% notes due December 15, 2017, and $350.0 million aggregate principal amount of 3.6% notes due December 15, 2022 (all five series of notes collectively, the “Notes”). In July 2017, we redeemed in full $400.0 million in aggregate principal amount of outstanding 1.95% senior notes due December 15, 2017. The redemption was completed pursuant to the optional redemption provisions of the first supplemental indenture dated December 13, 2012. To redeem the notes, we used a portion of the proceeds of the June 2017 Notes to pay a redemption price of approximately $400.9 million, plus accrued and unpaid interest. Total cash repayment was $401.8 million. The Company did not incur any additional early termination penalties relating to such redemption.</w:t>
      </w:r>
    </w:p>
    <w:p>
      <w:pPr>
        <w:spacing w:after="0" w:line="17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As of January 31, 2018, we have $1.6 billion aggregate principal amount of Notes outstanding. In addition, we have a line of credit facility that permits unsecured short-term borrowings of up to $400.0 million with a May 2020 maturity date, with an option to request an increase in the amount of the credit facility by up to an additional $100.0 million. This credit agreement contains customary covenants that could restrict the imposition of liens on our assets, and restrict the Company’s ability to incur additional indebtedness or make dispositions of assets if we fail to maintain the financial covenants. The financial covenants consist of a maximum debt to total cash ratio, a fixed charge coverage ratio through April 30, 2018, and after April 30, 2018, a minimum interest coverage ratio. As of January 31, 2018, we are compliant with all financial covenants related to our line of credit facility and as of March 22, 2018, we have no amounts outstanding under the credit facility. If we are unable to remain in compliance with the covenants, we will not be able to draw on our credit facility. Borrowings under the credit facility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148590</wp:posOffset>
            </wp:positionV>
            <wp:extent cx="100330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the offering of the Notes are available for general corporate purposes.</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January 31, 2018, approximately 74%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includes a mandatory one-time tax on accumulated earnings of foreign subsidiaries and generally eliminates U.S. taxes on foreign subsidiary distributions in future periods. As a result, earnings in foreign jurisdictions are generally available for distribution to the U.S. with little to no incremental U.S. taxes. We expect to meet our liquidity needs through current cash balances, ongoing cash flows, external borrowings, or a combination. We regularly review our capital structure and consider a variety of potential financing alternatives and planning strategies to ensure we have the proper liquidity available in the locations in which it is needed.</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46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0.9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414.0</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20"/>
                <w:szCs w:val="20"/>
                <w:color w:val="auto"/>
              </w:rPr>
            </w:pP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506.4</w:t>
            </w:r>
          </w:p>
        </w:tc>
        <w:tc>
          <w:tcPr>
            <w:tcW w:w="2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(809.5)</w:t>
            </w: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(656.6)</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343.2</w:t>
            </w:r>
          </w:p>
        </w:tc>
      </w:tr>
      <w:tr>
        <w:trPr>
          <w:trHeight w:val="33"/>
        </w:trPr>
        <w:tc>
          <w:tcPr>
            <w:tcW w:w="8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Net cash provided by operating activities of $0.9 million for fiscal 2018 consisted of $330.7 million of non-cash expenses, including stock-based compensation expense, depreciation, amortization and accretion expense, and $135.7 million of cash flow provided by changes in operating assets and liabilities, offsetting our net loss of $566.9 million.</w:t>
      </w:r>
    </w:p>
    <w:p>
      <w:pPr>
        <w:spacing w:after="0" w:line="18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The primary working capital source of cash was an increase in deferred revenue from $1,788.0 million as of January 31, 2017, to $1,955.1 million as of January 31, 2018. The primary working capital uses of cash were decreases in accrued income taxes and other accrued liabilities.</w:t>
      </w:r>
    </w:p>
    <w:p>
      <w:pPr>
        <w:spacing w:after="0" w:line="14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Net cash provided by investing was $506.4 million for fiscal 2018 and was primarily due to the sale and maturities of marketable securities. These cash inflows were partially offset by purchases of marketable securities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0330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At January 31, 2018, our short-term investment portfolio had an estimated fair value of $245.2 million and a cost basis of $236.4 million. The portfolio fair value consisted of $99.3 million invested in corporate debt securities, $37.1 million invested in U.S. government securities, $27.5 million invested in commercial paper, $13.1 million invested in asset backed securities, and $9.2 million invested in other short-term securities.</w:t>
      </w:r>
    </w:p>
    <w:p>
      <w:pPr>
        <w:spacing w:after="0" w:line="166"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At January 31, 2018, $59.0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147"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Net cash used in financing activities was $656.6 million fiscal 2018 and was primarily due to repurchases of our common stock and the repayment of debt noted earlier in this section. These cash outflows were offset in part by the issuance of debt also noted earlier in this section.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2018, and the effect such obligations are expected to have on our liquidity and cash flows in future periods.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Fiscal 2019</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2010-</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Fiscal Years 2022-</w:t>
            </w:r>
          </w:p>
        </w:tc>
        <w:tc>
          <w:tcPr>
            <w:tcW w:w="22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Deferred compensation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(1)</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2"/>
            <w:vMerge w:val="restart"/>
          </w:tcPr>
          <w:p>
            <w:pPr>
              <w:jc w:val="right"/>
              <w:ind w:right="2239"/>
              <w:spacing w:after="0"/>
              <w:rPr>
                <w:sz w:val="20"/>
                <w:szCs w:val="20"/>
                <w:color w:val="auto"/>
              </w:rPr>
            </w:pPr>
            <w:r>
              <w:rPr>
                <w:rFonts w:ascii="Arial" w:cs="Arial" w:eastAsia="Arial" w:hAnsi="Arial"/>
                <w:sz w:val="18"/>
                <w:szCs w:val="18"/>
                <w:color w:val="auto"/>
                <w:w w:val="88"/>
              </w:rPr>
              <w:t>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80" w:hanging="412"/>
        <w:spacing w:after="0" w:line="254" w:lineRule="auto"/>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4, “Income Taxes” to the Notes to Consolidated Financial Statements).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consist of the Senior Notes issued in December 2012, June 2015 and June 2017 described above.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2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enterprise subscription agreements, IT infrastructure costs, and marketing costs.</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70"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Note 14, “Retirement Benefit Plans,” in our Notes to Consolidated Financial Statements for further information regarding these obligations.</w:t>
      </w:r>
    </w:p>
    <w:p>
      <w:pPr>
        <w:spacing w:after="0" w:line="17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Asset retirement obligations represent the estimated costs to bring certain office buildings that we lease back to their original condition after the termination of the lease.</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8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During the three and twelve months ended January 31, 2018, we repurchased 2.5 million and 6.9 million shares of our common stock, respectively. At January 31, 2018, 19.6 million shares remained available for repurchase under the repurchase program approved by the Board of Directors. This programs does not have a fixed expiration date. See Note 9, “Stockholders' (Deficit) Equity,” in the Notes to Consolidated Financial Statements for further discussion.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January 31, 2018, we did not have any significant off-balance sheet arrangements other than operating leases, as defined in Item 303(a)(4)(ii)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0330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7A.</w:t>
      </w:r>
      <w:r>
        <w:rPr>
          <w:sz w:val="20"/>
          <w:szCs w:val="20"/>
          <w:color w:val="auto"/>
        </w:rPr>
        <w:tab/>
      </w:r>
      <w:r>
        <w:rPr>
          <w:rFonts w:ascii="Arial" w:cs="Arial" w:eastAsia="Arial" w:hAnsi="Arial"/>
          <w:sz w:val="18"/>
          <w:szCs w:val="18"/>
          <w:b w:val="1"/>
          <w:bCs w:val="1"/>
          <w:color w:val="0696D7"/>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2018, and 2017, we had open cash flow and balance sheet hedge contracts with future settlements within one to twelve months. Contracts were primarily denominated in euros, Japanese yen, Swiss francs, British pounds, Canadian dollars, and Australian dollars. We do not enter into foreign exchange derivative instruments for trading or speculative purposes. The notional amount of our option and forward contracts was $949.5 million and $640.0 million at January 31, 2018, and 2017, respectively.</w:t>
      </w:r>
    </w:p>
    <w:p>
      <w:pPr>
        <w:spacing w:after="0" w:line="1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2018, indicated that a hypothetical 10% appreciation of the U.S. dollar from its value at January 31, 2018 and 2017 would increase the fair value of our foreign currency contracts by $57.9 million and $60.9 million, respectively. A hypothetical 10% depreciation of the dollar from its value at January 31, 2018, and 2017 would decrease the fair value of our foreign currency contracts by $83.2 million and $32.5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short-term investments and the market value of certain longer term securities. At January 31, 2018, we had $1,078.6 million of cash equivalents and marketable securities, including $245.2 million classified as short-term marketable securities and $190.8 million classified as long-term marketable securities. If interest rates were to move up by 50 or 100 basis points over a twelve month period, the market value change of our marketable securities would have an unrealized gain or loss of $1.4 million and $2.8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2, "Financial Instruments" for further discussion regarding our privately held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286385</wp:posOffset>
            </wp:positionV>
            <wp:extent cx="100330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8.</w:t>
      </w:r>
      <w:r>
        <w:rPr>
          <w:sz w:val="20"/>
          <w:szCs w:val="20"/>
          <w:color w:val="auto"/>
        </w:rPr>
        <w:tab/>
      </w:r>
      <w:r>
        <w:rPr>
          <w:rFonts w:ascii="Arial" w:cs="Arial" w:eastAsia="Arial" w:hAnsi="Arial"/>
          <w:sz w:val="17"/>
          <w:szCs w:val="17"/>
          <w:b w:val="1"/>
          <w:bCs w:val="1"/>
          <w:color w:val="0696D7"/>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74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894.3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maintenance and subscription 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1,380.6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1,123.5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2,504.1</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maintenance and subscription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341.9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2,133.4</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755.5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2,262.3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2,188.7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2,132.1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and other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loss per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comprehensive loss, net of reclassifications: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$3.2, ($1.1), and $0.6)</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Change in net unrealized (loss) gain on available-for-sale securities (net of tax effect of $0.1, ($0.5), and $0.0)</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($0.7), ($0.9), and $0.9)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gain (loss) (net of tax effect of ($4.8), $0.2, and $0.5)</w:t>
            </w: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44"/>
        </w:trPr>
        <w:tc>
          <w:tcPr>
            <w:tcW w:w="844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(398.3)</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169545</wp:posOffset>
            </wp:positionV>
            <wp:extent cx="100330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8320" w:type="dxa"/>
            <w:vAlign w:val="bottom"/>
          </w:tcPr>
          <w:p>
            <w:pPr>
              <w:ind w:left="390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1,078.0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1,213.1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686.8</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17"/>
        </w:trPr>
        <w:tc>
          <w:tcPr>
            <w:tcW w:w="832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1,877.9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2,460.6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306.2</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1,620.2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1,561.1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4,798.1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4"/>
                <w:szCs w:val="14"/>
                <w:b w:val="1"/>
                <w:bCs w:val="1"/>
                <w:color w:val="auto"/>
              </w:rPr>
              <w:t>LIABILITIES AND STOCKHOLDERS’ (DEFICIT)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67945</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8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8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2520" w:type="dxa"/>
            <w:vAlign w:val="bottom"/>
          </w:tcPr>
          <w:p>
            <w:pPr>
              <w:spacing w:after="0"/>
              <w:rPr>
                <w:sz w:val="22"/>
                <w:szCs w:val="22"/>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2520" w:type="dxa"/>
            <w:vAlign w:val="bottom"/>
          </w:tcPr>
          <w:p>
            <w:pPr>
              <w:spacing w:after="0"/>
              <w:rPr>
                <w:sz w:val="23"/>
                <w:szCs w:val="23"/>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520" w:type="dxa"/>
            <w:vAlign w:val="bottom"/>
          </w:tcPr>
          <w:p>
            <w:pPr>
              <w:spacing w:after="0"/>
              <w:rPr>
                <w:sz w:val="23"/>
                <w:szCs w:val="23"/>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Current portion of long-term notes payable, net</w:t>
            </w:r>
          </w:p>
        </w:tc>
        <w:tc>
          <w:tcPr>
            <w:tcW w:w="2520" w:type="dxa"/>
            <w:vAlign w:val="bottom"/>
          </w:tcPr>
          <w:p>
            <w:pPr>
              <w:spacing w:after="0"/>
              <w:rPr>
                <w:sz w:val="23"/>
                <w:szCs w:val="23"/>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Other accrued liabilities</w:t>
            </w:r>
          </w:p>
        </w:tc>
        <w:tc>
          <w:tcPr>
            <w:tcW w:w="2520" w:type="dxa"/>
            <w:vAlign w:val="bottom"/>
          </w:tcPr>
          <w:p>
            <w:pPr>
              <w:spacing w:after="0"/>
              <w:rPr>
                <w:sz w:val="23"/>
                <w:szCs w:val="23"/>
                <w:color w:val="auto"/>
              </w:rPr>
            </w:pPr>
          </w:p>
        </w:tc>
      </w:tr>
      <w:tr>
        <w:trPr>
          <w:trHeight w:val="270"/>
        </w:trPr>
        <w:tc>
          <w:tcPr>
            <w:tcW w:w="588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deferred revenue</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income taxes payable</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deferred income taxes</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notes payable, net</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other liabilities</w:t>
            </w:r>
          </w:p>
        </w:tc>
        <w:tc>
          <w:tcPr>
            <w:tcW w:w="25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-1856740</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-1513205</wp:posOffset>
            </wp:positionV>
            <wp:extent cx="72294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-1170305</wp:posOffset>
            </wp:positionV>
            <wp:extent cx="72294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-484505</wp:posOffset>
            </wp:positionV>
            <wp:extent cx="72294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-141605</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-827405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(deficit) equity: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Preferred stock, $0.01 par value; shares authorized 2.0; none issued or outstanding at January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50800</wp:posOffset>
            </wp:positionV>
            <wp:extent cx="7229475"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78" w:lineRule="exact"/>
        <w:rPr>
          <w:sz w:val="20"/>
          <w:szCs w:val="20"/>
          <w:color w:val="auto"/>
        </w:rPr>
      </w:pPr>
    </w:p>
    <w:p>
      <w:pPr>
        <w:ind w:left="400" w:right="240"/>
        <w:spacing w:after="0" w:line="293" w:lineRule="auto"/>
        <w:rPr>
          <w:sz w:val="20"/>
          <w:szCs w:val="20"/>
          <w:color w:val="auto"/>
        </w:rPr>
      </w:pPr>
      <w:r>
        <w:rPr>
          <w:rFonts w:ascii="Arial" w:cs="Arial" w:eastAsia="Arial" w:hAnsi="Arial"/>
          <w:sz w:val="16"/>
          <w:szCs w:val="16"/>
          <w:color w:val="auto"/>
        </w:rPr>
        <w:t>Common stock and additional paid-in capital, $0.01 par value; shares authorized 750.0; 218.3 outstanding at January 31, 2018 and 220.3 outstanding at January 31, 2017</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06"/>
        </w:trPr>
        <w:tc>
          <w:tcPr>
            <w:tcW w:w="600" w:type="dxa"/>
            <w:vAlign w:val="bottom"/>
          </w:tcPr>
          <w:p>
            <w:pPr>
              <w:jc w:val="right"/>
              <w:ind w:right="39"/>
              <w:spacing w:after="0"/>
              <w:rPr>
                <w:sz w:val="20"/>
                <w:szCs w:val="20"/>
                <w:color w:val="auto"/>
              </w:rPr>
            </w:pPr>
            <w:r>
              <w:rPr>
                <w:rFonts w:ascii="Arial" w:cs="Arial" w:eastAsia="Arial" w:hAnsi="Arial"/>
                <w:sz w:val="16"/>
                <w:szCs w:val="16"/>
                <w:color w:val="auto"/>
              </w:rPr>
              <w:t>94.7</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70"/>
        </w:trPr>
        <w:tc>
          <w:tcPr>
            <w:tcW w:w="600" w:type="dxa"/>
            <w:vAlign w:val="bottom"/>
          </w:tcPr>
          <w:p>
            <w:pPr>
              <w:jc w:val="right"/>
              <w:ind w:right="39"/>
              <w:spacing w:after="0"/>
              <w:rPr>
                <w:sz w:val="20"/>
                <w:szCs w:val="20"/>
                <w:color w:val="auto"/>
              </w:rPr>
            </w:pPr>
            <w:r>
              <w:rPr>
                <w:rFonts w:ascii="Arial" w:cs="Arial" w:eastAsia="Arial" w:hAnsi="Arial"/>
                <w:sz w:val="16"/>
                <w:szCs w:val="16"/>
                <w:color w:val="auto"/>
              </w:rPr>
              <w:t>250.9</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238.2</w:t>
            </w:r>
          </w:p>
        </w:tc>
      </w:tr>
      <w:tr>
        <w:trPr>
          <w:trHeight w:val="270"/>
        </w:trPr>
        <w:tc>
          <w:tcPr>
            <w:tcW w:w="60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70"/>
        </w:trPr>
        <w:tc>
          <w:tcPr>
            <w:tcW w:w="600" w:type="dxa"/>
            <w:vAlign w:val="bottom"/>
          </w:tcPr>
          <w:p>
            <w:pPr>
              <w:jc w:val="right"/>
              <w:ind w:right="39"/>
              <w:spacing w:after="0"/>
              <w:rPr>
                <w:sz w:val="20"/>
                <w:szCs w:val="20"/>
                <w:color w:val="auto"/>
              </w:rPr>
            </w:pPr>
            <w:r>
              <w:rPr>
                <w:rFonts w:ascii="Arial" w:cs="Arial" w:eastAsia="Arial" w:hAnsi="Arial"/>
                <w:sz w:val="16"/>
                <w:szCs w:val="16"/>
                <w:color w:val="auto"/>
                <w:w w:val="86"/>
              </w:rPr>
              <w:t>1,551.6</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1,270.1</w:t>
            </w: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398.7</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198.0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33"/>
        </w:trPr>
        <w:tc>
          <w:tcPr>
            <w:tcW w:w="7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97"/>
              </w:rPr>
              <w:t>2,123.2</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2,185.4</w:t>
            </w:r>
          </w:p>
        </w:tc>
      </w:tr>
      <w:tr>
        <w:trPr>
          <w:trHeight w:val="33"/>
        </w:trPr>
        <w:tc>
          <w:tcPr>
            <w:tcW w:w="7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403.5</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517.9</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41.6</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39.3</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66.6</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91.5</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97"/>
              </w:rPr>
              <w:t>1,586.0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1,092.0</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148.7</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138.4</w:t>
            </w:r>
          </w:p>
        </w:tc>
      </w:tr>
      <w:tr>
        <w:trPr>
          <w:trHeight w:val="81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97"/>
              </w:rPr>
              <w:t>1,952.7</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1,876.3</w:t>
            </w:r>
          </w:p>
        </w:tc>
      </w:tr>
      <w:tr>
        <w:trPr>
          <w:trHeight w:val="270"/>
        </w:trPr>
        <w:tc>
          <w:tcPr>
            <w:tcW w:w="760" w:type="dxa"/>
            <w:vAlign w:val="bottom"/>
          </w:tcPr>
          <w:p>
            <w:pPr>
              <w:jc w:val="right"/>
              <w:ind w:right="79"/>
              <w:spacing w:after="0"/>
              <w:rPr>
                <w:sz w:val="20"/>
                <w:szCs w:val="20"/>
                <w:color w:val="auto"/>
              </w:rPr>
            </w:pPr>
            <w:r>
              <w:rPr>
                <w:rFonts w:ascii="Arial" w:cs="Arial" w:eastAsia="Arial" w:hAnsi="Arial"/>
                <w:sz w:val="16"/>
                <w:szCs w:val="16"/>
                <w:color w:val="auto"/>
              </w:rPr>
              <w:t>(123.8)</w:t>
            </w:r>
          </w:p>
        </w:tc>
        <w:tc>
          <w:tcPr>
            <w:tcW w:w="146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70"/>
        </w:trPr>
        <w:tc>
          <w:tcPr>
            <w:tcW w:w="760" w:type="dxa"/>
            <w:vAlign w:val="bottom"/>
          </w:tcPr>
          <w:p>
            <w:pPr>
              <w:jc w:val="right"/>
              <w:ind w:right="79"/>
              <w:spacing w:after="0"/>
              <w:rPr>
                <w:sz w:val="20"/>
                <w:szCs w:val="20"/>
                <w:color w:val="auto"/>
              </w:rPr>
            </w:pPr>
            <w:r>
              <w:rPr>
                <w:rFonts w:ascii="Arial" w:cs="Arial" w:eastAsia="Arial" w:hAnsi="Arial"/>
                <w:sz w:val="16"/>
                <w:szCs w:val="16"/>
                <w:color w:val="auto"/>
                <w:w w:val="90"/>
              </w:rPr>
              <w:t>(2,084.9)</w:t>
            </w:r>
          </w:p>
        </w:tc>
        <w:tc>
          <w:tcPr>
            <w:tcW w:w="1460" w:type="dxa"/>
            <w:vAlign w:val="bottom"/>
          </w:tcPr>
          <w:p>
            <w:pPr>
              <w:jc w:val="right"/>
              <w:spacing w:after="0"/>
              <w:rPr>
                <w:sz w:val="20"/>
                <w:szCs w:val="20"/>
                <w:color w:val="auto"/>
              </w:rPr>
            </w:pPr>
            <w:r>
              <w:rPr>
                <w:rFonts w:ascii="Arial" w:cs="Arial" w:eastAsia="Arial" w:hAnsi="Arial"/>
                <w:sz w:val="16"/>
                <w:szCs w:val="16"/>
                <w:color w:val="auto"/>
              </w:rPr>
              <w:t>(964.2)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-2156460</wp:posOffset>
            </wp:positionV>
            <wp:extent cx="951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460" w:space="720"/>
            <w:col w:w="222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Total stockholders’ (deficit) equity</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733.6</w:t>
            </w:r>
          </w:p>
        </w:tc>
      </w:tr>
      <w:tr>
        <w:trPr>
          <w:trHeight w:val="33"/>
        </w:trPr>
        <w:tc>
          <w:tcPr>
            <w:tcW w:w="8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(deficit) equity</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4,798.1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100330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2018 Form 10-K 64</w:t>
      </w:r>
    </w:p>
    <w:p>
      <w:pPr>
        <w:sectPr>
          <w:pgSz w:w="11900" w:h="16838" w:orient="portrait"/>
          <w:cols w:equalWidth="0" w:num="1">
            <w:col w:w="11400"/>
          </w:cols>
          <w:pgMar w:left="240" w:top="125" w:right="2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p>
      <w:pPr>
        <w:jc w:val="right"/>
        <w:ind w:right="142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-127000</wp:posOffset>
            </wp:positionV>
            <wp:extent cx="722947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Depreciation, amortization,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Restructuring charges and other facility exit costs,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Changes in operating assets and liabilities, net of business combinations: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52070</wp:posOffset>
            </wp:positionV>
            <wp:extent cx="72294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Purchases of marketable securities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Sales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Maturities of marketable securities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52070</wp:posOffset>
            </wp:positionV>
            <wp:extent cx="722947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Proceeds from issuance of common stock</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Taxes paid related to net share settlement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Repurchase and retirement of common shares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Proceeds from debt, net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Repayments of debt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financing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beginning of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fiscal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information: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50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(566.9)</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(330.5)</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145.8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197.2</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235.9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168.3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360.5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414.0</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(1,867.9)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(2,250.1)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329.4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594.3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1,376.6</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(809.5)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110.8</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748.3</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6"/>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343.2</w:t>
            </w:r>
          </w:p>
        </w:tc>
      </w:tr>
      <w:tr>
        <w:trPr>
          <w:trHeight w:val="217"/>
        </w:trPr>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37"/>
        </w:trPr>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1,353.0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1,410.6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1,078.0</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1,213.1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1,353.0</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62"/>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during the year for interest</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Net cash paid during the year for income taxes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vMerge w:val="continue"/>
          </w:tcPr>
          <w:p>
            <w:pPr>
              <w:spacing w:after="0"/>
              <w:rPr>
                <w:sz w:val="17"/>
                <w:szCs w:val="17"/>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17"/>
                <w:szCs w:val="17"/>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7"/>
                <w:szCs w:val="17"/>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168910</wp:posOffset>
            </wp:positionV>
            <wp:extent cx="100330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2018 Form 10-K 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jc w:val="right"/>
        <w:ind w:right="2560"/>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Common shares issued under stock plans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benefits from employee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Common shares issued under stock plans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effect of accounting changes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2017</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Common shares issued under stock plans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January 31, 2018</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w w:val="99"/>
              </w:rPr>
              <w:t>Common stock and additional paid-in</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Retained earnings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4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capital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ind w:left="80"/>
              <w:spacing w:after="0" w:line="139" w:lineRule="exact"/>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4"/>
                <w:szCs w:val="4"/>
                <w:color w:val="auto"/>
              </w:rPr>
            </w:pPr>
          </w:p>
        </w:tc>
        <w:tc>
          <w:tcPr>
            <w:tcW w:w="134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(Accumulated</w:t>
            </w:r>
          </w:p>
        </w:tc>
        <w:tc>
          <w:tcPr>
            <w:tcW w:w="1360" w:type="dxa"/>
            <w:vAlign w:val="bottom"/>
            <w:gridSpan w:val="2"/>
            <w:vMerge w:val="restart"/>
          </w:tcPr>
          <w:p>
            <w:pPr>
              <w:jc w:val="right"/>
              <w:ind w:right="19"/>
              <w:spacing w:after="0" w:line="139" w:lineRule="exact"/>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65"/>
        </w:trPr>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5"/>
                <w:szCs w:val="5"/>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deficit)</w:t>
            </w:r>
          </w:p>
        </w:tc>
        <w:tc>
          <w:tcPr>
            <w:tcW w:w="18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(deficit) equity</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1,773.1</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8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270"/>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1,821.5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1,619.6</w:t>
            </w:r>
          </w:p>
        </w:tc>
        <w:tc>
          <w:tcPr>
            <w:tcW w:w="0" w:type="dxa"/>
            <w:vAlign w:val="bottom"/>
          </w:tcPr>
          <w:p>
            <w:pPr>
              <w:spacing w:after="0"/>
              <w:rPr>
                <w:sz w:val="1"/>
                <w:szCs w:val="1"/>
                <w:color w:val="auto"/>
              </w:rPr>
            </w:pPr>
          </w:p>
        </w:tc>
      </w:tr>
      <w:tr>
        <w:trPr>
          <w:trHeight w:val="270"/>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1,876.3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270"/>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261.4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(690.1)</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0"/>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1,952.7</w:t>
            </w:r>
          </w:p>
        </w:tc>
        <w:tc>
          <w:tcPr>
            <w:tcW w:w="120" w:type="dxa"/>
            <w:vAlign w:val="bottom"/>
          </w:tcPr>
          <w:p>
            <w:pPr>
              <w:spacing w:after="0"/>
              <w:rPr>
                <w:sz w:val="18"/>
                <w:szCs w:val="18"/>
                <w:color w:val="auto"/>
              </w:rPr>
            </w:pPr>
          </w:p>
        </w:tc>
        <w:tc>
          <w:tcPr>
            <w:tcW w:w="460" w:type="dxa"/>
            <w:vAlign w:val="bottom"/>
          </w:tcPr>
          <w:p>
            <w:pPr>
              <w:jc w:val="right"/>
              <w:ind w:right="283"/>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-3627120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-3284220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-2940685</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-2597785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-2254885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-1911985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-1568450</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-1225550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-882650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-539750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-196850</wp:posOffset>
            </wp:positionV>
            <wp:extent cx="724662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125"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00330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66</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Business</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offered through a hybrid of desktop and cloud functionality,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Principles of Consolidation</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subsidiaries. All intercompany accounts and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Change in Presentation</w:t>
      </w:r>
    </w:p>
    <w:p>
      <w:pPr>
        <w:spacing w:after="0" w:line="225"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During the first quarter of fiscal 2018, the Company changed its historical presentation of its revenue and cost of revenue categories. Previously, the Company presented revenue and cost of revenue on two lines: subscription, and license and other. Included within subscription was maintenance revenue for all of the Company's software products and revenue for the Company's cloud service offerings. License and other revenue included product license revenue, standalone consulting services, and other immaterial items. Also, included within license and other revenue was an allocation of the estimated value of the software license from the Company's term-based product subscriptions and enterprise offerings, which contain a software license, maintenance and cloud services. For these arrangements, as there is no vendor-specific-objective evidence ("VSOE") for the related maintenance, the arrangement consideration was allocated between the license and maintenance deliverables based on best estimated selling prices in our consolidated statements of operations. The Company performed the allocation because it provided a meaningful presentation to investors based on the Company's then current product mix.</w:t>
      </w:r>
    </w:p>
    <w:p>
      <w:pPr>
        <w:spacing w:after="0" w:line="166"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part of the Company's technological and business model transition, the Company discontinued the sale of most of its perpetual licenses, transitioning away from selling a mix of perpetual licenses and term-based product subscriptions to a single subscription model involving a combined hybrid offering of desktop software and cloud functionality, which provides a device-independent, collaborative design workflow for designers and their stakeholders. Fiscal 2018 marks the first full year in the Company's history that it sold substantially all term-based product subscriptions. To better reflect this shift in its business, the Company adopted a revised presentation in the first quarter of fiscal 2018, including the separation of subscription revenue and maintenance revenue on distinct line items on the Company's consolidated statement of operations.</w:t>
      </w:r>
    </w:p>
    <w:p>
      <w:pPr>
        <w:spacing w:after="0" w:line="17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Subscription revenue now consists of our term-based product subscriptions, cloud service offerings, and flexible enterprise business arrangements. Note that with the change in presentation of revenue in the Company’s consolidated statement of operations in fiscal 2018, term-based product subscriptions and flexible enterprise business arrangements are classified and presented in a single line item.</w:t>
      </w:r>
    </w:p>
    <w:p>
      <w:pPr>
        <w:spacing w:after="0" w:line="18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Maintenance revenue is presented as a separate line item in the new presentation and consists of revenue from the Company's existing maintenance plan agreements and related renewals.</w:t>
      </w:r>
    </w:p>
    <w:p>
      <w:pPr>
        <w:spacing w:after="0" w:line="1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License and other revenue will continue to be presented as a separate line item and include any residual perpetual licenses sold, standalone consulting services, and other immaterial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connection with these revisions, the Company also revised its cost of revenue classification to present cost of subscription and maintenance revenue and amortization of developed technology separately. Cost of license and other revenue will continue to be presented as a separate line item. This change in presentation does not affect the Company's total net revenues, total cost of net revenues or overall gross margin. The following table shows reclassified amounts to conform to the periods' presentation:</w:t>
      </w: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7"/>
          </w:tcPr>
          <w:p>
            <w:pPr>
              <w:jc w:val="center"/>
              <w:ind w:right="61"/>
              <w:spacing w:after="0"/>
              <w:rPr>
                <w:sz w:val="20"/>
                <w:szCs w:val="20"/>
                <w:color w:val="auto"/>
              </w:rPr>
            </w:pPr>
            <w:r>
              <w:rPr>
                <w:rFonts w:ascii="Arial" w:cs="Arial" w:eastAsia="Arial" w:hAnsi="Arial"/>
                <w:sz w:val="14"/>
                <w:szCs w:val="14"/>
                <w:b w:val="1"/>
                <w:bCs w:val="1"/>
                <w:color w:val="auto"/>
                <w:w w:val="92"/>
              </w:rPr>
              <w:t>Fiscal Year Ended January 31, 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right"/>
              <w:ind w:right="641"/>
              <w:spacing w:after="0"/>
              <w:rPr>
                <w:sz w:val="20"/>
                <w:szCs w:val="20"/>
                <w:color w:val="auto"/>
              </w:rPr>
            </w:pPr>
            <w:r>
              <w:rPr>
                <w:rFonts w:ascii="Arial" w:cs="Arial" w:eastAsia="Arial" w:hAnsi="Arial"/>
                <w:sz w:val="14"/>
                <w:szCs w:val="14"/>
                <w:b w:val="1"/>
                <w:bCs w:val="1"/>
                <w:color w:val="auto"/>
              </w:rPr>
              <w:t>Fiscal Year Ended January 31, 2016</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Previously</w:t>
            </w:r>
          </w:p>
        </w:tc>
        <w:tc>
          <w:tcPr>
            <w:tcW w:w="16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Previously</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Change in</w:t>
            </w:r>
          </w:p>
        </w:tc>
        <w:tc>
          <w:tcPr>
            <w:tcW w:w="120" w:type="dxa"/>
            <w:vAlign w:val="bottom"/>
          </w:tcPr>
          <w:p>
            <w:pPr>
              <w:spacing w:after="0"/>
              <w:rPr>
                <w:sz w:val="13"/>
                <w:szCs w:val="13"/>
                <w:color w:val="auto"/>
              </w:rPr>
            </w:pPr>
          </w:p>
        </w:tc>
        <w:tc>
          <w:tcPr>
            <w:tcW w:w="9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Presentation</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Presentation</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Reclassification</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Presentation</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Reclassification</w:t>
            </w:r>
          </w:p>
        </w:tc>
        <w:tc>
          <w:tcPr>
            <w:tcW w:w="120" w:type="dxa"/>
            <w:vAlign w:val="bottom"/>
          </w:tcPr>
          <w:p>
            <w:pPr>
              <w:spacing w:after="0"/>
              <w:rPr>
                <w:sz w:val="16"/>
                <w:szCs w:val="16"/>
                <w:color w:val="auto"/>
              </w:rPr>
            </w:pPr>
          </w:p>
        </w:tc>
        <w:tc>
          <w:tcPr>
            <w:tcW w:w="960" w:type="dxa"/>
            <w:vAlign w:val="bottom"/>
          </w:tcPr>
          <w:p>
            <w:pPr>
              <w:jc w:val="right"/>
              <w:ind w:right="81"/>
              <w:spacing w:after="0"/>
              <w:rPr>
                <w:sz w:val="20"/>
                <w:szCs w:val="20"/>
                <w:color w:val="auto"/>
              </w:rPr>
            </w:pPr>
            <w:r>
              <w:rPr>
                <w:rFonts w:ascii="Arial" w:cs="Arial" w:eastAsia="Arial" w:hAnsi="Arial"/>
                <w:sz w:val="14"/>
                <w:szCs w:val="14"/>
                <w:b w:val="1"/>
                <w:bCs w:val="1"/>
                <w:color w:val="auto"/>
                <w:w w:val="91"/>
              </w:rPr>
              <w:t>Presentation</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60"/>
              <w:spacing w:after="0"/>
              <w:rPr>
                <w:sz w:val="20"/>
                <w:szCs w:val="20"/>
                <w:color w:val="auto"/>
              </w:rPr>
            </w:pPr>
            <w:r>
              <w:rPr>
                <w:rFonts w:ascii="Arial" w:cs="Arial" w:eastAsia="Arial" w:hAnsi="Arial"/>
                <w:sz w:val="16"/>
                <w:szCs w:val="16"/>
                <w:color w:val="auto"/>
              </w:rPr>
              <w:t>Maintenance (1)</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rPr>
              <w:t>N/A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1,103.1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1,103.1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rPr>
              <w:t>N/A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1,152.5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1,152.5</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237"/>
        </w:trPr>
        <w:tc>
          <w:tcPr>
            <w:tcW w:w="3240" w:type="dxa"/>
            <w:vAlign w:val="bottom"/>
          </w:tcPr>
          <w:p>
            <w:pPr>
              <w:ind w:left="260"/>
              <w:spacing w:after="0"/>
              <w:rPr>
                <w:sz w:val="20"/>
                <w:szCs w:val="20"/>
                <w:color w:val="auto"/>
              </w:rPr>
            </w:pPr>
            <w:r>
              <w:rPr>
                <w:rFonts w:ascii="Arial" w:cs="Arial" w:eastAsia="Arial" w:hAnsi="Arial"/>
                <w:sz w:val="16"/>
                <w:szCs w:val="16"/>
                <w:color w:val="auto"/>
              </w:rPr>
              <w:t>License and other</w:t>
            </w:r>
          </w:p>
        </w:tc>
        <w:tc>
          <w:tcPr>
            <w:tcW w:w="16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484.8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1,226.9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1,123.5</w:t>
            </w: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2,031.0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2,031.0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2,504.1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2,504.1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60"/>
              <w:spacing w:after="0"/>
              <w:rPr>
                <w:sz w:val="20"/>
                <w:szCs w:val="20"/>
                <w:color w:val="auto"/>
              </w:rPr>
            </w:pPr>
            <w:r>
              <w:rPr>
                <w:rFonts w:ascii="Arial" w:cs="Arial" w:eastAsia="Arial" w:hAnsi="Arial"/>
                <w:sz w:val="16"/>
                <w:szCs w:val="16"/>
                <w:color w:val="auto"/>
              </w:rPr>
              <w:t>Maintenance and subscription (2)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License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237"/>
        </w:trPr>
        <w:tc>
          <w:tcPr>
            <w:tcW w:w="3240" w:type="dxa"/>
            <w:vAlign w:val="bottom"/>
          </w:tcPr>
          <w:p>
            <w:pPr>
              <w:ind w:left="260"/>
              <w:spacing w:after="0"/>
              <w:rPr>
                <w:sz w:val="20"/>
                <w:szCs w:val="20"/>
                <w:color w:val="auto"/>
              </w:rPr>
            </w:pPr>
            <w:r>
              <w:rPr>
                <w:rFonts w:ascii="Arial" w:cs="Arial" w:eastAsia="Arial" w:hAnsi="Arial"/>
                <w:sz w:val="16"/>
                <w:szCs w:val="16"/>
                <w:color w:val="auto"/>
              </w:rPr>
              <w:t>Amortization of developed technology (1)</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370.7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20" w:hanging="22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lines were not previously reported in the Consolidated Statement of Operations.</w:t>
      </w:r>
    </w:p>
    <w:p>
      <w:pPr>
        <w:spacing w:after="0" w:line="9" w:lineRule="exact"/>
        <w:rPr>
          <w:rFonts w:ascii="Arial" w:cs="Arial" w:eastAsia="Arial" w:hAnsi="Arial"/>
          <w:sz w:val="16"/>
          <w:szCs w:val="16"/>
          <w:color w:val="auto"/>
        </w:rPr>
      </w:pPr>
    </w:p>
    <w:p>
      <w:pPr>
        <w:ind w:left="720" w:hanging="22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Previously, titled "Subscription."</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Use of Estimates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Examples of significant estimates and assumptions made by management involve the determination of the fair value of acquired assets and liabilities, goodwill, financial instruments including strategic investments, long-lived assets and other intangible assets, the realizability of deferred tax assets, and the fair value of stock awards. The Company also makes assumptions, judgments, and estimates in determining the accruals for uncertain tax positions, provisional estimates associated with the December 22, 2017 enactment of the U.S. Tax Cuts and Jobs Act ("Tax Act"), variable compensation, partner incentive programs, product returns reserves, allowances for doubtful accounts, asset retirement obligations, and legal contingencies.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Foreign Currency Translation and Transactions</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as other comprehensive (loss) income.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 Monetary assets and liabilities are remeasured using foreign currency exchange rates at the end of the period, and non-monetary assets are remeasured based on historical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Derivative Financial Instruments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2, "Financial Instruments" for information regarding Autodesk's hedging activities.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Cash and Cash Equivalents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Marketable Securities and Privately Held Company Investments</w:t>
      </w:r>
    </w:p>
    <w:p>
      <w:pPr>
        <w:spacing w:after="0" w:line="225"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Marketable securities are stated at fair value. Marketable securities maturing within one year that are not restricted are classified as current assets. Substantially all marketable debt and equity investments held by Autodesk are classified as current based on the nature of the investments and their availability for use in current operations.</w:t>
      </w:r>
    </w:p>
    <w:p>
      <w:pPr>
        <w:spacing w:after="0" w:line="181"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(deficit) until disposition or maturity. Autodesk carries all “trading securities” at fair value, with unrealized gains and losses, recorded in “Interest and other income, net” in the Company’s Consolidated Statements of Operations. The cost of securities sold is based on the specific-identification method.</w:t>
      </w:r>
    </w:p>
    <w:p>
      <w:pPr>
        <w:spacing w:after="0" w:line="154"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Autodesk regularly invests in non-marketable debt and equity securities of privately held companies. The carrying values of such investments are included in other long-term assets. For the majority of our privately held company investments, we use the cost method of accounting.</w:t>
      </w:r>
    </w:p>
    <w:p>
      <w:pPr>
        <w:spacing w:after="0" w:line="12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All of Autodesk’s marketable securities and privately held company investments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For additional information, see “Concentration of Credit Risk” within this Note 1 and Note 2, “Financial Instruments.”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469.2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Partner programs and other obligations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As part of the indirect channel model, Autodesk has a partner incentive program that uses quarterly attainment of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subscription transaction is billed and subsequently recognized as a reduction to subscription revenue over the contract period. These incentive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146050</wp:posOffset>
            </wp:positionV>
            <wp:extent cx="100330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 do not require significant assumptions or judgments. Depending on how the payments are made, the reserves associated with the partner incentive program are treated on the balance sheet as either contra account receivable or accounts payable.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Concentration of Credit Risk</w:t>
      </w:r>
    </w:p>
    <w:p>
      <w:pPr>
        <w:spacing w:after="0" w:line="225"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w:t>
      </w:r>
    </w:p>
    <w:p>
      <w:pPr>
        <w:spacing w:after="0" w:line="124"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7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Autodesk’s accounts receivable are derived from sales to a large number of resellers, distributors, and direct customers in the Americas; EMEA; and APAC geographies. Autodesk performs ongoing evaluations of these partners' financial condition and limits the amount of credit extended when deemed necessary, but generally does not require collateral from such parties. Total sales to the Company's largest distributor Tech Data Corporation, and its global affiliates (“Tech Data”), accounted for 31%, 30%, and 25% of Autodesk's net revenue for fiscal years ended January 31, 2018, 2017, and 2016, respectively. The majority of the net revenue from sales to Tech Data is for sales made outside of the United States. In addition, Tech Data accounted for 31% and 20% of trade accounts receivable as of January 31, 2018, and 2017, respectively.</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Computer Equipment, Software, Furniture, and Leasehold Improvements, Net</w:t>
      </w:r>
    </w:p>
    <w:p>
      <w:pPr>
        <w:spacing w:after="0" w:line="22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$67.6 million in fiscal 2018, $73.1 million in fiscal 2017, and $60.6 million in fiscal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73.5</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Furniture and equipment,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58.2</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(437.0)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(385.5)</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Software Development Costs</w:t>
      </w:r>
    </w:p>
    <w:p>
      <w:pPr>
        <w:spacing w:after="0" w:line="225"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three-year period, if material. Autodesk had no material capitalized software development costs at January 31, 2018, and January 31, 2017.</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Other Intangible Assets, Net</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Other intangible assets include developed technologies, customer relationships, trade names, patents, user lists and the related accumulated amortization. These assets are shown as “Developed technologies, net” and as part of “Other assets” in the Consolidated Balance Sheet. The majority of Autodesk’s other intangible assets are amortized to expense over the estimated economic life of the product, which ranges from two to ten years. Amortization expense for developed technologies, customer relationships, trade names, patents, and user lists was $36.6 million in fiscal 2018, $72.2 million in fiscal 2017 and $82.6 million in fiscal 2016.</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583.6</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375.9</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at cost (2)</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959.5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(895.8)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(862.0)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w:t>
        <w:tab/>
        <w:t>Included in “Other assets” in the accompanying Consolidated Balance Sheets.</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w:t>
        <w:tab/>
        <w:t>Includes the effects of foreign currency translation.</w:t>
      </w:r>
    </w:p>
    <w:p>
      <w:pPr>
        <w:spacing w:after="0" w:line="203"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The weighted average amortization period for developed technologies, customer relationships, trade names, patents, and user lists during fiscal 2018 was 4.9 years. Excluding in-process research and development, expected future amortization expense for developed technologies, customer relationships, trade names, patents, and user lists for each of the fiscal years ended thereafter is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81"/>
              <w:spacing w:after="0"/>
              <w:rPr>
                <w:sz w:val="20"/>
                <w:szCs w:val="20"/>
                <w:color w:val="auto"/>
              </w:rPr>
            </w:pPr>
            <w:r>
              <w:rPr>
                <w:rFonts w:ascii="Arial" w:cs="Arial" w:eastAsia="Arial" w:hAnsi="Arial"/>
                <w:sz w:val="14"/>
                <w:szCs w:val="14"/>
                <w:b w:val="1"/>
                <w:bCs w:val="1"/>
                <w:color w:val="auto"/>
              </w:rPr>
              <w:t>Fiscal Year ended</w:t>
            </w:r>
          </w:p>
        </w:tc>
      </w:tr>
      <w:tr>
        <w:trPr>
          <w:trHeight w:val="192"/>
        </w:trPr>
        <w:tc>
          <w:tcPr>
            <w:tcW w:w="9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28.0</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16.1</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3.4</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17"/>
        </w:trPr>
        <w:tc>
          <w:tcPr>
            <w:tcW w:w="95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55.2</w:t>
            </w:r>
          </w:p>
        </w:tc>
      </w:tr>
      <w:tr>
        <w:trPr>
          <w:trHeight w:val="33"/>
        </w:trPr>
        <w:tc>
          <w:tcPr>
            <w:tcW w:w="9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9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Goodwill</w:t>
      </w:r>
    </w:p>
    <w:p>
      <w:pPr>
        <w:spacing w:after="0" w:line="225"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reporting units.</w:t>
      </w:r>
    </w:p>
    <w:p>
      <w:pPr>
        <w:spacing w:after="0" w:line="18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124460</wp:posOffset>
            </wp:positionV>
            <wp:extent cx="100330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circumstances, it is more likely than not that the fair value of the reporting unit is greater than its carrying value, then performing the quantitative impairment test is unnecessary.</w:t>
      </w:r>
    </w:p>
    <w:p>
      <w:pPr>
        <w:spacing w:after="0" w:line="17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quantitative impairment test is necessary when either Autodesk does not use the optional assessment or, as a result of the optional assessment, it is not more likely than not that the fair value of the reporting unit is greater than its carrying value.</w:t>
      </w:r>
    </w:p>
    <w:p>
      <w:pPr>
        <w:spacing w:after="0" w:line="1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As described in the "Accounting Standards Adopted" section of Note 1, Autodesk early adopted ASU 2017-04, which simplifies the subsequent measurement of goodwill to eliminate Step 2 from the goodwill impairment test, removing the need to determine the implied fair value of goodwill and comparing it to the carrying amount of that goodwill to measure the impairment loss, if any. In situations in which an entity's reporting unit is publicly traded, the fair value of the Company may be approximated by its market capitalization, in performing the quantitative impairment test.</w:t>
      </w:r>
    </w:p>
    <w:p>
      <w:pPr>
        <w:spacing w:after="0" w:line="171"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the Company's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For the annual impairment test, Autodesk's market capitalization was substantially in excess of the carrying value of the Company as of January 31, 2018. Accordingly, Autodesk has determined there was no goodwill impairment during the year ended January 31, 2018. In addition, Autodesk did not recognize any goodwill impairment losses in fiscal 2017 or 2016.</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changes in the carrying amount of goodwill during the fiscal years ended January 31,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2018</w:t>
            </w:r>
          </w:p>
        </w:tc>
        <w:tc>
          <w:tcPr>
            <w:tcW w:w="160" w:type="dxa"/>
            <w:vAlign w:val="bottom"/>
          </w:tcPr>
          <w:p>
            <w:pPr>
              <w:spacing w:after="0"/>
              <w:rPr>
                <w:sz w:val="17"/>
                <w:szCs w:val="17"/>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beginning of the year</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impairment losses, beginning of the year</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arising from acquisitions during the year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Effect of foreign currency translation, measurement period adjustments, and other (1)</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1,561.1</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Purchase accounting adjustments reflect revisions made to the Company’s preliminary purchase price allocations during fiscal 2018 and </w:t>
      </w:r>
      <w:r>
        <w:rPr>
          <w:rFonts w:ascii="Arial" w:cs="Arial" w:eastAsia="Arial" w:hAnsi="Arial"/>
          <w:sz w:val="18"/>
          <w:szCs w:val="18"/>
          <w:color w:val="auto"/>
        </w:rPr>
        <w:t>2017</w:t>
      </w:r>
      <w:r>
        <w:rPr>
          <w:rFonts w:ascii="Arial" w:cs="Arial" w:eastAsia="Arial" w:hAnsi="Arial"/>
          <w:sz w:val="16"/>
          <w:szCs w:val="16"/>
          <w:color w:val="auto"/>
        </w:rPr>
        <w: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Impairment of Long-Lived Assets</w:t>
      </w:r>
    </w:p>
    <w:p>
      <w:pPr>
        <w:spacing w:after="0" w:line="225" w:lineRule="exact"/>
        <w:rPr>
          <w:sz w:val="20"/>
          <w:szCs w:val="20"/>
          <w:color w:val="auto"/>
        </w:rPr>
      </w:pPr>
    </w:p>
    <w:p>
      <w:pPr>
        <w:ind w:right="260" w:firstLine="405"/>
        <w:spacing w:after="0" w:line="285" w:lineRule="auto"/>
        <w:rPr>
          <w:sz w:val="20"/>
          <w:szCs w:val="20"/>
          <w:color w:val="auto"/>
        </w:rPr>
      </w:pPr>
      <w:r>
        <w:rPr>
          <w:rFonts w:ascii="Arial" w:cs="Arial" w:eastAsia="Arial" w:hAnsi="Arial"/>
          <w:sz w:val="16"/>
          <w:szCs w:val="16"/>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 the assets are expected to generate. If the long-lived assets are considered to be impaired, the impairment to be recognized is equal to the amount by which the carrying value of the assets exceeds its fair market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value. Autodesk did not recognize any material impairments of long-lived assets during the fiscal years ended January 31, 2018, 2017, and 2016, respectively.</w:t>
      </w:r>
    </w:p>
    <w:p>
      <w:pPr>
        <w:spacing w:after="0" w:line="23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Deferred Tax Assets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on acquired intangibles, and valuation allowances against U.S. and foreign deferred tax assets. Autodesk performed a quarterly assessment of the recoverability of these net deferred tax assets and believe it will generate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00330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Revenue Recognition</w:t>
      </w:r>
    </w:p>
    <w:p>
      <w:pPr>
        <w:spacing w:after="0" w:line="225" w:lineRule="exact"/>
        <w:rPr>
          <w:sz w:val="20"/>
          <w:szCs w:val="20"/>
          <w:color w:val="auto"/>
        </w:rPr>
      </w:pPr>
    </w:p>
    <w:p>
      <w:pPr>
        <w:jc w:val="both"/>
        <w:ind w:right="340" w:firstLine="432"/>
        <w:spacing w:after="0" w:line="277" w:lineRule="auto"/>
        <w:rPr>
          <w:sz w:val="20"/>
          <w:szCs w:val="20"/>
          <w:color w:val="auto"/>
        </w:rPr>
      </w:pPr>
      <w:r>
        <w:rPr>
          <w:rFonts w:ascii="Arial" w:cs="Arial" w:eastAsia="Arial" w:hAnsi="Arial"/>
          <w:sz w:val="18"/>
          <w:szCs w:val="18"/>
          <w:color w:val="auto"/>
        </w:rPr>
        <w:t>Autodesk recognizes revenue when persuasive evidence of an arrangement exists, delivery has occurred or services have been rendered, the price is fixed or determinable, and collection is probable.</w:t>
      </w:r>
    </w:p>
    <w:p>
      <w:pPr>
        <w:spacing w:after="0" w:line="17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For multiple element arrangements containing only software and software-related elements, Autodesk allocates the sales price among each of the deliverables using the residual method, under which a portion of the total arrangement consideration is allocated to undelivered elements based on their vendor-specific objective evidence (“VSOE”) of fair value and the remainder or residual of the total consideration is recognized as revenue for the delivered elements. VSOE is the price charged when an element is sold separately or a price set by management with the relevant authority. If Autodesk does not have VSOE of an undelivered element, revenue recognition is deferred on the entire sales arrangement until all elements for which Autodesk does not have VSOE are delivered. If Autodesk does not have VSOE for undelivered product subscriptions, maintenance or services, the total consideration for the arrangement is recognized ratably over the longest contractual service period in the arrangement.</w:t>
      </w:r>
    </w:p>
    <w:p>
      <w:pPr>
        <w:spacing w:after="0" w:line="178" w:lineRule="exact"/>
        <w:rPr>
          <w:sz w:val="20"/>
          <w:szCs w:val="20"/>
          <w:color w:val="auto"/>
        </w:rPr>
      </w:pPr>
    </w:p>
    <w:p>
      <w:pPr>
        <w:ind w:right="360" w:firstLine="432"/>
        <w:spacing w:after="0" w:line="297" w:lineRule="auto"/>
        <w:rPr>
          <w:sz w:val="20"/>
          <w:szCs w:val="20"/>
          <w:color w:val="auto"/>
        </w:rPr>
      </w:pPr>
      <w:r>
        <w:rPr>
          <w:rFonts w:ascii="Arial" w:cs="Arial" w:eastAsia="Arial" w:hAnsi="Arial"/>
          <w:sz w:val="16"/>
          <w:szCs w:val="16"/>
          <w:color w:val="auto"/>
        </w:rPr>
        <w:t xml:space="preserve">For multiple element arrangements involving non-software elements, including cloud subscription services, our revenue recognition policy is based upon the accounting guidance contained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these arrangements, Autodesk first allocates the total arrangement consideration based on the relative selling prices of the software group of elements as a whole and to the non-software elements. Autodesk then further allocates consideration within the software group to the respective elements within that group using the residual method as described above. Autodesk exercises judgment and uses estimates in connection with the determination of the amount of revenue to be recognized in each accounting period.</w:t>
      </w:r>
    </w:p>
    <w:p>
      <w:pPr>
        <w:spacing w:after="0" w:line="158"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Autodesk allocates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 neither VSOE nor TPE are available, Autodesk performs a quantitative analysis of pricing data points for historical standalone transactions involving such elements for a twelve-month period. As part of this analysis, Autodesk monitors and evaluates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Autodesk offers products and services, and the type of customer (i.e. distributor, value-added reseller, and direct end user, among others). Autodesk analyzes BESP at least annually or on a more frequent basis if a significant change in our business necessitates a more timely analysis, or if significant selling price variances are experienced.</w:t>
      </w:r>
    </w:p>
    <w:p>
      <w:pPr>
        <w:spacing w:after="0" w:line="167"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In situations when Autodesk has multiple contracts with a single counterparty, Autodesk uses the guidance in ASC 985-605 to evaluate both the form and the substance of the arrangements to determine if they should be combined and accounted for as one arrangement or as separate arrangements.</w:t>
      </w:r>
    </w:p>
    <w:p>
      <w:pPr>
        <w:spacing w:after="0" w:line="12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Autodesk’s assessment of the likelihood of collection is also a critical factor in determining the timing of revenue recognition. If Autodesk does not believe that collection is probable, the revenue will be deferred until payment is received.</w:t>
      </w:r>
    </w:p>
    <w:p>
      <w:pPr>
        <w:spacing w:after="0" w:line="170"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Autodesk's maintenance revenue consists of renewal fees for existing maintenance plan agreements that were initially purchased with a perpetual software license. Under the maintenance plan, customers are eligible to receive unspecified upgrades, when and if available, and technical support. Autodesk recognizes maintenance revenue ratably over the term of the maintenance agreement, which is generally between one and three years.</w:t>
      </w:r>
    </w:p>
    <w:p>
      <w:pPr>
        <w:spacing w:after="0" w:line="14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Autodesk's subscription revenue consists of term-based product subscriptions, cloud service offerings, and flexible enterprise business arrangements. With Autodesk's subscription plan, customers can use Autodesk software anytime, anywhere, and get access to the latest updates to previous versions. Revenue from these arrangements is recognized ratably over the contract term. Revenue for Autodesk's cloud service offerings is recognized ratably over the contract term, commencing with the date Autodesk's service is made available to customers and when all other revenue recognition criteria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283210</wp:posOffset>
            </wp:positionV>
            <wp:extent cx="100330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License and other revenue consists of two components: license revenue and other revenue. License revenue includes software license revenue from the sale of perpetual licenses. Other revenue includes revenue such as standalone consulting and training, and is recognized over time as the services are performed.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Taxes Collected from Customers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Autodesk nets taxes collected from customers against those remitted to government authorities in the consolidated financial statements. Accordingly, taxes collected from customers are not reported as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Shipping and Handling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Stock-based Compensation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for fiscal 2018, 2017, and 2016, respectively,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maintenance and subscription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Cost of license and other revenue</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85.2</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70.4</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r>
      <w:tr>
        <w:trPr>
          <w:trHeight w:val="200"/>
        </w:trPr>
        <w:tc>
          <w:tcPr>
            <w:tcW w:w="6720" w:type="dxa"/>
            <w:vAlign w:val="bottom"/>
          </w:tcPr>
          <w:p>
            <w:pPr>
              <w:ind w:left="20"/>
              <w:spacing w:after="0"/>
              <w:rPr>
                <w:sz w:val="20"/>
                <w:szCs w:val="20"/>
                <w:color w:val="auto"/>
              </w:rPr>
            </w:pPr>
            <w:r>
              <w:rPr>
                <w:rFonts w:ascii="Arial" w:cs="Arial" w:eastAsia="Arial" w:hAnsi="Arial"/>
                <w:sz w:val="16"/>
                <w:szCs w:val="16"/>
                <w:color w:val="auto"/>
                <w:w w:val="93"/>
              </w:rPr>
              <w:t>Stock-based compensation expense related to stock awards and Employee Qualified Stock Purchase</w:t>
            </w:r>
          </w:p>
        </w:tc>
        <w:tc>
          <w:tcPr>
            <w:tcW w:w="9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6720" w:type="dxa"/>
            <w:vAlign w:val="bottom"/>
          </w:tcPr>
          <w:p>
            <w:pPr>
              <w:ind w:left="200"/>
              <w:spacing w:after="0"/>
              <w:rPr>
                <w:sz w:val="20"/>
                <w:szCs w:val="20"/>
                <w:color w:val="auto"/>
              </w:rPr>
            </w:pPr>
            <w:r>
              <w:rPr>
                <w:rFonts w:ascii="Arial" w:cs="Arial" w:eastAsia="Arial" w:hAnsi="Arial"/>
                <w:sz w:val="16"/>
                <w:szCs w:val="16"/>
                <w:color w:val="auto"/>
              </w:rPr>
              <w:t>Plan ("ESPP") purchases</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261.4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197.2</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ESPP purchases, net</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258.8</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195.6</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Black-Scholes Merton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2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Fiscal Year Ended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2"/>
              </w:rPr>
              <w:t>Fiscal Year Ended</w:t>
            </w: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20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January 31, 2018</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ind w:right="501"/>
              <w:spacing w:after="0"/>
              <w:rPr>
                <w:sz w:val="20"/>
                <w:szCs w:val="20"/>
                <w:color w:val="auto"/>
              </w:rPr>
            </w:pPr>
            <w:r>
              <w:rPr>
                <w:rFonts w:ascii="Arial" w:cs="Arial" w:eastAsia="Arial" w:hAnsi="Arial"/>
                <w:sz w:val="14"/>
                <w:szCs w:val="14"/>
                <w:b w:val="1"/>
                <w:bCs w:val="1"/>
                <w:color w:val="auto"/>
                <w:w w:val="94"/>
              </w:rPr>
              <w:t>January 31, 2017</w:t>
            </w:r>
          </w:p>
        </w:tc>
        <w:tc>
          <w:tcPr>
            <w:tcW w:w="120" w:type="dxa"/>
            <w:vAlign w:val="bottom"/>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2016</w:t>
            </w:r>
          </w:p>
        </w:tc>
        <w:tc>
          <w:tcPr>
            <w:tcW w:w="0" w:type="dxa"/>
            <w:vAlign w:val="bottom"/>
          </w:tcPr>
          <w:p>
            <w:pPr>
              <w:spacing w:after="0"/>
              <w:rPr>
                <w:sz w:val="1"/>
                <w:szCs w:val="1"/>
                <w:color w:val="auto"/>
              </w:rPr>
            </w:pPr>
          </w:p>
        </w:tc>
      </w:tr>
      <w:tr>
        <w:trPr>
          <w:trHeight w:val="152"/>
        </w:trPr>
        <w:tc>
          <w:tcPr>
            <w:tcW w:w="15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ESPP</w:t>
            </w:r>
          </w:p>
        </w:tc>
        <w:tc>
          <w:tcPr>
            <w:tcW w:w="15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Unit</w:t>
            </w:r>
          </w:p>
        </w:tc>
        <w:tc>
          <w:tcPr>
            <w:tcW w:w="12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Unit</w:t>
            </w: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Unit</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80" w:type="dxa"/>
            <w:vAlign w:val="bottom"/>
            <w:tcBorders>
              <w:top w:val="single" w:sz="8" w:color="auto"/>
            </w:tcBorders>
          </w:tcPr>
          <w:p>
            <w:pPr>
              <w:jc w:val="center"/>
              <w:ind w:left="43"/>
              <w:spacing w:after="0"/>
              <w:rPr>
                <w:sz w:val="20"/>
                <w:szCs w:val="20"/>
                <w:color w:val="auto"/>
              </w:rPr>
            </w:pPr>
            <w:r>
              <w:rPr>
                <w:rFonts w:ascii="Arial" w:cs="Arial" w:eastAsia="Arial" w:hAnsi="Arial"/>
                <w:sz w:val="16"/>
                <w:szCs w:val="16"/>
                <w:color w:val="auto"/>
                <w:w w:val="93"/>
              </w:rPr>
              <w:t>32%</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- 34%</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- 39%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30 - 40%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28 -29%</w:t>
            </w: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7"/>
              </w:rPr>
              <w:t>N/A</w:t>
            </w: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620" w:type="dxa"/>
            <w:vAlign w:val="bottom"/>
          </w:tcPr>
          <w:p>
            <w:pPr>
              <w:ind w:left="20"/>
              <w:spacing w:after="0"/>
              <w:rPr>
                <w:sz w:val="20"/>
                <w:szCs w:val="20"/>
                <w:color w:val="auto"/>
              </w:rPr>
            </w:pPr>
            <w:r>
              <w:rPr>
                <w:rFonts w:ascii="Arial" w:cs="Arial" w:eastAsia="Arial" w:hAnsi="Arial"/>
                <w:sz w:val="16"/>
                <w:szCs w:val="16"/>
                <w:color w:val="auto"/>
              </w:rPr>
              <w:t>- 2.0</w:t>
            </w:r>
          </w:p>
        </w:tc>
        <w:tc>
          <w:tcPr>
            <w:tcW w:w="120" w:type="dxa"/>
            <w:vAlign w:val="bottom"/>
          </w:tcPr>
          <w:p>
            <w:pPr>
              <w:spacing w:after="0"/>
              <w:rPr>
                <w:sz w:val="23"/>
                <w:szCs w:val="23"/>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color w:val="auto"/>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70"/>
        </w:trPr>
        <w:tc>
          <w:tcPr>
            <w:tcW w:w="1380" w:type="dxa"/>
            <w:vAlign w:val="bottom"/>
          </w:tcPr>
          <w:p>
            <w:pPr>
              <w:jc w:val="center"/>
              <w:ind w:left="43"/>
              <w:spacing w:after="0"/>
              <w:rPr>
                <w:sz w:val="20"/>
                <w:szCs w:val="20"/>
                <w:color w:val="auto"/>
              </w:rPr>
            </w:pPr>
            <w:r>
              <w:rPr>
                <w:rFonts w:ascii="Arial" w:cs="Arial" w:eastAsia="Arial" w:hAnsi="Arial"/>
                <w:sz w:val="16"/>
                <w:szCs w:val="16"/>
                <w:color w:val="auto"/>
                <w:w w:val="94"/>
              </w:rPr>
              <w:t>1.0% - 1.2%</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w:t>
            </w:r>
          </w:p>
        </w:tc>
        <w:tc>
          <w:tcPr>
            <w:tcW w:w="620" w:type="dxa"/>
            <w:vAlign w:val="bottom"/>
          </w:tcPr>
          <w:p>
            <w:pPr>
              <w:ind w:left="20"/>
              <w:spacing w:after="0"/>
              <w:rPr>
                <w:sz w:val="20"/>
                <w:szCs w:val="20"/>
                <w:color w:val="auto"/>
              </w:rPr>
            </w:pPr>
            <w:r>
              <w:rPr>
                <w:rFonts w:ascii="Arial" w:cs="Arial" w:eastAsia="Arial" w:hAnsi="Arial"/>
                <w:sz w:val="16"/>
                <w:szCs w:val="16"/>
                <w:color w:val="auto"/>
              </w:rPr>
              <w:t>- 1.4%</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880" w:type="dxa"/>
            <w:vAlign w:val="bottom"/>
          </w:tcPr>
          <w:p>
            <w:pPr>
              <w:ind w:left="60"/>
              <w:spacing w:after="0"/>
              <w:rPr>
                <w:sz w:val="20"/>
                <w:szCs w:val="20"/>
                <w:color w:val="auto"/>
              </w:rPr>
            </w:pPr>
            <w:r>
              <w:rPr>
                <w:rFonts w:ascii="Arial" w:cs="Arial" w:eastAsia="Arial" w:hAnsi="Arial"/>
                <w:sz w:val="16"/>
                <w:szCs w:val="16"/>
                <w:color w:val="auto"/>
              </w:rPr>
              <w:t>- 0.7%</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0.5 - 0.9%</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0.2%</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0.1 - 0.7%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-673100</wp:posOffset>
            </wp:positionV>
            <wp:extent cx="7229475"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-321310</wp:posOffset>
            </wp:positionV>
            <wp:extent cx="722947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8320"/>
          </w:cols>
          <w:pgMar w:left="240" w:top="125" w:right="239" w:bottom="1440" w:gutter="0" w:footer="0" w:header="0"/>
          <w:type w:val="continuous"/>
        </w:sectPr>
      </w:pPr>
    </w:p>
    <w:p>
      <w:pPr>
        <w:spacing w:after="0" w:line="25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 Select Index or S&amp;P North American Technology Software Index with a market capitalization over $2.00 billion, depending on the award type.</w:t>
      </w:r>
    </w:p>
    <w:p>
      <w:pPr>
        <w:spacing w:after="0" w:line="188"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Autodesk estimates the expected life of stock-based awards using both exercise behavior and post-vesting termination behavior as well as consideration of outstanding options. The range of expected lives of ESPP awards are based upon the four, six-month exercise periods within a 24-month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00330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2018 Form 10-K 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2018, 2017, or 2016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 and the Monte Carlo simulation model.</w:t>
      </w:r>
    </w:p>
    <w:p>
      <w:pPr>
        <w:spacing w:after="0" w:line="211"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stock-based awards as those forfeitures occur.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Advertising Expenses</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$31.1 million in fiscal 2018, $33.6 million in fiscal 2017, and $29.8 million in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Net (Loss) Income Per Share</w:t>
      </w:r>
    </w:p>
    <w:p>
      <w:pPr>
        <w:spacing w:after="0" w:line="225"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Basic net (loss) income per share is computed based on the weighted average number of shares of common stock outstanding for the period, excluding stock options and restricted stock. Diluted net (loss)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Defined Benefit Pension Plans</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188"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loss. Certain events, such as changes in the employee base, plan amendments, and changes in actuarial assumptions may result in a change in the defined benefit obligation and the corresponding change to other comprehensive income.</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Gains and losses and prior service costs not recognized as a component of net periodic benefit cost in the Consolidated Statements of Operations as they arise are recognized as a component of other comprehensive (loss) income in the Consolidated Statements of Comprehensive (Loss) Income.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Accounting Standards in Fiscal 2018</w:t>
      </w:r>
    </w:p>
    <w:p>
      <w:pPr>
        <w:spacing w:after="0" w:line="225"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With the exception of those discussed below, there have been no recent changes in accounting pronouncements issued by FASB or adopted by the Company during the fiscal year ended January 31, 2018, that are of significance, or potential significance,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256540</wp:posOffset>
            </wp:positionV>
            <wp:extent cx="100330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Accounting Standards Adopted</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Autodesk adopted FASB's Accounting Standards Update No. 2017-04 ("ASU 2017-04"), "Intangibles-Goodwill and Other (Topic 350): Simplifying the Test for Goodwill Impairment" during the three months ended April 30, 2017. The ASU simplifies the accounting for goodwill impairment by removing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guidance is required to be applied on a prospective basis and as such, Autodesk used the simplified test in its annual fourth fiscal quarter testing. ASU 2017-04 did not have a material impact on Autodesk's consolidated financial statements.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Recently Issued Accounting Standards But Not Yet Adopted</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February 2018, the FASB issued Accounting Standards Update No. 2018-02 (“ASU 2018-02”), “Income Statement-Reporting Comprehensive Income (Topic 220): Reclassification of Certain Tax Effects from Accumulated Other Comprehensive Income.” The amendment allows entities to reclassify stranded tax effects resulting from the Tax Cuts and Jobs Act from accumulated other comprehensive income to retained earnings. The amendment only impacts the income tax effect of the passage of the Tax Cuts and Jobs Act but does not affect the underlying guidance that requires that the effect of a change in tax laws or rates be included in income from continuing operations. The amendment is effective for Autodesk fiscal year beginning February 1, 2019, with early adoption permitted.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300" w:firstLine="405"/>
        <w:spacing w:after="0" w:line="293" w:lineRule="auto"/>
        <w:rPr>
          <w:sz w:val="20"/>
          <w:szCs w:val="20"/>
          <w:color w:val="auto"/>
        </w:rPr>
      </w:pPr>
      <w:r>
        <w:rPr>
          <w:rFonts w:ascii="Arial" w:cs="Arial" w:eastAsia="Arial" w:hAnsi="Arial"/>
          <w:sz w:val="16"/>
          <w:szCs w:val="16"/>
          <w:color w:val="auto"/>
        </w:rPr>
        <w:t>In August 2017, FASB issued Accounting Standards Update No. 2017-12 ("ASU 2017-12"), "Derivatives and Hedging (Topic 815): Targeted Improvements to Accounting for Hedging Activities." The targeted amendments help simplify certain aspects of hedge accounting and result in a more accurate portrayal of the economics of an entity’s risk management activities in its financial statements. For cash flow and net investment hedges as of the adoption date, the guidance requires a modified retrospective approach. The amended presentation and disclosure guidance is required only prospectively. The amendments are effective for Autodesk's fiscal year beginning February 1, 2019, with early adoption permitted. Autodesk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200" w:firstLine="405"/>
        <w:spacing w:after="0" w:line="271" w:lineRule="auto"/>
        <w:rPr>
          <w:sz w:val="20"/>
          <w:szCs w:val="20"/>
          <w:color w:val="auto"/>
        </w:rPr>
      </w:pPr>
      <w:r>
        <w:rPr>
          <w:rFonts w:ascii="Arial" w:cs="Arial" w:eastAsia="Arial" w:hAnsi="Arial"/>
          <w:sz w:val="17"/>
          <w:szCs w:val="17"/>
          <w:color w:val="auto"/>
        </w:rPr>
        <w:t>In February 2017, FASB issued Accounting Standards Update No. 2017-05 ("ASU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 substance financial assets, and impacts the accounting for partial sales of nonfinancial assets by requiring full gain recognition upon the sale. The amendments are effective for Autodesk's fiscal year beginning February 1, 2018. The guidance may be applied retrospectively for all periods presented or retrospectively with a cumulative-effect adjustment at the date of adoption. The effect of the implementation will depend upon the nature of the Company's future acquisitions or dispositions, if any. The adoption of the guidance would not have had a material impact on acquisitions prior to the current period and on the Company's consolidated statements of financial condition and results of operations.</w:t>
      </w:r>
    </w:p>
    <w:p>
      <w:pPr>
        <w:spacing w:after="0" w:line="1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January 2017, FASB issued Accounting Standards Update No. 2017-01 ("ASU 2017-01"), "Business Combinations: Clarifying the Definition of a Business" which provides a more robust framework to use in determining when a set of assets and activities is considered a business. The amendments will be effective for Autodesk's fiscal year beginning February 1, 2018. The new guidance is required to be applied on a prospective basis. The effect of the implementation will depend upon the nature of the Company's future acquisitions, if any.</w:t>
      </w:r>
    </w:p>
    <w:p>
      <w:pPr>
        <w:spacing w:after="0" w:line="18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October 2016, FASB issued Accounting Standards Update No. 2016-16 ("ASU 2016-16"), “Income Taxes: Intra-Entity Transfers of Assets Other than Inventory” which requires that entities recognize the income tax consequences of an intra-entity transfer of an asset, other than inventory, when the transfer occurs. The amendments will be effective for Autodesk's fiscal year beginning February 1, 2018. The new guidance is required to be applied on a modified retrospective basis through a cumulative-effect adjustment directly to retained earnings as of the beginning of the period of adoption. Autodesk does not believe the ASU will have a material impact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00330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76</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2016, FASB issued Accounting Standards Update No. 2016-13 ("ASU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2016,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Autodesk plans to adopt ASU 2016-02 in Autodesk’s fiscal year beginning February 1, 2019.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ind w:right="180" w:firstLine="405"/>
        <w:spacing w:after="0" w:line="290" w:lineRule="auto"/>
        <w:rPr>
          <w:sz w:val="20"/>
          <w:szCs w:val="20"/>
          <w:color w:val="auto"/>
        </w:rPr>
      </w:pPr>
      <w:r>
        <w:rPr>
          <w:rFonts w:ascii="Arial" w:cs="Arial" w:eastAsia="Arial" w:hAnsi="Arial"/>
          <w:sz w:val="16"/>
          <w:szCs w:val="16"/>
          <w:color w:val="auto"/>
        </w:rPr>
        <w:t>In January 2016,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unless the measurement alternative method has been elected,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will be effective for Autodesk's fiscal year beginning February 1, 2018.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does not believe ASU 2016-01 will have a material impact on its consolidated financial statements.</w:t>
      </w:r>
    </w:p>
    <w:p>
      <w:pPr>
        <w:spacing w:after="0" w:line="16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May 2014, FASB issued Accounting Standards Update No. 2014-09, “Revenue from Contracts with Customers (ASC Topic 606),” which supersedes the revenue recognition requirements in "Revenue Recognition (ASC Topic 605)." ASU 2014-09 provides principles for recognizing revenue to depict the transfer of promised goods or services to customers in an amount that reflects the consideration to which the entity expects to be entitled in exchange for those goods or services. In August 2015, FASB issued Accounting Standards Update No. 2015-14 to defer the effective date by one year with early adoption permitted as of the original effective date. In addition, FASB issued Accounting Standards Update No. 2016-08, Accounting Standards Update No. 2016-10, Accounting Standards Update No. 2016-12, and Accounting Standard Update No. 2016-20 in March 2016, April 2016, May 2016, and December 2016, respectively, to help provide interpretive clarifications on the new guidance in ASC Topic 606.</w:t>
      </w:r>
    </w:p>
    <w:p>
      <w:pPr>
        <w:spacing w:after="0" w:line="17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Autodesk will adopt ASU 2014-09 as of February 1, 2018, using the modified retrospective transition method. The Company's implementation efforts are substantially complete.</w:t>
      </w:r>
    </w:p>
    <w:p>
      <w:pPr>
        <w:spacing w:after="0" w:line="170"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Company has concluded that the desktop software and related cloud services that are included in the majority of its product subscription offerings and enterprise arrangements are not distinct in the context of the contract as they are considered highly interrelated and represent a single combined performance obligation that should be recognized over time. Therefore, the new standard will not result in a material change in the timing and amount of the recognition of revenue for the majority of the Company's product subscription offerings and enterprise arrangements.</w:t>
      </w:r>
    </w:p>
    <w:p>
      <w:pPr>
        <w:spacing w:after="0" w:line="17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One impact of the new standard relates to product subscriptions that do not incorporate substantial cloud services. A limited number of Autodesk's product subscriptions do not incorporate substantial cloud services, and under ASU 2014-09, will be recognized as distinct license and service performance obligations. Currently, under ASC Topic 605, licenses sold with undelivered elements without VSOE are recognized ratably over the term of the undelivered elements. Under ASC Topic 606, Autodesk is no longer required to establish VSOE to recognize software license revenue separately from the other elements and will recognize software licenses once the customer obtains control of the license, which is generally upon delivery of the license. Therefore, revenue allocated to the licenses in these offerings under Topic 606 will be recognized at a point in time instead of over the contract term. While the Company is still evaluating, Autodesk believes the impact of the change to the timing of revenue recognition is expected to have a balance sheet pre-tax impact at the date of adoption of approximately $80 - $100 million reduction to the deferred revenue balance.</w:t>
      </w:r>
    </w:p>
    <w:p>
      <w:pPr>
        <w:spacing w:after="0" w:line="17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Another significant provision under ASU 2014-09 includes the capitalization and amortization of costs associated with obtaining a contract, most significantly sales commissions. The amortization period for the Company's deferred costs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recognized over the estimated period of benefit. The Company expects there to be a balance sheet pre-tax impact at the date of adoption recognizing the deferred sales commission capitalization costs of approximately $102 - $112 million.</w:t>
      </w:r>
    </w:p>
    <w:p>
      <w:pPr>
        <w:spacing w:after="0" w:line="166"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January 31, 2018 and 2017.</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2018</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Agency bonds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Custody cash deposit</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Municipal bonds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Sovereign debt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Short-term 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Asset backed securities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Corporate debt securities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 (2)</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U.S. government securities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Short-term trading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Long-term 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Agency bonds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Asset 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Corporate debt securities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Sovereign debt</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6"/>
                <w:szCs w:val="16"/>
                <w:color w:val="auto"/>
              </w:rPr>
              <w:t>Convertible debt securities (3)</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contract assets (4)</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6"/>
                <w:szCs w:val="16"/>
                <w:color w:val="auto"/>
              </w:rPr>
              <w:t>Derivative contract liabilities (5)</w:t>
            </w:r>
          </w:p>
        </w:tc>
        <w:tc>
          <w:tcPr>
            <w:tcW w:w="2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agency bonds, certificates of deposit, sovereign debt, and municipal bonds.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100330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78</w:t>
      </w:r>
    </w:p>
    <w:p>
      <w:pPr>
        <w:sectPr>
          <w:pgSz w:w="11900" w:h="16838" w:orient="portrait"/>
          <w:cols w:equalWidth="0" w:num="1">
            <w:col w:w="11300"/>
          </w:cols>
          <w:pgMar w:left="240" w:top="125"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January 31, 2017</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Agency bonds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Certificates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Commercial paper</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Custody cash deposit</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Money market funds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Sovereign debt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U.S. government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Short-term available-for-sale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Agency bonds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Asset backed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Certificates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Commercial paper</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Sovereign debt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U.S. government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Short-term trading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Mutual funds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Long-term 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Agency bonds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Asset 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U.S. government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Derivative contract liabilities (4)</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134620</wp:posOffset>
            </wp:positionV>
            <wp:extent cx="100330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2018 Form 10-K 79</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year ended January 31, 2018.</w:t>
      </w:r>
    </w:p>
    <w:p>
      <w:pPr>
        <w:spacing w:after="0" w:line="16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 ended January 31, 2018 was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Balances, January 31, 2017</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Purchases</w:t>
      </w:r>
    </w:p>
    <w:p>
      <w:pPr>
        <w:spacing w:after="0" w:line="86" w:lineRule="exact"/>
        <w:rPr>
          <w:sz w:val="20"/>
          <w:szCs w:val="20"/>
          <w:color w:val="auto"/>
        </w:rPr>
      </w:pPr>
    </w:p>
    <w:p>
      <w:pPr>
        <w:jc w:val="right"/>
        <w:ind w:right="4360"/>
        <w:spacing w:after="0"/>
        <w:rPr>
          <w:sz w:val="20"/>
          <w:szCs w:val="20"/>
          <w:color w:val="auto"/>
        </w:rPr>
      </w:pPr>
      <w:r>
        <w:rPr>
          <w:rFonts w:ascii="Arial" w:cs="Arial" w:eastAsia="Arial" w:hAnsi="Arial"/>
          <w:sz w:val="16"/>
          <w:szCs w:val="16"/>
          <w:color w:val="auto"/>
        </w:rPr>
        <w:t>Gains (losses) included in earnings (1)</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Gains included in OCI</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Balances, January 31, 2018</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13335</wp:posOffset>
            </wp:positionV>
            <wp:extent cx="22294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23495</wp:posOffset>
            </wp:positionV>
            <wp:extent cx="2229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Convertible Debt</w:t>
            </w:r>
          </w:p>
        </w:tc>
        <w:tc>
          <w:tcPr>
            <w:tcW w:w="180" w:type="dxa"/>
            <w:vAlign w:val="bottom"/>
          </w:tcPr>
          <w:p>
            <w:pPr>
              <w:spacing w:after="0"/>
              <w:rPr>
                <w:sz w:val="14"/>
                <w:szCs w:val="14"/>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-882650</wp:posOffset>
            </wp:positionV>
            <wp:extent cx="721233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-539750</wp:posOffset>
            </wp:positionV>
            <wp:extent cx="721233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-196850</wp:posOffset>
            </wp:positionV>
            <wp:extent cx="721233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420"/>
          </w:cols>
          <w:pgMar w:left="240" w:top="125"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“Interest and other expense, net” in the accompanying Consolidated Statement of Operations.</w:t>
      </w:r>
    </w:p>
    <w:p>
      <w:pPr>
        <w:spacing w:after="0" w:line="207" w:lineRule="exact"/>
        <w:rPr>
          <w:sz w:val="20"/>
          <w:szCs w:val="20"/>
          <w:color w:val="auto"/>
        </w:rPr>
      </w:pPr>
    </w:p>
    <w:p>
      <w:pPr>
        <w:ind w:left="60" w:right="16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8"/>
              </w:rPr>
              <w:t>January 31, 2018</w:t>
            </w: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within 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193.8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186.9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186.0</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of January 31, 2018, and 2017, Autodesk had no material securities, individually and in the aggregate, in a continuous unrealized loss position for greater than twelve months.</w:t>
      </w:r>
    </w:p>
    <w:p>
      <w:pPr>
        <w:spacing w:after="0" w:line="1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of January 31, 2018, and 2017, Autodesk had $112.3 million and $117.2 million, respectively, in direct investments in privately held companies accounted for under the cost method, which are periodically assessed for other-than-temporary impairment. , Autodesk does not intend to sell these cost method investments and it is not more likely than not that Autodesk will be required to sell the investment before recovery of the amortized cost bases, which may be maturity. Therefore, Autodesk does not consider those investments to be other-than-temporarily impaired at January 31, 2018.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0330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80</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80" w:firstLine="405"/>
        <w:spacing w:after="0" w:line="312" w:lineRule="auto"/>
        <w:rPr>
          <w:sz w:val="20"/>
          <w:szCs w:val="20"/>
          <w:color w:val="auto"/>
        </w:rPr>
      </w:pPr>
      <w:r>
        <w:rPr>
          <w:rFonts w:ascii="Arial" w:cs="Arial" w:eastAsia="Arial" w:hAnsi="Arial"/>
          <w:sz w:val="16"/>
          <w:szCs w:val="16"/>
          <w:color w:val="auto"/>
        </w:rPr>
        <w:t>If Autodesk determines that an other-than-temporary impairment has occurred, Autodesk writes down the investment to its fair value. During fiscal 2018 and 2017, Autodesk recorded $15.5 million and $1.3 million, respectively, in other-than-temporary impairment on its privately held equity and debt investments. The impairment expense was recorded in “Interest and other expense, net” on the Company's Consolidated Statements of Operations.</w:t>
      </w:r>
    </w:p>
    <w:p>
      <w:pPr>
        <w:spacing w:after="0" w:line="147" w:lineRule="exact"/>
        <w:rPr>
          <w:sz w:val="20"/>
          <w:szCs w:val="20"/>
          <w:color w:val="auto"/>
        </w:rPr>
      </w:pPr>
    </w:p>
    <w:p>
      <w:pPr>
        <w:ind w:left="60" w:right="300" w:firstLine="405"/>
        <w:spacing w:after="0" w:line="264" w:lineRule="auto"/>
        <w:rPr>
          <w:sz w:val="20"/>
          <w:szCs w:val="20"/>
          <w:color w:val="auto"/>
        </w:rPr>
      </w:pPr>
      <w:r>
        <w:rPr>
          <w:rFonts w:ascii="Arial" w:cs="Arial" w:eastAsia="Arial" w:hAnsi="Arial"/>
          <w:sz w:val="18"/>
          <w:szCs w:val="18"/>
          <w:color w:val="auto"/>
        </w:rPr>
        <w:t>The sales or redemptions of “available-for-sale securities” in fiscal 2018, 2017, and 2016 resulted in a loss of $0.3 million, gain of $1.5 million, and gain of $0.1 million, respectively. The loss and gains were recorded in "Interest and other expense, net" on the Company's Consolidated Statements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the sale and maturity of marketable securities for fiscal 2018 and fiscal 2017 were $1.1 billion and $2.3 billion, respectively.</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Derivative Financial Instruments</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Foreign currency contracts designated as cash flow hedges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Consolidated Financial Statements at that time.</w:t>
      </w:r>
    </w:p>
    <w:p>
      <w:pPr>
        <w:spacing w:after="0" w:line="179"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$619.9 million at January 31, 2018 and $369.4 million at January 31, 2017. Outstanding contracts are recognized as either assets or liabilities on the balance sheet at fair value. The majority of the net loss of $16.6 million remaining in “Accumulated other comprehensive loss” as of January 31, 2018, is expected to be recognized into earnings within the next twelve months.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Derivatives not designated as hedging instruments</w:t>
      </w:r>
    </w:p>
    <w:p>
      <w:pPr>
        <w:spacing w:after="0" w:line="225"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month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 The net notional amounts of these foreign currency contracts are presented net settled and were $329.6 million at January 31, 2018, and $270.6 million at 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276860</wp:posOffset>
            </wp:positionV>
            <wp:extent cx="100330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Fair Value of Derivative Instruments: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fair value of derivative instruments in Autodesk’s Consolidated Balance Sheets were as follows as of January 31, 2018, and January 31,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Assets</w:t>
      </w:r>
    </w:p>
    <w:p>
      <w:pPr>
        <w:spacing w:after="0" w:line="302" w:lineRule="exact"/>
        <w:rPr>
          <w:sz w:val="20"/>
          <w:szCs w:val="20"/>
          <w:color w:val="auto"/>
        </w:rPr>
      </w:pPr>
    </w:p>
    <w:p>
      <w:pPr>
        <w:ind w:left="400" w:right="820" w:hanging="26"/>
        <w:spacing w:after="0" w:line="450" w:lineRule="auto"/>
        <w:rPr>
          <w:sz w:val="20"/>
          <w:szCs w:val="20"/>
          <w:color w:val="auto"/>
        </w:rPr>
      </w:pPr>
      <w:r>
        <w:rPr>
          <w:rFonts w:ascii="Arial" w:cs="Arial" w:eastAsia="Arial" w:hAnsi="Arial"/>
          <w:sz w:val="14"/>
          <w:szCs w:val="14"/>
          <w:color w:val="auto"/>
        </w:rPr>
        <w:t>Foreign currency contracts designated as cash flow hedges Derivatives not designated as hedging instruments</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Liabilities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Foreign currency contracts designated as cash flow hedges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Derivatives not designated as hedging instruments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liabilities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6"/>
              </w:rPr>
              <w:t>January 31, 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489"/>
        </w:trPr>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253"/>
        </w:trPr>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13.3</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88"/>
        </w:trPr>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18.7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70"/>
        </w:trPr>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26.6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10.5</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-1671955</wp:posOffset>
            </wp:positionV>
            <wp:extent cx="722947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-1200150</wp:posOffset>
            </wp:positionV>
            <wp:extent cx="7229475"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-728345</wp:posOffset>
            </wp:positionV>
            <wp:extent cx="722947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-368300</wp:posOffset>
            </wp:positionV>
            <wp:extent cx="722947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1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2018, 2017, and 2016, respectively (amounts presented include any income tax effects):</w:t>
      </w:r>
    </w:p>
    <w:p>
      <w:pPr>
        <w:spacing w:after="0" w:line="10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of (loss) gain recognized in accumulated other comprehensive loss on derivatives (effective portion)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9"/>
              </w:rPr>
              <w:t>Amount and location of gain (loss) reclassified from accumulated other comprehensive loss into (loss)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(effective portion)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loss recognized in (loss) income on derivatives (ineffective portion and amount excluded from</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2018, 2017, and 2016, respectively (amounts presented include any income tax effects):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465"/>
              <w:spacing w:after="0"/>
              <w:rPr>
                <w:sz w:val="20"/>
                <w:szCs w:val="20"/>
                <w:color w:val="auto"/>
              </w:rPr>
            </w:pPr>
            <w:r>
              <w:rPr>
                <w:rFonts w:ascii="Arial" w:cs="Arial" w:eastAsia="Arial" w:hAnsi="Arial"/>
                <w:sz w:val="14"/>
                <w:szCs w:val="14"/>
                <w:b w:val="1"/>
                <w:bCs w:val="1"/>
                <w:color w:val="auto"/>
                <w:w w:val="94"/>
              </w:rPr>
              <w:t>Fiscal Year Ended January 31,</w:t>
            </w:r>
          </w:p>
        </w:tc>
        <w:tc>
          <w:tcPr>
            <w:tcW w:w="7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loss recognized in loss (income) on derivatives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100330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 Plans</w:t>
      </w:r>
    </w:p>
    <w:p>
      <w:pPr>
        <w:spacing w:after="0" w:line="225"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As of January 31, 2018, Autodesk maintained two active stock plans for the purpose of granting equity awards to employees and to non-employee members of Autodesk’s Board of Directors: the 2012 Employee Stock Plan (as amended, the “2012 Employee Plan”), which is available only to employees, and the Autodesk 2012 Outside Directors’ Stock Plan (“2012 Directors' Plan”), which is available only to non-employee directors.</w:t>
      </w:r>
    </w:p>
    <w:p>
      <w:pPr>
        <w:spacing w:after="0" w:line="166"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Since the 2012 Stock Plan was adopted by stockholders in January 2012, Autodesk has received stockholder approval to increase the number of shares subject to the plan by 36.1 million shares. The 2012 Employee Plan replaced the 2008 Employee Stock Plan, as amended ("2008 Plan"), and no further equity awards may be granted under the 2008 Plan. The 2012 Employee Plan reserves up to 57.3 million shares which includes 51.3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2018, 41.1 million shares subject to options or restricted stock awards have been granted under the 2012 Employee Plan. Options and restricted stock that were granted under the 2012 plan vest over periods ranging from immediately upon grant to over a three year period and options expire 10 years from the date of grant. The 2012 Employee Plan will expire on June 30, 2022. At January 31, 2018, 21.3 million shares were available for future issuance under the 2012 Employee Plan.</w:t>
      </w:r>
    </w:p>
    <w:p>
      <w:pPr>
        <w:spacing w:after="0" w:line="16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2018, 0.9 million shares subject to restricted stock unit awards have been granted under the 2012 Directors' Plan. Restricted stock units that were granted under the 2012 Outside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January 31, 2018, 0.9 million shares were available for future issuance under the 2012 Director's Plan.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2018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 contractual</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Intrinsic Value (1)</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2017</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vested, exercisable and outstanding at January 31, 2018</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Shares available for grant at January 31, 2018</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80" w:hanging="412"/>
        <w:spacing w:after="0" w:line="263" w:lineRule="auto"/>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$115.62 per share as of January 31, 2018, which would have been received by the option holders had all option holders exercised their options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275590</wp:posOffset>
            </wp:positionV>
            <wp:extent cx="100330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January 31, 2018, compensation cost related to stock options has been fully recognized.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during the fiscal years ended January 31, 2018, 2017, and 2016:</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1"/>
              </w:rPr>
              <w:t>Fiscal year ended January 31,</w:t>
            </w: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intrinsic value of options exercised (1)</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32.6</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vested and exercisable, and outstanding at January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jc w:val="right"/>
              <w:ind w:right="122"/>
              <w:spacing w:after="0"/>
              <w:rPr>
                <w:sz w:val="20"/>
                <w:szCs w:val="20"/>
                <w:color w:val="auto"/>
              </w:rPr>
            </w:pPr>
            <w:r>
              <w:rPr>
                <w:rFonts w:ascii="Arial" w:cs="Arial" w:eastAsia="Arial" w:hAnsi="Arial"/>
                <w:sz w:val="14"/>
                <w:szCs w:val="14"/>
                <w:b w:val="1"/>
                <w:bCs w:val="1"/>
                <w:color w:val="auto"/>
              </w:rPr>
              <w:t>Number of Shares (in</w:t>
            </w: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 average exercise</w:t>
            </w: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price per share</w:t>
            </w:r>
          </w:p>
        </w:tc>
      </w:tr>
      <w:tr>
        <w:trPr>
          <w:trHeight w:val="210"/>
        </w:trPr>
        <w:tc>
          <w:tcPr>
            <w:tcW w:w="7900" w:type="dxa"/>
            <w:vAlign w:val="bottom"/>
            <w:shd w:val="clear" w:color="auto" w:fill="CCEEFF"/>
          </w:tcPr>
          <w:p>
            <w:pPr>
              <w:jc w:val="right"/>
              <w:ind w:right="5519"/>
              <w:spacing w:after="0"/>
              <w:rPr>
                <w:sz w:val="20"/>
                <w:szCs w:val="20"/>
                <w:color w:val="auto"/>
              </w:rPr>
            </w:pPr>
            <w:r>
              <w:rPr>
                <w:rFonts w:ascii="Arial" w:cs="Arial" w:eastAsia="Arial" w:hAnsi="Arial"/>
                <w:sz w:val="16"/>
                <w:szCs w:val="16"/>
                <w:color w:val="auto"/>
                <w:w w:val="89"/>
              </w:rPr>
              <w:t>Range of per-share exercise prices: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7900" w:type="dxa"/>
            <w:vAlign w:val="bottom"/>
          </w:tcPr>
          <w:p>
            <w:pPr>
              <w:jc w:val="right"/>
              <w:ind w:right="6399"/>
              <w:spacing w:after="0"/>
              <w:rPr>
                <w:sz w:val="20"/>
                <w:szCs w:val="20"/>
                <w:color w:val="auto"/>
              </w:rPr>
            </w:pPr>
            <w:r>
              <w:rPr>
                <w:rFonts w:ascii="Arial" w:cs="Arial" w:eastAsia="Arial" w:hAnsi="Arial"/>
                <w:sz w:val="16"/>
                <w:szCs w:val="16"/>
                <w:color w:val="auto"/>
              </w:rPr>
              <w:t>$28.56 - $36.44</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32.6</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34.23</w:t>
            </w:r>
          </w:p>
        </w:tc>
      </w:tr>
      <w:tr>
        <w:trPr>
          <w:trHeight w:val="33"/>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jc w:val="right"/>
              <w:ind w:right="6399"/>
              <w:spacing w:after="0"/>
              <w:rPr>
                <w:sz w:val="20"/>
                <w:szCs w:val="20"/>
                <w:color w:val="auto"/>
              </w:rPr>
            </w:pPr>
            <w:r>
              <w:rPr>
                <w:rFonts w:ascii="Arial" w:cs="Arial" w:eastAsia="Arial" w:hAnsi="Arial"/>
                <w:sz w:val="16"/>
                <w:szCs w:val="16"/>
                <w:color w:val="auto"/>
              </w:rPr>
              <w:t>$38.55 - $38.55</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38.55</w:t>
            </w:r>
          </w:p>
        </w:tc>
      </w:tr>
      <w:tr>
        <w:trPr>
          <w:trHeight w:val="237"/>
        </w:trPr>
        <w:tc>
          <w:tcPr>
            <w:tcW w:w="7900" w:type="dxa"/>
            <w:vAlign w:val="bottom"/>
          </w:tcPr>
          <w:p>
            <w:pPr>
              <w:jc w:val="right"/>
              <w:ind w:right="6399"/>
              <w:spacing w:after="0"/>
              <w:rPr>
                <w:sz w:val="20"/>
                <w:szCs w:val="20"/>
                <w:color w:val="auto"/>
              </w:rPr>
            </w:pPr>
            <w:r>
              <w:rPr>
                <w:rFonts w:ascii="Arial" w:cs="Arial" w:eastAsia="Arial" w:hAnsi="Arial"/>
                <w:sz w:val="16"/>
                <w:szCs w:val="16"/>
                <w:color w:val="auto"/>
              </w:rPr>
              <w:t>$41.62 - $41.62</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41.62</w:t>
            </w:r>
          </w:p>
        </w:tc>
      </w:tr>
      <w:tr>
        <w:trPr>
          <w:trHeight w:val="33"/>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218.8</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40.49</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fiscal year ended January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Unreleased Restricted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restricted stock at January 31, 2017</w:t>
            </w:r>
          </w:p>
        </w:tc>
        <w:tc>
          <w:tcPr>
            <w:tcW w:w="1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7,622.4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62"/>
              <w:spacing w:after="0"/>
              <w:rPr>
                <w:sz w:val="20"/>
                <w:szCs w:val="20"/>
                <w:color w:val="auto"/>
              </w:rPr>
            </w:pPr>
            <w:r>
              <w:rPr>
                <w:rFonts w:ascii="Arial" w:cs="Arial" w:eastAsia="Arial" w:hAnsi="Arial"/>
                <w:sz w:val="16"/>
                <w:szCs w:val="16"/>
                <w:color w:val="auto"/>
              </w:rPr>
              <w:t>2,481.8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106.55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(3,765.7)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(692.5)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69.08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Performance Adjustment (1)</w:t>
            </w:r>
          </w:p>
        </w:tc>
        <w:tc>
          <w:tcPr>
            <w:tcW w:w="15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61.79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6"/>
                <w:szCs w:val="16"/>
                <w:color w:val="auto"/>
              </w:rPr>
              <w:t>Unvested restricted stock at January 31, 2018</w:t>
            </w:r>
          </w:p>
        </w:tc>
        <w:tc>
          <w:tcPr>
            <w:tcW w:w="15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5,670.7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jc w:val="right"/>
              <w:ind w:right="6919"/>
              <w:spacing w:after="0"/>
              <w:rPr>
                <w:sz w:val="20"/>
                <w:szCs w:val="20"/>
                <w:color w:val="auto"/>
              </w:rPr>
            </w:pPr>
            <w:r>
              <w:rPr>
                <w:rFonts w:ascii="Arial" w:cs="Arial" w:eastAsia="Arial" w:hAnsi="Arial"/>
                <w:sz w:val="18"/>
                <w:szCs w:val="18"/>
                <w:color w:val="auto"/>
                <w:w w:val="89"/>
              </w:rPr>
              <w:t>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40" w:hanging="412"/>
        <w:spacing w:after="0" w:line="263"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2017 performance period. The performance stock units were attained at rates ranging from 99.7% to 114.7% of the target award.</w:t>
      </w:r>
    </w:p>
    <w:p>
      <w:pPr>
        <w:spacing w:after="0" w:line="17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For the restricted stock granted during fiscal years ended January 31, 2018, 2017, and 2016, the weighted average grant date fair value was $106.55, $65.95, and $52.53, respectively. The fair value of the shares vested during fiscal years ended January 31, 2018, 2017, and 2016 was $399.7 million, $232.2 million, and $193.3 million, respectively.</w:t>
      </w:r>
    </w:p>
    <w:p>
      <w:pPr>
        <w:spacing w:after="0" w:line="15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During the fiscal year ended January 31, 2018, Autodesk granted 2.2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$202.1 million, $173.0 million, and $146.4 million during fiscal years ended January 31, 2018, 2017, and 2016, respectively. As of January 31, 2018, total compensation cost not yet recognized of $310.2 million related to non-vested awards, is expected to be recognized over a weighted average period of 1.65 years. At January 31, 2018, the number of restricted stock units granted but unvested was 5.1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003300"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the fiscal year ended January 31, 2018, Autodesk granted 0.3 million performance stock units for which the ultimate number of shares earned is determined based on the achievement of performance criteria at the end of the stated service and performance period. During the period, Autodesk granted two different types of performance stock units.</w:t>
      </w:r>
    </w:p>
    <w:p>
      <w:pPr>
        <w:spacing w:after="0" w:line="18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performance criteria for the first type of performance stock units were based on a mix of net subscription additions, Annualized Recurring Revenue ("ARR"), non-GAAP total spend, and total subscription renewal rate goals adopted by the Compensation and Human Resource Committee, as well as total stockholder return compared against companies in the S&amp;P Computer Software Select Index or the S&amp;P North American Technology Software Index ("Relative TSR"). These performance stock units vest over a three-year period and have the following vesting schedule:</w:t>
      </w:r>
    </w:p>
    <w:p>
      <w:pPr>
        <w:spacing w:after="0" w:line="171" w:lineRule="exact"/>
        <w:rPr>
          <w:sz w:val="20"/>
          <w:szCs w:val="20"/>
          <w:color w:val="auto"/>
        </w:rPr>
      </w:pPr>
    </w:p>
    <w:p>
      <w:pPr>
        <w:ind w:left="660" w:right="2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2018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The performance criteria for the second type of performance stock units granted to our Chief Executive Officer during the fiscal year ended January 31, 2018 were based on fiscal 2020 free cash flow per share and ARR goals adopted by the Compensation and Human Resource Committee. These performance stock units vest in March 2020 based on the Company's fiscal 2020 performance against the performance criteria.</w:t>
      </w:r>
    </w:p>
    <w:p>
      <w:pPr>
        <w:spacing w:after="0" w:line="16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Autodesk has determined the grant-date fair value for these awards using the stock price on the date of grant or if the awards are subject to a market condition, a Monte Carlo simulation model. The fair value of the performance stock units is expensed using the accelerated attribution over the vesting period. Autodesk recorded stock-based compensation expense related to performance stock units of $33.7 million, $22.9 million, and $23.2 million during fiscal years ended January 31, 2018, 2017, and 2016 respectively. As of January 31, 2018, total compensation cost not yet recognized of $6.8 million related to unvested performance stock units, is expected to be recognized over a weighted average period of 0.76 years. At January 31, 2018, the number of performance stock units granted but unvested was 0.6 million. Autodesk recorded stock-based compensation expense related to the acceleration of eligible performance stock awards in conjunction with the Company's former CEO transition agreement of $7.3 million for the fiscal year ended January 31,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January 31, 2018, a total of 9.1 million shares were available for future issuance. Under the ESPP, the Company issues shares on the first trading day following March 31 and September 30 of each fiscal year. The ESPP expires during fiscal 2018.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years ended January 31, 2018, 2017 and 2016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Fiscal Year Ended January 31,</w:t>
            </w:r>
          </w:p>
        </w:tc>
        <w:tc>
          <w:tcPr>
            <w:tcW w:w="102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Issued shares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r>
      <w:tr>
        <w:trPr>
          <w:trHeight w:val="237"/>
        </w:trPr>
        <w:tc>
          <w:tcPr>
            <w:tcW w:w="7080" w:type="dxa"/>
            <w:vAlign w:val="bottom"/>
          </w:tcPr>
          <w:p>
            <w:pPr>
              <w:ind w:left="20"/>
              <w:spacing w:after="0"/>
              <w:rPr>
                <w:sz w:val="20"/>
                <w:szCs w:val="20"/>
                <w:color w:val="auto"/>
              </w:rPr>
            </w:pPr>
            <w:r>
              <w:rPr>
                <w:rFonts w:ascii="Arial" w:cs="Arial" w:eastAsia="Arial" w:hAnsi="Arial"/>
                <w:sz w:val="16"/>
                <w:szCs w:val="16"/>
                <w:color w:val="auto"/>
              </w:rPr>
              <w:t>Average price of issued shares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1"/>
              <w:spacing w:after="0"/>
              <w:rPr>
                <w:sz w:val="20"/>
                <w:szCs w:val="20"/>
                <w:color w:val="auto"/>
              </w:rPr>
            </w:pPr>
            <w:r>
              <w:rPr>
                <w:rFonts w:ascii="Arial" w:cs="Arial" w:eastAsia="Arial" w:hAnsi="Arial"/>
                <w:sz w:val="16"/>
                <w:szCs w:val="16"/>
                <w:color w:val="auto"/>
                <w:w w:val="94"/>
              </w:rPr>
              <w:t>39.03</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36.99</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36.29</w:t>
            </w:r>
          </w:p>
        </w:tc>
      </w:tr>
      <w:tr>
        <w:trPr>
          <w:trHeight w:val="33"/>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of awards granted under the ESPP</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4"/>
              </w:rPr>
              <w:t>32.41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19.20</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11.85</w:t>
            </w:r>
          </w:p>
        </w:tc>
      </w:tr>
      <w:tr>
        <w:trPr>
          <w:trHeight w:val="33"/>
        </w:trPr>
        <w:tc>
          <w:tcPr>
            <w:tcW w:w="7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Autodesk recorded $25.7 million, $25.9 million, and $27.1 million of compensation expense associated with the ESPP in fiscal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271780</wp:posOffset>
            </wp:positionV>
            <wp:extent cx="100330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Equity Compensation Plan Information</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and awards granted to employees and directors, as well as the number of securities remaining available for future issuance under these plans as of January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w:t>
            </w:r>
          </w:p>
        </w:tc>
        <w:tc>
          <w:tcPr>
            <w:tcW w:w="3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Weighted-average exercise</w:t>
            </w:r>
          </w:p>
        </w:tc>
        <w:tc>
          <w:tcPr>
            <w:tcW w:w="3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for 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millions)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9"/>
              </w:rPr>
              <w:t>price of outstanding options</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(in millions)</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40.49</w:t>
            </w: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2220"/>
              <w:spacing w:after="0"/>
              <w:rPr>
                <w:sz w:val="20"/>
                <w:szCs w:val="20"/>
                <w:color w:val="auto"/>
              </w:rPr>
            </w:pPr>
            <w:r>
              <w:rPr>
                <w:rFonts w:ascii="Arial" w:cs="Arial" w:eastAsia="Arial" w:hAnsi="Arial"/>
                <w:sz w:val="16"/>
                <w:szCs w:val="16"/>
                <w:color w:val="auto"/>
              </w:rPr>
              <w:t>31.3  (1)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5.9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4"/>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1"/>
                <w:szCs w:val="21"/>
                <w:color w:val="auto"/>
              </w:rPr>
            </w:pPr>
          </w:p>
        </w:tc>
        <w:tc>
          <w:tcPr>
            <w:tcW w:w="2620" w:type="dxa"/>
            <w:vAlign w:val="bottom"/>
            <w:tcBorders>
              <w:top w:val="single" w:sz="8" w:color="auto"/>
              <w:bottom w:val="single" w:sz="8" w:color="auto"/>
            </w:tcBorders>
          </w:tcPr>
          <w:p>
            <w:pPr>
              <w:ind w:left="2220"/>
              <w:spacing w:after="0"/>
              <w:rPr>
                <w:sz w:val="20"/>
                <w:szCs w:val="20"/>
                <w:color w:val="auto"/>
              </w:rPr>
            </w:pPr>
            <w:r>
              <w:rPr>
                <w:rFonts w:ascii="Arial" w:cs="Arial" w:eastAsia="Arial" w:hAnsi="Arial"/>
                <w:sz w:val="16"/>
                <w:szCs w:val="16"/>
                <w:color w:val="auto"/>
              </w:rPr>
              <w:t>31.3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jc w:val="right"/>
              <w:ind w:right="2362"/>
              <w:spacing w:after="0"/>
              <w:rPr>
                <w:sz w:val="20"/>
                <w:szCs w:val="20"/>
                <w:color w:val="auto"/>
              </w:rPr>
            </w:pPr>
            <w:r>
              <w:rPr>
                <w:rFonts w:ascii="Arial" w:cs="Arial" w:eastAsia="Arial" w:hAnsi="Arial"/>
                <w:sz w:val="18"/>
                <w:szCs w:val="18"/>
                <w:color w:val="auto"/>
                <w:w w:val="88"/>
              </w:rPr>
              <w:t>____________________</w:t>
            </w: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this amount are 9.1 million securities available for future issuance under Autodesk’s ESPP.</w:t>
      </w:r>
    </w:p>
    <w:p>
      <w:pPr>
        <w:spacing w:after="0" w:line="176"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220.9</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20.9</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68.4</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17"/>
        </w:trPr>
        <w:tc>
          <w:tcPr>
            <w:tcW w:w="6720" w:type="dxa"/>
            <w:vAlign w:val="bottom"/>
          </w:tcPr>
          <w:p>
            <w:pPr>
              <w:spacing w:after="0"/>
              <w:rPr>
                <w:sz w:val="18"/>
                <w:szCs w:val="18"/>
                <w:color w:val="auto"/>
              </w:rPr>
            </w:pP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310.2</w:t>
            </w:r>
          </w:p>
        </w:tc>
      </w:tr>
      <w:tr>
        <w:trPr>
          <w:trHeight w:val="33"/>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Foreign pretax (loss) income was $(76.2) million in fiscal 2018, $(27.6) million in fiscal 2017, and $218.2 million in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100330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 at U.S. Federal statutory rate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345.0</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Transition tax</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 in attributes due to ASU 2016-9 adoption</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valuation allowance from ASU 2016-9 adoption</w:t>
            </w: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non-deductible stock-based compensation</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19.3</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compensation windfall / shortfall</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Closure of income tax audits and changes in uncertain tax positions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w:t>
            </w:r>
          </w:p>
        </w:tc>
      </w:tr>
      <w:tr>
        <w:trPr>
          <w:trHeight w:val="33"/>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136.7</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39.5</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76.9</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Tax loss carryforwards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173.6</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27.6</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valuation allowance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(634.2)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(748.0)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Indefinite lived intangibles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33"/>
        </w:trPr>
        <w:tc>
          <w:tcPr>
            <w:tcW w:w="8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Autodesk’s tax expense is primarily driven by the reduction in the U.S. tax rate from 35% to 21% on the deferred tax liabilities related to indefinite lived intangibles offset by tax expense in foreign locations, withholding taxes paid on payments made to the U.S. from foreign sources, and tax amortization on indefinite-lived intangibles.</w:t>
      </w:r>
    </w:p>
    <w:p>
      <w:pPr>
        <w:spacing w:after="0" w:line="18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whether it is more likely than not that some or all of the deferred tax assets will not be realized. In evaluating the need for a valuation allowance, Autodesk considered cumulative losses arising from the Company's business model transition as a significant piece of negative evidence. Consequently, in the fiscal year 2016, Autodesk determined that a valuation allowance was required on the accumulated domestic tax attributes.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146050</wp:posOffset>
            </wp:positionV>
            <wp:extent cx="100330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2018 Form 10-K 87</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U.S. created incremental deferred tax assets, primarily foreign tax and R&amp;D credits, and those deferred tax attributes have also been offset by a full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valuation allowance. As a result, Autodesk has no material federal income tax expense or benefit in the current fiscal year, other than the deferred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liabilities related to indefinite lived intangibles and the revaluation of these liabilities as a result of U.S. tax reform. The valuation allowance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$113.8 million in fiscal 2018 primarily due to a change in tax rates used to value deferred tax attributes. The valuation allowance increased by $352.4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$327.2 million in fiscal 2017, and 2016, respectively, primarily related to U.S. and Canadian deferred tax attributes. As Autodesk continually strives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optimize the overall business model, tax planning strategies may become feasible and prudent allowing the Company to realize many of the deferred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that are offset by a valuation allowance; therefore, Autodesk will continue to evaluate the ability to utilize the net deferred tax assets each quarter, both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U.S. and in foreign jurisdictions, based on all available evidence, both positive and negative.</w:t>
      </w:r>
    </w:p>
    <w:p>
      <w:pPr>
        <w:spacing w:after="0" w:line="21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The Tax Act was signed into law on December 22, 2017 and provides broad and significant changes to the U.S. corporate income tax regime. The Tax Act reduces the statutory federal corporate rate from 35% to 21% effective fiscal 2019 year and forward and provides for a blended rate of 33.81% to fiscal 2018 year. The Tax Act also, among many other provisions, imposes a one-time mandatory tax on accumulated earnings of foreign subsidiaries (commonly referred to as a "transition tax"), introduces new tax regimes changing how foreign earnings are subject to U.S. tax, modifies the accelerated depreciation deduction rules, and makes updates to the deductibility of certain expenses. The SEC staff acknowledged the challenges companies face incorporating the effects of the Tax Act by the financial reporting deadlines. In response, on December 22, 2017, the SEC staff issued SAB 118 to address the application of U.S. GAAP in situations when a registrant does not have the necessary information available, prepared, or analyzed in reasonable detail to complete accounting for certain income tax effects of the Tax Act. Autodesk has not completed the determination of the accounting implications of the Tax Act but was able to calculate a reasonable estimate and recorded a provisional tax benefit of the Tax Act in the financial statements of approximately $32.3 million mainly driven by the corporate rate remeasurement of the indefinite-lived intangible deferred tax liability. The provisional amounts recorded are based on the Company’s current interpretation and understanding of the Tax Act and may change as the Company receives additional clarification and implementation guidance and finalizes the analysis of all impacts and positions with regard to the Tax Act. The tax impact of the mandatory one-time tax on accumulated earnings of foreign subsidiaries is primarily offset by other current year operating losses and fully valued net operating loss carryforwards resulting in no impact to the effective tax rate. As additional regulatory guidance is issued, the Company will continue to collect and analyze necessary data and may adjust provisional amounts previously recorded in the period in which the adjustments are made. Pursuant to SAB 118, the Company will complete the accounting for the tax effects of all provisions of the Tax Act within the required measurement period not to extend beyond one year from the enactment date.</w:t>
      </w:r>
    </w:p>
    <w:p>
      <w:pPr>
        <w:spacing w:after="0" w:line="17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Realization of foreign non-current net deferred tax assets of $68.0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 and Autodesk then determines that it is not more likely than not to realize such deferred tax assets.</w:t>
      </w:r>
    </w:p>
    <w:p>
      <w:pPr>
        <w:spacing w:after="0" w:line="18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of January 31, 2018, Autodesk had $179.4 million of cumulative federal tax loss carryforwards and $939.1 million of cumulative state tax loss carryforwards, which may be available to reduce future income tax liabilities in federal and state jurisdictions. As discussed above, these cumulative assets have full valuation allowance against them on our balance sheet as the Company has determined it is more likely that not that these losses will not be utilized. These federal and state tax loss carryforwards will expire beginning fiscal 2021 through fiscal 2038 and fiscal 2020 through fiscal 2039, respectively.</w:t>
      </w:r>
    </w:p>
    <w:p>
      <w:pPr>
        <w:spacing w:after="0" w:line="15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January 31, 2018, Autodesk had $138.4 million of cumulative federal research tax credit carryforwards, $72.6 million of cumulative California state research tax credit carryforwards, and $58.1 million of cumulative Canadian federal tax credit carryforwards, which may be available to reduce future income tax liabilities in the respective jurisdictions. The federal tax credit carryforwards will expire beginning fiscal 2021 through fiscal 2039, the state credit carryforwards may reduce future California income tax liabilities indefinitely, and the Canadian tax credit carryforwards will expire beginning fiscal 2027 through fiscal 2039. Autodesk also has $336.9 million of cumulative foreign tax credit carryforwards, which may be available to reduce future U. S. tax liabilities. The foreign tax credit will expire beginning fiscal 2019 through fiscal 2029. As discussed above, these cumulative assets have full valuation allowance against them on our balance sheet as the Company has determined it is more likely that not that these losses will not be utilized.</w:t>
      </w:r>
    </w:p>
    <w:p>
      <w:pPr>
        <w:spacing w:after="0" w:line="167"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No ownership change has occurred through the balance sheet date that would limit a material amount of U.S. federal and state tax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330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88</w:t>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January 31, 2018, the Company had $337.6 million of gross unrecognized tax benefits, of which $304.8 million would reduce our valuation allowance, if recognized. The remaining $32.8 million would impact the effective tax rate.</w:t>
      </w:r>
    </w:p>
    <w:p>
      <w:pPr>
        <w:spacing w:after="0" w:line="1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It is possible that the amount of unrecognized tax benefits will change in the next twelve months; however, an estimate of the range of the possible change cannot be made at this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261.4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15.8</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337.6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It is the Company's continuing practice to recognize interest and/or penalties related to income tax matters in income tax expense. Autodesk had $2.8 million, $2.5 million, and $3.3 million, net of tax benefit, accrued for interest and penalties related to unrecognized tax benefits as of January 31, 2018, 2017, and 2016, respectively. There was $0.3 million, $1.5 million, and $1.3 million of net expense for interest and penalties related to tax matters recorded through the consolidated statement of operations for the years ended January 31, 2018, 2017, and 2016 respectively.</w:t>
      </w:r>
    </w:p>
    <w:p>
      <w:pPr>
        <w:spacing w:after="0" w:line="17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Autodesk's U.S. and state income tax returns for fiscal year 2003 through fiscal year 2018 remain open to examination. 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files tax returns in multiple foreign taxing jurisdictions with open tax years ranging from fiscal year 2005 to 2018.</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As a result of certain business and employment actions and capital investments undertaken by Autodesk, income earned in certain Europe and Asia Pacific countries is subject to reduced tax rates through fiscal 2019. In fiscal 2018, the Company incurred no net benefit from the tax status of these business arrangements, compared to $27.1 million benefit ($0.12 basic net income per share) in fiscal 2017, and none in fiscal 2016.</w:t>
      </w:r>
    </w:p>
    <w:p>
      <w:pPr>
        <w:spacing w:after="0" w:line="162"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fiscal years ended January 31, 2018, and January 31, 2017, Autodesk completed the business combinations and technology purchases described below. The results of operations for the following acquisitions are included in the accompanying Consolidated Statements of Operations since their respective acquisition dates. Pro forma results of operations have not been presented because the effects of the acquisitions, individually and in the aggregate, were not material to Autodesk's Consolidated Financial Statements.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281940</wp:posOffset>
            </wp:positionV>
            <wp:extent cx="100330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Fiscal 2018 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fiscal year ended January 31, 2018, Autodesk did not complete any business combinations or technology acquisitions.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Fiscal 2017 Acquisitions</w:t>
      </w:r>
    </w:p>
    <w:p>
      <w:pPr>
        <w:spacing w:after="0" w:line="225"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During the fiscal year ended January 31, 2017, Autodesk completed several business combination and technology acquisitions for total cash consideration of $87.0 million. These business combinations and technology acquisitions were not material individually or in aggregate to Autodesk's Consolidated Financial Statements.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2017:</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950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9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3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9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w:t>
            </w: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Deferred revenue (current and non-current)</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9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9500" w:type="dxa"/>
            <w:vAlign w:val="bottom"/>
          </w:tcPr>
          <w:p>
            <w:pPr>
              <w:ind w:left="20"/>
              <w:spacing w:after="0"/>
              <w:rPr>
                <w:sz w:val="20"/>
                <w:szCs w:val="20"/>
                <w:color w:val="auto"/>
              </w:rPr>
            </w:pPr>
            <w:r>
              <w:rPr>
                <w:rFonts w:ascii="Arial" w:cs="Arial" w:eastAsia="Arial" w:hAnsi="Arial"/>
                <w:sz w:val="16"/>
                <w:szCs w:val="16"/>
                <w:color w:val="auto"/>
              </w:rPr>
              <w:t>Net tangible (liabilities) assets</w:t>
            </w:r>
          </w:p>
        </w:tc>
        <w:tc>
          <w:tcPr>
            <w:tcW w:w="3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9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0"/>
        </w:trPr>
        <w:tc>
          <w:tcPr>
            <w:tcW w:w="9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At January 31, 2018, Autodesk had marketable securities totaling $436.0 million, of which $59.0 million related to investments in debt and equity securities that are held in a rabbi trust under non-qualified deferred compensation plans. The total related deferred compensation liability was $59.0 million at January 31, 2018, of which $3.4 million was classified as current and $55.6 million was classified as non-current liabilities. The total related deferred compensation liability at January 31, 2017 was $47.3 million, of which $3.1 million was classified as current and $44.2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“Other liabilities,” respectively.</w:t>
      </w:r>
    </w:p>
    <w:p>
      <w:pPr>
        <w:spacing w:after="0" w:line="161"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2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originally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101.0%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$485.6 million as of January 31, 2018.</w:t>
      </w:r>
    </w:p>
    <w:p>
      <w:pPr>
        <w:spacing w:after="0" w:line="16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June 2015, Autodesk issued $450.0 million aggregate principal amount of 3.125% senior notes due June 15, 2020 and $300.0 million aggregate principal amount of 4.375% senior notes due June 15, 2025 (collectively, the “2015 Notes”). Net of a discount of $1.7 million and issuance costs of $6.3 million, Autodesk received net proceeds of $742.0 million from issuance of the 2015 Senior Notes. Both the discount and issuance costs are being amortized to interest expense over the respective terms of the 2015 Notes using the effective interest method. The proceeds of the 2015 Notes are available for general corporate purposes. Autodesk may redeem the 2015 Notes at any time, subject to a make whole premium. In addition, upon the occurrence of certain change of control triggering events, Autodesk may be required to repurchase the 2015 Notes, at a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0330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2015 Notes was approximately $763.8 million as of January 31, 2018.</w:t>
      </w:r>
    </w:p>
    <w:p>
      <w:pPr>
        <w:spacing w:after="0" w:line="187"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senior notes due December 15, 2017 and $350.0 million aggregate principal amount of 3.6% senior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In July 2017, Autodesk redeemed in full $400.0 million in aggregate principal amount of its outstanding 1.95% senior notes due December 15, 2017.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remaining 2012 Notes was approximately $354.4 million as of January 31, 2018.</w:t>
      </w:r>
    </w:p>
    <w:p>
      <w:pPr>
        <w:spacing w:after="0" w:line="16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Company renegotiated the credit agreement's financial covenants in April 2017. The financial covenants now consist of a maximum debt to total cash ratio, a fixed charge coverage ratio through April 30, 2018, and after April 30, 2018, a minimum interest coverage ratio.</w:t>
      </w:r>
    </w:p>
    <w:p>
      <w:pPr>
        <w:spacing w:after="0" w:line="193"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The line of credit is syndicated with various financial institutions, including Citibank, N.A., an affiliate of Citigroup, which is one of the lead lenders and an agent. The maturity date on the line of credit facility is May 2020. At January 31, 2018, Autodesk was in compliance with the credit facility’s covenants. At January 31, 2018, and January 31, 2017, Autodesk had no outstanding borrowings on this line of credit.</w:t>
      </w:r>
    </w:p>
    <w:p>
      <w:pPr>
        <w:spacing w:after="0" w:line="162"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Lease commitments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Autodesk leases office space and computer equipment under non-cancellable operating lease agreements that expire at various dates through 2090. The leases generally provide that Autodesk pay taxes, insurance, and maintenance expenses related to the leased assets. Certain of these lease arrangements contain escalation clauses whereby monthly rent increases over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January 31, 2018, the aggregate future minimum lease payments required were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2020</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46.3</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2022</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57.7</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247.8</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Less: Sublease income</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428625</wp:posOffset>
            </wp:positionV>
            <wp:extent cx="100330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 expense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58.7</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Purchase commitments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2018, were approximately $147.6 million for periods through fiscal 2028. These purchase commitments primarily result from contracts entered into for the acquisition of IT infrastructure, marketing, and software development services, as well as includes commitments related to our investment agreements with limited liability partnership funds.</w:t>
      </w:r>
    </w:p>
    <w:p>
      <w:pPr>
        <w:spacing w:after="0" w:line="187"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Autodesk has certain royalty commitments associated with the sale and licensing of certain products. Royalty expense is generally based on a dollar amount per unit sold or a percentage of the underlying revenue. Royalty expense, which was recorded under cost of maintenance and subscription revenue and cost of license and other revenue on Autodesk’s Consolidated Statements of Operations, was $15.3 million in fiscal 2018, $16.2 million in fiscal 2017, and $17.4 million in fiscal 2016.</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Guarantees and Indemnifications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Legal Proceedings</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100330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92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Preferred Stock</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2018,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Common Stock Repurchase Program</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approximately 6.9 million shares in fiscal 2018 at an average repurchase price of $100.45 per share, 9.7 million shares in fiscal 2017 at an average repurchase price of $64.73 per share, and 8.5 million shares in fiscal 2016 at an average repurchase price of $53.58.</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January 31, 2018, 19.6 million shares remained available for repurchase under the repurchase program approved by the Board of Directors. The share repurchase program does not have an expiration date and the pace and timing of repurchases will depend on factors such as cash generation from operations, available surplus, the volume of employee stock plan activity, cash requirements for acquisitions, economic and market conditions, stock price and legal and regulatory requirements.</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Interest and Other Expense,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expense,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on foreign currency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strategic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9584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2947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2947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29475"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411480</wp:posOffset>
            </wp:positionV>
            <wp:extent cx="100330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2018 Form 10-K 93</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 for 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January 31, 2017</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20"/>
        </w:trPr>
        <w:tc>
          <w:tcPr>
            <w:tcW w:w="5260" w:type="dxa"/>
            <w:vAlign w:val="bottom"/>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2, "Financial Instruments" for the amount and location of reclassifications related to derivative instruments. Reclassifications of the defined benefit pension components are included in the computation of net periodic benefit cost. Refer to Note 14, "Retirement Benefit Plans."</w:t>
      </w:r>
    </w:p>
    <w:p>
      <w:pPr>
        <w:spacing w:after="0" w:line="17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(566.9)</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Denominator:</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loss per share</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vMerge w:val="continue"/>
          </w:tcPr>
          <w:p>
            <w:pPr>
              <w:spacing w:after="0"/>
              <w:rPr>
                <w:sz w:val="17"/>
                <w:szCs w:val="17"/>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320" w:hanging="412"/>
        <w:spacing w:after="0" w:line="334" w:lineRule="auto"/>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effect of dilutive securities of 4.5 million, 4.6 million, and 4.7 million shares for the fiscal year ended January 31, 2018, 2017, and 2016, respectively, have been excluded from the calculation of diluted net loss per share as those shares would have been anti-dilutive due to the net loss incurred during those fiscal years.</w:t>
      </w:r>
    </w:p>
    <w:p>
      <w:pPr>
        <w:spacing w:after="0" w:line="132"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computation of diluted net loss per share does not include shares that are anti-dilutive under the treasury stock method because their exercise prices are higher than the average market value of Autodesk’s stock during the fiscal year. The effect of 0.5 million, 0.1 million, and 0.1 million potentially anti-dilutive shares were excluded from the computation of net loss per share for the fiscal years ended January 31,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330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2018 Form 10-K 94</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Segment, Geographic and Product Family Information</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revenue by geographic area and product family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geographic area (1):</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Asia Pacific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584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77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740.4</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742.1</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803.9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168.9</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871.1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871.9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972.8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815.4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934.6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596.7</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2,056.6</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2,031.0</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2,504.1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12"/>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866.5</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880.9</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949.1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589.2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724.6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401.4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594.8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2,056.6</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2,031.0</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-2791460</wp:posOffset>
            </wp:positionV>
            <wp:extent cx="7229475"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-2439670</wp:posOffset>
            </wp:positionV>
            <wp:extent cx="722947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-2096770</wp:posOffset>
            </wp:positionV>
            <wp:extent cx="722947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-1753870</wp:posOffset>
            </wp:positionV>
            <wp:extent cx="722947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-1402080</wp:posOffset>
            </wp:positionV>
            <wp:extent cx="7229475" cy="222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-1007745</wp:posOffset>
            </wp:positionV>
            <wp:extent cx="722947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-664210</wp:posOffset>
            </wp:positionV>
            <wp:extent cx="722947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-321310</wp:posOffset>
            </wp:positionV>
            <wp:extent cx="722947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20955</wp:posOffset>
            </wp:positionV>
            <wp:extent cx="29584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-130175</wp:posOffset>
            </wp:positionV>
            <wp:extent cx="29584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w:t>
        <w:tab/>
        <w:t>Revenue by geographic area is based on the bill to country.</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assets (1):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60"/>
        </w:trPr>
        <w:tc>
          <w:tcPr>
            <w:tcW w:w="83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24"/>
        </w:trPr>
        <w:tc>
          <w:tcPr>
            <w:tcW w:w="83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w:t>
            </w:r>
          </w:p>
        </w:tc>
      </w:tr>
      <w:tr>
        <w:trPr>
          <w:trHeight w:val="237"/>
        </w:trPr>
        <w:tc>
          <w:tcPr>
            <w:tcW w:w="8320" w:type="dxa"/>
            <w:vAlign w:val="bottom"/>
          </w:tcPr>
          <w:p>
            <w:pPr>
              <w:ind w:left="700"/>
              <w:spacing w:after="0"/>
              <w:rPr>
                <w:sz w:val="20"/>
                <w:szCs w:val="20"/>
                <w:color w:val="auto"/>
              </w:rPr>
            </w:pPr>
            <w:r>
              <w:rPr>
                <w:rFonts w:ascii="Arial" w:cs="Arial" w:eastAsia="Arial" w:hAnsi="Arial"/>
                <w:sz w:val="16"/>
                <w:szCs w:val="16"/>
                <w:color w:val="auto"/>
              </w:rPr>
              <w:t>Other Americas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113.9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long-lived assets</w:t>
            </w: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145.0</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158.6</w:t>
            </w:r>
          </w:p>
        </w:tc>
      </w:tr>
      <w:tr>
        <w:trPr>
          <w:trHeight w:val="33"/>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277495</wp:posOffset>
            </wp:positionV>
            <wp:extent cx="100330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95</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Pretax Savings Plan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$17.3 million in fiscal 2018, $16.4 million in fiscal 2017, and $17.3 million in fiscal 2016. Autodesk does not allow participants to invest in Autodesk common stock through the 401(k) plan.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Benefit Pension Plans</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Autodesk maintains certain defined benefit pension plans to employees primarily located in countries outside of the U.S, particularly the United Kingdom, Switzerland, and Japan. The Company deposits funds for specific plans, consistent with the requirements of local law, with insurance companies, third-party trustees, or into government-managed accounts, and accrues for the unfunded portion of the obligation, where material. Depending on the design of the plan, local customs, and market circumstances, the liabilities of a plan may exceed qualified plan assets.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Benefit Obligation and Plan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projected benefit obligations and plan assets for the plans described above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w w:val="96"/>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projected benefit obligation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amendment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Ending projected benefit obligation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146.4</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fair value of plan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paid by employer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paid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8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fair value of plan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107.4</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Funded status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recognized on the consolidated balance sheets at the end of each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760" w:type="dxa"/>
            <w:vAlign w:val="bottom"/>
          </w:tcPr>
          <w:p>
            <w:pPr>
              <w:spacing w:after="0"/>
              <w:rPr>
                <w:sz w:val="20"/>
                <w:szCs w:val="20"/>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83"/>
              </w:rPr>
              <w:t>31.7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37.0</w:t>
            </w:r>
          </w:p>
        </w:tc>
      </w:tr>
      <w:tr>
        <w:trPr>
          <w:trHeight w:val="33"/>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recognized</w:t>
            </w:r>
          </w:p>
        </w:tc>
        <w:tc>
          <w:tcPr>
            <w:tcW w:w="76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3"/>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76.0</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 worldwide basis, the Company's defined benefit pension plans were 77% funded as of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00330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96</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As of January 31, 2018, the aggregate accumulated benefit obligation was $139.5 million for the defined benefit pension plans compared to $128.2 million as of January 31, 2017. Included in the aggregate data in the following tables are the amounts applicable to the Company's defined benefit pension plans, with accumulated benefit obligations in excess of plan assets, as well as plans with projected benefit obligations in excess of plan assets. Amounts related to such plans at the end of each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Fiscal Year Ended January</w:t>
            </w:r>
          </w:p>
        </w:tc>
      </w:tr>
      <w:tr>
        <w:trPr>
          <w:trHeight w:val="192"/>
        </w:trPr>
        <w:tc>
          <w:tcPr>
            <w:tcW w:w="9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9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2017</w:t>
            </w: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with accumulated benefit obligations in excess of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130.7</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119.2</w:t>
            </w: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98.3</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Plans with projected benefit obligations in excess of plan assets: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146.4</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107.4</w:t>
            </w:r>
          </w:p>
        </w:tc>
      </w:tr>
    </w:tbl>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Benefit Pension Plan Assets</w:t>
      </w:r>
    </w:p>
    <w:p>
      <w:pPr>
        <w:spacing w:after="0" w:line="225"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investments of the plans are managed by insurance companies or third-party investment managers selected by Autodesk's Trustees, consistent with regulations or market practice of the country where the assets are invested. Investments managed by qualified insurance companies or third-party investment managers under standard contracts follow local regulations, and Autodesk is not actively involved in their investment strategies.</w:t>
      </w:r>
    </w:p>
    <w:p>
      <w:pPr>
        <w:spacing w:after="0" w:line="14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Defined benefit pension plan assets measured at fair value on a recurring basis consisted of the following investment categories at the end of each period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Fiscal Year Ended January 31,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r>
      <w:tr>
        <w:trPr>
          <w:trHeight w:val="264"/>
        </w:trPr>
        <w:tc>
          <w:tcPr>
            <w:tcW w:w="5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3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contracts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46.3</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3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9.4</w:t>
            </w:r>
          </w:p>
        </w:tc>
      </w:tr>
      <w:tr>
        <w:trPr>
          <w:trHeight w:val="3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measured at fair value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55.7</w:t>
            </w:r>
          </w:p>
        </w:tc>
      </w:tr>
      <w:tr>
        <w:trPr>
          <w:trHeight w:val="224"/>
        </w:trPr>
        <w:tc>
          <w:tcPr>
            <w:tcW w:w="58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 valued using net asset value</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51.7</w:t>
            </w:r>
          </w:p>
        </w:tc>
      </w:tr>
      <w:tr>
        <w:trPr>
          <w:trHeight w:val="244"/>
        </w:trPr>
        <w:tc>
          <w:tcPr>
            <w:tcW w:w="5820" w:type="dxa"/>
            <w:vAlign w:val="bottom"/>
          </w:tcPr>
          <w:p>
            <w:pPr>
              <w:ind w:left="40"/>
              <w:spacing w:after="0"/>
              <w:rPr>
                <w:sz w:val="20"/>
                <w:szCs w:val="20"/>
                <w:color w:val="auto"/>
              </w:rPr>
            </w:pPr>
            <w:r>
              <w:rPr>
                <w:rFonts w:ascii="Arial" w:cs="Arial" w:eastAsia="Arial" w:hAnsi="Arial"/>
                <w:sz w:val="16"/>
                <w:szCs w:val="16"/>
                <w:color w:val="auto"/>
              </w:rPr>
              <w:t>Total pension plan assets at fair value</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107.4</w:t>
            </w:r>
          </w:p>
        </w:tc>
      </w:tr>
      <w:tr>
        <w:trPr>
          <w:trHeight w:val="20"/>
        </w:trPr>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The insurance contracts in the preceding table represent the immediate cash surrender value of assets managed by qualified insurance companies. Autodesk does not have control over the target allocation or visibility of the investment strategies of those investments. Insurance contracts and investments held by insurance companies made up 44% and 43% of total plan assets as of January 31, 2018, and January 31, 2017, respectively.</w:t>
      </w:r>
    </w:p>
    <w:p>
      <w:pPr>
        <w:spacing w:after="0" w:line="14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assets held in the investment fund in the preceding table are invested in a diversified growth fund actively managed by Russell Investments in association with Aon Hewitt. The objective of the fund is to generate capital appreciation on a long-term basis through a diversified portfolio of investments. The fund aims to deliver equity-like returns in the medium to long term with around two-thirds the volatility of equity markets. The fair value of the assets held in the investment fund are priced monthly at net asset value without restrictions on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272415</wp:posOffset>
            </wp:positionV>
            <wp:extent cx="1003300"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Estimated Future Benefit Payments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ind w:left="440"/>
              <w:spacing w:after="0"/>
              <w:rPr>
                <w:sz w:val="20"/>
                <w:szCs w:val="20"/>
                <w:color w:val="auto"/>
              </w:rPr>
            </w:pPr>
            <w:r>
              <w:rPr>
                <w:rFonts w:ascii="Arial" w:cs="Arial" w:eastAsia="Arial" w:hAnsi="Arial"/>
                <w:sz w:val="18"/>
                <w:szCs w:val="18"/>
                <w:color w:val="auto"/>
              </w:rPr>
              <w:t>Estimated benefit payments over the next 10 fiscal years are as follows: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9"/>
        </w:trPr>
        <w:tc>
          <w:tcPr>
            <w:tcW w:w="10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6.5</w:t>
            </w:r>
          </w:p>
        </w:tc>
      </w:tr>
      <w:tr>
        <w:trPr>
          <w:trHeight w:val="33"/>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6.4</w:t>
            </w:r>
          </w:p>
        </w:tc>
      </w:tr>
      <w:tr>
        <w:trPr>
          <w:trHeight w:val="33"/>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2024-2028</w:t>
            </w: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34.8</w:t>
            </w:r>
          </w:p>
        </w:tc>
      </w:tr>
    </w:tbl>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Funding Expectations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expected required funding for the plans during fiscal 2019 is approximately $4.7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Net Periodic Benefit Cost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periodic pension cost for the defined benefit pension plans for fiscal 2018,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Fiscal Year Ended January 31,</w:t>
            </w:r>
          </w:p>
        </w:tc>
        <w:tc>
          <w:tcPr>
            <w:tcW w:w="6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2016</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 for benefits earned during the period</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 on projected benefit obligation</w:t>
            </w:r>
          </w:p>
        </w:tc>
        <w:tc>
          <w:tcPr>
            <w:tcW w:w="6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3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(3.9)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1"/>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loss</w:t>
            </w: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Settlement loss</w:t>
            </w:r>
          </w:p>
        </w:tc>
        <w:tc>
          <w:tcPr>
            <w:tcW w:w="6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 gain</w:t>
            </w:r>
          </w:p>
        </w:tc>
        <w:tc>
          <w:tcPr>
            <w:tcW w:w="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Net periodic benefit cost</w:t>
            </w: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Amounts Recorded in OCI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other comprehensive income for the defined benefit pension plans before taxes for fiscal 2018, 2017, and 2016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Fiscal Year Ended January 31,</w:t>
            </w:r>
          </w:p>
        </w:tc>
        <w:tc>
          <w:tcPr>
            <w:tcW w:w="6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2016</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 for period</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(gain) loss for period</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1"/>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9.1</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settlement</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curtailment</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1"/>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net loss</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1"/>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00330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Amounts Recorded in Accumulated Other Comprehensive Loss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recorded in accumulated other comprehensive loss before taxes at the end of each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8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actuarial loss</w:t>
            </w:r>
          </w:p>
        </w:tc>
        <w:tc>
          <w:tcPr>
            <w:tcW w:w="8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40.6</w:t>
            </w:r>
          </w:p>
        </w:tc>
      </w:tr>
      <w:tr>
        <w:trPr>
          <w:trHeight w:val="33"/>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37.0</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loss into net periodic benefit cost over the next fiscal year for the qualified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Amortization of the net loss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10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10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Assumptions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costs for the plans for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3.3%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4.3%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weighted-average expected long-term rate of return for the plan assets is 3.3%. The weighted-average expected long-term rate of return on plan assets is based on the interest rates guaranteed under the insurance contracts, and the expected rate of return appropriate for each category of assets weighted for the distribution within the diversified investment fund. The assumptions used for the plans are based upon customary rates and practices for the location of the plans. Factors such as asset class allocations, long-term rates of return (actual and expected), and results of periodic asset liability modeling studies are considered when constructing the long-term rate of return assumption for our defined benefit pension plans.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benefit obligations for the plans at the end of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2.6%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2.6%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0" w:lineRule="exact"/>
        <w:rPr>
          <w:sz w:val="20"/>
          <w:szCs w:val="20"/>
          <w:color w:val="auto"/>
        </w:rPr>
      </w:pPr>
    </w:p>
    <w:p>
      <w:pPr>
        <w:spacing w:after="0" w:line="251"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In selecting the appropriate discount rate for the plans, the Company uses country-specific information, adjusted to reflect the duration of the particular plan. The discount rate was based on highly rated long-term bond indexes and yield curves that match the duration of the plan’s benefit obligations.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Contribution Plans</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$27.2 million in fiscal 2018, $26.6 million in fiscal 2017, and $23.0 million in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141605</wp:posOffset>
            </wp:positionV>
            <wp:extent cx="100330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2018 Form 10-K 99</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Other Plans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00330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100</w:t>
      </w:r>
    </w:p>
    <w:p>
      <w:pPr>
        <w:sectPr>
          <w:pgSz w:w="11900" w:h="16838" w:orient="portrait"/>
          <w:cols w:equalWidth="0" w:num="1">
            <w:col w:w="11080"/>
          </w:cols>
          <w:pgMar w:left="240" w:top="125" w:right="5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other facility exit costs, net</w:t>
      </w:r>
    </w:p>
    <w:p>
      <w:pPr>
        <w:spacing w:after="0" w:line="22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During the fourth quarter of fiscal 2018, the Board of Directors approved a world-wide restructuring plan (“Fiscal 2018 Plan”) to support the Company's strategic priorities of completing the subscription transition, digitizing the Company, and re-imagining manufacturing, construction, and production. Through the restructuring, Autodesk seeks to reduce its investments in areas not aligned with its strategic priorities, including in areas related to research and development and go-to-market activities. At the same time, Autodesk plans to further invest in strategic priority areas related to digital infrastructure, customer success, and construction. By re-balancing resources to better align with the Company’s strategic priorities, Autodesk is positioning itself to meet its long-term goals. This world-wide restructuring plan includes a reduction in force that will result in the termination of approximately 13% of the Company’s workforce, or approximately 1,150 employees, and the consolidation of certain leased facilities.</w:t>
      </w:r>
    </w:p>
    <w:p>
      <w:pPr>
        <w:spacing w:after="0" w:line="17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expects to substantially complete the reduction in force and the facilities consolidation by the end of fiscal 2019. The Company anticipates incurring pre-tax restructuring charges of $135 million to $149 million, of which $94 million was incurred during the fourth quarter of fiscal 2018. Substantially all of the charges will result in cash expenditures, $124 million to $137 million of which will be for one-time employee termination benefits, and $11 million to $12 million of which will be for facilities-related and other costs.</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Other costs primarily consist of legal, consulting, and other costs related to employee terminations and are expensed when incurred. During fiscal 2018, we incurred $0.4 million in lease termination costs not related to the Fiscal 2018 Plan.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set forth the restructuring charges and other facility exit costs, net during the fiscal years ended January 31, 2018 and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2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2018 Plan</w:t>
            </w: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Employee terminations costs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terminations and other exit costs</w:t>
            </w:r>
          </w:p>
        </w:tc>
        <w:tc>
          <w:tcPr>
            <w:tcW w:w="3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2017 Plan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terminations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Facility terminations and other exit costs</w:t>
            </w:r>
          </w:p>
        </w:tc>
        <w:tc>
          <w:tcPr>
            <w:tcW w:w="36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Other Facility Termination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Facility termination costs</w:t>
            </w:r>
          </w:p>
        </w:tc>
        <w:tc>
          <w:tcPr>
            <w:tcW w:w="36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33"/>
        </w:trPr>
        <w:tc>
          <w:tcPr>
            <w:tcW w:w="3560" w:type="dxa"/>
            <w:vAlign w:val="bottom"/>
            <w:gridSpan w:val="2"/>
            <w:vMerge w:val="restart"/>
          </w:tcPr>
          <w:p>
            <w:pPr>
              <w:jc w:val="right"/>
              <w:ind w:right="1679"/>
              <w:spacing w:after="0"/>
              <w:rPr>
                <w:sz w:val="20"/>
                <w:szCs w:val="20"/>
                <w:color w:val="auto"/>
              </w:rPr>
            </w:pPr>
            <w:r>
              <w:rPr>
                <w:rFonts w:ascii="Arial" w:cs="Arial" w:eastAsia="Arial" w:hAnsi="Arial"/>
                <w:sz w:val="18"/>
                <w:szCs w:val="18"/>
                <w:color w:val="auto"/>
                <w:w w:val="88"/>
              </w:rPr>
              <w:t>____________________</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Adjustments primarily relate to the accelerated depreciation of fixed assets and the impact of foreign exchanges rate changes.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289560</wp:posOffset>
            </wp:positionV>
            <wp:extent cx="100330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2017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Employee terminations costs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terminations and other exit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3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Other Facility Termination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4"/>
        </w:trPr>
        <w:tc>
          <w:tcPr>
            <w:tcW w:w="3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003300"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2018 and 2017 is as follows:</w:t>
      </w:r>
    </w:p>
    <w:p>
      <w:pPr>
        <w:spacing w:after="0" w:line="230" w:lineRule="exact"/>
        <w:rPr>
          <w:sz w:val="20"/>
          <w:szCs w:val="20"/>
          <w:color w:val="auto"/>
        </w:rPr>
      </w:pPr>
    </w:p>
    <w:p>
      <w:pPr>
        <w:ind w:left="40"/>
        <w:spacing w:after="0"/>
        <w:tabs>
          <w:tab w:leader="none" w:pos="3940" w:val="left"/>
          <w:tab w:leader="none" w:pos="5540" w:val="left"/>
          <w:tab w:leader="none" w:pos="7160" w:val="left"/>
          <w:tab w:leader="none" w:pos="8740" w:val="left"/>
          <w:tab w:leader="none" w:pos="10320" w:val="left"/>
        </w:tabs>
        <w:rPr>
          <w:sz w:val="20"/>
          <w:szCs w:val="20"/>
          <w:color w:val="auto"/>
        </w:rPr>
      </w:pPr>
      <w:r>
        <w:rPr>
          <w:rFonts w:ascii="Arial" w:cs="Arial" w:eastAsia="Arial" w:hAnsi="Arial"/>
          <w:sz w:val="14"/>
          <w:szCs w:val="14"/>
          <w:b w:val="1"/>
          <w:bCs w:val="1"/>
          <w:u w:val="single" w:color="auto"/>
          <w:color w:val="auto"/>
        </w:rPr>
        <w:t>2018</w:t>
      </w:r>
      <w:r>
        <w:rPr>
          <w:sz w:val="20"/>
          <w:szCs w:val="20"/>
          <w:color w:val="auto"/>
        </w:rPr>
        <w:tab/>
      </w:r>
      <w:r>
        <w:rPr>
          <w:rFonts w:ascii="Arial" w:cs="Arial" w:eastAsia="Arial" w:hAnsi="Arial"/>
          <w:sz w:val="14"/>
          <w:szCs w:val="14"/>
          <w:b w:val="1"/>
          <w:bCs w:val="1"/>
          <w:color w:val="auto"/>
        </w:rPr>
        <w:t>1st quarter</w:t>
      </w:r>
      <w:r>
        <w:rPr>
          <w:sz w:val="20"/>
          <w:szCs w:val="20"/>
          <w:color w:val="auto"/>
        </w:rPr>
        <w:tab/>
      </w:r>
      <w:r>
        <w:rPr>
          <w:rFonts w:ascii="Arial" w:cs="Arial" w:eastAsia="Arial" w:hAnsi="Arial"/>
          <w:sz w:val="14"/>
          <w:szCs w:val="14"/>
          <w:b w:val="1"/>
          <w:bCs w:val="1"/>
          <w:color w:val="auto"/>
        </w:rPr>
        <w:t>2nd quarter</w:t>
      </w:r>
      <w:r>
        <w:rPr>
          <w:sz w:val="20"/>
          <w:szCs w:val="20"/>
          <w:color w:val="auto"/>
        </w:rPr>
        <w:tab/>
      </w:r>
      <w:r>
        <w:rPr>
          <w:rFonts w:ascii="Arial" w:cs="Arial" w:eastAsia="Arial" w:hAnsi="Arial"/>
          <w:sz w:val="14"/>
          <w:szCs w:val="14"/>
          <w:b w:val="1"/>
          <w:bCs w:val="1"/>
          <w:color w:val="auto"/>
        </w:rPr>
        <w:t>3rd quarter</w:t>
      </w:r>
      <w:r>
        <w:rPr>
          <w:sz w:val="20"/>
          <w:szCs w:val="20"/>
          <w:color w:val="auto"/>
        </w:rPr>
        <w:tab/>
      </w:r>
      <w:r>
        <w:rPr>
          <w:rFonts w:ascii="Arial" w:cs="Arial" w:eastAsia="Arial" w:hAnsi="Arial"/>
          <w:sz w:val="14"/>
          <w:szCs w:val="14"/>
          <w:b w:val="1"/>
          <w:bCs w:val="1"/>
          <w:color w:val="auto"/>
        </w:rPr>
        <w:t>4th quarter</w:t>
      </w:r>
      <w:r>
        <w:rPr>
          <w:sz w:val="20"/>
          <w:szCs w:val="20"/>
          <w:color w:val="auto"/>
        </w:rPr>
        <w:tab/>
      </w: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6"/>
                <w:szCs w:val="16"/>
                <w:color w:val="auto"/>
              </w:rPr>
              <w:t>Net revenue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640" w:type="dxa"/>
            <w:vAlign w:val="bottom"/>
          </w:tcPr>
          <w:p>
            <w:pPr>
              <w:spacing w:after="0"/>
              <w:rPr>
                <w:sz w:val="20"/>
                <w:szCs w:val="20"/>
                <w:color w:val="auto"/>
              </w:rPr>
            </w:pPr>
            <w:r>
              <w:rPr>
                <w:rFonts w:ascii="Arial" w:cs="Arial" w:eastAsia="Arial" w:hAnsi="Arial"/>
                <w:sz w:val="16"/>
                <w:szCs w:val="16"/>
                <w:color w:val="auto"/>
              </w:rPr>
              <w:t>Gross profit</w:t>
            </w:r>
          </w:p>
        </w:tc>
        <w:tc>
          <w:tcPr>
            <w:tcW w:w="980" w:type="dxa"/>
            <w:vAlign w:val="bottom"/>
          </w:tcPr>
          <w:p>
            <w:pPr>
              <w:spacing w:after="0"/>
              <w:rPr>
                <w:sz w:val="22"/>
                <w:szCs w:val="22"/>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Loss from operations</w:t>
            </w:r>
          </w:p>
        </w:tc>
        <w:tc>
          <w:tcPr>
            <w:tcW w:w="980" w:type="dxa"/>
            <w:vAlign w:val="bottom"/>
          </w:tcPr>
          <w:p>
            <w:pPr>
              <w:spacing w:after="0"/>
              <w:rPr>
                <w:sz w:val="23"/>
                <w:szCs w:val="23"/>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23"/>
                <w:szCs w:val="23"/>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rPr>
                <w:sz w:val="23"/>
                <w:szCs w:val="23"/>
                <w:color w:val="auto"/>
              </w:rPr>
            </w:pPr>
          </w:p>
        </w:tc>
      </w:tr>
      <w:tr>
        <w:trPr>
          <w:trHeight w:val="284"/>
        </w:trPr>
        <w:tc>
          <w:tcPr>
            <w:tcW w:w="2640" w:type="dxa"/>
            <w:vAlign w:val="bottom"/>
          </w:tcPr>
          <w:p>
            <w:pPr>
              <w:spacing w:after="0"/>
              <w:rPr>
                <w:sz w:val="20"/>
                <w:szCs w:val="20"/>
                <w:color w:val="auto"/>
              </w:rPr>
            </w:pPr>
            <w:r>
              <w:rPr>
                <w:rFonts w:ascii="Arial" w:cs="Arial" w:eastAsia="Arial" w:hAnsi="Arial"/>
                <w:sz w:val="16"/>
                <w:szCs w:val="16"/>
                <w:color w:val="auto"/>
              </w:rPr>
              <w:t>Basic net loss per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Diluted net loss per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Loss from operations includes the following items:</w:t>
      </w:r>
    </w:p>
    <w:p>
      <w:pPr>
        <w:spacing w:after="0" w:line="113"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right="720"/>
        <w:spacing w:after="0" w:line="352" w:lineRule="auto"/>
        <w:rPr>
          <w:sz w:val="20"/>
          <w:szCs w:val="20"/>
          <w:color w:val="auto"/>
        </w:rPr>
      </w:pPr>
      <w:r>
        <w:rPr>
          <w:rFonts w:ascii="Arial" w:cs="Arial" w:eastAsia="Arial" w:hAnsi="Arial"/>
          <w:sz w:val="16"/>
          <w:szCs w:val="16"/>
          <w:color w:val="auto"/>
        </w:rPr>
        <w:t>Amortization of acquisition related intangibles CEO transition costs</w:t>
      </w:r>
    </w:p>
    <w:p>
      <w:pPr>
        <w:spacing w:after="0" w:line="1" w:lineRule="exact"/>
        <w:rPr>
          <w:sz w:val="20"/>
          <w:szCs w:val="20"/>
          <w:color w:val="auto"/>
        </w:rPr>
      </w:pPr>
    </w:p>
    <w:p>
      <w:pPr>
        <w:ind w:left="220" w:right="500" w:hanging="161"/>
        <w:spacing w:after="0" w:line="293" w:lineRule="auto"/>
        <w:rPr>
          <w:sz w:val="20"/>
          <w:szCs w:val="20"/>
          <w:color w:val="auto"/>
        </w:rPr>
      </w:pPr>
      <w:r>
        <w:rPr>
          <w:rFonts w:ascii="Arial" w:cs="Arial" w:eastAsia="Arial" w:hAnsi="Arial"/>
          <w:sz w:val="16"/>
          <w:szCs w:val="16"/>
          <w:color w:val="auto"/>
        </w:rPr>
        <w:t>Restructuring charges and other facility exit costs,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485.7</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501.8</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515.3</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553.8</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2,056.6</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407.5</w:t>
            </w:r>
          </w:p>
        </w:tc>
        <w:tc>
          <w:tcPr>
            <w:tcW w:w="62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427.2</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437.8</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480.7</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1,753.2</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(119.6)</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(181.9)</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(509.1)</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24.8</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(129.6)</w:t>
            </w:r>
          </w:p>
        </w:tc>
        <w:tc>
          <w:tcPr>
            <w:tcW w:w="6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(144.0)</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(119.8)</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(173.5)</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(566.9)</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(0.59)</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(0.59)</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54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59.0</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58.8</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65.1</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62.1</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62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62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459"/>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6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60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-1813560</wp:posOffset>
            </wp:positionV>
            <wp:extent cx="722947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-1470660</wp:posOffset>
            </wp:positionV>
            <wp:extent cx="722947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-1127760</wp:posOffset>
            </wp:positionV>
            <wp:extent cx="722947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-784225</wp:posOffset>
            </wp:positionV>
            <wp:extent cx="722947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-441325</wp:posOffset>
            </wp:positionV>
            <wp:extent cx="722947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20955</wp:posOffset>
            </wp:positionV>
            <wp:extent cx="7229475"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3800" w:space="720"/>
            <w:col w:w="6900"/>
          </w:cols>
          <w:pgMar w:left="240" w:top="125" w:right="239" w:bottom="1440" w:gutter="0" w:footer="0" w:header="0"/>
          <w:type w:val="continuous"/>
        </w:sectPr>
      </w:pPr>
    </w:p>
    <w:p>
      <w:pPr>
        <w:spacing w:after="0" w:line="81" w:lineRule="exact"/>
        <w:rPr>
          <w:sz w:val="20"/>
          <w:szCs w:val="20"/>
          <w:color w:val="auto"/>
        </w:rPr>
      </w:pPr>
    </w:p>
    <w:p>
      <w:pPr>
        <w:ind w:left="40"/>
        <w:spacing w:after="0"/>
        <w:tabs>
          <w:tab w:leader="none" w:pos="3940" w:val="left"/>
          <w:tab w:leader="none" w:pos="5540" w:val="left"/>
          <w:tab w:leader="none" w:pos="7160" w:val="left"/>
          <w:tab w:leader="none" w:pos="8740" w:val="left"/>
          <w:tab w:leader="none" w:pos="10320" w:val="left"/>
        </w:tabs>
        <w:rPr>
          <w:sz w:val="20"/>
          <w:szCs w:val="20"/>
          <w:color w:val="auto"/>
        </w:rPr>
      </w:pPr>
      <w:r>
        <w:rPr>
          <w:rFonts w:ascii="Arial" w:cs="Arial" w:eastAsia="Arial" w:hAnsi="Arial"/>
          <w:sz w:val="14"/>
          <w:szCs w:val="14"/>
          <w:b w:val="1"/>
          <w:bCs w:val="1"/>
          <w:u w:val="single" w:color="auto"/>
          <w:color w:val="auto"/>
        </w:rPr>
        <w:t>2017</w:t>
      </w:r>
      <w:r>
        <w:rPr>
          <w:sz w:val="20"/>
          <w:szCs w:val="20"/>
          <w:color w:val="auto"/>
        </w:rPr>
        <w:tab/>
      </w:r>
      <w:r>
        <w:rPr>
          <w:rFonts w:ascii="Arial" w:cs="Arial" w:eastAsia="Arial" w:hAnsi="Arial"/>
          <w:sz w:val="14"/>
          <w:szCs w:val="14"/>
          <w:b w:val="1"/>
          <w:bCs w:val="1"/>
          <w:color w:val="auto"/>
        </w:rPr>
        <w:t>1st quarter</w:t>
      </w:r>
      <w:r>
        <w:rPr>
          <w:sz w:val="20"/>
          <w:szCs w:val="20"/>
          <w:color w:val="auto"/>
        </w:rPr>
        <w:tab/>
      </w:r>
      <w:r>
        <w:rPr>
          <w:rFonts w:ascii="Arial" w:cs="Arial" w:eastAsia="Arial" w:hAnsi="Arial"/>
          <w:sz w:val="14"/>
          <w:szCs w:val="14"/>
          <w:b w:val="1"/>
          <w:bCs w:val="1"/>
          <w:color w:val="auto"/>
        </w:rPr>
        <w:t>2nd quarter</w:t>
      </w:r>
      <w:r>
        <w:rPr>
          <w:sz w:val="20"/>
          <w:szCs w:val="20"/>
          <w:color w:val="auto"/>
        </w:rPr>
        <w:tab/>
      </w:r>
      <w:r>
        <w:rPr>
          <w:rFonts w:ascii="Arial" w:cs="Arial" w:eastAsia="Arial" w:hAnsi="Arial"/>
          <w:sz w:val="14"/>
          <w:szCs w:val="14"/>
          <w:b w:val="1"/>
          <w:bCs w:val="1"/>
          <w:color w:val="auto"/>
        </w:rPr>
        <w:t>3rd quarter</w:t>
      </w:r>
      <w:r>
        <w:rPr>
          <w:sz w:val="20"/>
          <w:szCs w:val="20"/>
          <w:color w:val="auto"/>
        </w:rPr>
        <w:tab/>
      </w:r>
      <w:r>
        <w:rPr>
          <w:rFonts w:ascii="Arial" w:cs="Arial" w:eastAsia="Arial" w:hAnsi="Arial"/>
          <w:sz w:val="14"/>
          <w:szCs w:val="14"/>
          <w:b w:val="1"/>
          <w:bCs w:val="1"/>
          <w:color w:val="auto"/>
        </w:rPr>
        <w:t>4th quarter</w:t>
      </w:r>
      <w:r>
        <w:rPr>
          <w:sz w:val="20"/>
          <w:szCs w:val="20"/>
          <w:color w:val="auto"/>
        </w:rPr>
        <w:tab/>
      </w: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6"/>
                <w:szCs w:val="16"/>
                <w:color w:val="auto"/>
              </w:rPr>
              <w:t>Net revenue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640" w:type="dxa"/>
            <w:vAlign w:val="bottom"/>
          </w:tcPr>
          <w:p>
            <w:pPr>
              <w:spacing w:after="0"/>
              <w:rPr>
                <w:sz w:val="20"/>
                <w:szCs w:val="20"/>
                <w:color w:val="auto"/>
              </w:rPr>
            </w:pPr>
            <w:r>
              <w:rPr>
                <w:rFonts w:ascii="Arial" w:cs="Arial" w:eastAsia="Arial" w:hAnsi="Arial"/>
                <w:sz w:val="16"/>
                <w:szCs w:val="16"/>
                <w:color w:val="auto"/>
              </w:rPr>
              <w:t>Gross profit</w:t>
            </w:r>
          </w:p>
        </w:tc>
        <w:tc>
          <w:tcPr>
            <w:tcW w:w="980" w:type="dxa"/>
            <w:vAlign w:val="bottom"/>
          </w:tcPr>
          <w:p>
            <w:pPr>
              <w:spacing w:after="0"/>
              <w:rPr>
                <w:sz w:val="22"/>
                <w:szCs w:val="22"/>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Loss from operations</w:t>
            </w:r>
          </w:p>
        </w:tc>
        <w:tc>
          <w:tcPr>
            <w:tcW w:w="980" w:type="dxa"/>
            <w:vAlign w:val="bottom"/>
          </w:tcPr>
          <w:p>
            <w:pPr>
              <w:spacing w:after="0"/>
              <w:rPr>
                <w:sz w:val="23"/>
                <w:szCs w:val="23"/>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23"/>
                <w:szCs w:val="23"/>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rPr>
                <w:sz w:val="23"/>
                <w:szCs w:val="23"/>
                <w:color w:val="auto"/>
              </w:rPr>
            </w:pPr>
          </w:p>
        </w:tc>
      </w:tr>
      <w:tr>
        <w:trPr>
          <w:trHeight w:val="284"/>
        </w:trPr>
        <w:tc>
          <w:tcPr>
            <w:tcW w:w="2640" w:type="dxa"/>
            <w:vAlign w:val="bottom"/>
          </w:tcPr>
          <w:p>
            <w:pPr>
              <w:spacing w:after="0"/>
              <w:rPr>
                <w:sz w:val="20"/>
                <w:szCs w:val="20"/>
                <w:color w:val="auto"/>
              </w:rPr>
            </w:pPr>
            <w:r>
              <w:rPr>
                <w:rFonts w:ascii="Arial" w:cs="Arial" w:eastAsia="Arial" w:hAnsi="Arial"/>
                <w:sz w:val="16"/>
                <w:szCs w:val="16"/>
                <w:color w:val="auto"/>
              </w:rPr>
              <w:t>Basic net loss per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Diluted net loss per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Loss from operations includes the following items:</w:t>
      </w:r>
    </w:p>
    <w:p>
      <w:pPr>
        <w:spacing w:after="0" w:line="113"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right="720"/>
        <w:spacing w:after="0" w:line="381" w:lineRule="auto"/>
        <w:rPr>
          <w:sz w:val="20"/>
          <w:szCs w:val="20"/>
          <w:color w:val="auto"/>
        </w:rPr>
      </w:pPr>
      <w:r>
        <w:rPr>
          <w:rFonts w:ascii="Arial" w:cs="Arial" w:eastAsia="Arial" w:hAnsi="Arial"/>
          <w:sz w:val="16"/>
          <w:szCs w:val="16"/>
          <w:color w:val="auto"/>
        </w:rPr>
        <w:t>Amortization of acquisition related intangibles Restructuring charges,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511.9</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550.7</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489.6</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478.8</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2,031.0</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419.5</w:t>
            </w:r>
          </w:p>
        </w:tc>
        <w:tc>
          <w:tcPr>
            <w:tcW w:w="64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465.6</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408.1</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395.9</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1,689.1</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(149.7)</w:t>
            </w:r>
          </w:p>
        </w:tc>
        <w:tc>
          <w:tcPr>
            <w:tcW w:w="6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(119.9)</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(167.1)</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(499.6)</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6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(167.7)</w:t>
            </w:r>
          </w:p>
        </w:tc>
        <w:tc>
          <w:tcPr>
            <w:tcW w:w="6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6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(142.8)</w:t>
            </w:r>
          </w:p>
        </w:tc>
        <w:tc>
          <w:tcPr>
            <w:tcW w:w="5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(173.4)</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(582.1)</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70"/>
        </w:trPr>
        <w:tc>
          <w:tcPr>
            <w:tcW w:w="5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54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51.6</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54.3</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56.6</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59.3</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221.8</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18.8</w:t>
            </w:r>
          </w:p>
        </w:tc>
        <w:tc>
          <w:tcPr>
            <w:tcW w:w="64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18.5</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17.2</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52.3</w:t>
            </w:r>
          </w:p>
        </w:tc>
        <w:tc>
          <w:tcPr>
            <w:tcW w:w="64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16.0</w:t>
            </w:r>
          </w:p>
        </w:tc>
        <w:tc>
          <w:tcPr>
            <w:tcW w:w="6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-1522095</wp:posOffset>
            </wp:positionV>
            <wp:extent cx="722947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-1179195</wp:posOffset>
            </wp:positionV>
            <wp:extent cx="722947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-835660</wp:posOffset>
            </wp:positionV>
            <wp:extent cx="722947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-492760</wp:posOffset>
            </wp:positionV>
            <wp:extent cx="722947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-149860</wp:posOffset>
            </wp:positionV>
            <wp:extent cx="722947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432435</wp:posOffset>
            </wp:positionV>
            <wp:extent cx="100330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3800" w:space="720"/>
            <w:col w:w="690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2018 Form 10-K 103</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audited the accompanying consolidated balance sheets of Autodesk, Inc. (the Company) as of January 31, 2018, and 2017, the related consolidated statements of operations, comprehensive loss, stockholders’ (deficit) equity, and cash flows for each of the three years in the period ended January 31, 2018,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January 31, 2018, and 2017, and the results of its operations and its cash flows for each of the three years in the period ended January 31, 2018, in conformity with U.S. generally accepted accounting principles.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31, 2018, based on criteria established in Internal Control-Integrated Framework issued by the Committee of Sponsoring Organizations of the Treadway Commission (2013 framework) and our report dated March 22,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1003300"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Autodesk, Inc.’s internal control over financial reporting as of January 31, 2018, based on criteria established in Internal Control-Integrated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2018, based on the COSO criteria.</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accompanying consolidated balance sheets of the Company as of January 31, 2018, and 2017, the related consolidated statements of operations, comprehensive loss, stockholders’ (deficit) equity, and cash flows for each of the three years in the period ended January 31, 2018, and the related notes and the financial statement schedule listed in the Index at Item 15(a)(2) and our report dated March 22, 2018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160020</wp:posOffset>
            </wp:positionV>
            <wp:extent cx="100330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w:t>
      </w:r>
      <w:r>
        <w:rPr>
          <w:sz w:val="20"/>
          <w:szCs w:val="20"/>
          <w:color w:val="auto"/>
        </w:rPr>
        <w:tab/>
      </w:r>
      <w:r>
        <w:rPr>
          <w:rFonts w:ascii="Arial" w:cs="Arial" w:eastAsia="Arial" w:hAnsi="Arial"/>
          <w:sz w:val="18"/>
          <w:szCs w:val="18"/>
          <w:b w:val="1"/>
          <w:bCs w:val="1"/>
          <w:color w:val="0696D7"/>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9A.</w:t>
      </w:r>
      <w:r>
        <w:rPr>
          <w:sz w:val="20"/>
          <w:szCs w:val="20"/>
          <w:color w:val="auto"/>
        </w:rPr>
        <w:tab/>
      </w:r>
      <w:r>
        <w:rPr>
          <w:rFonts w:ascii="Arial" w:cs="Arial" w:eastAsia="Arial" w:hAnsi="Arial"/>
          <w:sz w:val="17"/>
          <w:szCs w:val="17"/>
          <w:b w:val="1"/>
          <w:bCs w:val="1"/>
          <w:color w:val="0696D7"/>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2018.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Our management has concluded that, as of January 31, 2018, our internal control over financial reporting is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during the three months ended January 31, 2018, that have materially affected, or are reasonably likely to materially affect, our internal controls over financial reporting.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9B.</w:t>
      </w:r>
      <w:r>
        <w:rPr>
          <w:sz w:val="20"/>
          <w:szCs w:val="20"/>
          <w:color w:val="auto"/>
        </w:rPr>
        <w:tab/>
      </w:r>
      <w:r>
        <w:rPr>
          <w:rFonts w:ascii="Arial" w:cs="Arial" w:eastAsia="Arial" w:hAnsi="Arial"/>
          <w:sz w:val="18"/>
          <w:szCs w:val="18"/>
          <w:b w:val="1"/>
          <w:bCs w:val="1"/>
          <w:color w:val="0696D7"/>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0330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106</w:t>
      </w:r>
    </w:p>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10.</w:t>
      </w:r>
      <w:r>
        <w:rPr>
          <w:sz w:val="20"/>
          <w:szCs w:val="20"/>
          <w:color w:val="auto"/>
        </w:rPr>
        <w:tab/>
      </w:r>
      <w:r>
        <w:rPr>
          <w:rFonts w:ascii="Arial" w:cs="Arial" w:eastAsia="Arial" w:hAnsi="Arial"/>
          <w:sz w:val="18"/>
          <w:szCs w:val="18"/>
          <w:b w:val="1"/>
          <w:bCs w:val="1"/>
          <w:color w:val="0696D7"/>
        </w:rPr>
        <w:t>DIRECTORS, EXECUTIVE OFFICERS AND CORPORATE GOVERNANCE</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22, 2018, regarding our executive officers.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90"/>
              </w:rPr>
              <w:t>Age</w:t>
            </w: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8"/>
        </w:trPr>
        <w:tc>
          <w:tcPr>
            <w:tcW w:w="2520" w:type="dxa"/>
            <w:vAlign w:val="bottom"/>
            <w:gridSpan w:val="2"/>
          </w:tcPr>
          <w:p>
            <w:pPr>
              <w:spacing w:after="0"/>
              <w:rPr>
                <w:sz w:val="20"/>
                <w:szCs w:val="20"/>
                <w:color w:val="auto"/>
              </w:rPr>
            </w:pPr>
            <w:r>
              <w:rPr>
                <w:rFonts w:ascii="Arial" w:cs="Arial" w:eastAsia="Arial" w:hAnsi="Arial"/>
                <w:sz w:val="16"/>
                <w:szCs w:val="16"/>
                <w:color w:val="auto"/>
              </w:rPr>
              <w:t>Andrew Anagnost</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53</w:t>
            </w:r>
          </w:p>
        </w:tc>
        <w:tc>
          <w:tcPr>
            <w:tcW w:w="76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R. Scott Herren</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56</w:t>
            </w:r>
          </w:p>
        </w:tc>
        <w:tc>
          <w:tcPr>
            <w:tcW w:w="76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SVP and Chief Financial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53</w:t>
            </w:r>
          </w:p>
        </w:tc>
        <w:tc>
          <w:tcPr>
            <w:tcW w:w="76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SVP, Worldwide Field Operations</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53</w:t>
            </w:r>
          </w:p>
        </w:tc>
        <w:tc>
          <w:tcPr>
            <w:tcW w:w="76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w w:val="93"/>
              </w:rPr>
              <w:t>SVP, Corporate Affairs, Chief Legal Officer &amp; Secretary</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Carmel Galvin</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49</w:t>
            </w:r>
          </w:p>
        </w:tc>
        <w:tc>
          <w:tcPr>
            <w:tcW w:w="76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SVP, Chief Human Resources Officer</w:t>
            </w:r>
          </w:p>
        </w:tc>
      </w:tr>
    </w:tbl>
    <w:p>
      <w:pPr>
        <w:spacing w:after="0" w:line="23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b w:val="1"/>
          <w:bCs w:val="1"/>
          <w:color w:val="auto"/>
        </w:rPr>
        <w:t xml:space="preserve">Andrew Anagnost </w:t>
      </w:r>
      <w:r>
        <w:rPr>
          <w:rFonts w:ascii="Arial" w:cs="Arial" w:eastAsia="Arial" w:hAnsi="Arial"/>
          <w:sz w:val="17"/>
          <w:szCs w:val="17"/>
          <w:color w:val="auto"/>
        </w:rPr>
        <w:t>joined Autodesk in September 1997 and has served as President and Chief Executive Officer since June 2017. Dr. Anagnost served</w:t>
      </w:r>
      <w:r>
        <w:rPr>
          <w:rFonts w:ascii="Arial" w:cs="Arial" w:eastAsia="Arial" w:hAnsi="Arial"/>
          <w:sz w:val="17"/>
          <w:szCs w:val="17"/>
          <w:b w:val="1"/>
          <w:bCs w:val="1"/>
          <w:color w:val="auto"/>
        </w:rPr>
        <w:t xml:space="preserve"> </w:t>
      </w:r>
      <w:r>
        <w:rPr>
          <w:rFonts w:ascii="Arial" w:cs="Arial" w:eastAsia="Arial" w:hAnsi="Arial"/>
          <w:sz w:val="17"/>
          <w:szCs w:val="17"/>
          <w:color w:val="auto"/>
        </w:rPr>
        <w:t>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w:t>
      </w:r>
    </w:p>
    <w:p>
      <w:pPr>
        <w:spacing w:after="0" w:line="172"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b w:val="1"/>
          <w:bCs w:val="1"/>
          <w:color w:val="auto"/>
        </w:rPr>
        <w:t xml:space="preserve">R. Scott Herren </w:t>
      </w:r>
      <w:r>
        <w:rPr>
          <w:rFonts w:ascii="Arial" w:cs="Arial" w:eastAsia="Arial" w:hAnsi="Arial"/>
          <w:sz w:val="18"/>
          <w:szCs w:val="18"/>
          <w:color w:val="auto"/>
        </w:rPr>
        <w:t>joined Autodesk in November 2014 and serves as Senior Vice President and Chief Financial Officer. Prior to joining Autodesk, Mr.</w:t>
      </w:r>
      <w:r>
        <w:rPr>
          <w:rFonts w:ascii="Arial" w:cs="Arial" w:eastAsia="Arial" w:hAnsi="Arial"/>
          <w:sz w:val="18"/>
          <w:szCs w:val="18"/>
          <w:b w:val="1"/>
          <w:bCs w:val="1"/>
          <w:color w:val="auto"/>
        </w:rPr>
        <w:t xml:space="preserve"> </w:t>
      </w:r>
      <w:r>
        <w:rPr>
          <w:rFonts w:ascii="Arial" w:cs="Arial" w:eastAsia="Arial" w:hAnsi="Arial"/>
          <w:sz w:val="18"/>
          <w:szCs w:val="18"/>
          <w:color w:val="auto"/>
        </w:rPr>
        <w:t>Herren was the Senior Vice President of Finance for Citrix Systems, Inc. from September 2011 to October 2014 where he led the company’s finance, accounting, tax, treasury, investor relations, real estate, and facilities teams. From March 2000 to September 2011, Mr. Herren held a variety of leadership positions at Citrix including Vice President and Managing Director for EMEA and Vice President and General Manager of the Virtualization Systems Group. Prior to Citrix, Mr. Herren served at FedEx Corporation as Vice President, Financial Planning. Prior to FedEx, he spent 13 years at International Business Machines Corporation in senior financial positions.</w:t>
      </w:r>
    </w:p>
    <w:p>
      <w:pPr>
        <w:spacing w:after="0" w:line="18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Field Operations since September 2017. Mr.</w:t>
      </w:r>
      <w:r>
        <w:rPr>
          <w:rFonts w:ascii="Arial" w:cs="Arial" w:eastAsia="Arial" w:hAnsi="Arial"/>
          <w:sz w:val="17"/>
          <w:szCs w:val="17"/>
          <w:b w:val="1"/>
          <w:bCs w:val="1"/>
          <w:color w:val="auto"/>
        </w:rPr>
        <w:t xml:space="preserve"> </w:t>
      </w:r>
      <w:r>
        <w:rPr>
          <w:rFonts w:ascii="Arial" w:cs="Arial" w:eastAsia="Arial" w:hAnsi="Arial"/>
          <w:sz w:val="17"/>
          <w:szCs w:val="17"/>
          <w:color w:val="auto"/>
        </w:rPr>
        <w:t>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8" w:lineRule="exact"/>
        <w:rPr>
          <w:sz w:val="20"/>
          <w:szCs w:val="20"/>
          <w:color w:val="auto"/>
        </w:rPr>
      </w:pPr>
    </w:p>
    <w:p>
      <w:pPr>
        <w:ind w:right="180" w:firstLine="405"/>
        <w:spacing w:after="0" w:line="303" w:lineRule="auto"/>
        <w:rPr>
          <w:sz w:val="20"/>
          <w:szCs w:val="20"/>
          <w:color w:val="auto"/>
        </w:rPr>
      </w:pPr>
      <w:r>
        <w:rPr>
          <w:rFonts w:ascii="Arial" w:cs="Arial" w:eastAsia="Arial" w:hAnsi="Arial"/>
          <w:sz w:val="16"/>
          <w:szCs w:val="16"/>
          <w:b w:val="1"/>
          <w:bCs w:val="1"/>
          <w:color w:val="auto"/>
        </w:rPr>
        <w:t xml:space="preserve">Pascal W. Di Fronzo </w:t>
      </w:r>
      <w:r>
        <w:rPr>
          <w:rFonts w:ascii="Arial" w:cs="Arial" w:eastAsia="Arial" w:hAnsi="Arial"/>
          <w:sz w:val="16"/>
          <w:szCs w:val="16"/>
          <w:color w:val="auto"/>
        </w:rPr>
        <w:t>joined Autodesk in June 1998 and has served as SVP, Corporate Affairs, Chief Legal Officer &amp; Secretary since December 2016.</w:t>
      </w:r>
      <w:r>
        <w:rPr>
          <w:rFonts w:ascii="Arial" w:cs="Arial" w:eastAsia="Arial" w:hAnsi="Arial"/>
          <w:sz w:val="16"/>
          <w:szCs w:val="16"/>
          <w:b w:val="1"/>
          <w:bCs w:val="1"/>
          <w:color w:val="auto"/>
        </w:rPr>
        <w:t xml:space="preserve"> </w:t>
      </w:r>
      <w:r>
        <w:rPr>
          <w:rFonts w:ascii="Arial" w:cs="Arial" w:eastAsia="Arial" w:hAnsi="Arial"/>
          <w:sz w:val="16"/>
          <w:szCs w:val="16"/>
          <w:color w:val="auto"/>
        </w:rPr>
        <w:t>Mr. Di Fronzo served as Senior Vice President, General Counsel and Secretary from March 2007 to December 2016. From March 2006 to March 2007, Mr. Di Fronzo served as Vice President, General Counsel and Secretary, and served as Vice President, Assistant General Counsel and Assistant Secretary from March 2005 through March 2006. Previously, Mr. Di Fronzo served in other business and legal capacities in our Legal Department. Prior to joining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125095</wp:posOffset>
            </wp:positionV>
            <wp:extent cx="1003300"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Autodesk, he advised high technology and emerging growth companies on business and intellectual property transactions and litigation while in private practice.</w:t>
      </w:r>
    </w:p>
    <w:p>
      <w:pPr>
        <w:spacing w:after="0" w:line="16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color w:val="auto"/>
        </w:rPr>
        <w:t xml:space="preserve">Carmel Galvin </w:t>
      </w:r>
      <w:r>
        <w:rPr>
          <w:rFonts w:ascii="Arial" w:cs="Arial" w:eastAsia="Arial" w:hAnsi="Arial"/>
          <w:sz w:val="17"/>
          <w:szCs w:val="17"/>
          <w:color w:val="auto"/>
        </w:rPr>
        <w:t>joined Autodesk in March 2018 and serves as Senior Vice President, Chief Human Resources Officer (“CHRO”). Prior to joining</w:t>
      </w:r>
      <w:r>
        <w:rPr>
          <w:rFonts w:ascii="Arial" w:cs="Arial" w:eastAsia="Arial" w:hAnsi="Arial"/>
          <w:sz w:val="17"/>
          <w:szCs w:val="17"/>
          <w:b w:val="1"/>
          <w:bCs w:val="1"/>
          <w:color w:val="auto"/>
        </w:rPr>
        <w:t xml:space="preserve"> </w:t>
      </w:r>
      <w:r>
        <w:rPr>
          <w:rFonts w:ascii="Arial" w:cs="Arial" w:eastAsia="Arial" w:hAnsi="Arial"/>
          <w:sz w:val="17"/>
          <w:szCs w:val="17"/>
          <w:color w:val="auto"/>
        </w:rPr>
        <w:t>Autodesk, from April 2016 to February 2018, Ms. Galvin was the Senior Vice President, CHRO for Glassdoor, Inc. where she led all people functions of the company, including human resources planning, learning and development, talent acquisition, employee relations and engagement. From October 2014 to April 2016, Ms. Galvin served as Senior Vice President and CHRO at Advent Software, Inc., where she oversaw the company’s global people strategies and programs. Prior to Advent, she served as Vice President of Talent &amp; Culture Development for Deloitte’s new-venture accelerator, advising a growing portfolio of innovative companies on how to scale and adjust their culture and talent programs. Prior to Deloitte, Ms. Galvin gained 20 years of human resources experience at global companies including Moody’s KMV, Barra Inc., Visa International and IBM (Ireland) Ltd.</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11.</w:t>
      </w:r>
      <w:r>
        <w:rPr>
          <w:sz w:val="20"/>
          <w:szCs w:val="20"/>
          <w:color w:val="auto"/>
        </w:rPr>
        <w:tab/>
      </w:r>
      <w:r>
        <w:rPr>
          <w:rFonts w:ascii="Arial" w:cs="Arial" w:eastAsia="Arial" w:hAnsi="Arial"/>
          <w:sz w:val="18"/>
          <w:szCs w:val="18"/>
          <w:b w:val="1"/>
          <w:bCs w:val="1"/>
          <w:color w:val="0696D7"/>
        </w:rPr>
        <w:t>EXECUTIVE COMPENSATION</w:t>
      </w:r>
    </w:p>
    <w:p>
      <w:pPr>
        <w:spacing w:after="0" w:line="229" w:lineRule="exact"/>
        <w:rPr>
          <w:sz w:val="20"/>
          <w:szCs w:val="20"/>
          <w:color w:val="auto"/>
        </w:rPr>
      </w:pPr>
    </w:p>
    <w:p>
      <w:pPr>
        <w:ind w:right="11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“Executive Compensation,” in our Proxy Statement.</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12.</w:t>
      </w:r>
      <w:r>
        <w:rPr>
          <w:sz w:val="20"/>
          <w:szCs w:val="20"/>
          <w:color w:val="auto"/>
        </w:rPr>
        <w:tab/>
      </w:r>
      <w:r>
        <w:rPr>
          <w:rFonts w:ascii="Arial" w:cs="Arial" w:eastAsia="Arial" w:hAnsi="Arial"/>
          <w:sz w:val="18"/>
          <w:szCs w:val="18"/>
          <w:b w:val="1"/>
          <w:bCs w:val="1"/>
          <w:color w:val="0696D7"/>
        </w:rPr>
        <w:t>SECURITY OWNERSHIP OF CERTAIN BENEFICIAL OWNERS AND MANAGEMENT AND RELATED STOCKHOLDER MATTERS</w:t>
      </w:r>
    </w:p>
    <w:p>
      <w:pPr>
        <w:spacing w:after="0" w:line="16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13.</w:t>
      </w:r>
      <w:r>
        <w:rPr>
          <w:sz w:val="20"/>
          <w:szCs w:val="20"/>
          <w:color w:val="auto"/>
        </w:rPr>
        <w:tab/>
      </w:r>
      <w:r>
        <w:rPr>
          <w:rFonts w:ascii="Arial" w:cs="Arial" w:eastAsia="Arial" w:hAnsi="Arial"/>
          <w:sz w:val="18"/>
          <w:szCs w:val="18"/>
          <w:b w:val="1"/>
          <w:bCs w:val="1"/>
          <w:color w:val="0696D7"/>
        </w:rPr>
        <w:t>CERTAIN RELATIONSHIPS AND RELATED TRANSACTIONS, AND DIRECTOR INDEPENDENCE</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14.</w:t>
      </w:r>
      <w:r>
        <w:rPr>
          <w:sz w:val="20"/>
          <w:szCs w:val="20"/>
          <w:color w:val="auto"/>
        </w:rPr>
        <w:tab/>
      </w:r>
      <w:r>
        <w:rPr>
          <w:rFonts w:ascii="Arial" w:cs="Arial" w:eastAsia="Arial" w:hAnsi="Arial"/>
          <w:sz w:val="17"/>
          <w:szCs w:val="17"/>
          <w:b w:val="1"/>
          <w:bCs w:val="1"/>
          <w:color w:val="0696D7"/>
        </w:rPr>
        <w:t>PRINCIPAL ACCOUNTING FEES AND SERVICES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0330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15.</w:t>
      </w:r>
      <w:r>
        <w:rPr>
          <w:sz w:val="20"/>
          <w:szCs w:val="20"/>
          <w:color w:val="auto"/>
        </w:rPr>
        <w:tab/>
      </w:r>
      <w:r>
        <w:rPr>
          <w:rFonts w:ascii="Arial" w:cs="Arial" w:eastAsia="Arial" w:hAnsi="Arial"/>
          <w:sz w:val="18"/>
          <w:szCs w:val="18"/>
          <w:b w:val="1"/>
          <w:bCs w:val="1"/>
          <w:color w:val="0696D7"/>
        </w:rPr>
        <w:t>EXHIBITS AND FINANCIAL STATEMENT SCHEDULES</w:t>
      </w:r>
    </w:p>
    <w:p>
      <w:pPr>
        <w:spacing w:after="0" w:line="229" w:lineRule="exact"/>
        <w:rPr>
          <w:sz w:val="20"/>
          <w:szCs w:val="20"/>
          <w:color w:val="auto"/>
        </w:rPr>
      </w:pPr>
    </w:p>
    <w:p>
      <w:pPr>
        <w:ind w:left="840" w:hanging="427"/>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00" w:right="200" w:hanging="325"/>
        <w:spacing w:after="0" w:line="264" w:lineRule="auto"/>
        <w:tabs>
          <w:tab w:leader="none" w:pos="900" w:val="left"/>
        </w:tabs>
        <w:numPr>
          <w:ilvl w:val="1"/>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181" w:lineRule="exact"/>
        <w:rPr>
          <w:rFonts w:ascii="Arial" w:cs="Arial" w:eastAsia="Arial" w:hAnsi="Arial"/>
          <w:sz w:val="18"/>
          <w:szCs w:val="18"/>
          <w:i w:val="1"/>
          <w:iCs w:val="1"/>
          <w:color w:val="auto"/>
        </w:rPr>
      </w:pPr>
    </w:p>
    <w:p>
      <w:pPr>
        <w:ind w:left="900" w:right="60" w:hanging="325"/>
        <w:spacing w:after="0" w:line="342" w:lineRule="auto"/>
        <w:tabs>
          <w:tab w:leader="none" w:pos="900" w:val="left"/>
        </w:tabs>
        <w:numPr>
          <w:ilvl w:val="1"/>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2018, 2017,</w:t>
      </w:r>
      <w:r>
        <w:rPr>
          <w:rFonts w:ascii="Arial" w:cs="Arial" w:eastAsia="Arial" w:hAnsi="Arial"/>
          <w:sz w:val="16"/>
          <w:szCs w:val="16"/>
          <w:i w:val="1"/>
          <w:iCs w:val="1"/>
          <w:color w:val="auto"/>
        </w:rPr>
        <w:t xml:space="preserve"> </w:t>
      </w:r>
      <w:r>
        <w:rPr>
          <w:rFonts w:ascii="Arial" w:cs="Arial" w:eastAsia="Arial" w:hAnsi="Arial"/>
          <w:sz w:val="16"/>
          <w:szCs w:val="16"/>
          <w:color w:val="auto"/>
        </w:rPr>
        <w:t>and 2016, is filed as part of this Report and should be read in conjunction with the Consolidated Financial Statements of Autodesk, Inc.:</w:t>
      </w:r>
    </w:p>
    <w:p>
      <w:pPr>
        <w:spacing w:after="0" w:line="124" w:lineRule="exact"/>
        <w:rPr>
          <w:sz w:val="20"/>
          <w:szCs w:val="20"/>
          <w:color w:val="auto"/>
        </w:rPr>
      </w:pPr>
    </w:p>
    <w:p>
      <w:pPr>
        <w:ind w:left="1140"/>
        <w:spacing w:after="0"/>
        <w:tabs>
          <w:tab w:leader="none" w:pos="212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left="900" w:right="520"/>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900" w:right="280" w:hanging="325"/>
        <w:spacing w:after="0" w:line="277" w:lineRule="auto"/>
        <w:tabs>
          <w:tab w:leader="none" w:pos="900" w:val="left"/>
        </w:tabs>
        <w:numPr>
          <w:ilvl w:val="1"/>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70" w:lineRule="exact"/>
        <w:rPr>
          <w:rFonts w:ascii="Arial" w:cs="Arial" w:eastAsia="Arial" w:hAnsi="Arial"/>
          <w:sz w:val="18"/>
          <w:szCs w:val="18"/>
          <w:i w:val="1"/>
          <w:iCs w:val="1"/>
          <w:color w:val="auto"/>
        </w:rPr>
      </w:pPr>
    </w:p>
    <w:p>
      <w:pPr>
        <w:ind w:left="840" w:hanging="427"/>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00" w:right="40"/>
        <w:spacing w:after="0" w:line="277" w:lineRule="auto"/>
        <w:rPr>
          <w:sz w:val="20"/>
          <w:szCs w:val="20"/>
          <w:color w:val="auto"/>
        </w:rPr>
      </w:pPr>
      <w:r>
        <w:rPr>
          <w:rFonts w:ascii="Arial" w:cs="Arial" w:eastAsia="Arial" w:hAnsi="Arial"/>
          <w:sz w:val="18"/>
          <w:szCs w:val="18"/>
          <w:color w:val="auto"/>
        </w:rPr>
        <w:t>We have filed, or incorporated into this Report by reference, the exhibits listed on the accompanying Index to Exhibits immediately following the signature page of this Form 10-K.</w:t>
      </w:r>
    </w:p>
    <w:p>
      <w:pPr>
        <w:spacing w:after="0" w:line="170" w:lineRule="exact"/>
        <w:rPr>
          <w:sz w:val="20"/>
          <w:szCs w:val="20"/>
          <w:color w:val="auto"/>
        </w:rPr>
      </w:pPr>
    </w:p>
    <w:p>
      <w:pPr>
        <w:ind w:left="840" w:hanging="427"/>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15(A)(2)  FINANCIAL STATEMENT SCHEDULE II</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center"/>
              <w:ind w:right="223"/>
              <w:spacing w:after="0"/>
              <w:rPr>
                <w:sz w:val="20"/>
                <w:szCs w:val="20"/>
                <w:color w:val="auto"/>
              </w:rPr>
            </w:pPr>
            <w:r>
              <w:rPr>
                <w:rFonts w:ascii="Arial" w:cs="Arial" w:eastAsia="Arial" w:hAnsi="Arial"/>
                <w:sz w:val="14"/>
                <w:szCs w:val="14"/>
                <w:b w:val="1"/>
                <w:bCs w:val="1"/>
                <w:color w:val="auto"/>
                <w:w w:val="92"/>
              </w:rPr>
              <w:t>Additions</w:t>
            </w: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2"/>
                <w:szCs w:val="12"/>
                <w:color w:val="auto"/>
              </w:rPr>
            </w:pPr>
          </w:p>
        </w:tc>
        <w:tc>
          <w:tcPr>
            <w:tcW w:w="1380" w:type="dxa"/>
            <w:vAlign w:val="bottom"/>
          </w:tcPr>
          <w:p>
            <w:pPr>
              <w:jc w:val="center"/>
              <w:ind w:right="243"/>
              <w:spacing w:after="0" w:line="149" w:lineRule="exact"/>
              <w:rPr>
                <w:sz w:val="20"/>
                <w:szCs w:val="20"/>
                <w:color w:val="auto"/>
              </w:rPr>
            </w:pPr>
            <w:r>
              <w:rPr>
                <w:rFonts w:ascii="Arial" w:cs="Arial" w:eastAsia="Arial" w:hAnsi="Arial"/>
                <w:sz w:val="14"/>
                <w:szCs w:val="14"/>
                <w:b w:val="1"/>
                <w:bCs w:val="1"/>
                <w:color w:val="auto"/>
                <w:w w:val="94"/>
              </w:rPr>
              <w:t>Charged to</w:t>
            </w:r>
          </w:p>
        </w:tc>
        <w:tc>
          <w:tcPr>
            <w:tcW w:w="420" w:type="dxa"/>
            <w:vAlign w:val="bottom"/>
          </w:tcPr>
          <w:p>
            <w:pPr>
              <w:spacing w:after="0"/>
              <w:rPr>
                <w:sz w:val="12"/>
                <w:szCs w:val="12"/>
                <w:color w:val="auto"/>
              </w:rPr>
            </w:pPr>
          </w:p>
        </w:tc>
        <w:tc>
          <w:tcPr>
            <w:tcW w:w="1240" w:type="dxa"/>
            <w:vAlign w:val="bottom"/>
            <w:vMerge w:val="restart"/>
          </w:tcPr>
          <w:p>
            <w:pPr>
              <w:jc w:val="center"/>
              <w:ind w:right="301"/>
              <w:spacing w:after="0"/>
              <w:rPr>
                <w:sz w:val="20"/>
                <w:szCs w:val="20"/>
                <w:color w:val="auto"/>
              </w:rPr>
            </w:pPr>
            <w:r>
              <w:rPr>
                <w:rFonts w:ascii="Arial" w:cs="Arial" w:eastAsia="Arial" w:hAnsi="Arial"/>
                <w:sz w:val="14"/>
                <w:szCs w:val="14"/>
                <w:b w:val="1"/>
                <w:bCs w:val="1"/>
                <w:color w:val="auto"/>
                <w:w w:val="91"/>
              </w:rPr>
              <w:t>Deductions</w:t>
            </w: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8"/>
              </w:rPr>
              <w:t>Costs and</w:t>
            </w:r>
          </w:p>
        </w:tc>
        <w:tc>
          <w:tcPr>
            <w:tcW w:w="4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0"/>
              </w:rPr>
              <w:t>Beginning</w:t>
            </w:r>
          </w:p>
        </w:tc>
        <w:tc>
          <w:tcPr>
            <w:tcW w:w="380" w:type="dxa"/>
            <w:vAlign w:val="bottom"/>
          </w:tcPr>
          <w:p>
            <w:pPr>
              <w:spacing w:after="0"/>
              <w:rPr>
                <w:sz w:val="12"/>
                <w:szCs w:val="12"/>
                <w:color w:val="auto"/>
              </w:rPr>
            </w:pPr>
          </w:p>
        </w:tc>
        <w:tc>
          <w:tcPr>
            <w:tcW w:w="1380" w:type="dxa"/>
            <w:vAlign w:val="bottom"/>
          </w:tcPr>
          <w:p>
            <w:pPr>
              <w:jc w:val="center"/>
              <w:ind w:right="243"/>
              <w:spacing w:after="0" w:line="149" w:lineRule="exact"/>
              <w:rPr>
                <w:sz w:val="20"/>
                <w:szCs w:val="20"/>
                <w:color w:val="auto"/>
              </w:rPr>
            </w:pPr>
            <w:r>
              <w:rPr>
                <w:rFonts w:ascii="Arial" w:cs="Arial" w:eastAsia="Arial" w:hAnsi="Arial"/>
                <w:sz w:val="14"/>
                <w:szCs w:val="14"/>
                <w:b w:val="1"/>
                <w:bCs w:val="1"/>
                <w:color w:val="auto"/>
                <w:w w:val="88"/>
              </w:rPr>
              <w:t>Expenses or</w:t>
            </w:r>
          </w:p>
        </w:tc>
        <w:tc>
          <w:tcPr>
            <w:tcW w:w="420" w:type="dxa"/>
            <w:vAlign w:val="bottom"/>
          </w:tcPr>
          <w:p>
            <w:pPr>
              <w:spacing w:after="0"/>
              <w:rPr>
                <w:sz w:val="12"/>
                <w:szCs w:val="12"/>
                <w:color w:val="auto"/>
              </w:rPr>
            </w:pPr>
          </w:p>
        </w:tc>
        <w:tc>
          <w:tcPr>
            <w:tcW w:w="124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92"/>
              </w:rPr>
              <w:t>of Fiscal Year</w:t>
            </w:r>
          </w:p>
        </w:tc>
        <w:tc>
          <w:tcPr>
            <w:tcW w:w="380" w:type="dxa"/>
            <w:vAlign w:val="bottom"/>
          </w:tcPr>
          <w:p>
            <w:pPr>
              <w:spacing w:after="0"/>
              <w:rPr>
                <w:sz w:val="13"/>
                <w:szCs w:val="13"/>
                <w:color w:val="auto"/>
              </w:rPr>
            </w:pPr>
          </w:p>
        </w:tc>
        <w:tc>
          <w:tcPr>
            <w:tcW w:w="1380" w:type="dxa"/>
            <w:vAlign w:val="bottom"/>
          </w:tcPr>
          <w:p>
            <w:pPr>
              <w:jc w:val="center"/>
              <w:ind w:right="243"/>
              <w:spacing w:after="0" w:line="158" w:lineRule="exact"/>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3"/>
                <w:szCs w:val="13"/>
                <w:color w:val="auto"/>
              </w:rPr>
            </w:pPr>
          </w:p>
        </w:tc>
        <w:tc>
          <w:tcPr>
            <w:tcW w:w="124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97"/>
              </w:rPr>
              <w:t>Write-Offs</w:t>
            </w:r>
          </w:p>
        </w:tc>
        <w:tc>
          <w:tcPr>
            <w:tcW w:w="260" w:type="dxa"/>
            <w:vAlign w:val="bottom"/>
          </w:tcPr>
          <w:p>
            <w:pPr>
              <w:spacing w:after="0"/>
              <w:rPr>
                <w:sz w:val="13"/>
                <w:szCs w:val="13"/>
                <w:color w:val="auto"/>
              </w:rPr>
            </w:pPr>
          </w:p>
        </w:tc>
        <w:tc>
          <w:tcPr>
            <w:tcW w:w="1400" w:type="dxa"/>
            <w:vAlign w:val="bottom"/>
          </w:tcPr>
          <w:p>
            <w:pPr>
              <w:jc w:val="right"/>
              <w:ind w:right="141"/>
              <w:spacing w:after="0" w:line="158"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2018</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2.1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28.1</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224.3</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215.9</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20"/>
                <w:szCs w:val="20"/>
                <w:color w:val="auto"/>
              </w:rPr>
            </w:pP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94.1</w:t>
            </w:r>
          </w:p>
        </w:tc>
        <w:tc>
          <w:tcPr>
            <w:tcW w:w="4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45.3</w:t>
            </w:r>
          </w:p>
        </w:tc>
        <w:tc>
          <w:tcPr>
            <w:tcW w:w="260" w:type="dxa"/>
            <w:vAlign w:val="bottom"/>
          </w:tcPr>
          <w:p>
            <w:pPr>
              <w:spacing w:after="0"/>
              <w:rPr>
                <w:sz w:val="20"/>
                <w:szCs w:val="20"/>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2017</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(3.3)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45.2</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240.3</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20"/>
                <w:szCs w:val="20"/>
                <w:color w:val="auto"/>
              </w:rPr>
            </w:pP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77.8</w:t>
            </w:r>
          </w:p>
        </w:tc>
        <w:tc>
          <w:tcPr>
            <w:tcW w:w="4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70.7</w:t>
            </w:r>
          </w:p>
        </w:tc>
        <w:tc>
          <w:tcPr>
            <w:tcW w:w="260" w:type="dxa"/>
            <w:vAlign w:val="bottom"/>
          </w:tcPr>
          <w:p>
            <w:pPr>
              <w:spacing w:after="0"/>
              <w:rPr>
                <w:sz w:val="20"/>
                <w:szCs w:val="20"/>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2016</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6.3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2.3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36.5</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267.4</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258.7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20"/>
                <w:szCs w:val="20"/>
                <w:color w:val="auto"/>
              </w:rPr>
            </w:pP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20"/>
                <w:szCs w:val="20"/>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9"/>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16</w:t>
      </w:r>
      <w:r>
        <w:rPr>
          <w:sz w:val="20"/>
          <w:szCs w:val="20"/>
          <w:color w:val="auto"/>
        </w:rPr>
        <w:tab/>
      </w:r>
      <w:r>
        <w:rPr>
          <w:rFonts w:ascii="Arial" w:cs="Arial" w:eastAsia="Arial" w:hAnsi="Arial"/>
          <w:sz w:val="18"/>
          <w:szCs w:val="18"/>
          <w:b w:val="1"/>
          <w:bCs w:val="1"/>
          <w:color w:val="0696D7"/>
        </w:rPr>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169545</wp:posOffset>
            </wp:positionV>
            <wp:extent cx="1003300"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2018 Form 10-K 109</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100330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2018 Form 10-K 110</w:t>
      </w:r>
    </w:p>
    <w:p>
      <w:pPr>
        <w:sectPr>
          <w:pgSz w:w="11900" w:h="16838" w:orient="portrait"/>
          <w:cols w:equalWidth="0" w:num="1">
            <w:col w:w="10219"/>
          </w:cols>
          <w:pgMar w:left="240" w:top="125" w:right="1440"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640"/>
        <w:spacing w:after="0"/>
        <w:tabs>
          <w:tab w:leader="none" w:pos="7720" w:val="left"/>
          <w:tab w:leader="none" w:pos="8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43815</wp:posOffset>
            </wp:positionV>
            <wp:extent cx="32588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7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609600</wp:posOffset>
            </wp:positionV>
            <wp:extent cx="1003300"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Andrew Anagnost and</w:t>
      </w:r>
      <w:r>
        <w:rPr>
          <w:rFonts w:ascii="Arial" w:cs="Arial" w:eastAsia="Arial" w:hAnsi="Arial"/>
          <w:sz w:val="18"/>
          <w:szCs w:val="18"/>
          <w:b w:val="1"/>
          <w:bCs w:val="1"/>
          <w:color w:val="auto"/>
        </w:rPr>
        <w:t xml:space="preserve"> </w:t>
      </w:r>
      <w:r>
        <w:rPr>
          <w:rFonts w:ascii="Arial" w:cs="Arial" w:eastAsia="Arial" w:hAnsi="Arial"/>
          <w:sz w:val="18"/>
          <w:szCs w:val="18"/>
          <w:color w:val="auto"/>
        </w:rPr>
        <w:t>R. Scott Herren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right="160"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22, 2018.</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2"/>
              </w:rPr>
              <w:t>Signature</w:t>
            </w:r>
          </w:p>
        </w:tc>
        <w:tc>
          <w:tcPr>
            <w:tcW w:w="4020" w:type="dxa"/>
            <w:vAlign w:val="bottom"/>
            <w:gridSpan w:val="3"/>
          </w:tcPr>
          <w:p>
            <w:pPr>
              <w:jc w:val="center"/>
              <w:ind w:left="70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20" w:type="dxa"/>
            <w:vAlign w:val="bottom"/>
            <w:gridSpan w:val="3"/>
          </w:tcPr>
          <w:p>
            <w:pPr>
              <w:jc w:val="center"/>
              <w:ind w:left="700"/>
              <w:spacing w:after="0"/>
              <w:rPr>
                <w:sz w:val="20"/>
                <w:szCs w:val="20"/>
                <w:color w:val="auto"/>
              </w:rPr>
            </w:pPr>
            <w:r>
              <w:rPr>
                <w:rFonts w:ascii="Arial" w:cs="Arial" w:eastAsia="Arial" w:hAnsi="Arial"/>
                <w:sz w:val="16"/>
                <w:szCs w:val="16"/>
                <w:color w:val="auto"/>
                <w:w w:val="93"/>
              </w:rPr>
              <w:t>President and Chief Executive Officer, Director</w:t>
            </w:r>
          </w:p>
        </w:tc>
      </w:tr>
      <w:tr>
        <w:trPr>
          <w:trHeight w:val="230"/>
        </w:trPr>
        <w:tc>
          <w:tcPr>
            <w:tcW w:w="116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/s/</w:t>
            </w:r>
          </w:p>
        </w:tc>
        <w:tc>
          <w:tcPr>
            <w:tcW w:w="3120" w:type="dxa"/>
            <w:vAlign w:val="bottom"/>
            <w:gridSpan w:val="4"/>
          </w:tcPr>
          <w:p>
            <w:pPr>
              <w:jc w:val="right"/>
              <w:ind w:right="1420"/>
              <w:spacing w:after="0"/>
              <w:rPr>
                <w:sz w:val="20"/>
                <w:szCs w:val="20"/>
                <w:color w:val="auto"/>
              </w:rPr>
            </w:pPr>
            <w:r>
              <w:rPr>
                <w:rFonts w:ascii="Arial" w:cs="Arial" w:eastAsia="Arial" w:hAnsi="Arial"/>
                <w:sz w:val="16"/>
                <w:szCs w:val="16"/>
                <w:color w:val="auto"/>
              </w:rPr>
              <w:t>ANDREW ANAGNOST</w:t>
            </w:r>
          </w:p>
        </w:tc>
        <w:tc>
          <w:tcPr>
            <w:tcW w:w="4020" w:type="dxa"/>
            <w:vAlign w:val="bottom"/>
            <w:gridSpan w:val="3"/>
          </w:tcPr>
          <w:p>
            <w:pPr>
              <w:jc w:val="center"/>
              <w:ind w:left="700"/>
              <w:spacing w:after="0"/>
              <w:rPr>
                <w:sz w:val="20"/>
                <w:szCs w:val="20"/>
                <w:color w:val="auto"/>
              </w:rPr>
            </w:pPr>
            <w:r>
              <w:rPr>
                <w:rFonts w:ascii="Arial" w:cs="Arial" w:eastAsia="Arial" w:hAnsi="Arial"/>
                <w:sz w:val="16"/>
                <w:szCs w:val="16"/>
                <w:color w:val="auto"/>
                <w:w w:val="95"/>
              </w:rPr>
              <w:t>(Principal Executive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right="1460"/>
              <w:spacing w:after="0"/>
              <w:rPr>
                <w:sz w:val="20"/>
                <w:szCs w:val="20"/>
                <w:color w:val="auto"/>
              </w:rPr>
            </w:pPr>
            <w:r>
              <w:rPr>
                <w:rFonts w:ascii="Arial" w:cs="Arial" w:eastAsia="Arial" w:hAnsi="Arial"/>
                <w:sz w:val="16"/>
                <w:szCs w:val="16"/>
                <w:color w:val="auto"/>
                <w:w w:val="93"/>
              </w:rPr>
              <w:t>Andrew Anagnost</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2"/>
              </w:rPr>
              <w:t>Senior Vice President and Chief Financial Officer</w:t>
            </w:r>
          </w:p>
        </w:tc>
      </w:tr>
      <w:tr>
        <w:trPr>
          <w:trHeight w:val="206"/>
        </w:trPr>
        <w:tc>
          <w:tcPr>
            <w:tcW w:w="116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4"/>
              </w:rPr>
              <w:t>/s/</w:t>
            </w:r>
          </w:p>
        </w:tc>
        <w:tc>
          <w:tcPr>
            <w:tcW w:w="3120" w:type="dxa"/>
            <w:vAlign w:val="bottom"/>
            <w:gridSpan w:val="4"/>
          </w:tcPr>
          <w:p>
            <w:pPr>
              <w:jc w:val="center"/>
              <w:ind w:right="1460"/>
              <w:spacing w:after="0"/>
              <w:rPr>
                <w:sz w:val="20"/>
                <w:szCs w:val="20"/>
                <w:color w:val="auto"/>
              </w:rPr>
            </w:pPr>
            <w:r>
              <w:rPr>
                <w:rFonts w:ascii="Arial" w:cs="Arial" w:eastAsia="Arial" w:hAnsi="Arial"/>
                <w:sz w:val="16"/>
                <w:szCs w:val="16"/>
                <w:color w:val="auto"/>
                <w:w w:val="94"/>
              </w:rPr>
              <w:t>R. SCOTT HERREN</w:t>
            </w:r>
          </w:p>
        </w:tc>
        <w:tc>
          <w:tcPr>
            <w:tcW w:w="4020" w:type="dxa"/>
            <w:vAlign w:val="bottom"/>
            <w:gridSpan w:val="3"/>
          </w:tcPr>
          <w:p>
            <w:pPr>
              <w:jc w:val="center"/>
              <w:ind w:left="860"/>
              <w:spacing w:after="0"/>
              <w:rPr>
                <w:sz w:val="20"/>
                <w:szCs w:val="20"/>
                <w:color w:val="auto"/>
              </w:rPr>
            </w:pPr>
            <w:r>
              <w:rPr>
                <w:rFonts w:ascii="Arial" w:cs="Arial" w:eastAsia="Arial" w:hAnsi="Arial"/>
                <w:sz w:val="16"/>
                <w:szCs w:val="16"/>
                <w:color w:val="auto"/>
                <w:w w:val="95"/>
              </w:rPr>
              <w:t>(Principal Financial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0"/>
              </w:rPr>
              <w:t>R. Scott Herren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00"/>
              <w:spacing w:after="0"/>
              <w:rPr>
                <w:sz w:val="20"/>
                <w:szCs w:val="20"/>
                <w:color w:val="auto"/>
              </w:rPr>
            </w:pPr>
            <w:r>
              <w:rPr>
                <w:rFonts w:ascii="Arial" w:cs="Arial" w:eastAsia="Arial" w:hAnsi="Arial"/>
                <w:sz w:val="16"/>
                <w:szCs w:val="16"/>
                <w:color w:val="auto"/>
                <w:w w:val="92"/>
              </w:rPr>
              <w:t>Vice President and Controller</w:t>
            </w:r>
          </w:p>
        </w:tc>
      </w:tr>
      <w:tr>
        <w:trPr>
          <w:trHeight w:val="206"/>
        </w:trPr>
        <w:tc>
          <w:tcPr>
            <w:tcW w:w="116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auto"/>
              </w:rPr>
              <w:t>/s/</w:t>
            </w:r>
          </w:p>
        </w:tc>
        <w:tc>
          <w:tcPr>
            <w:tcW w:w="3120" w:type="dxa"/>
            <w:vAlign w:val="bottom"/>
            <w:gridSpan w:val="4"/>
          </w:tcPr>
          <w:p>
            <w:pPr>
              <w:jc w:val="right"/>
              <w:ind w:right="1500"/>
              <w:spacing w:after="0"/>
              <w:rPr>
                <w:sz w:val="20"/>
                <w:szCs w:val="20"/>
                <w:color w:val="auto"/>
              </w:rPr>
            </w:pPr>
            <w:r>
              <w:rPr>
                <w:rFonts w:ascii="Arial" w:cs="Arial" w:eastAsia="Arial" w:hAnsi="Arial"/>
                <w:sz w:val="16"/>
                <w:szCs w:val="16"/>
                <w:color w:val="auto"/>
              </w:rPr>
              <w:t>PAUL UNDERWOOD</w:t>
            </w:r>
          </w:p>
        </w:tc>
        <w:tc>
          <w:tcPr>
            <w:tcW w:w="4020" w:type="dxa"/>
            <w:vAlign w:val="bottom"/>
            <w:gridSpan w:val="3"/>
          </w:tcPr>
          <w:p>
            <w:pPr>
              <w:jc w:val="center"/>
              <w:ind w:left="900"/>
              <w:spacing w:after="0"/>
              <w:rPr>
                <w:sz w:val="20"/>
                <w:szCs w:val="20"/>
                <w:color w:val="auto"/>
              </w:rPr>
            </w:pPr>
            <w:r>
              <w:rPr>
                <w:rFonts w:ascii="Arial" w:cs="Arial" w:eastAsia="Arial" w:hAnsi="Arial"/>
                <w:sz w:val="16"/>
                <w:szCs w:val="16"/>
                <w:color w:val="auto"/>
                <w:w w:val="96"/>
              </w:rPr>
              <w:t>(Principal Accounting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right="1440"/>
              <w:spacing w:after="0"/>
              <w:rPr>
                <w:sz w:val="20"/>
                <w:szCs w:val="20"/>
                <w:color w:val="auto"/>
              </w:rPr>
            </w:pPr>
            <w:r>
              <w:rPr>
                <w:rFonts w:ascii="Arial" w:cs="Arial" w:eastAsia="Arial" w:hAnsi="Arial"/>
                <w:sz w:val="16"/>
                <w:szCs w:val="16"/>
                <w:color w:val="auto"/>
                <w:w w:val="91"/>
              </w:rPr>
              <w:t>Paul Underwood</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206"/>
        </w:trPr>
        <w:tc>
          <w:tcPr>
            <w:tcW w:w="1160" w:type="dxa"/>
            <w:vAlign w:val="bottom"/>
          </w:tcPr>
          <w:p>
            <w:pPr>
              <w:ind w:left="920"/>
              <w:spacing w:after="0"/>
              <w:rPr>
                <w:sz w:val="20"/>
                <w:szCs w:val="20"/>
                <w:color w:val="auto"/>
              </w:rPr>
            </w:pPr>
            <w:r>
              <w:rPr>
                <w:rFonts w:ascii="Arial" w:cs="Arial" w:eastAsia="Arial" w:hAnsi="Arial"/>
                <w:sz w:val="16"/>
                <w:szCs w:val="16"/>
                <w:color w:val="auto"/>
              </w:rPr>
              <w:t>/s/</w:t>
            </w:r>
          </w:p>
        </w:tc>
        <w:tc>
          <w:tcPr>
            <w:tcW w:w="3400" w:type="dxa"/>
            <w:vAlign w:val="bottom"/>
            <w:gridSpan w:val="5"/>
          </w:tcPr>
          <w:p>
            <w:pPr>
              <w:jc w:val="center"/>
              <w:ind w:right="1160"/>
              <w:spacing w:after="0"/>
              <w:rPr>
                <w:sz w:val="20"/>
                <w:szCs w:val="20"/>
                <w:color w:val="auto"/>
              </w:rPr>
            </w:pPr>
            <w:r>
              <w:rPr>
                <w:rFonts w:ascii="Arial" w:cs="Arial" w:eastAsia="Arial" w:hAnsi="Arial"/>
                <w:sz w:val="16"/>
                <w:szCs w:val="16"/>
                <w:color w:val="auto"/>
                <w:w w:val="96"/>
              </w:rPr>
              <w:t>CRAWFORD W. BEVERIDGE</w:t>
            </w:r>
          </w:p>
        </w:tc>
        <w:tc>
          <w:tcPr>
            <w:tcW w:w="4020" w:type="dxa"/>
            <w:vAlign w:val="bottom"/>
            <w:gridSpan w:val="3"/>
          </w:tcPr>
          <w:p>
            <w:pPr>
              <w:jc w:val="center"/>
              <w:ind w:left="860"/>
              <w:spacing w:after="0"/>
              <w:rPr>
                <w:sz w:val="20"/>
                <w:szCs w:val="20"/>
                <w:color w:val="auto"/>
              </w:rPr>
            </w:pPr>
            <w:r>
              <w:rPr>
                <w:rFonts w:ascii="Arial" w:cs="Arial" w:eastAsia="Arial" w:hAnsi="Arial"/>
                <w:sz w:val="16"/>
                <w:szCs w:val="16"/>
                <w:color w:val="auto"/>
                <w:w w:val="93"/>
              </w:rPr>
              <w:t>(Non-executive Chairman of the Board)</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right="1440"/>
              <w:spacing w:after="0"/>
              <w:rPr>
                <w:sz w:val="20"/>
                <w:szCs w:val="20"/>
                <w:color w:val="auto"/>
              </w:rPr>
            </w:pPr>
            <w:r>
              <w:rPr>
                <w:rFonts w:ascii="Arial" w:cs="Arial" w:eastAsia="Arial" w:hAnsi="Arial"/>
                <w:sz w:val="16"/>
                <w:szCs w:val="16"/>
                <w:color w:val="auto"/>
                <w:w w:val="94"/>
              </w:rPr>
              <w:t>Crawford W. Beveridge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/s/</w:t>
            </w: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7"/>
              </w:rPr>
              <w:t>CARL BASS</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2"/>
              </w:rPr>
              <w:t>Carl Bass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6"/>
                <w:szCs w:val="16"/>
                <w:color w:val="auto"/>
                <w:w w:val="82"/>
              </w:rPr>
              <w:t>/s/</w:t>
            </w:r>
          </w:p>
        </w:tc>
        <w:tc>
          <w:tcPr>
            <w:tcW w:w="2800" w:type="dxa"/>
            <w:vAlign w:val="bottom"/>
            <w:gridSpan w:val="3"/>
          </w:tcPr>
          <w:p>
            <w:pPr>
              <w:jc w:val="right"/>
              <w:ind w:right="1600"/>
              <w:spacing w:after="0"/>
              <w:rPr>
                <w:sz w:val="20"/>
                <w:szCs w:val="20"/>
                <w:color w:val="auto"/>
              </w:rPr>
            </w:pPr>
            <w:r>
              <w:rPr>
                <w:rFonts w:ascii="Arial" w:cs="Arial" w:eastAsia="Arial" w:hAnsi="Arial"/>
                <w:sz w:val="16"/>
                <w:szCs w:val="16"/>
                <w:color w:val="auto"/>
              </w:rPr>
              <w:t>REID FRENCH</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1"/>
              </w:rPr>
              <w:t>Reid French</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/s/</w:t>
            </w:r>
          </w:p>
        </w:tc>
        <w:tc>
          <w:tcPr>
            <w:tcW w:w="3120" w:type="dxa"/>
            <w:vAlign w:val="bottom"/>
            <w:gridSpan w:val="4"/>
          </w:tcPr>
          <w:p>
            <w:pPr>
              <w:jc w:val="center"/>
              <w:ind w:right="1460"/>
              <w:spacing w:after="0"/>
              <w:rPr>
                <w:sz w:val="20"/>
                <w:szCs w:val="20"/>
                <w:color w:val="auto"/>
              </w:rPr>
            </w:pPr>
            <w:r>
              <w:rPr>
                <w:rFonts w:ascii="Arial" w:cs="Arial" w:eastAsia="Arial" w:hAnsi="Arial"/>
                <w:sz w:val="16"/>
                <w:szCs w:val="16"/>
                <w:color w:val="auto"/>
                <w:w w:val="95"/>
              </w:rPr>
              <w:t>THOMAS GEORGENS</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right="1460"/>
              <w:spacing w:after="0"/>
              <w:rPr>
                <w:sz w:val="20"/>
                <w:szCs w:val="20"/>
                <w:color w:val="auto"/>
              </w:rPr>
            </w:pPr>
            <w:r>
              <w:rPr>
                <w:rFonts w:ascii="Arial" w:cs="Arial" w:eastAsia="Arial" w:hAnsi="Arial"/>
                <w:sz w:val="16"/>
                <w:szCs w:val="16"/>
                <w:color w:val="auto"/>
                <w:w w:val="89"/>
              </w:rPr>
              <w:t>Thomas Georgens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center"/>
              <w:ind w:right="1440"/>
              <w:spacing w:after="0"/>
              <w:rPr>
                <w:sz w:val="20"/>
                <w:szCs w:val="20"/>
                <w:color w:val="auto"/>
              </w:rPr>
            </w:pPr>
            <w:r>
              <w:rPr>
                <w:rFonts w:ascii="Arial" w:cs="Arial" w:eastAsia="Arial" w:hAnsi="Arial"/>
                <w:sz w:val="16"/>
                <w:szCs w:val="16"/>
                <w:color w:val="auto"/>
              </w:rPr>
              <w:t>/s/  RICK HILL</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rPr>
              <w:t>Rick Hill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/s/</w:t>
            </w:r>
          </w:p>
        </w:tc>
        <w:tc>
          <w:tcPr>
            <w:tcW w:w="3120" w:type="dxa"/>
            <w:vAlign w:val="bottom"/>
            <w:gridSpan w:val="4"/>
          </w:tcPr>
          <w:p>
            <w:pPr>
              <w:jc w:val="center"/>
              <w:ind w:right="1460"/>
              <w:spacing w:after="0"/>
              <w:rPr>
                <w:sz w:val="20"/>
                <w:szCs w:val="20"/>
                <w:color w:val="auto"/>
              </w:rPr>
            </w:pPr>
            <w:r>
              <w:rPr>
                <w:rFonts w:ascii="Arial" w:cs="Arial" w:eastAsia="Arial" w:hAnsi="Arial"/>
                <w:sz w:val="16"/>
                <w:szCs w:val="16"/>
                <w:color w:val="auto"/>
              </w:rPr>
              <w:t>MARY T. MCDOWELL</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right="1440"/>
              <w:spacing w:after="0"/>
              <w:rPr>
                <w:sz w:val="20"/>
                <w:szCs w:val="20"/>
                <w:color w:val="auto"/>
              </w:rPr>
            </w:pPr>
            <w:r>
              <w:rPr>
                <w:rFonts w:ascii="Arial" w:cs="Arial" w:eastAsia="Arial" w:hAnsi="Arial"/>
                <w:sz w:val="16"/>
                <w:szCs w:val="16"/>
                <w:color w:val="auto"/>
                <w:w w:val="96"/>
              </w:rPr>
              <w:t>Mary T. McDowell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ind w:left="1000"/>
              <w:spacing w:after="0"/>
              <w:rPr>
                <w:sz w:val="20"/>
                <w:szCs w:val="20"/>
                <w:color w:val="auto"/>
              </w:rPr>
            </w:pPr>
            <w:r>
              <w:rPr>
                <w:rFonts w:ascii="Arial" w:cs="Arial" w:eastAsia="Arial" w:hAnsi="Arial"/>
                <w:sz w:val="16"/>
                <w:szCs w:val="16"/>
                <w:color w:val="auto"/>
                <w:w w:val="82"/>
              </w:rPr>
              <w:t>/s/</w:t>
            </w:r>
          </w:p>
        </w:tc>
        <w:tc>
          <w:tcPr>
            <w:tcW w:w="3400" w:type="dxa"/>
            <w:vAlign w:val="bottom"/>
            <w:gridSpan w:val="5"/>
          </w:tcPr>
          <w:p>
            <w:pPr>
              <w:jc w:val="center"/>
              <w:ind w:right="1160"/>
              <w:spacing w:after="0"/>
              <w:rPr>
                <w:sz w:val="20"/>
                <w:szCs w:val="20"/>
                <w:color w:val="auto"/>
              </w:rPr>
            </w:pPr>
            <w:r>
              <w:rPr>
                <w:rFonts w:ascii="Arial" w:cs="Arial" w:eastAsia="Arial" w:hAnsi="Arial"/>
                <w:sz w:val="16"/>
                <w:szCs w:val="16"/>
                <w:color w:val="auto"/>
                <w:w w:val="98"/>
              </w:rPr>
              <w:t>LORRIE M. NORRINGTON</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right="1440"/>
              <w:spacing w:after="0"/>
              <w:rPr>
                <w:sz w:val="20"/>
                <w:szCs w:val="20"/>
                <w:color w:val="auto"/>
              </w:rPr>
            </w:pPr>
            <w:r>
              <w:rPr>
                <w:rFonts w:ascii="Arial" w:cs="Arial" w:eastAsia="Arial" w:hAnsi="Arial"/>
                <w:sz w:val="16"/>
                <w:szCs w:val="16"/>
                <w:color w:val="auto"/>
                <w:w w:val="98"/>
              </w:rPr>
              <w:t>Lorrie M. Norrington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4"/>
              </w:rPr>
              <w:t>/s/</w:t>
            </w:r>
          </w:p>
        </w:tc>
        <w:tc>
          <w:tcPr>
            <w:tcW w:w="3120" w:type="dxa"/>
            <w:vAlign w:val="bottom"/>
            <w:gridSpan w:val="4"/>
          </w:tcPr>
          <w:p>
            <w:pPr>
              <w:jc w:val="right"/>
              <w:ind w:right="1420"/>
              <w:spacing w:after="0"/>
              <w:rPr>
                <w:sz w:val="20"/>
                <w:szCs w:val="20"/>
                <w:color w:val="auto"/>
              </w:rPr>
            </w:pPr>
            <w:r>
              <w:rPr>
                <w:rFonts w:ascii="Arial" w:cs="Arial" w:eastAsia="Arial" w:hAnsi="Arial"/>
                <w:sz w:val="16"/>
                <w:szCs w:val="16"/>
                <w:color w:val="auto"/>
              </w:rPr>
              <w:t>ELIZABETH RAFAEL</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right="1440"/>
              <w:spacing w:after="0"/>
              <w:rPr>
                <w:sz w:val="20"/>
                <w:szCs w:val="20"/>
                <w:color w:val="auto"/>
              </w:rPr>
            </w:pPr>
            <w:r>
              <w:rPr>
                <w:rFonts w:ascii="Arial" w:cs="Arial" w:eastAsia="Arial" w:hAnsi="Arial"/>
                <w:sz w:val="16"/>
                <w:szCs w:val="16"/>
                <w:color w:val="auto"/>
                <w:w w:val="92"/>
              </w:rPr>
              <w:t>Elizabeth Rafael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3400" w:type="dxa"/>
            <w:vAlign w:val="bottom"/>
            <w:gridSpan w:val="5"/>
          </w:tcPr>
          <w:p>
            <w:pPr>
              <w:ind w:left="220"/>
              <w:spacing w:after="0"/>
              <w:rPr>
                <w:sz w:val="20"/>
                <w:szCs w:val="20"/>
                <w:color w:val="auto"/>
              </w:rPr>
            </w:pPr>
            <w:r>
              <w:rPr>
                <w:rFonts w:ascii="Arial" w:cs="Arial" w:eastAsia="Arial" w:hAnsi="Arial"/>
                <w:sz w:val="16"/>
                <w:szCs w:val="16"/>
                <w:color w:val="auto"/>
              </w:rPr>
              <w:t>/s/  STACY J. SMITH</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89"/>
              </w:rPr>
              <w:t>Stacy J. Smith</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185"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43815</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0"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Karen Blasing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00330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2018 Form 10-K 112</w:t>
      </w:r>
    </w:p>
    <w:p>
      <w:pPr>
        <w:sectPr>
          <w:pgSz w:w="11900" w:h="16838" w:orient="portrait"/>
          <w:cols w:equalWidth="0" w:num="1">
            <w:col w:w="11400"/>
          </w:cols>
          <w:pgMar w:left="240" w:top="125" w:right="25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40" w:type="dxa"/>
            <w:vAlign w:val="bottom"/>
            <w:gridSpan w:val="21"/>
          </w:tcPr>
          <w:p>
            <w:pPr>
              <w:ind w:left="54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60" w:type="dxa"/>
            <w:vAlign w:val="bottom"/>
            <w:gridSpan w:val="2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2"/>
              </w:rPr>
            </w:pPr>
            <w:hyperlink r:id="rId211">
              <w:r>
                <w:rPr>
                  <w:rFonts w:ascii="Arial" w:cs="Arial" w:eastAsia="Arial" w:hAnsi="Arial"/>
                  <w:sz w:val="16"/>
                  <w:szCs w:val="16"/>
                  <w:color w:val="0000FF"/>
                  <w:w w:val="92"/>
                </w:rPr>
                <w:t>Amended and Restated Certificate of Incorporation of Registrant (incorporated by reference to Exhibit 3.1 filed with the Registrant’s Annual Report 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211">
              <w:r>
                <w:rPr>
                  <w:rFonts w:ascii="Arial" w:cs="Arial" w:eastAsia="Arial" w:hAnsi="Arial"/>
                  <w:sz w:val="16"/>
                  <w:szCs w:val="16"/>
                  <w:color w:val="0000FF"/>
                </w:rPr>
                <w:t>Form 10-K filed on March 30, 2006)</w:t>
              </w:r>
            </w:hyperlink>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3.2</w:t>
            </w:r>
          </w:p>
        </w:tc>
        <w:tc>
          <w:tcPr>
            <w:tcW w:w="500" w:type="dxa"/>
            <w:vAlign w:val="bottom"/>
          </w:tcPr>
          <w:p>
            <w:pPr>
              <w:spacing w:after="0"/>
              <w:rPr>
                <w:sz w:val="24"/>
                <w:szCs w:val="24"/>
                <w:color w:val="auto"/>
              </w:rPr>
            </w:pPr>
          </w:p>
        </w:tc>
        <w:tc>
          <w:tcPr>
            <w:tcW w:w="9760" w:type="dxa"/>
            <w:vAlign w:val="bottom"/>
            <w:tcBorders>
              <w:bottom w:val="single" w:sz="8" w:color="0000FF"/>
            </w:tcBorders>
            <w:gridSpan w:val="23"/>
          </w:tcPr>
          <w:p>
            <w:pPr>
              <w:spacing w:after="0"/>
              <w:rPr>
                <w:rFonts w:ascii="Arial" w:cs="Arial" w:eastAsia="Arial" w:hAnsi="Arial"/>
                <w:sz w:val="16"/>
                <w:szCs w:val="16"/>
                <w:color w:val="0000FF"/>
                <w:w w:val="92"/>
              </w:rPr>
            </w:pPr>
            <w:hyperlink r:id="rId212">
              <w:r>
                <w:rPr>
                  <w:rFonts w:ascii="Arial" w:cs="Arial" w:eastAsia="Arial" w:hAnsi="Arial"/>
                  <w:sz w:val="16"/>
                  <w:szCs w:val="16"/>
                  <w:color w:val="0000FF"/>
                  <w:w w:val="92"/>
                </w:rPr>
                <w:t>Amended and Restated Bylaws of Registrant (incorporated by reference to Exhibit 3.1 filed with the Registrant’s Current Report on Form 8-K filed on</w:t>
              </w:r>
            </w:hyperlink>
          </w:p>
        </w:tc>
        <w:tc>
          <w:tcPr>
            <w:tcW w:w="60" w:type="dxa"/>
            <w:vAlign w:val="bottom"/>
            <w:gridSpan w:val="3"/>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Borders>
              <w:bottom w:val="single" w:sz="8" w:color="0000FF"/>
            </w:tcBorders>
          </w:tcPr>
          <w:p>
            <w:pPr>
              <w:spacing w:after="0" w:line="183" w:lineRule="exact"/>
              <w:rPr>
                <w:rFonts w:ascii="Arial" w:cs="Arial" w:eastAsia="Arial" w:hAnsi="Arial"/>
                <w:sz w:val="16"/>
                <w:szCs w:val="16"/>
                <w:color w:val="0000FF"/>
                <w:w w:val="90"/>
              </w:rPr>
            </w:pPr>
            <w:hyperlink r:id="rId212">
              <w:r>
                <w:rPr>
                  <w:rFonts w:ascii="Arial" w:cs="Arial" w:eastAsia="Arial" w:hAnsi="Arial"/>
                  <w:sz w:val="16"/>
                  <w:szCs w:val="16"/>
                  <w:color w:val="0000FF"/>
                  <w:w w:val="90"/>
                </w:rPr>
                <w:t>March 21, 2018)</w:t>
              </w:r>
            </w:hyperlink>
          </w:p>
        </w:tc>
        <w:tc>
          <w:tcPr>
            <w:tcW w:w="8740" w:type="dxa"/>
            <w:vAlign w:val="bottom"/>
            <w:gridSpan w:val="25"/>
          </w:tcPr>
          <w:p>
            <w:pPr>
              <w:spacing w:after="0"/>
              <w:rPr>
                <w:sz w:val="15"/>
                <w:szCs w:val="15"/>
                <w:color w:val="auto"/>
              </w:rPr>
            </w:pPr>
          </w:p>
        </w:tc>
      </w:tr>
      <w:tr>
        <w:trPr>
          <w:trHeight w:val="358"/>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4.1</w:t>
            </w:r>
          </w:p>
        </w:tc>
        <w:tc>
          <w:tcPr>
            <w:tcW w:w="500" w:type="dxa"/>
            <w:vAlign w:val="bottom"/>
          </w:tcPr>
          <w:p>
            <w:pPr>
              <w:spacing w:after="0"/>
              <w:rPr>
                <w:sz w:val="24"/>
                <w:szCs w:val="24"/>
                <w:color w:val="auto"/>
              </w:rPr>
            </w:pPr>
          </w:p>
        </w:tc>
        <w:tc>
          <w:tcPr>
            <w:tcW w:w="9820" w:type="dxa"/>
            <w:vAlign w:val="bottom"/>
            <w:tcBorders>
              <w:bottom w:val="single" w:sz="8" w:color="0000FF"/>
            </w:tcBorders>
            <w:gridSpan w:val="26"/>
          </w:tcPr>
          <w:p>
            <w:pPr>
              <w:spacing w:after="0"/>
              <w:rPr>
                <w:rFonts w:ascii="Arial" w:cs="Arial" w:eastAsia="Arial" w:hAnsi="Arial"/>
                <w:sz w:val="16"/>
                <w:szCs w:val="16"/>
                <w:color w:val="0000FF"/>
                <w:w w:val="92"/>
              </w:rPr>
            </w:pPr>
            <w:hyperlink r:id="rId213">
              <w:r>
                <w:rPr>
                  <w:rFonts w:ascii="Arial" w:cs="Arial" w:eastAsia="Arial" w:hAnsi="Arial"/>
                  <w:sz w:val="16"/>
                  <w:szCs w:val="16"/>
                  <w:color w:val="0000FF"/>
                  <w:w w:val="92"/>
                </w:rPr>
                <w:t>Indenture dated December 13, 2012, by and between Autodesk, Inc. and U.S. Bank National Association (incorporated by reference to Exhibit 4.1 filed</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140" w:type="dxa"/>
            <w:vAlign w:val="bottom"/>
            <w:tcBorders>
              <w:bottom w:val="single" w:sz="8" w:color="0000FF"/>
            </w:tcBorders>
            <w:gridSpan w:val="7"/>
          </w:tcPr>
          <w:p>
            <w:pPr>
              <w:spacing w:after="0" w:line="183" w:lineRule="exact"/>
              <w:rPr>
                <w:rFonts w:ascii="Arial" w:cs="Arial" w:eastAsia="Arial" w:hAnsi="Arial"/>
                <w:sz w:val="16"/>
                <w:szCs w:val="16"/>
                <w:color w:val="0000FF"/>
                <w:w w:val="92"/>
              </w:rPr>
            </w:pPr>
            <w:hyperlink r:id="rId213">
              <w:r>
                <w:rPr>
                  <w:rFonts w:ascii="Arial" w:cs="Arial" w:eastAsia="Arial" w:hAnsi="Arial"/>
                  <w:sz w:val="16"/>
                  <w:szCs w:val="16"/>
                  <w:color w:val="0000FF"/>
                  <w:w w:val="92"/>
                </w:rPr>
                <w:t>with the Registrant's Current Report on Form 8-K filed on December 13, 2012)</w:t>
              </w:r>
            </w:hyperlink>
          </w:p>
        </w:tc>
        <w:tc>
          <w:tcPr>
            <w:tcW w:w="4680" w:type="dxa"/>
            <w:vAlign w:val="bottom"/>
            <w:gridSpan w:val="19"/>
          </w:tcPr>
          <w:p>
            <w:pPr>
              <w:spacing w:after="0"/>
              <w:rPr>
                <w:sz w:val="15"/>
                <w:szCs w:val="15"/>
                <w:color w:val="auto"/>
              </w:rPr>
            </w:pPr>
          </w:p>
        </w:tc>
      </w:tr>
      <w:tr>
        <w:trPr>
          <w:trHeight w:val="399"/>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4.2</w:t>
            </w:r>
          </w:p>
        </w:tc>
        <w:tc>
          <w:tcPr>
            <w:tcW w:w="500" w:type="dxa"/>
            <w:vAlign w:val="bottom"/>
          </w:tcPr>
          <w:p>
            <w:pPr>
              <w:spacing w:after="0"/>
              <w:rPr>
                <w:sz w:val="24"/>
                <w:szCs w:val="24"/>
                <w:color w:val="auto"/>
              </w:rPr>
            </w:pPr>
          </w:p>
        </w:tc>
        <w:tc>
          <w:tcPr>
            <w:tcW w:w="9820" w:type="dxa"/>
            <w:vAlign w:val="bottom"/>
            <w:tcBorders>
              <w:bottom w:val="single" w:sz="8" w:color="0000FF"/>
            </w:tcBorders>
            <w:gridSpan w:val="26"/>
          </w:tcPr>
          <w:p>
            <w:pPr>
              <w:spacing w:after="0"/>
              <w:rPr>
                <w:rFonts w:ascii="Arial" w:cs="Arial" w:eastAsia="Arial" w:hAnsi="Arial"/>
                <w:sz w:val="16"/>
                <w:szCs w:val="16"/>
                <w:color w:val="0000FF"/>
                <w:w w:val="92"/>
              </w:rPr>
            </w:pPr>
            <w:hyperlink r:id="rId214">
              <w:r>
                <w:rPr>
                  <w:rFonts w:ascii="Arial" w:cs="Arial" w:eastAsia="Arial" w:hAnsi="Arial"/>
                  <w:sz w:val="16"/>
                  <w:szCs w:val="16"/>
                  <w:color w:val="0000FF"/>
                  <w:w w:val="92"/>
                </w:rPr>
                <w:t>First Supplemental Indenture (including Form of Notes) dated December 13, 2012, by and between Autodesk, Inc. and U.S. Bank National Association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16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214">
              <w:r>
                <w:rPr>
                  <w:rFonts w:ascii="Arial" w:cs="Arial" w:eastAsia="Arial" w:hAnsi="Arial"/>
                  <w:sz w:val="16"/>
                  <w:szCs w:val="16"/>
                  <w:color w:val="0000FF"/>
                  <w:w w:val="92"/>
                </w:rPr>
                <w:t>(incorporated by reference to Exhibit 4.2 filed with the Registrant's Current Report on Form 8-K filed on December 13, 2012)</w:t>
              </w:r>
            </w:hyperlink>
          </w:p>
        </w:tc>
        <w:tc>
          <w:tcPr>
            <w:tcW w:w="1660" w:type="dxa"/>
            <w:vAlign w:val="bottom"/>
            <w:gridSpan w:val="12"/>
          </w:tcPr>
          <w:p>
            <w:pPr>
              <w:spacing w:after="0"/>
              <w:rPr>
                <w:sz w:val="15"/>
                <w:szCs w:val="15"/>
                <w:color w:val="auto"/>
              </w:rPr>
            </w:pPr>
          </w:p>
        </w:tc>
      </w:tr>
      <w:tr>
        <w:trPr>
          <w:trHeight w:val="399"/>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4.3</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4"/>
              </w:rPr>
            </w:pPr>
            <w:hyperlink r:id="rId215">
              <w:r>
                <w:rPr>
                  <w:rFonts w:ascii="Arial" w:cs="Arial" w:eastAsia="Arial" w:hAnsi="Arial"/>
                  <w:sz w:val="16"/>
                  <w:szCs w:val="16"/>
                  <w:color w:val="0000FF"/>
                  <w:w w:val="94"/>
                </w:rPr>
                <w:t>Second Supplemental Indenture (including Form of Notes) dated June 5, 2015, by and between Autodesk, Inc. and U.S. Bank National Association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tcBorders>
              <w:top w:val="single" w:sz="8" w:color="0000FF"/>
              <w:bottom w:val="single" w:sz="8" w:color="0000FF"/>
            </w:tcBorders>
            <w:gridSpan w:val="13"/>
          </w:tcPr>
          <w:p>
            <w:pPr>
              <w:spacing w:after="0" w:line="183" w:lineRule="exact"/>
              <w:rPr>
                <w:rFonts w:ascii="Arial" w:cs="Arial" w:eastAsia="Arial" w:hAnsi="Arial"/>
                <w:sz w:val="16"/>
                <w:szCs w:val="16"/>
                <w:color w:val="0000FF"/>
                <w:w w:val="92"/>
              </w:rPr>
            </w:pPr>
            <w:hyperlink r:id="rId215">
              <w:r>
                <w:rPr>
                  <w:rFonts w:ascii="Arial" w:cs="Arial" w:eastAsia="Arial" w:hAnsi="Arial"/>
                  <w:sz w:val="16"/>
                  <w:szCs w:val="16"/>
                  <w:color w:val="0000FF"/>
                  <w:w w:val="92"/>
                </w:rPr>
                <w:t>(incorporated by reference to Exhibit 4.1 of the Registrant's Current Report on Form 8-K filed on June 8, 2015)</w:t>
              </w:r>
            </w:hyperlink>
          </w:p>
        </w:tc>
        <w:tc>
          <w:tcPr>
            <w:tcW w:w="2320" w:type="dxa"/>
            <w:vAlign w:val="bottom"/>
            <w:tcBorders>
              <w:top w:val="single" w:sz="8" w:color="0000FF"/>
            </w:tcBorders>
            <w:gridSpan w:val="4"/>
          </w:tcPr>
          <w:p>
            <w:pPr>
              <w:spacing w:after="0"/>
              <w:rPr>
                <w:sz w:val="15"/>
                <w:szCs w:val="15"/>
                <w:color w:val="auto"/>
              </w:rPr>
            </w:pPr>
          </w:p>
        </w:tc>
        <w:tc>
          <w:tcPr>
            <w:tcW w:w="280" w:type="dxa"/>
            <w:vAlign w:val="bottom"/>
            <w:gridSpan w:val="9"/>
          </w:tcPr>
          <w:p>
            <w:pPr>
              <w:spacing w:after="0"/>
              <w:rPr>
                <w:sz w:val="15"/>
                <w:szCs w:val="15"/>
                <w:color w:val="auto"/>
              </w:rPr>
            </w:pPr>
          </w:p>
        </w:tc>
      </w:tr>
      <w:tr>
        <w:trPr>
          <w:trHeight w:val="426"/>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4.4</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5"/>
              </w:rPr>
            </w:pPr>
            <w:hyperlink r:id="rId216">
              <w:r>
                <w:rPr>
                  <w:rFonts w:ascii="Arial" w:cs="Arial" w:eastAsia="Arial" w:hAnsi="Arial"/>
                  <w:sz w:val="16"/>
                  <w:szCs w:val="16"/>
                  <w:color w:val="0000FF"/>
                  <w:w w:val="95"/>
                </w:rPr>
                <w:t>Third Supplemental Indenture (including Form of Notes) dated June 8, 2017, by and between Autodesk, Inc. and U.S. Bank National Association.</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tcBorders>
              <w:top w:val="single" w:sz="8" w:color="0000FF"/>
              <w:bottom w:val="single" w:sz="8" w:color="0000FF"/>
            </w:tcBorders>
            <w:gridSpan w:val="13"/>
          </w:tcPr>
          <w:p>
            <w:pPr>
              <w:spacing w:after="0" w:line="183" w:lineRule="exact"/>
              <w:rPr>
                <w:rFonts w:ascii="Arial" w:cs="Arial" w:eastAsia="Arial" w:hAnsi="Arial"/>
                <w:sz w:val="16"/>
                <w:szCs w:val="16"/>
                <w:color w:val="0000FF"/>
                <w:w w:val="92"/>
              </w:rPr>
            </w:pPr>
            <w:hyperlink r:id="rId216">
              <w:r>
                <w:rPr>
                  <w:rFonts w:ascii="Arial" w:cs="Arial" w:eastAsia="Arial" w:hAnsi="Arial"/>
                  <w:sz w:val="16"/>
                  <w:szCs w:val="16"/>
                  <w:color w:val="0000FF"/>
                  <w:w w:val="92"/>
                </w:rPr>
                <w:t>(incorporated by reference to Exhibit 4.1 of the Registrant's Current Report on Form 8-K filed on June 8, 2017)</w:t>
              </w:r>
            </w:hyperlink>
          </w:p>
        </w:tc>
        <w:tc>
          <w:tcPr>
            <w:tcW w:w="2240" w:type="dxa"/>
            <w:vAlign w:val="bottom"/>
            <w:tcBorders>
              <w:top w:val="single" w:sz="8" w:color="0000FF"/>
            </w:tcBorders>
            <w:gridSpan w:val="3"/>
          </w:tcPr>
          <w:p>
            <w:pPr>
              <w:spacing w:after="0"/>
              <w:rPr>
                <w:sz w:val="15"/>
                <w:szCs w:val="15"/>
                <w:color w:val="auto"/>
              </w:rPr>
            </w:pPr>
          </w:p>
        </w:tc>
        <w:tc>
          <w:tcPr>
            <w:tcW w:w="360" w:type="dxa"/>
            <w:vAlign w:val="bottom"/>
            <w:gridSpan w:val="10"/>
          </w:tcPr>
          <w:p>
            <w:pPr>
              <w:spacing w:after="0"/>
              <w:rPr>
                <w:sz w:val="15"/>
                <w:szCs w:val="15"/>
                <w:color w:val="auto"/>
              </w:rPr>
            </w:pPr>
          </w:p>
        </w:tc>
      </w:tr>
      <w:tr>
        <w:trPr>
          <w:trHeight w:val="426"/>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10.1*</w:t>
            </w:r>
          </w:p>
        </w:tc>
        <w:tc>
          <w:tcPr>
            <w:tcW w:w="500" w:type="dxa"/>
            <w:vAlign w:val="bottom"/>
          </w:tcPr>
          <w:p>
            <w:pPr>
              <w:spacing w:after="0"/>
              <w:rPr>
                <w:sz w:val="24"/>
                <w:szCs w:val="24"/>
                <w:color w:val="auto"/>
              </w:rPr>
            </w:pPr>
          </w:p>
        </w:tc>
        <w:tc>
          <w:tcPr>
            <w:tcW w:w="9640" w:type="dxa"/>
            <w:vAlign w:val="bottom"/>
            <w:tcBorders>
              <w:bottom w:val="single" w:sz="8" w:color="0000FF"/>
            </w:tcBorders>
            <w:gridSpan w:val="19"/>
          </w:tcPr>
          <w:p>
            <w:pPr>
              <w:spacing w:after="0"/>
              <w:rPr>
                <w:rFonts w:ascii="Arial" w:cs="Arial" w:eastAsia="Arial" w:hAnsi="Arial"/>
                <w:sz w:val="16"/>
                <w:szCs w:val="16"/>
                <w:color w:val="0000FF"/>
                <w:w w:val="92"/>
              </w:rPr>
            </w:pPr>
            <w:hyperlink r:id="rId217">
              <w:r>
                <w:rPr>
                  <w:rFonts w:ascii="Arial" w:cs="Arial" w:eastAsia="Arial" w:hAnsi="Arial"/>
                  <w:sz w:val="16"/>
                  <w:szCs w:val="16"/>
                  <w:color w:val="0000FF"/>
                  <w:w w:val="92"/>
                </w:rPr>
                <w:t>Description of Registrant's Performance Stock Unit Program (incorporated by reference to Item 5.02 of the Registrant's Current Report on Form 8-K</w:t>
              </w:r>
            </w:hyperlink>
          </w:p>
        </w:tc>
        <w:tc>
          <w:tcPr>
            <w:tcW w:w="180" w:type="dxa"/>
            <w:vAlign w:val="bottom"/>
            <w:gridSpan w:val="7"/>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217">
              <w:r>
                <w:rPr>
                  <w:rFonts w:ascii="Arial" w:cs="Arial" w:eastAsia="Arial" w:hAnsi="Arial"/>
                  <w:sz w:val="16"/>
                  <w:szCs w:val="16"/>
                  <w:color w:val="0000FF"/>
                  <w:w w:val="92"/>
                </w:rPr>
                <w:t>filed on March 17, 2017)</w:t>
              </w:r>
            </w:hyperlink>
          </w:p>
        </w:tc>
        <w:tc>
          <w:tcPr>
            <w:tcW w:w="8200" w:type="dxa"/>
            <w:vAlign w:val="bottom"/>
            <w:gridSpan w:val="24"/>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10.2*</w:t>
            </w:r>
          </w:p>
        </w:tc>
        <w:tc>
          <w:tcPr>
            <w:tcW w:w="500" w:type="dxa"/>
            <w:vAlign w:val="bottom"/>
          </w:tcPr>
          <w:p>
            <w:pPr>
              <w:spacing w:after="0"/>
              <w:rPr>
                <w:sz w:val="24"/>
                <w:szCs w:val="24"/>
                <w:color w:val="auto"/>
              </w:rPr>
            </w:pPr>
          </w:p>
        </w:tc>
        <w:tc>
          <w:tcPr>
            <w:tcW w:w="9340" w:type="dxa"/>
            <w:vAlign w:val="bottom"/>
            <w:tcBorders>
              <w:bottom w:val="single" w:sz="8" w:color="0000FF"/>
            </w:tcBorders>
            <w:gridSpan w:val="15"/>
          </w:tcPr>
          <w:p>
            <w:pPr>
              <w:spacing w:after="0"/>
              <w:rPr>
                <w:rFonts w:ascii="Arial" w:cs="Arial" w:eastAsia="Arial" w:hAnsi="Arial"/>
                <w:sz w:val="16"/>
                <w:szCs w:val="16"/>
                <w:color w:val="0000FF"/>
                <w:w w:val="90"/>
              </w:rPr>
            </w:pPr>
            <w:hyperlink r:id="rId218">
              <w:r>
                <w:rPr>
                  <w:rFonts w:ascii="Arial" w:cs="Arial" w:eastAsia="Arial" w:hAnsi="Arial"/>
                  <w:sz w:val="16"/>
                  <w:szCs w:val="16"/>
                  <w:color w:val="0000FF"/>
                  <w:w w:val="90"/>
                </w:rPr>
                <w:t>Registrant’s 1998 Employee Qualified Stock Purchase Plan, as amended and restated effective as of June 14, 2017 (incorporated by reference to</w:t>
              </w:r>
            </w:hyperlink>
          </w:p>
        </w:tc>
        <w:tc>
          <w:tcPr>
            <w:tcW w:w="480" w:type="dxa"/>
            <w:vAlign w:val="bottom"/>
            <w:gridSpan w:val="11"/>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26"/>
          </w:tcPr>
          <w:p>
            <w:pPr>
              <w:spacing w:after="0" w:line="183" w:lineRule="exact"/>
              <w:rPr>
                <w:rFonts w:ascii="Arial" w:cs="Arial" w:eastAsia="Arial" w:hAnsi="Arial"/>
                <w:sz w:val="16"/>
                <w:szCs w:val="16"/>
                <w:color w:val="0000FF"/>
              </w:rPr>
            </w:pPr>
            <w:hyperlink r:id="rId218">
              <w:r>
                <w:rPr>
                  <w:rFonts w:ascii="Arial" w:cs="Arial" w:eastAsia="Arial" w:hAnsi="Arial"/>
                  <w:sz w:val="16"/>
                  <w:szCs w:val="16"/>
                  <w:color w:val="0000FF"/>
                </w:rPr>
                <w:t>Exhibit 10.3 of the Registrant’s Quarterly Report on Form 10-Q filed on August 31, 2017)</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10.3*</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2"/>
              </w:rPr>
            </w:pPr>
            <w:hyperlink r:id="rId219">
              <w:r>
                <w:rPr>
                  <w:rFonts w:ascii="Arial" w:cs="Arial" w:eastAsia="Arial" w:hAnsi="Arial"/>
                  <w:sz w:val="16"/>
                  <w:szCs w:val="16"/>
                  <w:color w:val="0000FF"/>
                  <w:w w:val="92"/>
                </w:rPr>
                <w:t>Registrant’s 1998 Employee Qualified Stock Purchase Plan Forms of Subscription Agreement, as amended and restated (incorporated by reference to</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40" w:type="dxa"/>
            <w:vAlign w:val="bottom"/>
            <w:tcBorders>
              <w:top w:val="single" w:sz="8" w:color="0000FF"/>
              <w:bottom w:val="single" w:sz="8" w:color="0000FF"/>
            </w:tcBorders>
            <w:gridSpan w:val="12"/>
          </w:tcPr>
          <w:p>
            <w:pPr>
              <w:spacing w:after="0" w:line="183" w:lineRule="exact"/>
              <w:rPr>
                <w:rFonts w:ascii="Arial" w:cs="Arial" w:eastAsia="Arial" w:hAnsi="Arial"/>
                <w:sz w:val="16"/>
                <w:szCs w:val="16"/>
                <w:color w:val="0000FF"/>
                <w:w w:val="93"/>
              </w:rPr>
            </w:pPr>
            <w:hyperlink r:id="rId219">
              <w:r>
                <w:rPr>
                  <w:rFonts w:ascii="Arial" w:cs="Arial" w:eastAsia="Arial" w:hAnsi="Arial"/>
                  <w:sz w:val="16"/>
                  <w:szCs w:val="16"/>
                  <w:color w:val="0000FF"/>
                  <w:w w:val="93"/>
                </w:rPr>
                <w:t>Exhibit 10.5 filed with the Registrant’s Quarterly Report on Form 10-Q filed on August 30, 2016)</w:t>
              </w:r>
            </w:hyperlink>
          </w:p>
        </w:tc>
        <w:tc>
          <w:tcPr>
            <w:tcW w:w="3340" w:type="dxa"/>
            <w:vAlign w:val="bottom"/>
            <w:tcBorders>
              <w:top w:val="single" w:sz="8" w:color="0000FF"/>
            </w:tcBorders>
            <w:gridSpan w:val="8"/>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10.4*</w:t>
            </w:r>
          </w:p>
        </w:tc>
        <w:tc>
          <w:tcPr>
            <w:tcW w:w="500" w:type="dxa"/>
            <w:vAlign w:val="bottom"/>
          </w:tcPr>
          <w:p>
            <w:pPr>
              <w:spacing w:after="0"/>
              <w:rPr>
                <w:sz w:val="24"/>
                <w:szCs w:val="24"/>
                <w:color w:val="auto"/>
              </w:rPr>
            </w:pPr>
          </w:p>
        </w:tc>
        <w:tc>
          <w:tcPr>
            <w:tcW w:w="9820" w:type="dxa"/>
            <w:vAlign w:val="bottom"/>
            <w:tcBorders>
              <w:bottom w:val="single" w:sz="8" w:color="0000FF"/>
            </w:tcBorders>
            <w:gridSpan w:val="26"/>
          </w:tcPr>
          <w:p>
            <w:pPr>
              <w:spacing w:after="0"/>
              <w:rPr>
                <w:rFonts w:ascii="Arial" w:cs="Arial" w:eastAsia="Arial" w:hAnsi="Arial"/>
                <w:sz w:val="16"/>
                <w:szCs w:val="16"/>
                <w:color w:val="0000FF"/>
                <w:w w:val="91"/>
              </w:rPr>
            </w:pPr>
            <w:hyperlink r:id="rId220">
              <w:r>
                <w:rPr>
                  <w:rFonts w:ascii="Arial" w:cs="Arial" w:eastAsia="Arial" w:hAnsi="Arial"/>
                  <w:sz w:val="16"/>
                  <w:szCs w:val="16"/>
                  <w:color w:val="0000FF"/>
                  <w:w w:val="91"/>
                </w:rPr>
                <w:t>Registrant's 2012 Employee Stock Plan, as amended and restated (incorporated by reference to Exhibit 10.4 filed with the Registrant's Quarterly Report</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220">
              <w:r>
                <w:rPr>
                  <w:rFonts w:ascii="Arial" w:cs="Arial" w:eastAsia="Arial" w:hAnsi="Arial"/>
                  <w:sz w:val="16"/>
                  <w:szCs w:val="16"/>
                  <w:color w:val="0000FF"/>
                  <w:w w:val="92"/>
                </w:rPr>
                <w:t>on Form 10-Q filed on August 31, 2017)</w:t>
              </w:r>
            </w:hyperlink>
          </w:p>
        </w:tc>
        <w:tc>
          <w:tcPr>
            <w:tcW w:w="7180" w:type="dxa"/>
            <w:vAlign w:val="bottom"/>
            <w:gridSpan w:val="22"/>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10.5*</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2"/>
              </w:rPr>
            </w:pPr>
            <w:hyperlink r:id="rId221">
              <w:r>
                <w:rPr>
                  <w:rFonts w:ascii="Arial" w:cs="Arial" w:eastAsia="Arial" w:hAnsi="Arial"/>
                  <w:sz w:val="16"/>
                  <w:szCs w:val="16"/>
                  <w:color w:val="0000FF"/>
                  <w:w w:val="92"/>
                </w:rPr>
                <w:t>Registrant's 2012 Employee Stock Plan Form of Restricted Stock Unit Agreement, as amended and restated (incorporated by reference to Exhibit 10.2</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80" w:type="dxa"/>
            <w:vAlign w:val="bottom"/>
            <w:tcBorders>
              <w:top w:val="single" w:sz="8" w:color="0000FF"/>
              <w:bottom w:val="single" w:sz="8" w:color="0000FF"/>
            </w:tcBorders>
            <w:gridSpan w:val="9"/>
          </w:tcPr>
          <w:p>
            <w:pPr>
              <w:spacing w:after="0" w:line="183" w:lineRule="exact"/>
              <w:rPr>
                <w:rFonts w:ascii="Arial" w:cs="Arial" w:eastAsia="Arial" w:hAnsi="Arial"/>
                <w:sz w:val="16"/>
                <w:szCs w:val="16"/>
                <w:color w:val="0000FF"/>
                <w:w w:val="93"/>
              </w:rPr>
            </w:pPr>
            <w:hyperlink r:id="rId221">
              <w:r>
                <w:rPr>
                  <w:rFonts w:ascii="Arial" w:cs="Arial" w:eastAsia="Arial" w:hAnsi="Arial"/>
                  <w:sz w:val="16"/>
                  <w:szCs w:val="16"/>
                  <w:color w:val="0000FF"/>
                  <w:w w:val="93"/>
                </w:rPr>
                <w:t>filed with the Registrant's Quarterly Report on Form 10-Q filed on August 30, 2016)</w:t>
              </w:r>
            </w:hyperlink>
          </w:p>
        </w:tc>
        <w:tc>
          <w:tcPr>
            <w:tcW w:w="4260" w:type="dxa"/>
            <w:vAlign w:val="bottom"/>
            <w:tcBorders>
              <w:top w:val="single" w:sz="8" w:color="0000FF"/>
            </w:tcBorders>
            <w:gridSpan w:val="13"/>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10.6*</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2"/>
              </w:rPr>
            </w:pPr>
            <w:hyperlink r:id="rId222">
              <w:r>
                <w:rPr>
                  <w:rFonts w:ascii="Arial" w:cs="Arial" w:eastAsia="Arial" w:hAnsi="Arial"/>
                  <w:sz w:val="16"/>
                  <w:szCs w:val="16"/>
                  <w:color w:val="0000FF"/>
                  <w:w w:val="92"/>
                </w:rPr>
                <w:t>Registrant's 2012 Employee Stock Plan Form of Severance Restricted Stock Unit Agreement, as amended and restated (incorporated by reference to</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222">
              <w:r>
                <w:rPr>
                  <w:rFonts w:ascii="Arial" w:cs="Arial" w:eastAsia="Arial" w:hAnsi="Arial"/>
                  <w:sz w:val="16"/>
                  <w:szCs w:val="16"/>
                  <w:color w:val="0000FF"/>
                </w:rPr>
                <w:t>Exhibit 10.3 filed with the Registrant's Quarterly Report on Form 10-Q filed on August 30, 2016)</w:t>
              </w:r>
            </w:hyperlink>
          </w:p>
        </w:tc>
        <w:tc>
          <w:tcPr>
            <w:tcW w:w="220" w:type="dxa"/>
            <w:vAlign w:val="bottom"/>
            <w:gridSpan w:val="8"/>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10.7*</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2"/>
              </w:rPr>
            </w:pPr>
            <w:hyperlink r:id="rId223">
              <w:r>
                <w:rPr>
                  <w:rFonts w:ascii="Arial" w:cs="Arial" w:eastAsia="Arial" w:hAnsi="Arial"/>
                  <w:sz w:val="16"/>
                  <w:szCs w:val="16"/>
                  <w:color w:val="0000FF"/>
                  <w:w w:val="92"/>
                </w:rPr>
                <w:t>Registrant's 2012 Employee Stock Plan Form of Stock Option Agreement (incorporated by reference to Exhibit 10.2 filed with the Registrant's Current</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83" w:lineRule="exact"/>
              <w:rPr>
                <w:rFonts w:ascii="Arial" w:cs="Arial" w:eastAsia="Arial" w:hAnsi="Arial"/>
                <w:sz w:val="16"/>
                <w:szCs w:val="16"/>
                <w:color w:val="0000FF"/>
              </w:rPr>
            </w:pPr>
            <w:hyperlink r:id="rId223">
              <w:r>
                <w:rPr>
                  <w:rFonts w:ascii="Arial" w:cs="Arial" w:eastAsia="Arial" w:hAnsi="Arial"/>
                  <w:sz w:val="16"/>
                  <w:szCs w:val="16"/>
                  <w:color w:val="0000FF"/>
                </w:rPr>
                <w:t>Report on Form 8-K filed on March 13, 2012)</w:t>
              </w:r>
            </w:hyperlink>
          </w:p>
        </w:tc>
        <w:tc>
          <w:tcPr>
            <w:tcW w:w="40" w:type="dxa"/>
            <w:vAlign w:val="bottom"/>
            <w:gridSpan w:val="2"/>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40" w:type="dxa"/>
            <w:vAlign w:val="bottom"/>
            <w:gridSpan w:val="1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2"/>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10.8*</w:t>
            </w:r>
          </w:p>
        </w:tc>
        <w:tc>
          <w:tcPr>
            <w:tcW w:w="500" w:type="dxa"/>
            <w:vAlign w:val="bottom"/>
          </w:tcPr>
          <w:p>
            <w:pPr>
              <w:spacing w:after="0"/>
              <w:rPr>
                <w:sz w:val="24"/>
                <w:szCs w:val="24"/>
                <w:color w:val="auto"/>
              </w:rPr>
            </w:pPr>
          </w:p>
        </w:tc>
        <w:tc>
          <w:tcPr>
            <w:tcW w:w="9820" w:type="dxa"/>
            <w:vAlign w:val="bottom"/>
            <w:gridSpan w:val="26"/>
          </w:tcPr>
          <w:p>
            <w:pPr>
              <w:spacing w:after="0"/>
              <w:rPr>
                <w:rFonts w:ascii="Arial" w:cs="Arial" w:eastAsia="Arial" w:hAnsi="Arial"/>
                <w:sz w:val="16"/>
                <w:szCs w:val="16"/>
                <w:color w:val="0000FF"/>
                <w:w w:val="93"/>
              </w:rPr>
            </w:pPr>
            <w:hyperlink r:id="rId224">
              <w:r>
                <w:rPr>
                  <w:rFonts w:ascii="Arial" w:cs="Arial" w:eastAsia="Arial" w:hAnsi="Arial"/>
                  <w:sz w:val="16"/>
                  <w:szCs w:val="16"/>
                  <w:color w:val="0000FF"/>
                  <w:w w:val="93"/>
                </w:rPr>
                <w:t>Registrant's 2012 Employee Stock Plan Form of Stock Option Agreement (non-U.S. Employees) (incorporated by reference to Exhibit 10.4 filed with</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0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224">
              <w:r>
                <w:rPr>
                  <w:rFonts w:ascii="Arial" w:cs="Arial" w:eastAsia="Arial" w:hAnsi="Arial"/>
                  <w:sz w:val="16"/>
                  <w:szCs w:val="16"/>
                  <w:color w:val="0000FF"/>
                </w:rPr>
                <w:t>the Registrant's Current Report on Form 8-K filed on March 13, 2012)</w:t>
              </w:r>
            </w:hyperlink>
          </w:p>
        </w:tc>
        <w:tc>
          <w:tcPr>
            <w:tcW w:w="120" w:type="dxa"/>
            <w:vAlign w:val="bottom"/>
            <w:gridSpan w:val="5"/>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1149350</wp:posOffset>
            </wp:positionV>
            <wp:extent cx="1003300"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40" w:type="dxa"/>
            <w:vAlign w:val="bottom"/>
            <w:gridSpan w:val="27"/>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500" w:type="dxa"/>
            <w:vAlign w:val="bottom"/>
          </w:tcPr>
          <w:p>
            <w:pPr>
              <w:spacing w:after="0"/>
              <w:rPr>
                <w:sz w:val="18"/>
                <w:szCs w:val="18"/>
                <w:color w:val="auto"/>
              </w:rPr>
            </w:pPr>
          </w:p>
        </w:tc>
        <w:tc>
          <w:tcPr>
            <w:tcW w:w="9820" w:type="dxa"/>
            <w:vAlign w:val="bottom"/>
            <w:tcBorders>
              <w:bottom w:val="single" w:sz="8" w:color="0000FF"/>
            </w:tcBorders>
            <w:gridSpan w:val="34"/>
          </w:tcPr>
          <w:p>
            <w:pPr>
              <w:spacing w:after="0"/>
              <w:rPr>
                <w:rFonts w:ascii="Arial" w:cs="Arial" w:eastAsia="Arial" w:hAnsi="Arial"/>
                <w:sz w:val="16"/>
                <w:szCs w:val="16"/>
                <w:color w:val="0000FF"/>
                <w:w w:val="91"/>
              </w:rPr>
            </w:pPr>
            <w:hyperlink r:id="rId226">
              <w:r>
                <w:rPr>
                  <w:rFonts w:ascii="Arial" w:cs="Arial" w:eastAsia="Arial" w:hAnsi="Arial"/>
                  <w:sz w:val="16"/>
                  <w:szCs w:val="16"/>
                  <w:color w:val="0000FF"/>
                  <w:w w:val="91"/>
                </w:rPr>
                <w:t>Registrant's 2012 Outside Directors' Stock Plan, as amended and restated (incorporated by reference to Exhibit 10.18 filed with the Registrant’s Annual</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26">
              <w:r>
                <w:rPr>
                  <w:rFonts w:ascii="Arial" w:cs="Arial" w:eastAsia="Arial" w:hAnsi="Arial"/>
                  <w:sz w:val="16"/>
                  <w:szCs w:val="16"/>
                  <w:color w:val="0000FF"/>
                </w:rPr>
                <w:t>Report on Form 10-K filed on March 21, 2017)</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500" w:type="dxa"/>
            <w:vAlign w:val="bottom"/>
          </w:tcPr>
          <w:p>
            <w:pPr>
              <w:spacing w:after="0"/>
              <w:rPr>
                <w:sz w:val="24"/>
                <w:szCs w:val="24"/>
                <w:color w:val="auto"/>
              </w:rPr>
            </w:pPr>
          </w:p>
        </w:tc>
        <w:tc>
          <w:tcPr>
            <w:tcW w:w="9820" w:type="dxa"/>
            <w:vAlign w:val="bottom"/>
            <w:gridSpan w:val="34"/>
          </w:tcPr>
          <w:p>
            <w:pPr>
              <w:spacing w:after="0"/>
              <w:rPr>
                <w:rFonts w:ascii="Arial" w:cs="Arial" w:eastAsia="Arial" w:hAnsi="Arial"/>
                <w:sz w:val="16"/>
                <w:szCs w:val="16"/>
                <w:color w:val="0000FF"/>
                <w:w w:val="95"/>
              </w:rPr>
            </w:pPr>
            <w:hyperlink r:id="rId227">
              <w:r>
                <w:rPr>
                  <w:rFonts w:ascii="Arial" w:cs="Arial" w:eastAsia="Arial" w:hAnsi="Arial"/>
                  <w:sz w:val="16"/>
                  <w:szCs w:val="16"/>
                  <w:color w:val="0000FF"/>
                  <w:w w:val="95"/>
                </w:rPr>
                <w:t>Registrant's 2012 Outside Directors' Stock Plan Form of Restricted Stock Unit Agreement (incorporated by reference to Exhibit 10.5 filed with the</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500" w:type="dxa"/>
            <w:vAlign w:val="bottom"/>
            <w:tcBorders>
              <w:top w:val="single" w:sz="8" w:color="0000FF"/>
            </w:tcBorders>
            <w:gridSpan w:val="24"/>
          </w:tcPr>
          <w:p>
            <w:pPr>
              <w:spacing w:after="0" w:line="183" w:lineRule="exact"/>
              <w:rPr>
                <w:rFonts w:ascii="Arial" w:cs="Arial" w:eastAsia="Arial" w:hAnsi="Arial"/>
                <w:sz w:val="16"/>
                <w:szCs w:val="16"/>
                <w:color w:val="0000FF"/>
              </w:rPr>
            </w:pPr>
            <w:hyperlink r:id="rId227">
              <w:r>
                <w:rPr>
                  <w:rFonts w:ascii="Arial" w:cs="Arial" w:eastAsia="Arial" w:hAnsi="Arial"/>
                  <w:sz w:val="16"/>
                  <w:szCs w:val="16"/>
                  <w:color w:val="0000FF"/>
                </w:rPr>
                <w:t>Registrant's Current Report on Form 8-K filed on March 13, 2012)</w:t>
              </w:r>
            </w:hyperlink>
          </w:p>
        </w:tc>
        <w:tc>
          <w:tcPr>
            <w:tcW w:w="320" w:type="dxa"/>
            <w:vAlign w:val="bottom"/>
            <w:gridSpan w:val="10"/>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500" w:type="dxa"/>
            <w:vAlign w:val="bottom"/>
          </w:tcPr>
          <w:p>
            <w:pPr>
              <w:spacing w:after="0"/>
              <w:rPr>
                <w:sz w:val="24"/>
                <w:szCs w:val="24"/>
                <w:color w:val="auto"/>
              </w:rPr>
            </w:pPr>
          </w:p>
        </w:tc>
        <w:tc>
          <w:tcPr>
            <w:tcW w:w="9660" w:type="dxa"/>
            <w:vAlign w:val="bottom"/>
            <w:tcBorders>
              <w:bottom w:val="single" w:sz="8" w:color="0000FF"/>
            </w:tcBorders>
            <w:gridSpan w:val="27"/>
          </w:tcPr>
          <w:p>
            <w:pPr>
              <w:spacing w:after="0"/>
              <w:rPr>
                <w:rFonts w:ascii="Arial" w:cs="Arial" w:eastAsia="Arial" w:hAnsi="Arial"/>
                <w:sz w:val="16"/>
                <w:szCs w:val="16"/>
                <w:color w:val="0000FF"/>
                <w:w w:val="91"/>
              </w:rPr>
            </w:pPr>
            <w:hyperlink r:id="rId228">
              <w:r>
                <w:rPr>
                  <w:rFonts w:ascii="Arial" w:cs="Arial" w:eastAsia="Arial" w:hAnsi="Arial"/>
                  <w:sz w:val="16"/>
                  <w:szCs w:val="16"/>
                  <w:color w:val="0000FF"/>
                  <w:w w:val="91"/>
                </w:rPr>
                <w:t>Registrant’s Executive Incentive Plan, as amended and restated (incorporated by reference to Exhibit 10.23 filed with the Registrant’s Annual Report</w:t>
              </w:r>
            </w:hyperlink>
          </w:p>
        </w:tc>
        <w:tc>
          <w:tcPr>
            <w:tcW w:w="160" w:type="dxa"/>
            <w:vAlign w:val="bottom"/>
            <w:gridSpan w:val="7"/>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28">
              <w:r>
                <w:rPr>
                  <w:rFonts w:ascii="Arial" w:cs="Arial" w:eastAsia="Arial" w:hAnsi="Arial"/>
                  <w:sz w:val="16"/>
                  <w:szCs w:val="16"/>
                  <w:color w:val="0000FF"/>
                </w:rPr>
                <w:t>on Form 10-K filed on March 23, 2016)</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500" w:type="dxa"/>
            <w:vAlign w:val="bottom"/>
          </w:tcPr>
          <w:p>
            <w:pPr>
              <w:spacing w:after="0"/>
              <w:rPr>
                <w:sz w:val="24"/>
                <w:szCs w:val="24"/>
                <w:color w:val="auto"/>
              </w:rPr>
            </w:pPr>
          </w:p>
        </w:tc>
        <w:tc>
          <w:tcPr>
            <w:tcW w:w="9700" w:type="dxa"/>
            <w:vAlign w:val="bottom"/>
            <w:tcBorders>
              <w:bottom w:val="single" w:sz="8" w:color="0000FF"/>
            </w:tcBorders>
            <w:gridSpan w:val="28"/>
          </w:tcPr>
          <w:p>
            <w:pPr>
              <w:spacing w:after="0"/>
              <w:rPr>
                <w:rFonts w:ascii="Arial" w:cs="Arial" w:eastAsia="Arial" w:hAnsi="Arial"/>
                <w:sz w:val="16"/>
                <w:szCs w:val="16"/>
                <w:color w:val="0000FF"/>
                <w:w w:val="90"/>
              </w:rPr>
            </w:pPr>
            <w:hyperlink r:id="rId229">
              <w:r>
                <w:rPr>
                  <w:rFonts w:ascii="Arial" w:cs="Arial" w:eastAsia="Arial" w:hAnsi="Arial"/>
                  <w:sz w:val="16"/>
                  <w:szCs w:val="16"/>
                  <w:color w:val="0000FF"/>
                  <w:w w:val="90"/>
                </w:rPr>
                <w:t>Registrant’s 2005 Non-Qualified Deferred Compensation Plan, as amended and restated, effective as of January 1, 2010 (incorporated by reference to</w:t>
              </w:r>
            </w:hyperlink>
          </w:p>
        </w:tc>
        <w:tc>
          <w:tcPr>
            <w:tcW w:w="120" w:type="dxa"/>
            <w:vAlign w:val="bottom"/>
            <w:gridSpan w:val="6"/>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60" w:type="dxa"/>
            <w:vAlign w:val="bottom"/>
            <w:tcBorders>
              <w:bottom w:val="single" w:sz="8" w:color="0000FF"/>
            </w:tcBorders>
            <w:gridSpan w:val="16"/>
          </w:tcPr>
          <w:p>
            <w:pPr>
              <w:spacing w:after="0" w:line="183" w:lineRule="exact"/>
              <w:rPr>
                <w:rFonts w:ascii="Arial" w:cs="Arial" w:eastAsia="Arial" w:hAnsi="Arial"/>
                <w:sz w:val="16"/>
                <w:szCs w:val="16"/>
                <w:color w:val="0000FF"/>
                <w:w w:val="93"/>
              </w:rPr>
            </w:pPr>
            <w:hyperlink r:id="rId229">
              <w:r>
                <w:rPr>
                  <w:rFonts w:ascii="Arial" w:cs="Arial" w:eastAsia="Arial" w:hAnsi="Arial"/>
                  <w:sz w:val="16"/>
                  <w:szCs w:val="16"/>
                  <w:color w:val="0000FF"/>
                  <w:w w:val="93"/>
                </w:rPr>
                <w:t>Exhibit 10.1 filed with the Registrant’s Quarterly Report on Form 10-Q filed on December 8, 2009)</w:t>
              </w:r>
            </w:hyperlink>
          </w:p>
        </w:tc>
        <w:tc>
          <w:tcPr>
            <w:tcW w:w="3360" w:type="dxa"/>
            <w:vAlign w:val="bottom"/>
            <w:gridSpan w:val="18"/>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50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Arial" w:cs="Arial" w:eastAsia="Arial" w:hAnsi="Arial"/>
                <w:sz w:val="16"/>
                <w:szCs w:val="16"/>
                <w:color w:val="0000FF"/>
                <w:w w:val="91"/>
              </w:rPr>
            </w:pPr>
            <w:hyperlink r:id="rId217">
              <w:r>
                <w:rPr>
                  <w:rFonts w:ascii="Arial" w:cs="Arial" w:eastAsia="Arial" w:hAnsi="Arial"/>
                  <w:sz w:val="16"/>
                  <w:szCs w:val="16"/>
                  <w:color w:val="0000FF"/>
                  <w:w w:val="91"/>
                </w:rPr>
                <w:t>Participants, target awards and payout formulas for fiscal year 2018 under the Registrant's Executive Incentive Plan (incorporated by reference to Item</w:t>
              </w:r>
            </w:hyperlink>
          </w:p>
        </w:tc>
        <w:tc>
          <w:tcPr>
            <w:tcW w:w="60" w:type="dxa"/>
            <w:vAlign w:val="bottom"/>
            <w:gridSpan w:val="3"/>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17">
              <w:r>
                <w:rPr>
                  <w:rFonts w:ascii="Arial" w:cs="Arial" w:eastAsia="Arial" w:hAnsi="Arial"/>
                  <w:sz w:val="16"/>
                  <w:szCs w:val="16"/>
                  <w:color w:val="0000FF"/>
                </w:rPr>
                <w:t>5.</w:t>
              </w:r>
              <w:r>
                <w:rPr>
                  <w:rFonts w:ascii="Arial" w:cs="Arial" w:eastAsia="Arial" w:hAnsi="Arial"/>
                  <w:sz w:val="16"/>
                  <w:szCs w:val="16"/>
                  <w:u w:val="single" w:color="auto"/>
                  <w:color w:val="0000FF"/>
                </w:rPr>
                <w:t>02</w:t>
              </w:r>
              <w:r>
                <w:rPr>
                  <w:rFonts w:ascii="Arial" w:cs="Arial" w:eastAsia="Arial" w:hAnsi="Arial"/>
                  <w:sz w:val="16"/>
                  <w:szCs w:val="16"/>
                  <w:color w:val="0000FF"/>
                </w:rPr>
                <w:t xml:space="preserve"> of the Registrant's Current Report on Form 8-K filed on March 17, 2017)</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500" w:type="dxa"/>
            <w:vAlign w:val="bottom"/>
          </w:tcPr>
          <w:p>
            <w:pPr>
              <w:spacing w:after="0"/>
              <w:rPr>
                <w:sz w:val="24"/>
                <w:szCs w:val="24"/>
                <w:color w:val="auto"/>
              </w:rPr>
            </w:pPr>
          </w:p>
        </w:tc>
        <w:tc>
          <w:tcPr>
            <w:tcW w:w="9820" w:type="dxa"/>
            <w:vAlign w:val="bottom"/>
            <w:gridSpan w:val="34"/>
          </w:tcPr>
          <w:p>
            <w:pPr>
              <w:spacing w:after="0"/>
              <w:rPr>
                <w:rFonts w:ascii="Arial" w:cs="Arial" w:eastAsia="Arial" w:hAnsi="Arial"/>
                <w:sz w:val="16"/>
                <w:szCs w:val="16"/>
                <w:color w:val="0000FF"/>
                <w:w w:val="93"/>
              </w:rPr>
            </w:pPr>
            <w:hyperlink r:id="rId230">
              <w:r>
                <w:rPr>
                  <w:rFonts w:ascii="Arial" w:cs="Arial" w:eastAsia="Arial" w:hAnsi="Arial"/>
                  <w:sz w:val="16"/>
                  <w:szCs w:val="16"/>
                  <w:color w:val="0000FF"/>
                  <w:w w:val="93"/>
                </w:rPr>
                <w:t>Executive Change in Control Program, as amended and restated (incorporated by reference to Exhibit 10.1 filed with the Registrant’s Current Report</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4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230">
              <w:r>
                <w:rPr>
                  <w:rFonts w:ascii="Arial" w:cs="Arial" w:eastAsia="Arial" w:hAnsi="Arial"/>
                  <w:sz w:val="16"/>
                  <w:szCs w:val="16"/>
                  <w:color w:val="0000FF"/>
                </w:rPr>
                <w:t>on Form 8-K filed on December 21, 2016)</w:t>
              </w:r>
            </w:hyperlink>
          </w:p>
        </w:tc>
        <w:tc>
          <w:tcPr>
            <w:tcW w:w="180" w:type="dxa"/>
            <w:vAlign w:val="bottom"/>
            <w:gridSpan w:val="8"/>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500" w:type="dxa"/>
            <w:vAlign w:val="bottom"/>
          </w:tcPr>
          <w:p>
            <w:pPr>
              <w:spacing w:after="0"/>
              <w:rPr>
                <w:sz w:val="24"/>
                <w:szCs w:val="24"/>
                <w:color w:val="auto"/>
              </w:rPr>
            </w:pPr>
          </w:p>
        </w:tc>
        <w:tc>
          <w:tcPr>
            <w:tcW w:w="9820" w:type="dxa"/>
            <w:vAlign w:val="bottom"/>
            <w:gridSpan w:val="34"/>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Sub-Plan of the Autodesk, Inc. 1998 Employee Qualified Stock Purchase Plan, as amended and restated (filed herewith)</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500" w:type="dxa"/>
            <w:vAlign w:val="bottom"/>
          </w:tcPr>
          <w:p>
            <w:pPr>
              <w:spacing w:after="0"/>
              <w:rPr>
                <w:sz w:val="24"/>
                <w:szCs w:val="24"/>
                <w:color w:val="auto"/>
              </w:rPr>
            </w:pPr>
          </w:p>
        </w:tc>
        <w:tc>
          <w:tcPr>
            <w:tcW w:w="9820" w:type="dxa"/>
            <w:vAlign w:val="bottom"/>
            <w:gridSpan w:val="34"/>
          </w:tcPr>
          <w:p>
            <w:pPr>
              <w:spacing w:after="0"/>
              <w:rPr>
                <w:rFonts w:ascii="Arial" w:cs="Arial" w:eastAsia="Arial" w:hAnsi="Arial"/>
                <w:sz w:val="16"/>
                <w:szCs w:val="16"/>
                <w:color w:val="0000FF"/>
                <w:w w:val="94"/>
              </w:rPr>
            </w:pPr>
            <w:hyperlink r:id="rId231">
              <w:r>
                <w:rPr>
                  <w:rFonts w:ascii="Arial" w:cs="Arial" w:eastAsia="Arial" w:hAnsi="Arial"/>
                  <w:sz w:val="16"/>
                  <w:szCs w:val="16"/>
                  <w:color w:val="0000FF"/>
                  <w:w w:val="94"/>
                </w:rPr>
                <w:t>Form of Indemnification Agreement executed by the Registrant and each of its officers and directors (incorporated by reference to Exhibit 10.8 filed</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2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231">
              <w:r>
                <w:rPr>
                  <w:rFonts w:ascii="Arial" w:cs="Arial" w:eastAsia="Arial" w:hAnsi="Arial"/>
                  <w:sz w:val="16"/>
                  <w:szCs w:val="16"/>
                  <w:color w:val="0000FF"/>
                </w:rPr>
                <w:t>with the Registrant’s Annual Report on Form 10-K filed on March 31, 2005)</w:t>
              </w:r>
            </w:hyperlink>
          </w:p>
        </w:tc>
        <w:tc>
          <w:tcPr>
            <w:tcW w:w="200" w:type="dxa"/>
            <w:vAlign w:val="bottom"/>
            <w:gridSpan w:val="9"/>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500" w:type="dxa"/>
            <w:vAlign w:val="bottom"/>
          </w:tcPr>
          <w:p>
            <w:pPr>
              <w:spacing w:after="0"/>
              <w:rPr>
                <w:sz w:val="24"/>
                <w:szCs w:val="24"/>
                <w:color w:val="auto"/>
              </w:rPr>
            </w:pPr>
          </w:p>
        </w:tc>
        <w:tc>
          <w:tcPr>
            <w:tcW w:w="9820" w:type="dxa"/>
            <w:vAlign w:val="bottom"/>
            <w:gridSpan w:val="34"/>
          </w:tcPr>
          <w:p>
            <w:pPr>
              <w:spacing w:after="0"/>
              <w:rPr>
                <w:rFonts w:ascii="Arial" w:cs="Arial" w:eastAsia="Arial" w:hAnsi="Arial"/>
                <w:sz w:val="16"/>
                <w:szCs w:val="16"/>
                <w:color w:val="0000FF"/>
                <w:w w:val="92"/>
              </w:rPr>
            </w:pPr>
            <w:hyperlink r:id="rId232">
              <w:r>
                <w:rPr>
                  <w:rFonts w:ascii="Arial" w:cs="Arial" w:eastAsia="Arial" w:hAnsi="Arial"/>
                  <w:sz w:val="16"/>
                  <w:szCs w:val="16"/>
                  <w:color w:val="0000FF"/>
                  <w:w w:val="92"/>
                </w:rPr>
                <w:t>Third Amended and Restated Employment Agreement between Registrant and Carl Bass dated March 21, 2013 (incorporated by reference to Exhibit</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580" w:type="dxa"/>
            <w:vAlign w:val="bottom"/>
            <w:tcBorders>
              <w:top w:val="single" w:sz="8" w:color="0000FF"/>
              <w:bottom w:val="single" w:sz="8" w:color="0000FF"/>
            </w:tcBorders>
            <w:gridSpan w:val="14"/>
          </w:tcPr>
          <w:p>
            <w:pPr>
              <w:spacing w:after="0" w:line="183" w:lineRule="exact"/>
              <w:rPr>
                <w:rFonts w:ascii="Arial" w:cs="Arial" w:eastAsia="Arial" w:hAnsi="Arial"/>
                <w:sz w:val="16"/>
                <w:szCs w:val="16"/>
                <w:color w:val="0000FF"/>
                <w:w w:val="93"/>
              </w:rPr>
            </w:pPr>
            <w:hyperlink r:id="rId232">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w:t>
              </w:r>
              <w:r>
                <w:rPr>
                  <w:rFonts w:ascii="Arial" w:cs="Arial" w:eastAsia="Arial" w:hAnsi="Arial"/>
                  <w:sz w:val="16"/>
                  <w:szCs w:val="16"/>
                  <w:color w:val="0000FF"/>
                  <w:w w:val="93"/>
                </w:rPr>
                <w:t xml:space="preserve"> filed with the Registrant’s Current Report on Form 8-K filed on March 25, 2013)</w:t>
              </w:r>
            </w:hyperlink>
          </w:p>
        </w:tc>
        <w:tc>
          <w:tcPr>
            <w:tcW w:w="4080" w:type="dxa"/>
            <w:vAlign w:val="bottom"/>
            <w:tcBorders>
              <w:top w:val="single" w:sz="8" w:color="0000FF"/>
            </w:tcBorders>
            <w:gridSpan w:val="13"/>
          </w:tcPr>
          <w:p>
            <w:pPr>
              <w:spacing w:after="0"/>
              <w:rPr>
                <w:sz w:val="15"/>
                <w:szCs w:val="15"/>
                <w:color w:val="auto"/>
              </w:rPr>
            </w:pPr>
          </w:p>
        </w:tc>
        <w:tc>
          <w:tcPr>
            <w:tcW w:w="160" w:type="dxa"/>
            <w:vAlign w:val="bottom"/>
            <w:gridSpan w:val="7"/>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500" w:type="dxa"/>
            <w:vAlign w:val="bottom"/>
          </w:tcPr>
          <w:p>
            <w:pPr>
              <w:spacing w:after="0"/>
              <w:rPr>
                <w:sz w:val="24"/>
                <w:szCs w:val="24"/>
                <w:color w:val="auto"/>
              </w:rPr>
            </w:pPr>
          </w:p>
        </w:tc>
        <w:tc>
          <w:tcPr>
            <w:tcW w:w="9780" w:type="dxa"/>
            <w:vAlign w:val="bottom"/>
            <w:tcBorders>
              <w:bottom w:val="single" w:sz="8" w:color="0000FF"/>
            </w:tcBorders>
            <w:gridSpan w:val="32"/>
          </w:tcPr>
          <w:p>
            <w:pPr>
              <w:spacing w:after="0"/>
              <w:rPr>
                <w:rFonts w:ascii="Arial" w:cs="Arial" w:eastAsia="Arial" w:hAnsi="Arial"/>
                <w:sz w:val="16"/>
                <w:szCs w:val="16"/>
                <w:color w:val="0000FF"/>
                <w:w w:val="92"/>
              </w:rPr>
            </w:pPr>
            <w:hyperlink r:id="rId233">
              <w:r>
                <w:rPr>
                  <w:rFonts w:ascii="Arial" w:cs="Arial" w:eastAsia="Arial" w:hAnsi="Arial"/>
                  <w:sz w:val="16"/>
                  <w:szCs w:val="16"/>
                  <w:color w:val="0000FF"/>
                  <w:w w:val="92"/>
                </w:rPr>
                <w:t>R. Scott Herren Offer Letter dated September 23, 2014 (incorporated by reference to Exhibit 10.1 filed with the Registrant's Quarterly Report on Form</w:t>
              </w:r>
            </w:hyperlink>
          </w:p>
        </w:tc>
        <w:tc>
          <w:tcPr>
            <w:tcW w:w="40" w:type="dxa"/>
            <w:vAlign w:val="bottom"/>
            <w:gridSpan w:val="2"/>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6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233">
              <w:r>
                <w:rPr>
                  <w:rFonts w:ascii="Arial" w:cs="Arial" w:eastAsia="Arial" w:hAnsi="Arial"/>
                  <w:sz w:val="16"/>
                  <w:szCs w:val="16"/>
                  <w:color w:val="0000FF"/>
                  <w:w w:val="91"/>
                </w:rPr>
                <w:t>10-Q filed on December 5, 2014)</w:t>
              </w:r>
            </w:hyperlink>
          </w:p>
        </w:tc>
        <w:tc>
          <w:tcPr>
            <w:tcW w:w="7660" w:type="dxa"/>
            <w:vAlign w:val="bottom"/>
            <w:gridSpan w:val="33"/>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50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Arial" w:cs="Arial" w:eastAsia="Arial" w:hAnsi="Arial"/>
                <w:sz w:val="16"/>
                <w:szCs w:val="16"/>
                <w:color w:val="0000FF"/>
                <w:w w:val="91"/>
              </w:rPr>
            </w:pPr>
            <w:hyperlink r:id="rId234">
              <w:r>
                <w:rPr>
                  <w:rFonts w:ascii="Arial" w:cs="Arial" w:eastAsia="Arial" w:hAnsi="Arial"/>
                  <w:sz w:val="16"/>
                  <w:szCs w:val="16"/>
                  <w:color w:val="0000FF"/>
                  <w:w w:val="91"/>
                </w:rPr>
                <w:t>Registrant’s Equity Incentive Deferral Plan as amended and restated effective as of June 12, 2008 (incorporated by reference to Exhibit 10.4 filed with</w:t>
              </w:r>
            </w:hyperlink>
          </w:p>
        </w:tc>
        <w:tc>
          <w:tcPr>
            <w:tcW w:w="60" w:type="dxa"/>
            <w:vAlign w:val="bottom"/>
            <w:gridSpan w:val="3"/>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980" w:type="dxa"/>
            <w:vAlign w:val="bottom"/>
            <w:tcBorders>
              <w:bottom w:val="single" w:sz="8" w:color="0000FF"/>
            </w:tcBorders>
            <w:gridSpan w:val="10"/>
          </w:tcPr>
          <w:p>
            <w:pPr>
              <w:spacing w:after="0" w:line="183" w:lineRule="exact"/>
              <w:rPr>
                <w:rFonts w:ascii="Arial" w:cs="Arial" w:eastAsia="Arial" w:hAnsi="Arial"/>
                <w:sz w:val="16"/>
                <w:szCs w:val="16"/>
                <w:color w:val="0000FF"/>
                <w:w w:val="91"/>
              </w:rPr>
            </w:pPr>
            <w:hyperlink r:id="rId234">
              <w:r>
                <w:rPr>
                  <w:rFonts w:ascii="Arial" w:cs="Arial" w:eastAsia="Arial" w:hAnsi="Arial"/>
                  <w:sz w:val="16"/>
                  <w:szCs w:val="16"/>
                  <w:color w:val="0000FF"/>
                  <w:w w:val="91"/>
                </w:rPr>
                <w:t>the Registrant’s Quarterly Report on Form 10-Q filed on September 5, 2008)</w:t>
              </w:r>
            </w:hyperlink>
          </w:p>
        </w:tc>
        <w:tc>
          <w:tcPr>
            <w:tcW w:w="4840" w:type="dxa"/>
            <w:vAlign w:val="bottom"/>
            <w:gridSpan w:val="24"/>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500" w:type="dxa"/>
            <w:vAlign w:val="bottom"/>
          </w:tcPr>
          <w:p>
            <w:pPr>
              <w:spacing w:after="0"/>
              <w:rPr>
                <w:sz w:val="24"/>
                <w:szCs w:val="24"/>
                <w:color w:val="auto"/>
              </w:rPr>
            </w:pPr>
          </w:p>
        </w:tc>
        <w:tc>
          <w:tcPr>
            <w:tcW w:w="9740" w:type="dxa"/>
            <w:vAlign w:val="bottom"/>
            <w:tcBorders>
              <w:bottom w:val="single" w:sz="8" w:color="0000FF"/>
            </w:tcBorders>
            <w:gridSpan w:val="30"/>
          </w:tcPr>
          <w:p>
            <w:pPr>
              <w:spacing w:after="0"/>
              <w:rPr>
                <w:rFonts w:ascii="Arial" w:cs="Arial" w:eastAsia="Arial" w:hAnsi="Arial"/>
                <w:sz w:val="16"/>
                <w:szCs w:val="16"/>
                <w:color w:val="0000FF"/>
                <w:w w:val="92"/>
              </w:rPr>
            </w:pPr>
            <w:hyperlink r:id="rId235">
              <w:r>
                <w:rPr>
                  <w:rFonts w:ascii="Arial" w:cs="Arial" w:eastAsia="Arial" w:hAnsi="Arial"/>
                  <w:sz w:val="16"/>
                  <w:szCs w:val="16"/>
                  <w:color w:val="0000FF"/>
                  <w:w w:val="92"/>
                </w:rPr>
                <w:t>Amendment to Registrant's Equity Incentive Deferral Plan effective as of February 17, 2012 (incorporated by reference to Exhibit 10.37 filed with the</w:t>
              </w:r>
            </w:hyperlink>
          </w:p>
        </w:tc>
        <w:tc>
          <w:tcPr>
            <w:tcW w:w="80" w:type="dxa"/>
            <w:vAlign w:val="bottom"/>
            <w:gridSpan w:val="4"/>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35">
              <w:r>
                <w:rPr>
                  <w:rFonts w:ascii="Arial" w:cs="Arial" w:eastAsia="Arial" w:hAnsi="Arial"/>
                  <w:sz w:val="16"/>
                  <w:szCs w:val="16"/>
                  <w:color w:val="0000FF"/>
                </w:rPr>
                <w:t>Registrant's Annual Report on Form 10-K filed on March 15, 2012)</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500" w:type="dxa"/>
            <w:vAlign w:val="bottom"/>
          </w:tcPr>
          <w:p>
            <w:pPr>
              <w:spacing w:after="0"/>
              <w:rPr>
                <w:sz w:val="24"/>
                <w:szCs w:val="24"/>
                <w:color w:val="auto"/>
              </w:rPr>
            </w:pPr>
          </w:p>
        </w:tc>
        <w:tc>
          <w:tcPr>
            <w:tcW w:w="9820" w:type="dxa"/>
            <w:vAlign w:val="bottom"/>
            <w:tcBorders>
              <w:bottom w:val="single" w:sz="8" w:color="0000FF"/>
            </w:tcBorders>
            <w:gridSpan w:val="34"/>
          </w:tcPr>
          <w:p>
            <w:pPr>
              <w:spacing w:after="0"/>
              <w:rPr>
                <w:rFonts w:ascii="Arial" w:cs="Arial" w:eastAsia="Arial" w:hAnsi="Arial"/>
                <w:sz w:val="16"/>
                <w:szCs w:val="16"/>
                <w:color w:val="0000FF"/>
                <w:w w:val="91"/>
              </w:rPr>
            </w:pPr>
            <w:hyperlink r:id="rId236">
              <w:r>
                <w:rPr>
                  <w:rFonts w:ascii="Arial" w:cs="Arial" w:eastAsia="Arial" w:hAnsi="Arial"/>
                  <w:sz w:val="16"/>
                  <w:szCs w:val="16"/>
                  <w:color w:val="0000FF"/>
                  <w:w w:val="91"/>
                </w:rPr>
                <w:t>Office Lease between Registrant and the J.H.S. Trust for 111 McInnis Parkway, San Rafael, CA, as amended (incorporated by reference to Exhibit 10.1</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0" w:type="dxa"/>
            <w:vAlign w:val="bottom"/>
            <w:tcBorders>
              <w:bottom w:val="single" w:sz="8" w:color="0000FF"/>
            </w:tcBorders>
            <w:gridSpan w:val="17"/>
          </w:tcPr>
          <w:p>
            <w:pPr>
              <w:spacing w:after="0" w:line="183" w:lineRule="exact"/>
              <w:rPr>
                <w:rFonts w:ascii="Arial" w:cs="Arial" w:eastAsia="Arial" w:hAnsi="Arial"/>
                <w:sz w:val="16"/>
                <w:szCs w:val="16"/>
                <w:color w:val="0000FF"/>
                <w:w w:val="92"/>
              </w:rPr>
            </w:pPr>
            <w:hyperlink r:id="rId236">
              <w:r>
                <w:rPr>
                  <w:rFonts w:ascii="Arial" w:cs="Arial" w:eastAsia="Arial" w:hAnsi="Arial"/>
                  <w:sz w:val="16"/>
                  <w:szCs w:val="16"/>
                  <w:color w:val="0000FF"/>
                  <w:w w:val="92"/>
                </w:rPr>
                <w:t>filed with the Registrant’s Quarterly Report on Form 10-Q for the fiscal quarter ended October 31, 2004)</w:t>
              </w:r>
            </w:hyperlink>
          </w:p>
        </w:tc>
        <w:tc>
          <w:tcPr>
            <w:tcW w:w="3020" w:type="dxa"/>
            <w:vAlign w:val="bottom"/>
            <w:gridSpan w:val="17"/>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500" w:type="dxa"/>
            <w:vAlign w:val="bottom"/>
          </w:tcPr>
          <w:p>
            <w:pPr>
              <w:spacing w:after="0"/>
              <w:rPr>
                <w:sz w:val="24"/>
                <w:szCs w:val="24"/>
                <w:color w:val="auto"/>
              </w:rPr>
            </w:pPr>
          </w:p>
        </w:tc>
        <w:tc>
          <w:tcPr>
            <w:tcW w:w="9720" w:type="dxa"/>
            <w:vAlign w:val="bottom"/>
            <w:tcBorders>
              <w:bottom w:val="single" w:sz="8" w:color="0000FF"/>
            </w:tcBorders>
            <w:gridSpan w:val="29"/>
          </w:tcPr>
          <w:p>
            <w:pPr>
              <w:spacing w:after="0"/>
              <w:rPr>
                <w:rFonts w:ascii="Arial" w:cs="Arial" w:eastAsia="Arial" w:hAnsi="Arial"/>
                <w:sz w:val="16"/>
                <w:szCs w:val="16"/>
                <w:color w:val="0000FF"/>
                <w:w w:val="91"/>
              </w:rPr>
            </w:pPr>
            <w:hyperlink r:id="rId237">
              <w:r>
                <w:rPr>
                  <w:rFonts w:ascii="Arial" w:cs="Arial" w:eastAsia="Arial" w:hAnsi="Arial"/>
                  <w:sz w:val="16"/>
                  <w:szCs w:val="16"/>
                  <w:color w:val="0000FF"/>
                  <w:w w:val="91"/>
                </w:rPr>
                <w:t>Fourth Amendment to Lease between Registrant and the J.H.S. Holdings L.P. for 111 McInnis Parkway, San Rafael, CA (incorporated by reference to</w:t>
              </w:r>
            </w:hyperlink>
          </w:p>
        </w:tc>
        <w:tc>
          <w:tcPr>
            <w:tcW w:w="100" w:type="dxa"/>
            <w:vAlign w:val="bottom"/>
            <w:gridSpan w:val="5"/>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37">
              <w:r>
                <w:rPr>
                  <w:rFonts w:ascii="Arial" w:cs="Arial" w:eastAsia="Arial" w:hAnsi="Arial"/>
                  <w:sz w:val="16"/>
                  <w:szCs w:val="16"/>
                  <w:color w:val="0000FF"/>
                </w:rPr>
                <w:t>Exhibit 10.30 filed with the Registrant’s Annual Report on Form 10-K filed on March 19, 2010)</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500" w:type="dxa"/>
            <w:vAlign w:val="bottom"/>
          </w:tcPr>
          <w:p>
            <w:pPr>
              <w:spacing w:after="0"/>
              <w:rPr>
                <w:sz w:val="24"/>
                <w:szCs w:val="24"/>
                <w:color w:val="auto"/>
              </w:rPr>
            </w:pPr>
          </w:p>
        </w:tc>
        <w:tc>
          <w:tcPr>
            <w:tcW w:w="9820" w:type="dxa"/>
            <w:vAlign w:val="bottom"/>
            <w:gridSpan w:val="34"/>
          </w:tcPr>
          <w:p>
            <w:pPr>
              <w:spacing w:after="0"/>
              <w:rPr>
                <w:rFonts w:ascii="Arial" w:cs="Arial" w:eastAsia="Arial" w:hAnsi="Arial"/>
                <w:sz w:val="16"/>
                <w:szCs w:val="16"/>
                <w:color w:val="0000FF"/>
                <w:w w:val="94"/>
              </w:rPr>
            </w:pPr>
            <w:hyperlink r:id="rId238">
              <w:r>
                <w:rPr>
                  <w:rFonts w:ascii="Arial" w:cs="Arial" w:eastAsia="Arial" w:hAnsi="Arial"/>
                  <w:sz w:val="16"/>
                  <w:szCs w:val="16"/>
                  <w:color w:val="0000FF"/>
                  <w:w w:val="94"/>
                </w:rPr>
                <w:t>Amended and Restated Credit Agreement, dated as of May 29, 2015, by and among the Registrant, the lenders from time to time party thereto and</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80" w:type="dxa"/>
            <w:vAlign w:val="bottom"/>
            <w:tcBorders>
              <w:top w:val="single" w:sz="8" w:color="0000FF"/>
            </w:tcBorders>
            <w:gridSpan w:val="23"/>
          </w:tcPr>
          <w:p>
            <w:pPr>
              <w:spacing w:after="0" w:line="183" w:lineRule="exact"/>
              <w:rPr>
                <w:rFonts w:ascii="Arial" w:cs="Arial" w:eastAsia="Arial" w:hAnsi="Arial"/>
                <w:sz w:val="16"/>
                <w:szCs w:val="16"/>
                <w:color w:val="0000FF"/>
                <w:w w:val="93"/>
              </w:rPr>
            </w:pPr>
            <w:hyperlink r:id="rId238">
              <w:r>
                <w:rPr>
                  <w:rFonts w:ascii="Arial" w:cs="Arial" w:eastAsia="Arial" w:hAnsi="Arial"/>
                  <w:sz w:val="16"/>
                  <w:szCs w:val="16"/>
                  <w:color w:val="0000FF"/>
                  <w:w w:val="93"/>
                </w:rPr>
                <w:t>Citibank, N.A. as agent (incorporated by reference to Exhibit 10.1 filed with the Registrant's Current Report on Form 8-K filed on May 29, 2015)</w:t>
              </w:r>
            </w:hyperlink>
          </w:p>
        </w:tc>
        <w:tc>
          <w:tcPr>
            <w:tcW w:w="340" w:type="dxa"/>
            <w:vAlign w:val="bottom"/>
            <w:gridSpan w:val="11"/>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500" w:type="dxa"/>
            <w:vAlign w:val="bottom"/>
          </w:tcPr>
          <w:p>
            <w:pPr>
              <w:spacing w:after="0"/>
              <w:rPr>
                <w:sz w:val="24"/>
                <w:szCs w:val="24"/>
                <w:color w:val="auto"/>
              </w:rPr>
            </w:pPr>
          </w:p>
        </w:tc>
        <w:tc>
          <w:tcPr>
            <w:tcW w:w="9420" w:type="dxa"/>
            <w:vAlign w:val="bottom"/>
            <w:tcBorders>
              <w:top w:val="single" w:sz="8" w:color="0000FF"/>
            </w:tcBorders>
            <w:gridSpan w:val="22"/>
          </w:tcPr>
          <w:p>
            <w:pPr>
              <w:spacing w:after="0"/>
              <w:rPr>
                <w:rFonts w:ascii="Arial" w:cs="Arial" w:eastAsia="Arial" w:hAnsi="Arial"/>
                <w:sz w:val="16"/>
                <w:szCs w:val="16"/>
                <w:color w:val="0000FF"/>
                <w:w w:val="93"/>
              </w:rPr>
            </w:pPr>
            <w:hyperlink r:id="rId239">
              <w:r>
                <w:rPr>
                  <w:rFonts w:ascii="Arial" w:cs="Arial" w:eastAsia="Arial" w:hAnsi="Arial"/>
                  <w:sz w:val="16"/>
                  <w:szCs w:val="16"/>
                  <w:color w:val="0000FF"/>
                  <w:w w:val="93"/>
                </w:rPr>
                <w:t>Letter Amendment No. 1, dated April 26, 2017, to the Amended and Restated Credit Agreement, dated as of May 29, 2015, by and among the</w:t>
              </w:r>
            </w:hyperlink>
          </w:p>
        </w:tc>
        <w:tc>
          <w:tcPr>
            <w:tcW w:w="400" w:type="dxa"/>
            <w:vAlign w:val="bottom"/>
            <w:gridSpan w:val="12"/>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tcBorders>
              <w:bottom w:val="single" w:sz="8" w:color="0000FF"/>
            </w:tcBorders>
            <w:gridSpan w:val="34"/>
          </w:tcPr>
          <w:p>
            <w:pPr>
              <w:spacing w:after="0" w:line="183" w:lineRule="exact"/>
              <w:rPr>
                <w:rFonts w:ascii="Arial" w:cs="Arial" w:eastAsia="Arial" w:hAnsi="Arial"/>
                <w:sz w:val="16"/>
                <w:szCs w:val="16"/>
                <w:color w:val="0000FF"/>
                <w:w w:val="92"/>
              </w:rPr>
            </w:pPr>
            <w:hyperlink r:id="rId239">
              <w:r>
                <w:rPr>
                  <w:rFonts w:ascii="Arial" w:cs="Arial" w:eastAsia="Arial" w:hAnsi="Arial"/>
                  <w:sz w:val="16"/>
                  <w:szCs w:val="16"/>
                  <w:color w:val="0000FF"/>
                  <w:w w:val="92"/>
                </w:rPr>
                <w:t>Registrant, the lenders from time to time party thereto and Citibank, N.A. as agent (incorporated by reference to Exhibit 10.5 filed with the Registrant's</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39">
              <w:r>
                <w:rPr>
                  <w:rFonts w:ascii="Arial" w:cs="Arial" w:eastAsia="Arial" w:hAnsi="Arial"/>
                  <w:sz w:val="16"/>
                  <w:szCs w:val="16"/>
                  <w:color w:val="0000FF"/>
                </w:rPr>
                <w:t>Quarterly Report on Form 10-Q filed on May 31, 2017)</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10.25</w:t>
            </w:r>
          </w:p>
        </w:tc>
        <w:tc>
          <w:tcPr>
            <w:tcW w:w="500" w:type="dxa"/>
            <w:vAlign w:val="bottom"/>
          </w:tcPr>
          <w:p>
            <w:pPr>
              <w:spacing w:after="0"/>
              <w:rPr>
                <w:sz w:val="24"/>
                <w:szCs w:val="24"/>
                <w:color w:val="auto"/>
              </w:rPr>
            </w:pPr>
          </w:p>
        </w:tc>
        <w:tc>
          <w:tcPr>
            <w:tcW w:w="9720" w:type="dxa"/>
            <w:vAlign w:val="bottom"/>
            <w:tcBorders>
              <w:bottom w:val="single" w:sz="8" w:color="0000FF"/>
            </w:tcBorders>
            <w:gridSpan w:val="29"/>
          </w:tcPr>
          <w:p>
            <w:pPr>
              <w:spacing w:after="0"/>
              <w:rPr>
                <w:rFonts w:ascii="Arial" w:cs="Arial" w:eastAsia="Arial" w:hAnsi="Arial"/>
                <w:sz w:val="16"/>
                <w:szCs w:val="16"/>
                <w:color w:val="0000FF"/>
                <w:w w:val="90"/>
              </w:rPr>
            </w:pPr>
            <w:hyperlink r:id="rId240">
              <w:r>
                <w:rPr>
                  <w:rFonts w:ascii="Arial" w:cs="Arial" w:eastAsia="Arial" w:hAnsi="Arial"/>
                  <w:sz w:val="16"/>
                  <w:szCs w:val="16"/>
                  <w:color w:val="0000FF"/>
                  <w:w w:val="90"/>
                </w:rPr>
                <w:t>Agreement, dated March 10, 2016, by and among the Registrant, Sachem Head Capital Management LP, Uncas GP LLC, and Sachem Head GP LLC.</w:t>
              </w:r>
            </w:hyperlink>
          </w:p>
        </w:tc>
        <w:tc>
          <w:tcPr>
            <w:tcW w:w="100" w:type="dxa"/>
            <w:vAlign w:val="bottom"/>
            <w:gridSpan w:val="5"/>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40">
              <w:r>
                <w:rPr>
                  <w:rFonts w:ascii="Arial" w:cs="Arial" w:eastAsia="Arial" w:hAnsi="Arial"/>
                  <w:sz w:val="16"/>
                  <w:szCs w:val="16"/>
                  <w:color w:val="0000FF"/>
                </w:rPr>
                <w:t>(incorporated by reference to Exhibit 99.1 filed with the Registrant’s Current Report on Form 8-K filed on March 11, 2016)</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60" w:type="dxa"/>
            <w:vAlign w:val="bottom"/>
            <w:gridSpan w:val="13"/>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500" w:type="dxa"/>
            <w:vAlign w:val="bottom"/>
          </w:tcPr>
          <w:p>
            <w:pPr>
              <w:spacing w:after="0"/>
              <w:rPr>
                <w:sz w:val="24"/>
                <w:szCs w:val="24"/>
                <w:color w:val="auto"/>
              </w:rPr>
            </w:pPr>
          </w:p>
        </w:tc>
        <w:tc>
          <w:tcPr>
            <w:tcW w:w="9760" w:type="dxa"/>
            <w:vAlign w:val="bottom"/>
            <w:tcBorders>
              <w:bottom w:val="single" w:sz="8" w:color="0000FF"/>
            </w:tcBorders>
            <w:gridSpan w:val="31"/>
          </w:tcPr>
          <w:p>
            <w:pPr>
              <w:spacing w:after="0"/>
              <w:rPr>
                <w:rFonts w:ascii="Arial" w:cs="Arial" w:eastAsia="Arial" w:hAnsi="Arial"/>
                <w:sz w:val="16"/>
                <w:szCs w:val="16"/>
                <w:color w:val="0000FF"/>
                <w:w w:val="91"/>
              </w:rPr>
            </w:pPr>
            <w:hyperlink r:id="rId241">
              <w:r>
                <w:rPr>
                  <w:rFonts w:ascii="Arial" w:cs="Arial" w:eastAsia="Arial" w:hAnsi="Arial"/>
                  <w:sz w:val="16"/>
                  <w:szCs w:val="16"/>
                  <w:color w:val="0000FF"/>
                  <w:w w:val="91"/>
                </w:rPr>
                <w:t>Agreement, dated March 10, 2016, by and among the Registrant, Eminence Capital, LP, and Eminence GP, LLC. (incorporated by reference to Exhibit</w:t>
              </w:r>
            </w:hyperlink>
          </w:p>
        </w:tc>
        <w:tc>
          <w:tcPr>
            <w:tcW w:w="60" w:type="dxa"/>
            <w:vAlign w:val="bottom"/>
            <w:gridSpan w:val="3"/>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20" w:type="dxa"/>
            <w:vAlign w:val="bottom"/>
            <w:gridSpan w:val="34"/>
          </w:tcPr>
          <w:p>
            <w:pPr>
              <w:spacing w:after="0" w:line="183" w:lineRule="exact"/>
              <w:rPr>
                <w:rFonts w:ascii="Arial" w:cs="Arial" w:eastAsia="Arial" w:hAnsi="Arial"/>
                <w:sz w:val="16"/>
                <w:szCs w:val="16"/>
                <w:color w:val="0000FF"/>
              </w:rPr>
            </w:pPr>
            <w:hyperlink r:id="rId241">
              <w:r>
                <w:rPr>
                  <w:rFonts w:ascii="Arial" w:cs="Arial" w:eastAsia="Arial" w:hAnsi="Arial"/>
                  <w:sz w:val="16"/>
                  <w:szCs w:val="16"/>
                  <w:color w:val="0000FF"/>
                </w:rPr>
                <w:t>99.</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filed with the Registrant’s Current Report on Form 8-K filed on March 11, 2016)</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60" w:type="dxa"/>
            <w:vAlign w:val="bottom"/>
            <w:gridSpan w:val="13"/>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17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10.27</w:t>
            </w:r>
          </w:p>
        </w:tc>
        <w:tc>
          <w:tcPr>
            <w:tcW w:w="500" w:type="dxa"/>
            <w:vAlign w:val="bottom"/>
          </w:tcPr>
          <w:p>
            <w:pPr>
              <w:spacing w:after="0"/>
              <w:rPr>
                <w:sz w:val="24"/>
                <w:szCs w:val="24"/>
                <w:color w:val="auto"/>
              </w:rPr>
            </w:pPr>
          </w:p>
        </w:tc>
        <w:tc>
          <w:tcPr>
            <w:tcW w:w="9800" w:type="dxa"/>
            <w:vAlign w:val="bottom"/>
            <w:tcBorders>
              <w:bottom w:val="single" w:sz="8" w:color="0000FF"/>
            </w:tcBorders>
            <w:gridSpan w:val="33"/>
          </w:tcPr>
          <w:p>
            <w:pPr>
              <w:spacing w:after="0"/>
              <w:rPr>
                <w:rFonts w:ascii="Arial" w:cs="Arial" w:eastAsia="Arial" w:hAnsi="Arial"/>
                <w:sz w:val="16"/>
                <w:szCs w:val="16"/>
                <w:color w:val="0000FF"/>
                <w:w w:val="90"/>
              </w:rPr>
            </w:pPr>
            <w:hyperlink r:id="rId242">
              <w:r>
                <w:rPr>
                  <w:rFonts w:ascii="Arial" w:cs="Arial" w:eastAsia="Arial" w:hAnsi="Arial"/>
                  <w:sz w:val="16"/>
                  <w:szCs w:val="16"/>
                  <w:color w:val="0000FF"/>
                  <w:w w:val="90"/>
                </w:rPr>
                <w:t>Agreement, dated February 6, 2017, by and among the Registrant, Sachem Head Capital Management LP, Uncas GP LLC, and Sachem Head GP LLC.</w:t>
              </w:r>
            </w:hyperlink>
          </w:p>
        </w:tc>
        <w:tc>
          <w:tcPr>
            <w:tcW w:w="2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100" w:type="dxa"/>
            <w:vAlign w:val="bottom"/>
            <w:tcBorders>
              <w:bottom w:val="single" w:sz="8" w:color="0000FF"/>
            </w:tcBorders>
            <w:gridSpan w:val="20"/>
          </w:tcPr>
          <w:p>
            <w:pPr>
              <w:spacing w:after="0" w:line="183" w:lineRule="exact"/>
              <w:rPr>
                <w:rFonts w:ascii="Arial" w:cs="Arial" w:eastAsia="Arial" w:hAnsi="Arial"/>
                <w:sz w:val="16"/>
                <w:szCs w:val="16"/>
                <w:color w:val="0000FF"/>
                <w:w w:val="93"/>
              </w:rPr>
            </w:pPr>
            <w:hyperlink r:id="rId242">
              <w:r>
                <w:rPr>
                  <w:rFonts w:ascii="Arial" w:cs="Arial" w:eastAsia="Arial" w:hAnsi="Arial"/>
                  <w:sz w:val="16"/>
                  <w:szCs w:val="16"/>
                  <w:color w:val="0000FF"/>
                  <w:w w:val="93"/>
                </w:rPr>
                <w:t>(incorporated by reference to Exhibit 99.1 filed with the Registrant’s Current Report on Form 8-K filed on February 7, 2017)</w:t>
              </w:r>
            </w:hyperlink>
          </w:p>
        </w:tc>
        <w:tc>
          <w:tcPr>
            <w:tcW w:w="1720" w:type="dxa"/>
            <w:vAlign w:val="bottom"/>
            <w:gridSpan w:val="1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0330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Form 10-K 114</w:t>
      </w:r>
    </w:p>
    <w:p>
      <w:pPr>
        <w:sectPr>
          <w:pgSz w:w="11900" w:h="16838" w:orient="portrait"/>
          <w:cols w:equalWidth="0" w:num="1">
            <w:col w:w="11360"/>
          </w:cols>
          <w:pgMar w:left="240" w:top="125" w:right="2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gridSpan w:val="12"/>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95"/>
              </w:rPr>
              <w:t>10.28*</w:t>
            </w:r>
          </w:p>
        </w:tc>
        <w:tc>
          <w:tcPr>
            <w:tcW w:w="50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6"/>
                <w:szCs w:val="16"/>
                <w:color w:val="0000FF"/>
                <w:w w:val="91"/>
              </w:rPr>
            </w:pPr>
            <w:hyperlink r:id="rId244">
              <w:r>
                <w:rPr>
                  <w:rFonts w:ascii="Arial" w:cs="Arial" w:eastAsia="Arial" w:hAnsi="Arial"/>
                  <w:sz w:val="16"/>
                  <w:szCs w:val="16"/>
                  <w:color w:val="0000FF"/>
                  <w:w w:val="91"/>
                </w:rPr>
                <w:t>Transition and Separation Agreement, dated February 6, 2017, by and between the Company and Carl Bass (incorporated by reference to Exhibit 10.1</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20" w:type="dxa"/>
            <w:vAlign w:val="bottom"/>
            <w:tcBorders>
              <w:top w:val="single" w:sz="8" w:color="0000FF"/>
            </w:tcBorders>
            <w:gridSpan w:val="13"/>
          </w:tcPr>
          <w:p>
            <w:pPr>
              <w:spacing w:after="0" w:line="183" w:lineRule="exact"/>
              <w:rPr>
                <w:rFonts w:ascii="Arial" w:cs="Arial" w:eastAsia="Arial" w:hAnsi="Arial"/>
                <w:sz w:val="16"/>
                <w:szCs w:val="16"/>
                <w:color w:val="0000FF"/>
              </w:rPr>
            </w:pPr>
            <w:hyperlink r:id="rId244">
              <w:r>
                <w:rPr>
                  <w:rFonts w:ascii="Arial" w:cs="Arial" w:eastAsia="Arial" w:hAnsi="Arial"/>
                  <w:sz w:val="16"/>
                  <w:szCs w:val="16"/>
                  <w:color w:val="0000FF"/>
                </w:rPr>
                <w:t>filed with the Registrant’s Current Report on Form 8-K filed on February 7, 2017)</w:t>
              </w:r>
            </w:hyperlink>
          </w:p>
        </w:tc>
        <w:tc>
          <w:tcPr>
            <w:tcW w:w="8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58"/>
        </w:trPr>
        <w:tc>
          <w:tcPr>
            <w:tcW w:w="700" w:type="dxa"/>
            <w:vAlign w:val="bottom"/>
          </w:tcPr>
          <w:p>
            <w:pPr>
              <w:ind w:left="180"/>
              <w:spacing w:after="0"/>
              <w:rPr>
                <w:sz w:val="20"/>
                <w:szCs w:val="20"/>
                <w:color w:val="auto"/>
              </w:rPr>
            </w:pPr>
            <w:r>
              <w:rPr>
                <w:rFonts w:ascii="Arial" w:cs="Arial" w:eastAsia="Arial" w:hAnsi="Arial"/>
                <w:sz w:val="16"/>
                <w:szCs w:val="16"/>
                <w:color w:val="auto"/>
              </w:rPr>
              <w:t>10.29*</w:t>
            </w:r>
          </w:p>
        </w:tc>
        <w:tc>
          <w:tcPr>
            <w:tcW w:w="500" w:type="dxa"/>
            <w:vAlign w:val="bottom"/>
          </w:tcPr>
          <w:p>
            <w:pPr>
              <w:spacing w:after="0"/>
              <w:rPr>
                <w:sz w:val="24"/>
                <w:szCs w:val="24"/>
                <w:color w:val="auto"/>
              </w:rPr>
            </w:pPr>
          </w:p>
        </w:tc>
        <w:tc>
          <w:tcPr>
            <w:tcW w:w="9680" w:type="dxa"/>
            <w:vAlign w:val="bottom"/>
            <w:tcBorders>
              <w:bottom w:val="single" w:sz="8" w:color="0000FF"/>
            </w:tcBorders>
            <w:gridSpan w:val="12"/>
          </w:tcPr>
          <w:p>
            <w:pPr>
              <w:spacing w:after="0"/>
              <w:rPr>
                <w:rFonts w:ascii="Arial" w:cs="Arial" w:eastAsia="Arial" w:hAnsi="Arial"/>
                <w:sz w:val="16"/>
                <w:szCs w:val="16"/>
                <w:color w:val="0000FF"/>
                <w:w w:val="91"/>
              </w:rPr>
            </w:pPr>
            <w:hyperlink r:id="rId245">
              <w:r>
                <w:rPr>
                  <w:rFonts w:ascii="Arial" w:cs="Arial" w:eastAsia="Arial" w:hAnsi="Arial"/>
                  <w:sz w:val="16"/>
                  <w:szCs w:val="16"/>
                  <w:color w:val="0000FF"/>
                  <w:w w:val="91"/>
                </w:rPr>
                <w:t>Employment Agreement, dated as of June 19, 2017, by and between Autodesk, Inc. and Andrew Anagnost (incorporated by reference to Exhibit 10.1</w:t>
              </w:r>
            </w:hyperlink>
          </w:p>
        </w:tc>
        <w:tc>
          <w:tcPr>
            <w:tcW w:w="120" w:type="dxa"/>
            <w:vAlign w:val="bottom"/>
            <w:gridSpan w:val="2"/>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12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245">
              <w:r>
                <w:rPr>
                  <w:rFonts w:ascii="Arial" w:cs="Arial" w:eastAsia="Arial" w:hAnsi="Arial"/>
                  <w:sz w:val="16"/>
                  <w:szCs w:val="16"/>
                  <w:color w:val="0000FF"/>
                  <w:w w:val="92"/>
                </w:rPr>
                <w:t>filed with the Registrant’s Current Report on Form 8-K filed on June 19, 2017)</w:t>
              </w:r>
            </w:hyperlink>
          </w:p>
        </w:tc>
        <w:tc>
          <w:tcPr>
            <w:tcW w:w="4680" w:type="dxa"/>
            <w:vAlign w:val="bottom"/>
            <w:gridSpan w:val="9"/>
          </w:tcPr>
          <w:p>
            <w:pPr>
              <w:spacing w:after="0"/>
              <w:rPr>
                <w:sz w:val="15"/>
                <w:szCs w:val="15"/>
                <w:color w:val="auto"/>
              </w:rPr>
            </w:pPr>
          </w:p>
        </w:tc>
      </w:tr>
      <w:tr>
        <w:trPr>
          <w:trHeight w:val="358"/>
        </w:trPr>
        <w:tc>
          <w:tcPr>
            <w:tcW w:w="700" w:type="dxa"/>
            <w:vAlign w:val="bottom"/>
          </w:tcPr>
          <w:p>
            <w:pPr>
              <w:ind w:left="180"/>
              <w:spacing w:after="0"/>
              <w:rPr>
                <w:sz w:val="20"/>
                <w:szCs w:val="20"/>
                <w:color w:val="auto"/>
              </w:rPr>
            </w:pPr>
            <w:r>
              <w:rPr>
                <w:rFonts w:ascii="Arial" w:cs="Arial" w:eastAsia="Arial" w:hAnsi="Arial"/>
                <w:sz w:val="16"/>
                <w:szCs w:val="16"/>
                <w:color w:val="auto"/>
              </w:rPr>
              <w:t>10.30</w:t>
            </w:r>
          </w:p>
        </w:tc>
        <w:tc>
          <w:tcPr>
            <w:tcW w:w="50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6"/>
                <w:szCs w:val="16"/>
                <w:color w:val="0000FF"/>
                <w:w w:val="93"/>
              </w:rPr>
            </w:pPr>
            <w:hyperlink r:id="rId246">
              <w:r>
                <w:rPr>
                  <w:rFonts w:ascii="Arial" w:cs="Arial" w:eastAsia="Arial" w:hAnsi="Arial"/>
                  <w:sz w:val="16"/>
                  <w:szCs w:val="16"/>
                  <w:color w:val="0000FF"/>
                  <w:w w:val="93"/>
                </w:rPr>
                <w:t>Separation Agreement, dated as of June 19, 2017, by and between Autodesk, Inc. and Amar Hanspal (incorporated by reference to Exhibit 10.2 filed</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8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92"/>
              </w:rPr>
            </w:pPr>
            <w:hyperlink r:id="rId246">
              <w:r>
                <w:rPr>
                  <w:rFonts w:ascii="Arial" w:cs="Arial" w:eastAsia="Arial" w:hAnsi="Arial"/>
                  <w:sz w:val="16"/>
                  <w:szCs w:val="16"/>
                  <w:color w:val="0000FF"/>
                  <w:w w:val="92"/>
                </w:rPr>
                <w:t>with the Registrant’s Current Report on Form 8-K filed on June 19, 2017)</w:t>
              </w:r>
            </w:hyperlink>
          </w:p>
        </w:tc>
        <w:tc>
          <w:tcPr>
            <w:tcW w:w="4840" w:type="dxa"/>
            <w:vAlign w:val="bottom"/>
            <w:tcBorders>
              <w:top w:val="single" w:sz="8" w:color="0000FF"/>
            </w:tcBorders>
            <w:gridSpan w:val="7"/>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35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10.31</w:t>
            </w:r>
          </w:p>
        </w:tc>
        <w:tc>
          <w:tcPr>
            <w:tcW w:w="500" w:type="dxa"/>
            <w:vAlign w:val="bottom"/>
          </w:tcPr>
          <w:p>
            <w:pPr>
              <w:spacing w:after="0"/>
              <w:rPr>
                <w:sz w:val="24"/>
                <w:szCs w:val="24"/>
                <w:color w:val="auto"/>
              </w:rPr>
            </w:pPr>
          </w:p>
        </w:tc>
        <w:tc>
          <w:tcPr>
            <w:tcW w:w="9800" w:type="dxa"/>
            <w:vAlign w:val="bottom"/>
            <w:tcBorders>
              <w:bottom w:val="single" w:sz="8" w:color="0000FF"/>
            </w:tcBorders>
            <w:gridSpan w:val="14"/>
          </w:tcPr>
          <w:p>
            <w:pPr>
              <w:spacing w:after="0"/>
              <w:rPr>
                <w:rFonts w:ascii="Arial" w:cs="Arial" w:eastAsia="Arial" w:hAnsi="Arial"/>
                <w:sz w:val="16"/>
                <w:szCs w:val="16"/>
                <w:color w:val="0000FF"/>
                <w:w w:val="91"/>
              </w:rPr>
            </w:pPr>
            <w:hyperlink r:id="rId247">
              <w:r>
                <w:rPr>
                  <w:rFonts w:ascii="Arial" w:cs="Arial" w:eastAsia="Arial" w:hAnsi="Arial"/>
                  <w:sz w:val="16"/>
                  <w:szCs w:val="16"/>
                  <w:color w:val="0000FF"/>
                  <w:w w:val="91"/>
                </w:rPr>
                <w:t>Separation Agreement, dated as of September 30, 2017, by and between Autodesk, Inc. and Jan Becker (incorporated by reference to Exhibit 10.1 filed</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8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247">
              <w:r>
                <w:rPr>
                  <w:rFonts w:ascii="Arial" w:cs="Arial" w:eastAsia="Arial" w:hAnsi="Arial"/>
                  <w:sz w:val="16"/>
                  <w:szCs w:val="16"/>
                  <w:color w:val="0000FF"/>
                  <w:w w:val="92"/>
                </w:rPr>
                <w:t>with the Registrant’s Quarterly Report on Form 10-Q filed on December 5, 2017)</w:t>
              </w:r>
            </w:hyperlink>
          </w:p>
        </w:tc>
        <w:tc>
          <w:tcPr>
            <w:tcW w:w="4520" w:type="dxa"/>
            <w:vAlign w:val="bottom"/>
            <w:gridSpan w:val="8"/>
          </w:tcPr>
          <w:p>
            <w:pPr>
              <w:spacing w:after="0"/>
              <w:rPr>
                <w:sz w:val="15"/>
                <w:szCs w:val="15"/>
                <w:color w:val="auto"/>
              </w:rPr>
            </w:pPr>
          </w:p>
        </w:tc>
      </w:tr>
      <w:tr>
        <w:trPr>
          <w:trHeight w:val="480"/>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21.1</w:t>
            </w:r>
          </w:p>
        </w:tc>
        <w:tc>
          <w:tcPr>
            <w:tcW w:w="50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6"/>
                <w:szCs w:val="16"/>
                <w:color w:val="0000FF"/>
              </w:rPr>
            </w:pPr>
            <w:hyperlink w:anchor="page122">
              <w:r>
                <w:rPr>
                  <w:rFonts w:ascii="Arial" w:cs="Arial" w:eastAsia="Arial" w:hAnsi="Arial"/>
                  <w:sz w:val="16"/>
                  <w:szCs w:val="16"/>
                  <w:color w:val="0000FF"/>
                </w:rPr>
                <w:t>List of Subsidiaries (filed herewith)</w:t>
              </w:r>
            </w:hyperlink>
          </w:p>
        </w:tc>
      </w:tr>
      <w:tr>
        <w:trPr>
          <w:trHeight w:val="20"/>
        </w:trPr>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5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23.1</w:t>
            </w:r>
          </w:p>
        </w:tc>
        <w:tc>
          <w:tcPr>
            <w:tcW w:w="50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6"/>
                <w:szCs w:val="16"/>
                <w:color w:val="0000FF"/>
              </w:rPr>
            </w:pPr>
            <w:hyperlink w:anchor="page124">
              <w:r>
                <w:rPr>
                  <w:rFonts w:ascii="Arial" w:cs="Arial" w:eastAsia="Arial" w:hAnsi="Arial"/>
                  <w:sz w:val="16"/>
                  <w:szCs w:val="16"/>
                  <w:color w:val="0000FF"/>
                </w:rPr>
                <w:t>Consent of Independent Registered Public Accounting Firm (Ernst &amp; Young LLP) (filed herewith)</w:t>
              </w:r>
            </w:hyperlink>
          </w:p>
        </w:tc>
      </w:tr>
      <w:tr>
        <w:trPr>
          <w:trHeight w:val="393"/>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24.1</w:t>
            </w:r>
          </w:p>
        </w:tc>
        <w:tc>
          <w:tcPr>
            <w:tcW w:w="500" w:type="dxa"/>
            <w:vAlign w:val="bottom"/>
          </w:tcPr>
          <w:p>
            <w:pPr>
              <w:spacing w:after="0"/>
              <w:rPr>
                <w:sz w:val="24"/>
                <w:szCs w:val="24"/>
                <w:color w:val="auto"/>
              </w:rPr>
            </w:pPr>
          </w:p>
        </w:tc>
        <w:tc>
          <w:tcPr>
            <w:tcW w:w="638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Power of Attorney (contained in the signature page to this Annual Report)</w:t>
            </w:r>
          </w:p>
        </w:tc>
        <w:tc>
          <w:tcPr>
            <w:tcW w:w="3420" w:type="dxa"/>
            <w:vAlign w:val="bottom"/>
            <w:gridSpan w:val="7"/>
          </w:tcPr>
          <w:p>
            <w:pPr>
              <w:spacing w:after="0"/>
              <w:rPr>
                <w:sz w:val="24"/>
                <w:szCs w:val="24"/>
                <w:color w:val="auto"/>
              </w:rPr>
            </w:pPr>
          </w:p>
        </w:tc>
      </w:tr>
      <w:tr>
        <w:trPr>
          <w:trHeight w:val="344"/>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31.1</w:t>
            </w:r>
          </w:p>
        </w:tc>
        <w:tc>
          <w:tcPr>
            <w:tcW w:w="50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6"/>
                <w:szCs w:val="16"/>
                <w:color w:val="0000FF"/>
              </w:rPr>
            </w:pPr>
            <w:hyperlink w:anchor="page125">
              <w:r>
                <w:rPr>
                  <w:rFonts w:ascii="Arial" w:cs="Arial" w:eastAsia="Arial" w:hAnsi="Arial"/>
                  <w:sz w:val="16"/>
                  <w:szCs w:val="16"/>
                  <w:color w:val="0000FF"/>
                </w:rPr>
                <w:t>Certification of Chief Executive Officer pursuant to Rule 13a-14(a) of the Securities Exchange Act of 1934 (filed herewith)</w:t>
              </w:r>
            </w:hyperlink>
          </w:p>
        </w:tc>
      </w:tr>
      <w:tr>
        <w:trPr>
          <w:trHeight w:val="372"/>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31.2</w:t>
            </w:r>
          </w:p>
        </w:tc>
        <w:tc>
          <w:tcPr>
            <w:tcW w:w="500" w:type="dxa"/>
            <w:vAlign w:val="bottom"/>
          </w:tcPr>
          <w:p>
            <w:pPr>
              <w:spacing w:after="0"/>
              <w:rPr>
                <w:sz w:val="24"/>
                <w:szCs w:val="24"/>
                <w:color w:val="auto"/>
              </w:rPr>
            </w:pPr>
          </w:p>
        </w:tc>
        <w:tc>
          <w:tcPr>
            <w:tcW w:w="8000" w:type="dxa"/>
            <w:vAlign w:val="bottom"/>
            <w:tcBorders>
              <w:top w:val="single" w:sz="8" w:color="0000FF"/>
            </w:tcBorders>
            <w:gridSpan w:val="9"/>
          </w:tcPr>
          <w:p>
            <w:pPr>
              <w:spacing w:after="0"/>
              <w:rPr>
                <w:rFonts w:ascii="Arial" w:cs="Arial" w:eastAsia="Arial" w:hAnsi="Arial"/>
                <w:sz w:val="16"/>
                <w:szCs w:val="16"/>
                <w:color w:val="0000FF"/>
                <w:w w:val="93"/>
              </w:rPr>
            </w:pPr>
            <w:hyperlink w:anchor="page126">
              <w:r>
                <w:rPr>
                  <w:rFonts w:ascii="Arial" w:cs="Arial" w:eastAsia="Arial" w:hAnsi="Arial"/>
                  <w:sz w:val="16"/>
                  <w:szCs w:val="16"/>
                  <w:color w:val="0000FF"/>
                  <w:w w:val="93"/>
                </w:rPr>
                <w:t>Certification of Chief Financial Officer pursuant to Rule 13a-14(a) of the Securities Exchange Act of 1934 (filed herewith)</w:t>
              </w:r>
            </w:hyperlink>
          </w:p>
        </w:tc>
        <w:tc>
          <w:tcPr>
            <w:tcW w:w="1800" w:type="dxa"/>
            <w:vAlign w:val="bottom"/>
            <w:gridSpan w:val="5"/>
          </w:tcPr>
          <w:p>
            <w:pPr>
              <w:spacing w:after="0"/>
              <w:rPr>
                <w:sz w:val="24"/>
                <w:szCs w:val="24"/>
                <w:color w:val="auto"/>
              </w:rPr>
            </w:pPr>
          </w:p>
        </w:tc>
      </w:tr>
      <w:tr>
        <w:trPr>
          <w:trHeight w:val="20"/>
        </w:trPr>
        <w:tc>
          <w:tcPr>
            <w:tcW w:w="1200" w:type="dxa"/>
            <w:vAlign w:val="bottom"/>
            <w:gridSpan w:val="2"/>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99"/>
        </w:trPr>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32.1†</w:t>
            </w:r>
          </w:p>
        </w:tc>
        <w:tc>
          <w:tcPr>
            <w:tcW w:w="9800" w:type="dxa"/>
            <w:vAlign w:val="bottom"/>
            <w:gridSpan w:val="14"/>
          </w:tcPr>
          <w:p>
            <w:pPr>
              <w:spacing w:after="0"/>
              <w:rPr>
                <w:rFonts w:ascii="Arial" w:cs="Arial" w:eastAsia="Arial" w:hAnsi="Arial"/>
                <w:sz w:val="16"/>
                <w:szCs w:val="16"/>
                <w:color w:val="0000FF"/>
                <w:w w:val="95"/>
              </w:rPr>
            </w:pPr>
            <w:hyperlink w:anchor="page127">
              <w:r>
                <w:rPr>
                  <w:rFonts w:ascii="Arial" w:cs="Arial" w:eastAsia="Arial" w:hAnsi="Arial"/>
                  <w:sz w:val="16"/>
                  <w:szCs w:val="16"/>
                  <w:color w:val="0000FF"/>
                  <w:w w:val="95"/>
                </w:rPr>
                <w:t>Certification of Chief Executive Officer and Chief Financial Officer pursuant to 18 U.S.C. Section 1350, as adopted pursuant to Section 906 of the</w:t>
              </w:r>
            </w:hyperlink>
          </w:p>
        </w:tc>
      </w:tr>
      <w:tr>
        <w:trPr>
          <w:trHeight w:val="183"/>
        </w:trPr>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3"/>
              </w:rPr>
            </w:pPr>
            <w:hyperlink w:anchor="page127">
              <w:r>
                <w:rPr>
                  <w:rFonts w:ascii="Arial" w:cs="Arial" w:eastAsia="Arial" w:hAnsi="Arial"/>
                  <w:sz w:val="16"/>
                  <w:szCs w:val="16"/>
                  <w:color w:val="0000FF"/>
                  <w:w w:val="93"/>
                </w:rPr>
                <w:t>Sarbanes-Oxley Act of 2002 (filed herewith)</w:t>
              </w:r>
            </w:hyperlink>
          </w:p>
        </w:tc>
        <w:tc>
          <w:tcPr>
            <w:tcW w:w="6600" w:type="dxa"/>
            <w:vAlign w:val="bottom"/>
            <w:tcBorders>
              <w:top w:val="single" w:sz="8" w:color="0000FF"/>
            </w:tcBorders>
            <w:gridSpan w:val="8"/>
          </w:tcPr>
          <w:p>
            <w:pPr>
              <w:spacing w:after="0"/>
              <w:rPr>
                <w:sz w:val="15"/>
                <w:szCs w:val="15"/>
                <w:color w:val="auto"/>
              </w:rPr>
            </w:pPr>
          </w:p>
        </w:tc>
        <w:tc>
          <w:tcPr>
            <w:tcW w:w="300" w:type="dxa"/>
            <w:vAlign w:val="bottom"/>
            <w:gridSpan w:val="4"/>
          </w:tcPr>
          <w:p>
            <w:pPr>
              <w:spacing w:after="0"/>
              <w:rPr>
                <w:sz w:val="15"/>
                <w:szCs w:val="15"/>
                <w:color w:val="auto"/>
              </w:rPr>
            </w:pPr>
          </w:p>
        </w:tc>
      </w:tr>
    </w:tbl>
    <w:p>
      <w:pPr>
        <w:spacing w:after="0" w:line="193"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4"/>
          <w:szCs w:val="14"/>
          <w:color w:val="auto"/>
        </w:rPr>
        <w:t>XBRL Instance Document</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4"/>
          <w:szCs w:val="14"/>
          <w:color w:val="auto"/>
        </w:rPr>
        <w:t>XBRL Taxonomy Extension Calculation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9" w:lineRule="exact"/>
        <w:rPr>
          <w:sz w:val="20"/>
          <w:szCs w:val="20"/>
          <w:color w:val="auto"/>
        </w:rPr>
      </w:pPr>
    </w:p>
    <w:p>
      <w:pPr>
        <w:ind w:left="420" w:right="20" w:hanging="412"/>
        <w:spacing w:after="0" w:line="281" w:lineRule="auto"/>
        <w:tabs>
          <w:tab w:leader="none" w:pos="4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 amended,</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whether made before or after the date of this Form 10-K, irrespective of any general incorporation language contained in such filing.</w:t>
      </w:r>
    </w:p>
    <w:p>
      <w:pPr>
        <w:spacing w:after="0" w:line="5" w:lineRule="exact"/>
        <w:rPr>
          <w:sz w:val="20"/>
          <w:szCs w:val="20"/>
          <w:color w:val="auto"/>
        </w:rPr>
      </w:pPr>
    </w:p>
    <w:p>
      <w:pPr>
        <w:ind w:left="420" w:hanging="412"/>
        <w:spacing w:after="0"/>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429260</wp:posOffset>
            </wp:positionV>
            <wp:extent cx="100330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10033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2018 Form 10-K 115</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10.15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amended and restated effective June 14, 2017)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(Sub-Plan of the Autodesk, Inc. 1998 Employee Qualified Stock Purchase Plan, as amended and restated)</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200" w:lineRule="exact"/>
        <w:rPr>
          <w:sz w:val="20"/>
          <w:szCs w:val="20"/>
          <w:color w:val="auto"/>
        </w:rPr>
      </w:pPr>
    </w:p>
    <w:p>
      <w:pPr>
        <w:spacing w:after="0" w:line="202" w:lineRule="exact"/>
        <w:rPr>
          <w:sz w:val="20"/>
          <w:szCs w:val="20"/>
          <w:color w:val="auto"/>
        </w:rPr>
      </w:pPr>
    </w:p>
    <w:p>
      <w:pPr>
        <w:ind w:right="380" w:firstLine="648"/>
        <w:spacing w:after="0" w:line="302"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Purpose</w:t>
      </w:r>
      <w:r>
        <w:rPr>
          <w:rFonts w:ascii="Arial" w:cs="Arial" w:eastAsia="Arial" w:hAnsi="Arial"/>
          <w:sz w:val="19"/>
          <w:szCs w:val="19"/>
          <w:color w:val="auto"/>
        </w:rPr>
        <w:t>. The Sub-Plan is intended to provide eligible Employees of the Company’s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provisions of this Sub-Plan shall be governed by the U.S. Plan, except as otherwise provided herein.</w:t>
      </w:r>
    </w:p>
    <w:p>
      <w:pPr>
        <w:spacing w:after="0" w:line="200" w:lineRule="exact"/>
        <w:rPr>
          <w:sz w:val="20"/>
          <w:szCs w:val="20"/>
          <w:color w:val="auto"/>
        </w:rPr>
      </w:pPr>
    </w:p>
    <w:p>
      <w:pPr>
        <w:spacing w:after="0" w:line="236" w:lineRule="exact"/>
        <w:rPr>
          <w:sz w:val="20"/>
          <w:szCs w:val="20"/>
          <w:color w:val="auto"/>
        </w:rPr>
      </w:pPr>
    </w:p>
    <w:p>
      <w:pPr>
        <w:ind w:left="1000" w:hanging="344"/>
        <w:spacing w:after="0"/>
        <w:tabs>
          <w:tab w:leader="none" w:pos="10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definitions in the Sub-Plan shall be interpreted in accordance with the U.S. Plan except as otherwise provided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00" w:lineRule="exact"/>
        <w:rPr>
          <w:sz w:val="20"/>
          <w:szCs w:val="20"/>
          <w:color w:val="auto"/>
        </w:rPr>
      </w:pPr>
    </w:p>
    <w:p>
      <w:pPr>
        <w:spacing w:after="0" w:line="218" w:lineRule="exact"/>
        <w:rPr>
          <w:sz w:val="20"/>
          <w:szCs w:val="20"/>
          <w:color w:val="auto"/>
        </w:rPr>
      </w:pPr>
    </w:p>
    <w:p>
      <w:pPr>
        <w:ind w:right="520" w:firstLine="1305"/>
        <w:spacing w:after="0" w:line="320" w:lineRule="auto"/>
        <w:tabs>
          <w:tab w:leader="none" w:pos="1716" w:val="left"/>
        </w:tabs>
        <w:numPr>
          <w:ilvl w:val="1"/>
          <w:numId w:val="80"/>
        </w:numPr>
        <w:rPr>
          <w:rFonts w:ascii="Arial" w:cs="Arial" w:eastAsia="Arial" w:hAnsi="Arial"/>
          <w:sz w:val="19"/>
          <w:szCs w:val="19"/>
          <w:color w:val="auto"/>
        </w:rPr>
      </w:pPr>
      <w:r>
        <w:rPr>
          <w:rFonts w:ascii="Arial" w:cs="Arial" w:eastAsia="Arial" w:hAnsi="Arial"/>
          <w:sz w:val="19"/>
          <w:szCs w:val="19"/>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341" w:lineRule="exact"/>
        <w:rPr>
          <w:rFonts w:ascii="Arial" w:cs="Arial" w:eastAsia="Arial" w:hAnsi="Arial"/>
          <w:sz w:val="19"/>
          <w:szCs w:val="19"/>
          <w:color w:val="auto"/>
        </w:rPr>
      </w:pPr>
    </w:p>
    <w:p>
      <w:pPr>
        <w:ind w:left="1740" w:hanging="435"/>
        <w:spacing w:after="0"/>
        <w:tabs>
          <w:tab w:leader="none" w:pos="17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“Employee” shall mean any person employed by an Affiliate.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780" w:firstLine="1305"/>
        <w:spacing w:after="0" w:line="276" w:lineRule="auto"/>
        <w:tabs>
          <w:tab w:leader="none" w:pos="1716" w:val="left"/>
        </w:tabs>
        <w:numPr>
          <w:ilvl w:val="1"/>
          <w:numId w:val="80"/>
        </w:numPr>
        <w:rPr>
          <w:rFonts w:ascii="Arial" w:cs="Arial" w:eastAsia="Arial" w:hAnsi="Arial"/>
          <w:sz w:val="22"/>
          <w:szCs w:val="22"/>
          <w:color w:val="auto"/>
        </w:rPr>
      </w:pPr>
      <w:r>
        <w:rPr>
          <w:rFonts w:ascii="Arial" w:cs="Arial" w:eastAsia="Arial" w:hAnsi="Arial"/>
          <w:sz w:val="22"/>
          <w:szCs w:val="22"/>
          <w:color w:val="auto"/>
        </w:rPr>
        <w:t>“Participant” means any Employee who meets the eligibility and participation requirements set forth in Sections 3 and 4, below.</w:t>
      </w:r>
    </w:p>
    <w:p>
      <w:pPr>
        <w:spacing w:after="0" w:line="377" w:lineRule="exact"/>
        <w:rPr>
          <w:rFonts w:ascii="Arial" w:cs="Arial" w:eastAsia="Arial" w:hAnsi="Arial"/>
          <w:sz w:val="22"/>
          <w:szCs w:val="22"/>
          <w:color w:val="auto"/>
        </w:rPr>
      </w:pPr>
    </w:p>
    <w:p>
      <w:pPr>
        <w:ind w:firstLine="656"/>
        <w:spacing w:after="0" w:line="254" w:lineRule="auto"/>
        <w:tabs>
          <w:tab w:leader="none" w:pos="99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individual who is (a) an Employee as of the date specified by the Committee for the applicable Offering Period, and (b) employed by an Affiliate (or legal extension of an Affiliate, such as a branch office) operating in one of the countries listed on the attached Schedule A (which Schedule A may be amended form time to time by the Board or a committee thereof), shall be eligible to participate in the Sub-Plan for that Offering Period.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000" w:hanging="344"/>
        <w:spacing w:after="0"/>
        <w:tabs>
          <w:tab w:leader="none" w:pos="10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10.15</w:t>
      </w:r>
    </w:p>
    <w:p>
      <w:pPr>
        <w:spacing w:after="0" w:line="200" w:lineRule="exact"/>
        <w:rPr>
          <w:sz w:val="20"/>
          <w:szCs w:val="20"/>
          <w:color w:val="auto"/>
        </w:rPr>
      </w:pPr>
    </w:p>
    <w:p>
      <w:pPr>
        <w:spacing w:after="0" w:line="269" w:lineRule="exact"/>
        <w:rPr>
          <w:sz w:val="20"/>
          <w:szCs w:val="20"/>
          <w:color w:val="auto"/>
        </w:rPr>
      </w:pPr>
    </w:p>
    <w:p>
      <w:pPr>
        <w:ind w:right="60" w:firstLine="1305"/>
        <w:spacing w:after="0" w:line="251" w:lineRule="auto"/>
        <w:tabs>
          <w:tab w:leader="none" w:pos="1716"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 eligible Employee may become a Participant in the Plan by completing a subscription agreement authorizing payroll deductions or other approved contributions on the form provided by the Company and filing it online via the employee portal or with the Company’s payroll office within the period specified by the Committee for the applicable Offering Period, unless a later or earlier time for filing the subscription agreement is set by the Board for all eligible Employees with respect to a given offering.</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20" w:firstLine="1305"/>
        <w:spacing w:after="0" w:line="307" w:lineRule="auto"/>
        <w:tabs>
          <w:tab w:leader="none" w:pos="1728" w:val="left"/>
        </w:tabs>
        <w:numPr>
          <w:ilvl w:val="1"/>
          <w:numId w:val="82"/>
        </w:numPr>
        <w:rPr>
          <w:rFonts w:ascii="Arial" w:cs="Arial" w:eastAsia="Arial" w:hAnsi="Arial"/>
          <w:sz w:val="19"/>
          <w:szCs w:val="19"/>
          <w:color w:val="auto"/>
        </w:rPr>
      </w:pPr>
      <w:r>
        <w:rPr>
          <w:rFonts w:ascii="Arial" w:cs="Arial" w:eastAsia="Arial" w:hAnsi="Arial"/>
          <w:sz w:val="19"/>
          <w:szCs w:val="19"/>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354" w:lineRule="exact"/>
        <w:rPr>
          <w:rFonts w:ascii="Arial" w:cs="Arial" w:eastAsia="Arial" w:hAnsi="Arial"/>
          <w:sz w:val="19"/>
          <w:szCs w:val="19"/>
          <w:color w:val="auto"/>
        </w:rPr>
      </w:pPr>
    </w:p>
    <w:p>
      <w:pPr>
        <w:ind w:left="1000" w:hanging="344"/>
        <w:spacing w:after="0"/>
        <w:tabs>
          <w:tab w:leader="none" w:pos="10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Payroll Deductions and Other Approved Contributions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right="200" w:firstLine="1305"/>
        <w:spacing w:after="0" w:line="260" w:lineRule="auto"/>
        <w:tabs>
          <w:tab w:leader="none" w:pos="1716" w:val="left"/>
        </w:tabs>
        <w:numPr>
          <w:ilvl w:val="1"/>
          <w:numId w:val="83"/>
        </w:numPr>
        <w:rPr>
          <w:rFonts w:ascii="Arial" w:cs="Arial" w:eastAsia="Arial" w:hAnsi="Arial"/>
          <w:sz w:val="22"/>
          <w:szCs w:val="22"/>
          <w:color w:val="auto"/>
        </w:rPr>
      </w:pPr>
      <w:r>
        <w:rPr>
          <w:rFonts w:ascii="Arial" w:cs="Arial" w:eastAsia="Arial" w:hAnsi="Arial"/>
          <w:sz w:val="22"/>
          <w:szCs w:val="22"/>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393" w:lineRule="exact"/>
        <w:rPr>
          <w:rFonts w:ascii="Arial" w:cs="Arial" w:eastAsia="Arial" w:hAnsi="Arial"/>
          <w:sz w:val="22"/>
          <w:szCs w:val="22"/>
          <w:color w:val="auto"/>
        </w:rPr>
      </w:pPr>
    </w:p>
    <w:p>
      <w:pPr>
        <w:ind w:right="100" w:firstLine="1305"/>
        <w:spacing w:after="0" w:line="300" w:lineRule="auto"/>
        <w:tabs>
          <w:tab w:leader="none" w:pos="1728"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amounts so collected shall be credited to the participant’s individual book account under the Sub-Plan, initially in the currency in which paid by the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 may be commingled with the general assets of the Company or the Affiliate and may be used for general corporate purposes, except as otherwise required by local law.</w:t>
      </w:r>
    </w:p>
    <w:p>
      <w:pPr>
        <w:spacing w:after="0" w:line="363" w:lineRule="exact"/>
        <w:rPr>
          <w:rFonts w:ascii="Arial" w:cs="Arial" w:eastAsia="Arial" w:hAnsi="Arial"/>
          <w:sz w:val="19"/>
          <w:szCs w:val="19"/>
          <w:color w:val="auto"/>
        </w:rPr>
      </w:pPr>
    </w:p>
    <w:p>
      <w:pPr>
        <w:ind w:right="20" w:firstLine="1305"/>
        <w:spacing w:after="0" w:line="248" w:lineRule="auto"/>
        <w:tabs>
          <w:tab w:leader="none" w:pos="1716" w:val="left"/>
        </w:tabs>
        <w:numPr>
          <w:ilvl w:val="1"/>
          <w:numId w:val="83"/>
        </w:numPr>
        <w:rPr>
          <w:rFonts w:ascii="Arial" w:cs="Arial" w:eastAsia="Arial" w:hAnsi="Arial"/>
          <w:sz w:val="22"/>
          <w:szCs w:val="22"/>
          <w:color w:val="auto"/>
        </w:rPr>
      </w:pPr>
      <w:r>
        <w:rPr>
          <w:rFonts w:ascii="Arial" w:cs="Arial" w:eastAsia="Arial" w:hAnsi="Arial"/>
          <w:sz w:val="22"/>
          <w:szCs w:val="22"/>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 other approved contributions collected on the participant’s behalf are converted into U.S. Dollars on each Exercise Date shall be borne solely by the participant.</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right="280" w:firstLine="656"/>
        <w:spacing w:after="0" w:line="276" w:lineRule="auto"/>
        <w:tabs>
          <w:tab w:leader="none" w:pos="99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grant of the option and the purchase price of the option shall be in accordance with Section 7 of the U.S. Plan.</w:t>
      </w:r>
    </w:p>
    <w:p>
      <w:pPr>
        <w:spacing w:after="0" w:line="377" w:lineRule="exact"/>
        <w:rPr>
          <w:rFonts w:ascii="Arial" w:cs="Arial" w:eastAsia="Arial" w:hAnsi="Arial"/>
          <w:sz w:val="22"/>
          <w:szCs w:val="22"/>
          <w:color w:val="auto"/>
        </w:rPr>
      </w:pPr>
    </w:p>
    <w:p>
      <w:pPr>
        <w:ind w:left="1000" w:hanging="344"/>
        <w:spacing w:after="0"/>
        <w:tabs>
          <w:tab w:leader="none" w:pos="10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The exercise of the option shall be in accordance with Section 8 of the U.S. Plan.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6" w:right="239" w:bottom="1440" w:gutter="0" w:footer="0" w:header="0"/>
        </w:sectPr>
      </w:pPr>
    </w:p>
    <w:bookmarkStart w:id="117" w:name="page118"/>
    <w:bookmarkEnd w:id="117"/>
    <w:p>
      <w:pPr>
        <w:ind w:left="10200"/>
        <w:spacing w:after="0"/>
        <w:rPr>
          <w:sz w:val="20"/>
          <w:szCs w:val="20"/>
          <w:color w:val="auto"/>
        </w:rPr>
      </w:pPr>
      <w:r>
        <w:rPr>
          <w:rFonts w:ascii="Arial" w:cs="Arial" w:eastAsia="Arial" w:hAnsi="Arial"/>
          <w:sz w:val="19"/>
          <w:szCs w:val="19"/>
          <w:b w:val="1"/>
          <w:bCs w:val="1"/>
          <w:color w:val="auto"/>
        </w:rPr>
        <w:t>Exhibit 10.15</w:t>
      </w:r>
    </w:p>
    <w:p>
      <w:pPr>
        <w:spacing w:after="0" w:line="200" w:lineRule="exact"/>
        <w:rPr>
          <w:sz w:val="20"/>
          <w:szCs w:val="20"/>
          <w:color w:val="auto"/>
        </w:rPr>
      </w:pPr>
    </w:p>
    <w:p>
      <w:pPr>
        <w:spacing w:after="0" w:line="303" w:lineRule="exact"/>
        <w:rPr>
          <w:sz w:val="20"/>
          <w:szCs w:val="20"/>
          <w:color w:val="auto"/>
        </w:rPr>
      </w:pPr>
    </w:p>
    <w:p>
      <w:pPr>
        <w:ind w:left="1000" w:hanging="344"/>
        <w:spacing w:after="0"/>
        <w:tabs>
          <w:tab w:leader="none" w:pos="10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Withdrawal; Termination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300" w:firstLine="1305"/>
        <w:spacing w:after="0" w:line="250" w:lineRule="auto"/>
        <w:tabs>
          <w:tab w:leader="none" w:pos="1716" w:val="left"/>
        </w:tabs>
        <w:numPr>
          <w:ilvl w:val="1"/>
          <w:numId w:val="84"/>
        </w:numPr>
        <w:rPr>
          <w:rFonts w:ascii="Arial" w:cs="Arial" w:eastAsia="Arial" w:hAnsi="Arial"/>
          <w:sz w:val="22"/>
          <w:szCs w:val="22"/>
          <w:color w:val="auto"/>
        </w:rPr>
      </w:pPr>
      <w:r>
        <w:rPr>
          <w:rFonts w:ascii="Arial" w:cs="Arial" w:eastAsia="Arial" w:hAnsi="Arial"/>
          <w:sz w:val="22"/>
          <w:szCs w:val="22"/>
          <w:color w:val="auto"/>
        </w:rPr>
        <w:t>A Participant may withdraw all but not less than all the payroll deductions or other approved contributions credited to his or her account under the Sub-Plan at any time prior to the Exercise Date of the Offering Period by giving written notice to the Company. All of the Participant’s payroll deductions or other approved contributions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200" w:firstLine="1305"/>
        <w:spacing w:after="0" w:line="254" w:lineRule="auto"/>
        <w:tabs>
          <w:tab w:leader="none" w:pos="1728" w:val="left"/>
        </w:tabs>
        <w:numPr>
          <w:ilvl w:val="1"/>
          <w:numId w:val="84"/>
        </w:numPr>
        <w:rPr>
          <w:rFonts w:ascii="Arial" w:cs="Arial" w:eastAsia="Arial" w:hAnsi="Arial"/>
          <w:sz w:val="22"/>
          <w:szCs w:val="22"/>
          <w:color w:val="auto"/>
        </w:rPr>
      </w:pPr>
      <w:r>
        <w:rPr>
          <w:rFonts w:ascii="Arial" w:cs="Arial" w:eastAsia="Arial" w:hAnsi="Arial"/>
          <w:sz w:val="22"/>
          <w:szCs w:val="22"/>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the of Participant’s death, to the person or persons entitled thereto under Section 15 of the U.S. Plan, and his or her option will be automatically terminated.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firstLine="1305"/>
        <w:spacing w:after="0" w:line="276" w:lineRule="auto"/>
        <w:tabs>
          <w:tab w:leader="none" w:pos="1716" w:val="left"/>
        </w:tabs>
        <w:numPr>
          <w:ilvl w:val="1"/>
          <w:numId w:val="84"/>
        </w:numPr>
        <w:rPr>
          <w:rFonts w:ascii="Arial" w:cs="Arial" w:eastAsia="Arial" w:hAnsi="Arial"/>
          <w:sz w:val="22"/>
          <w:szCs w:val="22"/>
          <w:color w:val="auto"/>
        </w:rPr>
      </w:pPr>
      <w:r>
        <w:rPr>
          <w:rFonts w:ascii="Arial" w:cs="Arial" w:eastAsia="Arial" w:hAnsi="Arial"/>
          <w:sz w:val="22"/>
          <w:szCs w:val="22"/>
          <w:color w:val="auto"/>
        </w:rPr>
        <w:t>A Participant’s withdrawal from an offering will not have any effect upon his or her eligibility to participate in a succeeding offering or in any similar plan which may hereafter be adopted by the Company.</w:t>
      </w:r>
    </w:p>
    <w:p>
      <w:pPr>
        <w:spacing w:after="0" w:line="377" w:lineRule="exact"/>
        <w:rPr>
          <w:rFonts w:ascii="Arial" w:cs="Arial" w:eastAsia="Arial" w:hAnsi="Arial"/>
          <w:sz w:val="22"/>
          <w:szCs w:val="22"/>
          <w:color w:val="auto"/>
        </w:rPr>
      </w:pPr>
    </w:p>
    <w:p>
      <w:pPr>
        <w:ind w:left="1000" w:hanging="344"/>
        <w:spacing w:after="0"/>
        <w:tabs>
          <w:tab w:leader="none" w:pos="10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Transfer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305"/>
        <w:spacing w:after="0" w:line="248" w:lineRule="auto"/>
        <w:tabs>
          <w:tab w:leader="none" w:pos="1716" w:val="left"/>
        </w:tabs>
        <w:numPr>
          <w:ilvl w:val="1"/>
          <w:numId w:val="84"/>
        </w:numPr>
        <w:rPr>
          <w:rFonts w:ascii="Arial" w:cs="Arial" w:eastAsia="Arial" w:hAnsi="Arial"/>
          <w:sz w:val="22"/>
          <w:szCs w:val="22"/>
          <w:color w:val="auto"/>
        </w:rPr>
      </w:pPr>
      <w:r>
        <w:rPr>
          <w:rFonts w:ascii="Arial" w:cs="Arial" w:eastAsia="Arial" w:hAnsi="Arial"/>
          <w:sz w:val="22"/>
          <w:szCs w:val="22"/>
          <w:color w:val="auto"/>
        </w:rPr>
        <w:t>In the event that a Participant who is an Employee of an Affiliate is transferred and becomes an employee of the Company during an Offering Period under the Sub-Plan, such individual may, subject to the terms and eligibility of the U.S. Plan, become a participant under the U.S. Plan for the duration of the Offering Period in effect at that time. Unless otherwise required under local law, any payroll deductions or other approved contributions may continue to be held by the Affiliate former employer of the Participant for the remainder of the Offering Period. At the next Exercise date, all payroll deductions and other approved contributions made by or to the Company or the Affiliate shall be aggregated for the purchase of shares subject to the terms and limitations of the U.S. Plan.</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right="60" w:firstLine="1305"/>
        <w:spacing w:after="0" w:line="264" w:lineRule="auto"/>
        <w:tabs>
          <w:tab w:leader="none" w:pos="1728" w:val="left"/>
        </w:tabs>
        <w:numPr>
          <w:ilvl w:val="1"/>
          <w:numId w:val="84"/>
        </w:numPr>
        <w:rPr>
          <w:rFonts w:ascii="Arial" w:cs="Arial" w:eastAsia="Arial" w:hAnsi="Arial"/>
          <w:sz w:val="21"/>
          <w:szCs w:val="21"/>
          <w:color w:val="auto"/>
        </w:rPr>
      </w:pPr>
      <w:r>
        <w:rPr>
          <w:rFonts w:ascii="Arial" w:cs="Arial" w:eastAsia="Arial" w:hAnsi="Arial"/>
          <w:sz w:val="21"/>
          <w:szCs w:val="21"/>
          <w:color w:val="auto"/>
        </w:rPr>
        <w:t>In the event that an employee of the Company who is a participant in the U.S. Plan is transferred and becomes an Employee of an Affiliate during an Offering Period in effect under the U.S. Plan, such individual may become a participant under the Sub-Plan for the duration of the Offering Period in effect at that time. Unless otherwise required under local law, any payroll deductions may continue to be held by the Company for the remainder of the Offering Period. At the next Exercise date, all payroll deductions and other approved contributions made by or to the Company or Affiliate may be aggregated for the purchase of shares subject to the terms and limitations of the Sub-Plan.</w:t>
      </w:r>
    </w:p>
    <w:p>
      <w:pPr>
        <w:spacing w:after="0" w:line="391" w:lineRule="exact"/>
        <w:rPr>
          <w:rFonts w:ascii="Arial" w:cs="Arial" w:eastAsia="Arial" w:hAnsi="Arial"/>
          <w:sz w:val="21"/>
          <w:szCs w:val="21"/>
          <w:color w:val="auto"/>
        </w:rPr>
      </w:pPr>
    </w:p>
    <w:p>
      <w:pPr>
        <w:ind w:right="120" w:firstLine="656"/>
        <w:spacing w:after="0" w:line="276" w:lineRule="auto"/>
        <w:tabs>
          <w:tab w:leader="none" w:pos="109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shall accrue on the payroll deductions or other approved contributions of a Participant in the Sub-Plan, unless required by Applicable Law, as determined by the Company.</w:t>
      </w:r>
    </w:p>
    <w:p>
      <w:pPr>
        <w:spacing w:after="0" w:line="377" w:lineRule="exact"/>
        <w:rPr>
          <w:rFonts w:ascii="Arial" w:cs="Arial" w:eastAsia="Arial" w:hAnsi="Arial"/>
          <w:sz w:val="22"/>
          <w:szCs w:val="22"/>
          <w:color w:val="auto"/>
        </w:rPr>
      </w:pPr>
    </w:p>
    <w:p>
      <w:pPr>
        <w:ind w:left="1100" w:hanging="444"/>
        <w:spacing w:after="0"/>
        <w:tabs>
          <w:tab w:leader="none" w:pos="11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10.15</w:t>
      </w:r>
    </w:p>
    <w:p>
      <w:pPr>
        <w:spacing w:after="0" w:line="200" w:lineRule="exact"/>
        <w:rPr>
          <w:sz w:val="20"/>
          <w:szCs w:val="20"/>
          <w:color w:val="auto"/>
        </w:rPr>
      </w:pPr>
    </w:p>
    <w:p>
      <w:pPr>
        <w:spacing w:after="0" w:line="269" w:lineRule="exact"/>
        <w:rPr>
          <w:sz w:val="20"/>
          <w:szCs w:val="20"/>
          <w:color w:val="auto"/>
        </w:rPr>
      </w:pPr>
    </w:p>
    <w:p>
      <w:pPr>
        <w:ind w:right="20" w:firstLine="1305"/>
        <w:spacing w:after="0" w:line="260" w:lineRule="auto"/>
        <w:tabs>
          <w:tab w:leader="none" w:pos="1716"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393" w:lineRule="exact"/>
        <w:rPr>
          <w:rFonts w:ascii="Arial" w:cs="Arial" w:eastAsia="Arial" w:hAnsi="Arial"/>
          <w:sz w:val="22"/>
          <w:szCs w:val="22"/>
          <w:color w:val="auto"/>
        </w:rPr>
      </w:pPr>
    </w:p>
    <w:p>
      <w:pPr>
        <w:ind w:left="1740" w:hanging="435"/>
        <w:spacing w:after="0"/>
        <w:tabs>
          <w:tab w:leader="none" w:pos="174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Participant will have no interest or voting right in shares covered by his or her option until such option has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exercised.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100" w:firstLine="1305"/>
        <w:spacing w:after="0" w:line="276" w:lineRule="auto"/>
        <w:tabs>
          <w:tab w:leader="none" w:pos="1716" w:val="left"/>
        </w:tabs>
        <w:numPr>
          <w:ilvl w:val="1"/>
          <w:numId w:val="85"/>
        </w:numPr>
        <w:rPr>
          <w:rFonts w:ascii="Arial" w:cs="Arial" w:eastAsia="Arial" w:hAnsi="Arial"/>
          <w:sz w:val="22"/>
          <w:szCs w:val="22"/>
          <w:color w:val="auto"/>
        </w:rPr>
      </w:pPr>
      <w:r>
        <w:rPr>
          <w:rFonts w:ascii="Arial" w:cs="Arial" w:eastAsia="Arial" w:hAnsi="Arial"/>
          <w:sz w:val="22"/>
          <w:szCs w:val="22"/>
          <w:color w:val="auto"/>
        </w:rPr>
        <w:t>Shares to be delivered to a Participant under the Sub-Plan will be registered in the name of the Participant or in the name of the Participant and his or her spouse.</w:t>
      </w:r>
    </w:p>
    <w:p>
      <w:pPr>
        <w:spacing w:after="0" w:line="377" w:lineRule="exact"/>
        <w:rPr>
          <w:rFonts w:ascii="Arial" w:cs="Arial" w:eastAsia="Arial" w:hAnsi="Arial"/>
          <w:sz w:val="22"/>
          <w:szCs w:val="22"/>
          <w:color w:val="auto"/>
        </w:rPr>
      </w:pPr>
    </w:p>
    <w:p>
      <w:pPr>
        <w:ind w:right="20" w:firstLine="656"/>
        <w:spacing w:after="0" w:line="247" w:lineRule="auto"/>
        <w:tabs>
          <w:tab w:leader="none" w:pos="10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Sub-Plan shall be administered in accordance with Section 14 of the U.S. Plan. The Board may adopt rules or procedures relating to the operation and administration of the Sub-Plan to accommodate the specific requirements of the law and procedures of applicable 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 adopt rules, procedures or sub-plans applicable to particular 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right="20" w:firstLine="656"/>
        <w:spacing w:after="0" w:line="294" w:lineRule="auto"/>
        <w:tabs>
          <w:tab w:leader="none" w:pos="1098"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368" w:lineRule="exact"/>
        <w:rPr>
          <w:rFonts w:ascii="Arial" w:cs="Arial" w:eastAsia="Arial" w:hAnsi="Arial"/>
          <w:sz w:val="19"/>
          <w:szCs w:val="19"/>
          <w:color w:val="auto"/>
        </w:rPr>
      </w:pPr>
    </w:p>
    <w:p>
      <w:pPr>
        <w:ind w:right="80" w:firstLine="656"/>
        <w:spacing w:after="0" w:line="260" w:lineRule="auto"/>
        <w:tabs>
          <w:tab w:leader="none" w:pos="10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All payroll deductions or other approved contributions received or held by the Company under the Sub-Plan may be used by the Company for any corporate purpose, and the Company shall not be obligated to segregate such payroll deductions or other approved contributions unless required by local law.</w:t>
      </w:r>
    </w:p>
    <w:p>
      <w:pPr>
        <w:spacing w:after="0" w:line="393" w:lineRule="exact"/>
        <w:rPr>
          <w:rFonts w:ascii="Arial" w:cs="Arial" w:eastAsia="Arial" w:hAnsi="Arial"/>
          <w:sz w:val="22"/>
          <w:szCs w:val="22"/>
          <w:color w:val="auto"/>
        </w:rPr>
      </w:pPr>
    </w:p>
    <w:p>
      <w:pPr>
        <w:jc w:val="both"/>
        <w:ind w:right="40" w:firstLine="656"/>
        <w:spacing w:after="0" w:line="254" w:lineRule="auto"/>
        <w:tabs>
          <w:tab w:leader="none" w:pos="10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10.15</w:t>
      </w:r>
    </w:p>
    <w:p>
      <w:pPr>
        <w:spacing w:after="0" w:line="200" w:lineRule="exact"/>
        <w:rPr>
          <w:sz w:val="20"/>
          <w:szCs w:val="20"/>
          <w:color w:val="auto"/>
        </w:rPr>
      </w:pPr>
    </w:p>
    <w:p>
      <w:pPr>
        <w:spacing w:after="0" w:line="269" w:lineRule="exact"/>
        <w:rPr>
          <w:sz w:val="20"/>
          <w:szCs w:val="20"/>
          <w:color w:val="auto"/>
        </w:rPr>
      </w:pPr>
    </w:p>
    <w:p>
      <w:pPr>
        <w:ind w:right="140" w:firstLine="656"/>
        <w:spacing w:after="0" w:line="320" w:lineRule="auto"/>
        <w:tabs>
          <w:tab w:leader="none" w:pos="109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Amendment or Termination</w:t>
      </w:r>
      <w:r>
        <w:rPr>
          <w:rFonts w:ascii="Arial" w:cs="Arial" w:eastAsia="Arial" w:hAnsi="Arial"/>
          <w:sz w:val="19"/>
          <w:szCs w:val="19"/>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342" w:lineRule="exact"/>
        <w:rPr>
          <w:sz w:val="20"/>
          <w:szCs w:val="20"/>
          <w:color w:val="auto"/>
        </w:rPr>
      </w:pPr>
    </w:p>
    <w:p>
      <w:pPr>
        <w:ind w:right="80" w:firstLine="1297"/>
        <w:spacing w:after="0" w:line="259" w:lineRule="auto"/>
        <w:rPr>
          <w:sz w:val="20"/>
          <w:szCs w:val="20"/>
          <w:color w:val="auto"/>
        </w:rPr>
      </w:pPr>
      <w:r>
        <w:rPr>
          <w:rFonts w:ascii="Arial" w:cs="Arial" w:eastAsia="Arial" w:hAnsi="Arial"/>
          <w:sz w:val="21"/>
          <w:szCs w:val="21"/>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 or cause the U.S. Plan not to comply with Section 423 of the Code.</w:t>
      </w:r>
    </w:p>
    <w:p>
      <w:pPr>
        <w:spacing w:after="0" w:line="400" w:lineRule="exact"/>
        <w:rPr>
          <w:sz w:val="20"/>
          <w:szCs w:val="20"/>
          <w:color w:val="auto"/>
        </w:rPr>
      </w:pPr>
    </w:p>
    <w:p>
      <w:pPr>
        <w:ind w:right="340" w:firstLine="656"/>
        <w:spacing w:after="0" w:line="260" w:lineRule="auto"/>
        <w:tabs>
          <w:tab w:leader="none" w:pos="109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393" w:lineRule="exact"/>
        <w:rPr>
          <w:rFonts w:ascii="Arial" w:cs="Arial" w:eastAsia="Arial" w:hAnsi="Arial"/>
          <w:sz w:val="22"/>
          <w:szCs w:val="22"/>
          <w:color w:val="auto"/>
        </w:rPr>
      </w:pPr>
    </w:p>
    <w:p>
      <w:pPr>
        <w:ind w:firstLine="656"/>
        <w:spacing w:after="0" w:line="300" w:lineRule="auto"/>
        <w:tabs>
          <w:tab w:leader="none" w:pos="109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Except to the extent that provisions of this Plan are governed by applicable provisions of the Code or any other substantive provision of United States federal law, this Plan shall be construed in accordance with the laws of the State of California, without giving effect to the conflict of laws principles thereof.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363" w:lineRule="exact"/>
        <w:rPr>
          <w:rFonts w:ascii="Arial" w:cs="Arial" w:eastAsia="Arial" w:hAnsi="Arial"/>
          <w:sz w:val="19"/>
          <w:szCs w:val="19"/>
          <w:color w:val="auto"/>
        </w:rPr>
      </w:pPr>
    </w:p>
    <w:p>
      <w:pPr>
        <w:ind w:right="140" w:firstLine="656"/>
        <w:spacing w:after="0" w:line="254" w:lineRule="auto"/>
        <w:tabs>
          <w:tab w:leader="none" w:pos="109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Sub-Plan is or becomes or is deemed to be invalid, illegal, or unenforceable for any reason in any jurisdiction or as to any Employee, such invalidity, illegality or unenforceability will not affect the remaining parts of the Sub-Plan, and the Sub-Plan will be construed and enforced as to such jurisdiction or Employee as if the invalid, illegal or unenforceable provision had not been included.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10.15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ind w:right="60"/>
        <w:spacing w:after="0" w:line="256" w:lineRule="auto"/>
        <w:rPr>
          <w:sz w:val="20"/>
          <w:szCs w:val="20"/>
          <w:color w:val="auto"/>
        </w:rPr>
      </w:pPr>
      <w:r>
        <w:rPr>
          <w:rFonts w:ascii="Arial" w:cs="Arial" w:eastAsia="Arial" w:hAnsi="Arial"/>
          <w:sz w:val="22"/>
          <w:szCs w:val="22"/>
          <w:b w:val="1"/>
          <w:bCs w:val="1"/>
          <w:color w:val="auto"/>
        </w:rPr>
        <w:t>Countries with Eligible Employees of Affiliates Participating in the International Employee Stock Purchase Plan (as of June 14, 2017)</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Argentina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rPr>
          <w:sz w:val="20"/>
          <w:szCs w:val="20"/>
          <w:color w:val="auto"/>
        </w:rPr>
      </w:pPr>
      <w:r>
        <w:rPr>
          <w:rFonts w:ascii="Arial" w:cs="Arial" w:eastAsia="Arial" w:hAnsi="Arial"/>
          <w:sz w:val="20"/>
          <w:szCs w:val="20"/>
          <w:color w:val="auto"/>
        </w:rPr>
        <w:t>Austria</w:t>
      </w:r>
    </w:p>
    <w:p>
      <w:pPr>
        <w:spacing w:after="0"/>
        <w:rPr>
          <w:sz w:val="20"/>
          <w:szCs w:val="20"/>
          <w:color w:val="auto"/>
        </w:rPr>
      </w:pPr>
      <w:r>
        <w:rPr>
          <w:rFonts w:ascii="Arial" w:cs="Arial" w:eastAsia="Arial" w:hAnsi="Arial"/>
          <w:sz w:val="20"/>
          <w:szCs w:val="20"/>
          <w:color w:val="auto"/>
        </w:rPr>
        <w:t>Belgium</w:t>
      </w:r>
    </w:p>
    <w:p>
      <w:pPr>
        <w:spacing w:after="0"/>
        <w:rPr>
          <w:sz w:val="20"/>
          <w:szCs w:val="20"/>
          <w:color w:val="auto"/>
        </w:rPr>
      </w:pPr>
      <w:r>
        <w:rPr>
          <w:rFonts w:ascii="Arial" w:cs="Arial" w:eastAsia="Arial" w:hAnsi="Arial"/>
          <w:sz w:val="20"/>
          <w:szCs w:val="20"/>
          <w:color w:val="auto"/>
        </w:rPr>
        <w:t>Brazil</w:t>
      </w:r>
    </w:p>
    <w:p>
      <w:pPr>
        <w:spacing w:after="0"/>
        <w:rPr>
          <w:sz w:val="20"/>
          <w:szCs w:val="20"/>
          <w:color w:val="auto"/>
        </w:rPr>
      </w:pPr>
      <w:r>
        <w:rPr>
          <w:rFonts w:ascii="Arial" w:cs="Arial" w:eastAsia="Arial" w:hAnsi="Arial"/>
          <w:sz w:val="20"/>
          <w:szCs w:val="20"/>
          <w:color w:val="auto"/>
        </w:rPr>
        <w:t>Canada</w:t>
      </w:r>
    </w:p>
    <w:p>
      <w:pPr>
        <w:spacing w:after="0"/>
        <w:rPr>
          <w:sz w:val="20"/>
          <w:szCs w:val="20"/>
          <w:color w:val="auto"/>
        </w:rPr>
      </w:pPr>
      <w:r>
        <w:rPr>
          <w:rFonts w:ascii="Arial" w:cs="Arial" w:eastAsia="Arial" w:hAnsi="Arial"/>
          <w:sz w:val="20"/>
          <w:szCs w:val="20"/>
          <w:color w:val="auto"/>
        </w:rPr>
        <w:t>China</w:t>
      </w:r>
    </w:p>
    <w:p>
      <w:pPr>
        <w:spacing w:after="0"/>
        <w:rPr>
          <w:sz w:val="20"/>
          <w:szCs w:val="20"/>
          <w:color w:val="auto"/>
        </w:rPr>
      </w:pPr>
      <w:r>
        <w:rPr>
          <w:rFonts w:ascii="Arial" w:cs="Arial" w:eastAsia="Arial" w:hAnsi="Arial"/>
          <w:sz w:val="20"/>
          <w:szCs w:val="20"/>
          <w:color w:val="auto"/>
        </w:rPr>
        <w:t>Colombia</w:t>
      </w:r>
    </w:p>
    <w:p>
      <w:pPr>
        <w:spacing w:after="0"/>
        <w:rPr>
          <w:sz w:val="20"/>
          <w:szCs w:val="20"/>
          <w:color w:val="auto"/>
        </w:rPr>
      </w:pPr>
      <w:r>
        <w:rPr>
          <w:rFonts w:ascii="Arial" w:cs="Arial" w:eastAsia="Arial" w:hAnsi="Arial"/>
          <w:sz w:val="20"/>
          <w:szCs w:val="20"/>
          <w:color w:val="auto"/>
        </w:rPr>
        <w:t>Czech Republic</w:t>
      </w:r>
    </w:p>
    <w:p>
      <w:pPr>
        <w:spacing w:after="0"/>
        <w:rPr>
          <w:sz w:val="20"/>
          <w:szCs w:val="20"/>
          <w:color w:val="auto"/>
        </w:rPr>
      </w:pPr>
      <w:r>
        <w:rPr>
          <w:rFonts w:ascii="Arial" w:cs="Arial" w:eastAsia="Arial" w:hAnsi="Arial"/>
          <w:sz w:val="20"/>
          <w:szCs w:val="20"/>
          <w:color w:val="auto"/>
        </w:rPr>
        <w:t>Denmark</w:t>
      </w:r>
    </w:p>
    <w:p>
      <w:pPr>
        <w:spacing w:after="0"/>
        <w:rPr>
          <w:sz w:val="20"/>
          <w:szCs w:val="20"/>
          <w:color w:val="auto"/>
        </w:rPr>
      </w:pPr>
      <w:r>
        <w:rPr>
          <w:rFonts w:ascii="Arial" w:cs="Arial" w:eastAsia="Arial" w:hAnsi="Arial"/>
          <w:sz w:val="20"/>
          <w:szCs w:val="20"/>
          <w:color w:val="auto"/>
        </w:rPr>
        <w:t>Finland</w:t>
      </w:r>
    </w:p>
    <w:p>
      <w:pPr>
        <w:spacing w:after="0"/>
        <w:rPr>
          <w:sz w:val="20"/>
          <w:szCs w:val="20"/>
          <w:color w:val="auto"/>
        </w:rPr>
      </w:pPr>
      <w:r>
        <w:rPr>
          <w:rFonts w:ascii="Arial" w:cs="Arial" w:eastAsia="Arial" w:hAnsi="Arial"/>
          <w:sz w:val="20"/>
          <w:szCs w:val="20"/>
          <w:color w:val="auto"/>
        </w:rPr>
        <w:t>France</w:t>
      </w:r>
    </w:p>
    <w:p>
      <w:pPr>
        <w:spacing w:after="0"/>
        <w:rPr>
          <w:sz w:val="20"/>
          <w:szCs w:val="20"/>
          <w:color w:val="auto"/>
        </w:rPr>
      </w:pPr>
      <w:r>
        <w:rPr>
          <w:rFonts w:ascii="Arial" w:cs="Arial" w:eastAsia="Arial" w:hAnsi="Arial"/>
          <w:sz w:val="20"/>
          <w:szCs w:val="20"/>
          <w:color w:val="auto"/>
        </w:rPr>
        <w:t>Germany</w:t>
      </w:r>
    </w:p>
    <w:p>
      <w:pPr>
        <w:spacing w:after="0"/>
        <w:rPr>
          <w:sz w:val="20"/>
          <w:szCs w:val="20"/>
          <w:color w:val="auto"/>
        </w:rPr>
      </w:pPr>
      <w:r>
        <w:rPr>
          <w:rFonts w:ascii="Arial" w:cs="Arial" w:eastAsia="Arial" w:hAnsi="Arial"/>
          <w:sz w:val="20"/>
          <w:szCs w:val="20"/>
          <w:color w:val="auto"/>
        </w:rPr>
        <w:t>Greece</w:t>
      </w:r>
    </w:p>
    <w:p>
      <w:pPr>
        <w:spacing w:after="0"/>
        <w:rPr>
          <w:sz w:val="20"/>
          <w:szCs w:val="20"/>
          <w:color w:val="auto"/>
        </w:rPr>
      </w:pPr>
      <w:r>
        <w:rPr>
          <w:rFonts w:ascii="Arial" w:cs="Arial" w:eastAsia="Arial" w:hAnsi="Arial"/>
          <w:sz w:val="20"/>
          <w:szCs w:val="20"/>
          <w:color w:val="auto"/>
        </w:rPr>
        <w:t>Hong Kong</w:t>
      </w:r>
    </w:p>
    <w:p>
      <w:pPr>
        <w:spacing w:after="0"/>
        <w:rPr>
          <w:sz w:val="20"/>
          <w:szCs w:val="20"/>
          <w:color w:val="auto"/>
        </w:rPr>
      </w:pPr>
      <w:r>
        <w:rPr>
          <w:rFonts w:ascii="Arial" w:cs="Arial" w:eastAsia="Arial" w:hAnsi="Arial"/>
          <w:sz w:val="20"/>
          <w:szCs w:val="20"/>
          <w:color w:val="auto"/>
        </w:rPr>
        <w:t>Hungary</w:t>
      </w:r>
    </w:p>
    <w:p>
      <w:pPr>
        <w:spacing w:after="0"/>
        <w:rPr>
          <w:sz w:val="20"/>
          <w:szCs w:val="20"/>
          <w:color w:val="auto"/>
        </w:rPr>
      </w:pPr>
      <w:r>
        <w:rPr>
          <w:rFonts w:ascii="Arial" w:cs="Arial" w:eastAsia="Arial" w:hAnsi="Arial"/>
          <w:sz w:val="20"/>
          <w:szCs w:val="20"/>
          <w:color w:val="auto"/>
        </w:rPr>
        <w:t>India</w:t>
      </w:r>
    </w:p>
    <w:p>
      <w:pPr>
        <w:spacing w:after="0"/>
        <w:rPr>
          <w:sz w:val="20"/>
          <w:szCs w:val="20"/>
          <w:color w:val="auto"/>
        </w:rPr>
      </w:pPr>
      <w:r>
        <w:rPr>
          <w:rFonts w:ascii="Arial" w:cs="Arial" w:eastAsia="Arial" w:hAnsi="Arial"/>
          <w:sz w:val="20"/>
          <w:szCs w:val="20"/>
          <w:color w:val="auto"/>
        </w:rPr>
        <w:t>Indonesia</w:t>
      </w:r>
    </w:p>
    <w:p>
      <w:pPr>
        <w:spacing w:after="0"/>
        <w:rPr>
          <w:sz w:val="20"/>
          <w:szCs w:val="20"/>
          <w:color w:val="auto"/>
        </w:rPr>
      </w:pPr>
      <w:r>
        <w:rPr>
          <w:rFonts w:ascii="Arial" w:cs="Arial" w:eastAsia="Arial" w:hAnsi="Arial"/>
          <w:sz w:val="20"/>
          <w:szCs w:val="20"/>
          <w:color w:val="auto"/>
        </w:rPr>
        <w:t>Ireland</w:t>
      </w:r>
    </w:p>
    <w:p>
      <w:pPr>
        <w:spacing w:after="0"/>
        <w:rPr>
          <w:sz w:val="20"/>
          <w:szCs w:val="20"/>
          <w:color w:val="auto"/>
        </w:rPr>
      </w:pPr>
      <w:r>
        <w:rPr>
          <w:rFonts w:ascii="Arial" w:cs="Arial" w:eastAsia="Arial" w:hAnsi="Arial"/>
          <w:sz w:val="20"/>
          <w:szCs w:val="20"/>
          <w:color w:val="auto"/>
        </w:rPr>
        <w:t>Israel</w:t>
      </w:r>
    </w:p>
    <w:p>
      <w:pPr>
        <w:spacing w:after="0"/>
        <w:rPr>
          <w:sz w:val="20"/>
          <w:szCs w:val="20"/>
          <w:color w:val="auto"/>
        </w:rPr>
      </w:pPr>
      <w:r>
        <w:rPr>
          <w:rFonts w:ascii="Arial" w:cs="Arial" w:eastAsia="Arial" w:hAnsi="Arial"/>
          <w:sz w:val="20"/>
          <w:szCs w:val="20"/>
          <w:color w:val="auto"/>
        </w:rPr>
        <w:t>Italy</w:t>
      </w:r>
    </w:p>
    <w:p>
      <w:pPr>
        <w:spacing w:after="0"/>
        <w:rPr>
          <w:sz w:val="20"/>
          <w:szCs w:val="20"/>
          <w:color w:val="auto"/>
        </w:rPr>
      </w:pPr>
      <w:r>
        <w:rPr>
          <w:rFonts w:ascii="Arial" w:cs="Arial" w:eastAsia="Arial" w:hAnsi="Arial"/>
          <w:sz w:val="20"/>
          <w:szCs w:val="20"/>
          <w:color w:val="auto"/>
        </w:rPr>
        <w:t>Japan</w:t>
      </w:r>
    </w:p>
    <w:p>
      <w:pPr>
        <w:spacing w:after="0"/>
        <w:rPr>
          <w:sz w:val="20"/>
          <w:szCs w:val="20"/>
          <w:color w:val="auto"/>
        </w:rPr>
      </w:pPr>
      <w:r>
        <w:rPr>
          <w:rFonts w:ascii="Arial" w:cs="Arial" w:eastAsia="Arial" w:hAnsi="Arial"/>
          <w:sz w:val="20"/>
          <w:szCs w:val="20"/>
          <w:color w:val="auto"/>
        </w:rPr>
        <w:t>Malaysia</w:t>
      </w:r>
    </w:p>
    <w:p>
      <w:pPr>
        <w:spacing w:after="0"/>
        <w:rPr>
          <w:sz w:val="20"/>
          <w:szCs w:val="20"/>
          <w:color w:val="auto"/>
        </w:rPr>
      </w:pPr>
      <w:r>
        <w:rPr>
          <w:rFonts w:ascii="Arial" w:cs="Arial" w:eastAsia="Arial" w:hAnsi="Arial"/>
          <w:sz w:val="20"/>
          <w:szCs w:val="20"/>
          <w:color w:val="auto"/>
        </w:rPr>
        <w:t>Mexico</w:t>
      </w:r>
    </w:p>
    <w:p>
      <w:pPr>
        <w:spacing w:after="0"/>
        <w:rPr>
          <w:sz w:val="20"/>
          <w:szCs w:val="20"/>
          <w:color w:val="auto"/>
        </w:rPr>
      </w:pPr>
      <w:r>
        <w:rPr>
          <w:rFonts w:ascii="Arial" w:cs="Arial" w:eastAsia="Arial" w:hAnsi="Arial"/>
          <w:sz w:val="20"/>
          <w:szCs w:val="20"/>
          <w:color w:val="auto"/>
        </w:rPr>
        <w:t>Netherlands</w:t>
      </w:r>
    </w:p>
    <w:p>
      <w:pPr>
        <w:spacing w:after="0"/>
        <w:rPr>
          <w:sz w:val="20"/>
          <w:szCs w:val="20"/>
          <w:color w:val="auto"/>
        </w:rPr>
      </w:pPr>
      <w:r>
        <w:rPr>
          <w:rFonts w:ascii="Arial" w:cs="Arial" w:eastAsia="Arial" w:hAnsi="Arial"/>
          <w:sz w:val="20"/>
          <w:szCs w:val="20"/>
          <w:color w:val="auto"/>
        </w:rPr>
        <w:t>New Zealand</w:t>
      </w:r>
    </w:p>
    <w:p>
      <w:pPr>
        <w:spacing w:after="0"/>
        <w:rPr>
          <w:sz w:val="20"/>
          <w:szCs w:val="20"/>
          <w:color w:val="auto"/>
        </w:rPr>
      </w:pPr>
      <w:r>
        <w:rPr>
          <w:rFonts w:ascii="Arial" w:cs="Arial" w:eastAsia="Arial" w:hAnsi="Arial"/>
          <w:sz w:val="20"/>
          <w:szCs w:val="20"/>
          <w:color w:val="auto"/>
        </w:rPr>
        <w:t>Norway</w:t>
      </w:r>
    </w:p>
    <w:p>
      <w:pPr>
        <w:spacing w:after="0"/>
        <w:rPr>
          <w:sz w:val="20"/>
          <w:szCs w:val="20"/>
          <w:color w:val="auto"/>
        </w:rPr>
      </w:pPr>
      <w:r>
        <w:rPr>
          <w:rFonts w:ascii="Arial" w:cs="Arial" w:eastAsia="Arial" w:hAnsi="Arial"/>
          <w:sz w:val="20"/>
          <w:szCs w:val="20"/>
          <w:color w:val="auto"/>
        </w:rPr>
        <w:t>Philippines</w:t>
      </w:r>
    </w:p>
    <w:p>
      <w:pPr>
        <w:spacing w:after="0"/>
        <w:rPr>
          <w:sz w:val="20"/>
          <w:szCs w:val="20"/>
          <w:color w:val="auto"/>
        </w:rPr>
      </w:pPr>
      <w:r>
        <w:rPr>
          <w:rFonts w:ascii="Arial" w:cs="Arial" w:eastAsia="Arial" w:hAnsi="Arial"/>
          <w:sz w:val="20"/>
          <w:szCs w:val="20"/>
          <w:color w:val="auto"/>
        </w:rPr>
        <w:t>Poland</w:t>
      </w:r>
    </w:p>
    <w:p>
      <w:pPr>
        <w:spacing w:after="0"/>
        <w:rPr>
          <w:sz w:val="20"/>
          <w:szCs w:val="20"/>
          <w:color w:val="auto"/>
        </w:rPr>
      </w:pPr>
      <w:r>
        <w:rPr>
          <w:rFonts w:ascii="Arial" w:cs="Arial" w:eastAsia="Arial" w:hAnsi="Arial"/>
          <w:sz w:val="20"/>
          <w:szCs w:val="20"/>
          <w:color w:val="auto"/>
        </w:rPr>
        <w:t>Portugal</w:t>
      </w:r>
    </w:p>
    <w:p>
      <w:pPr>
        <w:spacing w:after="0"/>
        <w:rPr>
          <w:sz w:val="20"/>
          <w:szCs w:val="20"/>
          <w:color w:val="auto"/>
        </w:rPr>
      </w:pPr>
      <w:r>
        <w:rPr>
          <w:rFonts w:ascii="Arial" w:cs="Arial" w:eastAsia="Arial" w:hAnsi="Arial"/>
          <w:sz w:val="20"/>
          <w:szCs w:val="20"/>
          <w:color w:val="auto"/>
        </w:rPr>
        <w:t>Qatar</w:t>
      </w:r>
    </w:p>
    <w:p>
      <w:pPr>
        <w:spacing w:after="0"/>
        <w:rPr>
          <w:sz w:val="20"/>
          <w:szCs w:val="20"/>
          <w:color w:val="auto"/>
        </w:rPr>
      </w:pPr>
      <w:r>
        <w:rPr>
          <w:rFonts w:ascii="Arial" w:cs="Arial" w:eastAsia="Arial" w:hAnsi="Arial"/>
          <w:sz w:val="20"/>
          <w:szCs w:val="20"/>
          <w:color w:val="auto"/>
        </w:rPr>
        <w:t>Romania</w:t>
      </w:r>
    </w:p>
    <w:p>
      <w:pPr>
        <w:spacing w:after="0"/>
        <w:rPr>
          <w:sz w:val="20"/>
          <w:szCs w:val="20"/>
          <w:color w:val="auto"/>
        </w:rPr>
      </w:pPr>
      <w:r>
        <w:rPr>
          <w:rFonts w:ascii="Arial" w:cs="Arial" w:eastAsia="Arial" w:hAnsi="Arial"/>
          <w:sz w:val="20"/>
          <w:szCs w:val="20"/>
          <w:color w:val="auto"/>
        </w:rPr>
        <w:t>Singapore</w:t>
      </w:r>
    </w:p>
    <w:p>
      <w:pPr>
        <w:spacing w:after="0"/>
        <w:rPr>
          <w:sz w:val="20"/>
          <w:szCs w:val="20"/>
          <w:color w:val="auto"/>
        </w:rPr>
      </w:pPr>
      <w:r>
        <w:rPr>
          <w:rFonts w:ascii="Arial" w:cs="Arial" w:eastAsia="Arial" w:hAnsi="Arial"/>
          <w:sz w:val="20"/>
          <w:szCs w:val="20"/>
          <w:color w:val="auto"/>
        </w:rPr>
        <w:t>South Korea</w:t>
      </w:r>
    </w:p>
    <w:p>
      <w:pPr>
        <w:spacing w:after="0"/>
        <w:rPr>
          <w:sz w:val="20"/>
          <w:szCs w:val="20"/>
          <w:color w:val="auto"/>
        </w:rPr>
      </w:pPr>
      <w:r>
        <w:rPr>
          <w:rFonts w:ascii="Arial" w:cs="Arial" w:eastAsia="Arial" w:hAnsi="Arial"/>
          <w:sz w:val="20"/>
          <w:szCs w:val="20"/>
          <w:color w:val="auto"/>
        </w:rPr>
        <w:t>Spain</w:t>
      </w:r>
    </w:p>
    <w:p>
      <w:pPr>
        <w:spacing w:after="0"/>
        <w:rPr>
          <w:sz w:val="20"/>
          <w:szCs w:val="20"/>
          <w:color w:val="auto"/>
        </w:rPr>
      </w:pPr>
      <w:r>
        <w:rPr>
          <w:rFonts w:ascii="Arial" w:cs="Arial" w:eastAsia="Arial" w:hAnsi="Arial"/>
          <w:sz w:val="20"/>
          <w:szCs w:val="20"/>
          <w:color w:val="auto"/>
        </w:rPr>
        <w:t>Sweden</w:t>
      </w:r>
    </w:p>
    <w:p>
      <w:pPr>
        <w:spacing w:after="0"/>
        <w:rPr>
          <w:sz w:val="20"/>
          <w:szCs w:val="20"/>
          <w:color w:val="auto"/>
        </w:rPr>
      </w:pPr>
      <w:r>
        <w:rPr>
          <w:rFonts w:ascii="Arial" w:cs="Arial" w:eastAsia="Arial" w:hAnsi="Arial"/>
          <w:sz w:val="20"/>
          <w:szCs w:val="20"/>
          <w:color w:val="auto"/>
        </w:rPr>
        <w:t>Switzerland</w:t>
      </w:r>
    </w:p>
    <w:p>
      <w:pPr>
        <w:spacing w:after="0"/>
        <w:rPr>
          <w:sz w:val="20"/>
          <w:szCs w:val="20"/>
          <w:color w:val="auto"/>
        </w:rPr>
      </w:pPr>
      <w:r>
        <w:rPr>
          <w:rFonts w:ascii="Arial" w:cs="Arial" w:eastAsia="Arial" w:hAnsi="Arial"/>
          <w:sz w:val="20"/>
          <w:szCs w:val="20"/>
          <w:color w:val="auto"/>
        </w:rPr>
        <w:t>Taiwan</w:t>
      </w:r>
    </w:p>
    <w:p>
      <w:pPr>
        <w:spacing w:after="0"/>
        <w:rPr>
          <w:sz w:val="20"/>
          <w:szCs w:val="20"/>
          <w:color w:val="auto"/>
        </w:rPr>
      </w:pPr>
      <w:r>
        <w:rPr>
          <w:rFonts w:ascii="Arial" w:cs="Arial" w:eastAsia="Arial" w:hAnsi="Arial"/>
          <w:sz w:val="20"/>
          <w:szCs w:val="20"/>
          <w:color w:val="auto"/>
        </w:rPr>
        <w:t>Thailand</w:t>
      </w:r>
    </w:p>
    <w:p>
      <w:pPr>
        <w:spacing w:after="0"/>
        <w:rPr>
          <w:sz w:val="20"/>
          <w:szCs w:val="20"/>
          <w:color w:val="auto"/>
        </w:rPr>
      </w:pPr>
      <w:r>
        <w:rPr>
          <w:rFonts w:ascii="Arial" w:cs="Arial" w:eastAsia="Arial" w:hAnsi="Arial"/>
          <w:sz w:val="20"/>
          <w:szCs w:val="20"/>
          <w:color w:val="auto"/>
        </w:rPr>
        <w:t>Turkey</w:t>
      </w:r>
    </w:p>
    <w:p>
      <w:pPr>
        <w:spacing w:after="0"/>
        <w:rPr>
          <w:sz w:val="20"/>
          <w:szCs w:val="20"/>
          <w:color w:val="auto"/>
        </w:rPr>
      </w:pPr>
      <w:r>
        <w:rPr>
          <w:rFonts w:ascii="Arial" w:cs="Arial" w:eastAsia="Arial" w:hAnsi="Arial"/>
          <w:sz w:val="20"/>
          <w:szCs w:val="20"/>
          <w:color w:val="auto"/>
        </w:rPr>
        <w:t>United Arab Emirates</w:t>
      </w:r>
    </w:p>
    <w:p>
      <w:pPr>
        <w:spacing w:after="0"/>
        <w:rPr>
          <w:sz w:val="20"/>
          <w:szCs w:val="20"/>
          <w:color w:val="auto"/>
        </w:rPr>
      </w:pPr>
      <w:r>
        <w:rPr>
          <w:rFonts w:ascii="Arial" w:cs="Arial" w:eastAsia="Arial" w:hAnsi="Arial"/>
          <w:sz w:val="20"/>
          <w:szCs w:val="20"/>
          <w:color w:val="auto"/>
        </w:rPr>
        <w:t>United Kingdom</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2820"/>
              <w:spacing w:after="0"/>
              <w:rPr>
                <w:sz w:val="20"/>
                <w:szCs w:val="20"/>
                <w:color w:val="auto"/>
              </w:rPr>
            </w:pPr>
            <w:r>
              <w:rPr>
                <w:rFonts w:ascii="Arial" w:cs="Arial" w:eastAsia="Arial" w:hAnsi="Arial"/>
                <w:sz w:val="18"/>
                <w:szCs w:val="18"/>
                <w:b w:val="1"/>
                <w:bCs w:val="1"/>
                <w:color w:val="auto"/>
                <w:w w:val="91"/>
              </w:rPr>
              <w:t>Exhibit 21.1</w:t>
            </w:r>
          </w:p>
        </w:tc>
      </w:tr>
      <w:tr>
        <w:trPr>
          <w:trHeight w:val="729"/>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SUBSIDIARIES OF AUTODESK, INC.,</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2"/>
              </w:rPr>
              <w:t>a Delaware Corporation</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89"/>
              </w:rPr>
              <w:t>as of January 31, 2018</w:t>
            </w:r>
          </w:p>
        </w:tc>
        <w:tc>
          <w:tcPr>
            <w:tcW w:w="3760" w:type="dxa"/>
            <w:vAlign w:val="bottom"/>
          </w:tcPr>
          <w:p>
            <w:pPr>
              <w:spacing w:after="0"/>
              <w:rPr>
                <w:sz w:val="24"/>
                <w:szCs w:val="24"/>
                <w:color w:val="auto"/>
              </w:rPr>
            </w:pPr>
          </w:p>
        </w:tc>
      </w:tr>
      <w:tr>
        <w:trPr>
          <w:trHeight w:val="675"/>
        </w:trPr>
        <w:tc>
          <w:tcPr>
            <w:tcW w:w="76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Subsidiary Name</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Americas LLC</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ADSK Ireland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(China) Software Research and Development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60" w:type="dxa"/>
            <w:vAlign w:val="bottom"/>
          </w:tcPr>
          <w:p>
            <w:pPr>
              <w:ind w:left="40"/>
              <w:spacing w:after="0"/>
              <w:rPr>
                <w:sz w:val="20"/>
                <w:szCs w:val="20"/>
                <w:color w:val="auto"/>
              </w:rPr>
            </w:pPr>
            <w:r>
              <w:rPr>
                <w:rFonts w:ascii="Arial" w:cs="Arial" w:eastAsia="Arial" w:hAnsi="Arial"/>
                <w:sz w:val="18"/>
                <w:szCs w:val="18"/>
                <w:color w:val="auto"/>
              </w:rPr>
              <w:t>Sweden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60" w:type="dxa"/>
            <w:vAlign w:val="bottom"/>
          </w:tcPr>
          <w:p>
            <w:pPr>
              <w:ind w:left="40"/>
              <w:spacing w:after="0"/>
              <w:rPr>
                <w:sz w:val="20"/>
                <w:szCs w:val="20"/>
                <w:color w:val="auto"/>
              </w:rPr>
            </w:pPr>
            <w:r>
              <w:rPr>
                <w:rFonts w:ascii="Arial" w:cs="Arial" w:eastAsia="Arial" w:hAnsi="Arial"/>
                <w:sz w:val="18"/>
                <w:szCs w:val="18"/>
                <w:color w:val="auto"/>
              </w:rPr>
              <w:t>Denmark</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6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6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Colombia S.A.S.</w:t>
            </w:r>
          </w:p>
        </w:tc>
        <w:tc>
          <w:tcPr>
            <w:tcW w:w="3760" w:type="dxa"/>
            <w:vAlign w:val="bottom"/>
          </w:tcPr>
          <w:p>
            <w:pPr>
              <w:ind w:left="40"/>
              <w:spacing w:after="0"/>
              <w:rPr>
                <w:sz w:val="20"/>
                <w:szCs w:val="20"/>
                <w:color w:val="auto"/>
              </w:rPr>
            </w:pPr>
            <w:r>
              <w:rPr>
                <w:rFonts w:ascii="Arial" w:cs="Arial" w:eastAsia="Arial" w:hAnsi="Arial"/>
                <w:sz w:val="18"/>
                <w:szCs w:val="18"/>
                <w:color w:val="auto"/>
              </w:rPr>
              <w:t>Colombia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60" w:type="dxa"/>
            <w:vAlign w:val="bottom"/>
          </w:tcPr>
          <w:p>
            <w:pPr>
              <w:ind w:left="40"/>
              <w:spacing w:after="0"/>
              <w:rPr>
                <w:sz w:val="20"/>
                <w:szCs w:val="20"/>
                <w:color w:val="auto"/>
              </w:rPr>
            </w:pPr>
            <w:r>
              <w:rPr>
                <w:rFonts w:ascii="Arial" w:cs="Arial" w:eastAsia="Arial" w:hAnsi="Arial"/>
                <w:sz w:val="18"/>
                <w:szCs w:val="18"/>
                <w:color w:val="auto"/>
              </w:rPr>
              <w:t>Argentina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60" w:type="dxa"/>
            <w:vAlign w:val="bottom"/>
          </w:tcPr>
          <w:p>
            <w:pPr>
              <w:ind w:left="40"/>
              <w:spacing w:after="0"/>
              <w:rPr>
                <w:sz w:val="20"/>
                <w:szCs w:val="20"/>
                <w:color w:val="auto"/>
              </w:rPr>
            </w:pPr>
            <w:r>
              <w:rPr>
                <w:rFonts w:ascii="Arial" w:cs="Arial" w:eastAsia="Arial" w:hAnsi="Arial"/>
                <w:sz w:val="18"/>
                <w:szCs w:val="18"/>
                <w:color w:val="auto"/>
              </w:rPr>
              <w:t>Mexico</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60" w:type="dxa"/>
            <w:vAlign w:val="bottom"/>
          </w:tcPr>
          <w:p>
            <w:pPr>
              <w:ind w:left="40"/>
              <w:spacing w:after="0"/>
              <w:rPr>
                <w:sz w:val="20"/>
                <w:szCs w:val="20"/>
                <w:color w:val="auto"/>
              </w:rPr>
            </w:pPr>
            <w:r>
              <w:rPr>
                <w:rFonts w:ascii="Arial" w:cs="Arial" w:eastAsia="Arial" w:hAnsi="Arial"/>
                <w:sz w:val="18"/>
                <w:szCs w:val="18"/>
                <w:color w:val="auto"/>
              </w:rPr>
              <w:t>Venezuela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 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Direct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ehf.</w:t>
            </w:r>
          </w:p>
        </w:tc>
        <w:tc>
          <w:tcPr>
            <w:tcW w:w="3760" w:type="dxa"/>
            <w:vAlign w:val="bottom"/>
          </w:tcPr>
          <w:p>
            <w:pPr>
              <w:ind w:left="40"/>
              <w:spacing w:after="0"/>
              <w:rPr>
                <w:sz w:val="20"/>
                <w:szCs w:val="20"/>
                <w:color w:val="auto"/>
              </w:rPr>
            </w:pPr>
            <w:r>
              <w:rPr>
                <w:rFonts w:ascii="Arial" w:cs="Arial" w:eastAsia="Arial" w:hAnsi="Arial"/>
                <w:sz w:val="18"/>
                <w:szCs w:val="18"/>
                <w:color w:val="auto"/>
              </w:rPr>
              <w:t>Iceland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60" w:type="dxa"/>
            <w:vAlign w:val="bottom"/>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Holdings LLP</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60" w:type="dxa"/>
            <w:vAlign w:val="bottom"/>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Ireland Operations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60" w:type="dxa"/>
            <w:vAlign w:val="bottom"/>
          </w:tcPr>
          <w:p>
            <w:pPr>
              <w:ind w:left="40"/>
              <w:spacing w:after="0"/>
              <w:rPr>
                <w:sz w:val="20"/>
                <w:szCs w:val="20"/>
                <w:color w:val="auto"/>
              </w:rPr>
            </w:pPr>
            <w:r>
              <w:rPr>
                <w:rFonts w:ascii="Arial" w:cs="Arial" w:eastAsia="Arial" w:hAnsi="Arial"/>
                <w:sz w:val="18"/>
                <w:szCs w:val="18"/>
                <w:color w:val="auto"/>
              </w:rPr>
              <w:t>Israel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60" w:type="dxa"/>
            <w:vAlign w:val="bottom"/>
          </w:tcPr>
          <w:p>
            <w:pPr>
              <w:ind w:left="40"/>
              <w:spacing w:after="0"/>
              <w:rPr>
                <w:sz w:val="20"/>
                <w:szCs w:val="20"/>
                <w:color w:val="auto"/>
              </w:rPr>
            </w:pPr>
            <w:r>
              <w:rPr>
                <w:rFonts w:ascii="Arial" w:cs="Arial" w:eastAsia="Arial" w:hAnsi="Arial"/>
                <w:sz w:val="18"/>
                <w:szCs w:val="18"/>
                <w:color w:val="auto"/>
              </w:rPr>
              <w:t>South Korea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Saudi Arabia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Netherlands Holdings, B.V.</w:t>
            </w:r>
          </w:p>
        </w:tc>
        <w:tc>
          <w:tcPr>
            <w:tcW w:w="3760" w:type="dxa"/>
            <w:vAlign w:val="bottom"/>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Romania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60" w:type="dxa"/>
            <w:vAlign w:val="bottom"/>
          </w:tcPr>
          <w:p>
            <w:pPr>
              <w:ind w:left="40"/>
              <w:spacing w:after="0"/>
              <w:rPr>
                <w:sz w:val="20"/>
                <w:szCs w:val="20"/>
                <w:color w:val="auto"/>
              </w:rPr>
            </w:pPr>
            <w:r>
              <w:rPr>
                <w:rFonts w:ascii="Arial" w:cs="Arial" w:eastAsia="Arial" w:hAnsi="Arial"/>
                <w:sz w:val="18"/>
                <w:szCs w:val="18"/>
                <w:color w:val="auto"/>
              </w:rPr>
              <w:t>Poland</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color w:val="auto"/>
        </w:rPr>
        <w:t>Autodesk Spol.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Autodesk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Autodesk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40" w:space="720"/>
            <w:col w:w="2519"/>
          </w:cols>
          <w:pgMar w:left="280" w:top="746" w:right="1440" w:bottom="1440" w:gutter="0" w:footer="0" w:header="0"/>
        </w:sectPr>
      </w:pPr>
    </w:p>
    <w:p>
      <w:pPr>
        <w:spacing w:after="0"/>
        <w:rPr>
          <w:sz w:val="20"/>
          <w:szCs w:val="20"/>
          <w:color w:val="auto"/>
        </w:rPr>
      </w:pPr>
      <w:r>
        <w:rPr>
          <w:rFonts w:ascii="Arial" w:cs="Arial" w:eastAsia="Arial" w:hAnsi="Arial"/>
          <w:sz w:val="17"/>
          <w:szCs w:val="17"/>
          <w:color w:val="auto"/>
        </w:rPr>
        <w:t>Autodesk Yazilim Hizmetleri Ticaret Limited Sirketi</w:t>
      </w:r>
    </w:p>
    <w:p>
      <w:pPr>
        <w:sectPr>
          <w:pgSz w:w="11900" w:h="16838" w:orient="portrait"/>
          <w:cols w:equalWidth="0" w:num="1">
            <w:col w:w="10179"/>
          </w:cols>
          <w:pgMar w:left="280" w:top="746" w:right="1440"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(Autodesk Limited Sirketi)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Autodesk,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Beijing Delcam Integrated System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CadSoft Computer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Crispin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Australia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Delcam Consulting and Technology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Delcam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Partmaker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Professional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Software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Delta Soft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Graitec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Graitec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Hankook Delcam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Autodesk (CIS)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Magestic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International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SeeControl,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SCI Topole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Shotgun Software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Solid Angle,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Solid Angle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Within Technologies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22" w:lineRule="exact"/>
        <w:rPr>
          <w:sz w:val="20"/>
          <w:szCs w:val="20"/>
          <w:color w:val="auto"/>
        </w:rPr>
      </w:pPr>
    </w:p>
    <w:p>
      <w:pPr>
        <w:sectPr>
          <w:pgSz w:w="11900" w:h="16838" w:orient="portrait"/>
          <w:cols w:equalWidth="0" w:num="2">
            <w:col w:w="6940" w:space="720"/>
            <w:col w:w="2519"/>
          </w:cols>
          <w:pgMar w:left="280" w:top="746"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79"/>
          </w:cols>
          <w:pgMar w:left="280" w:top="746" w:right="1440"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3"/>
              </w:rPr>
              <w:t>Revit Technology Corporation 1998 Stock Plan, 1996 Stock Plan and 1998 Employee Qualified Stock Purchase</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2"/>
              </w:rPr>
              <w:t>Autodesk, Inc. 1998 Employee Qualified Stock Purchase Plan and Autodesk, Inc. 2010 Outside Directors' Stock</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333-187338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333-194463</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333-205038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333-213701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333-218070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Debt Securities</w:t>
            </w: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of our reports dated March 22, 2018, with respect to the consolidated financial statements and schedule of Autodesk, Inc., and the effectiveness of internal control over financial reporting of Autodesk, Inc., included in this Annual Report (Form 10-K) of Autodesk, Inc. for the year ended January 31, 2018.</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8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00"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2018</w:t>
      </w:r>
    </w:p>
    <w:p>
      <w:pPr>
        <w:sectPr>
          <w:pgSz w:w="11900" w:h="16838" w:orient="portrait"/>
          <w:cols w:equalWidth="0" w:num="1">
            <w:col w:w="11420"/>
          </w:cols>
          <w:pgMar w:left="240" w:top="91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2018</w:t>
      </w:r>
    </w:p>
    <w:p>
      <w:pPr>
        <w:sectPr>
          <w:pgSz w:w="11900" w:h="16838" w:orient="portrait"/>
          <w:cols w:equalWidth="0" w:num="1">
            <w:col w:w="11420"/>
          </w:cols>
          <w:pgMar w:left="240" w:top="918"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Annual Report of Autodesk, Inc. on Form 10-K for the annual period ended January 31, 2018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Annual Report of Autodesk, Inc. on Form 10-K for the annual period ended January 31, 2018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(Principal Financial Officer)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emdash "/>
      <w:numFmt w:val="bullet"/>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2"/>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3"/>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4"/>
    </w:lvl>
  </w:abstractNum>
  <w:abstractNum w:abstractNumId="54">
    <w:nsid w:val="661E3F1E"/>
    <w:multiLevelType w:val="hybridMultilevel"/>
    <w:lvl w:ilvl="0">
      <w:lvlJc w:val="left"/>
      <w:lvlText w:val="%1."/>
      <w:numFmt w:val="decimal"/>
      <w:start w:val="5"/>
    </w:lvl>
  </w:abstractNum>
  <w:abstractNum w:abstractNumId="55">
    <w:nsid w:val="5DC79EA8"/>
    <w:multiLevelType w:val="hybridMultilevel"/>
    <w:lvl w:ilvl="0">
      <w:lvlJc w:val="left"/>
      <w:lvlText w:val="%1."/>
      <w:numFmt w:val="decimal"/>
      <w:start w:val="6"/>
    </w:lvl>
  </w:abstractNum>
  <w:abstractNum w:abstractNumId="56">
    <w:nsid w:val="540A471C"/>
    <w:multiLevelType w:val="hybridMultilevel"/>
    <w:lvl w:ilvl="0">
      <w:lvlJc w:val="left"/>
      <w:lvlText w:val="%1."/>
      <w:numFmt w:val="decimal"/>
      <w:start w:val="7"/>
    </w:lvl>
  </w:abstractNum>
  <w:abstractNum w:abstractNumId="57">
    <w:nsid w:val="7BD3EE7B"/>
    <w:multiLevelType w:val="hybridMultilevel"/>
    <w:lvl w:ilvl="0">
      <w:lvlJc w:val="left"/>
      <w:lvlText w:val="%1."/>
      <w:numFmt w:val="decimal"/>
      <w:start w:val="8"/>
    </w:lvl>
  </w:abstractNum>
  <w:abstractNum w:abstractNumId="58">
    <w:nsid w:val="51D9C564"/>
    <w:multiLevelType w:val="hybridMultilevel"/>
    <w:lvl w:ilvl="0">
      <w:lvlJc w:val="left"/>
      <w:lvlText w:val="%1."/>
      <w:numFmt w:val="decimal"/>
      <w:start w:val="9"/>
    </w:lvl>
  </w:abstractNum>
  <w:abstractNum w:abstractNumId="59">
    <w:nsid w:val="613EFDC5"/>
    <w:multiLevelType w:val="hybridMultilevel"/>
    <w:lvl w:ilvl="0">
      <w:lvlJc w:val="left"/>
      <w:lvlText w:val="%1."/>
      <w:numFmt w:val="decimal"/>
      <w:start w:val="11"/>
    </w:lvl>
  </w:abstractNum>
  <w:abstractNum w:abstractNumId="60">
    <w:nsid w:val="BF72B14"/>
    <w:multiLevelType w:val="hybridMultilevel"/>
    <w:lvl w:ilvl="0">
      <w:lvlJc w:val="left"/>
      <w:lvlText w:val="%1."/>
      <w:numFmt w:val="decimal"/>
      <w:start w:val="12"/>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13"/>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14"/>
    </w:lvl>
  </w:abstractNum>
  <w:abstractNum w:abstractNumId="65">
    <w:nsid w:val="1A32234B"/>
    <w:multiLevelType w:val="hybridMultilevel"/>
    <w:lvl w:ilvl="0">
      <w:lvlJc w:val="left"/>
      <w:lvlText w:val="%1."/>
      <w:numFmt w:val="decimal"/>
      <w:start w:val="15"/>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1."/>
      <w:numFmt w:val="decimal"/>
      <w:start w:val="16"/>
    </w:lvl>
  </w:abstractNum>
  <w:abstractNum w:abstractNumId="69">
    <w:nsid w:val="60B6DF70"/>
    <w:multiLevelType w:val="hybridMultilevel"/>
    <w:lvl w:ilvl="0">
      <w:lvlJc w:val="left"/>
      <w:lvlText w:val="(%1)"/>
      <w:numFmt w:val="lowerRoman"/>
      <w:start w:val="1"/>
    </w:lvl>
  </w:abstractNum>
  <w:abstractNum w:abstractNumId="70">
    <w:nsid w:val="6A5EE64"/>
    <w:multiLevelType w:val="hybridMultilevel"/>
    <w:lvl w:ilvl="0">
      <w:lvlJc w:val="left"/>
      <w:lvlText w:val="(%1)"/>
      <w:numFmt w:val="lowerLetter"/>
      <w:start w:val="1"/>
    </w:lvl>
    <w:lvl w:ilvl="1">
      <w:lvlJc w:val="left"/>
      <w:lvlText w:val="%2."/>
      <w:numFmt w:val="decimal"/>
      <w:start w:val="1"/>
    </w:lvl>
  </w:abstractNum>
  <w:abstractNum w:abstractNumId="71">
    <w:nsid w:val="14330624"/>
    <w:multiLevelType w:val="hybridMultilevel"/>
    <w:lvl w:ilvl="0">
      <w:lvlJc w:val="left"/>
      <w:lvlText w:val="%1"/>
      <w:numFmt w:val="lowerLetter"/>
      <w:start w:val="1"/>
    </w:lvl>
    <w:lvl w:ilvl="1">
      <w:lvlJc w:val="left"/>
      <w:lvlText w:val="%2."/>
      <w:numFmt w:val="decimal"/>
      <w:start w:val="3"/>
    </w:lvl>
  </w:abstractNum>
  <w:abstractNum w:abstractNumId="72">
    <w:nsid w:val="7FFFCA11"/>
    <w:multiLevelType w:val="hybridMultilevel"/>
    <w:lvl w:ilvl="0">
      <w:lvlJc w:val="left"/>
      <w:lvlText w:val="(%1)"/>
      <w:numFmt w:val="lowerLetter"/>
      <w:start w:val="2"/>
    </w:lvl>
    <w:lvl w:ilvl="1">
      <w:lvlJc w:val="left"/>
      <w:lvlText w:val="%2"/>
      <w:numFmt w:val="decimal"/>
      <w:start w:val="1"/>
    </w:lvl>
  </w:abstractNum>
  <w:abstractNum w:abstractNumId="73">
    <w:nsid w:val="1A27709E"/>
    <w:multiLevelType w:val="hybridMultilevel"/>
    <w:lvl w:ilvl="0">
      <w:lvlJc w:val="left"/>
      <w:lvlText w:val="(%1)"/>
      <w:numFmt w:val="lowerLetter"/>
      <w:start w:val="3"/>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2"/>
    </w:lvl>
  </w:abstractNum>
  <w:abstractNum w:abstractNumId="79">
    <w:nsid w:val="94211F2"/>
    <w:multiLevelType w:val="hybridMultilevel"/>
    <w:lvl w:ilvl="0">
      <w:lvlJc w:val="left"/>
      <w:lvlText w:val="%1"/>
      <w:numFmt w:val="decimal"/>
      <w:start w:val="1"/>
    </w:lvl>
    <w:lvl w:ilvl="1">
      <w:lvlJc w:val="left"/>
      <w:lvlText w:val="(%2)"/>
      <w:numFmt w:val="lowerLetter"/>
      <w:start w:val="1"/>
    </w:lvl>
  </w:abstractNum>
  <w:abstractNum w:abstractNumId="80">
    <w:nsid w:val="885E1B"/>
    <w:multiLevelType w:val="hybridMultilevel"/>
    <w:lvl w:ilvl="0">
      <w:lvlJc w:val="left"/>
      <w:lvlText w:val="%1."/>
      <w:numFmt w:val="decimal"/>
      <w:start w:val="3"/>
    </w:lvl>
    <w:lvl w:ilvl="1">
      <w:lvlJc w:val="left"/>
      <w:lvlText w:val="%2"/>
      <w:numFmt w:val="lowerLetter"/>
      <w:start w:val="1"/>
    </w:lvl>
  </w:abstractNum>
  <w:abstractNum w:abstractNumId="81">
    <w:nsid w:val="76272110"/>
    <w:multiLevelType w:val="hybridMultilevel"/>
    <w:lvl w:ilvl="0">
      <w:lvlJc w:val="left"/>
      <w:lvlText w:val="%1"/>
      <w:numFmt w:val="decimal"/>
      <w:start w:val="1"/>
    </w:lvl>
    <w:lvl w:ilvl="1">
      <w:lvlJc w:val="left"/>
      <w:lvlText w:val="(%2)"/>
      <w:numFmt w:val="lowerLetter"/>
      <w:start w:val="1"/>
    </w:lvl>
  </w:abstractNum>
  <w:abstractNum w:abstractNumId="82">
    <w:nsid w:val="4C04A8AF"/>
    <w:multiLevelType w:val="hybridMultilevel"/>
    <w:lvl w:ilvl="0">
      <w:lvlJc w:val="left"/>
      <w:lvlText w:val="%1."/>
      <w:numFmt w:val="decimal"/>
      <w:start w:val="5"/>
    </w:lvl>
    <w:lvl w:ilvl="1">
      <w:lvlJc w:val="left"/>
      <w:lvlText w:val="(%2)"/>
      <w:numFmt w:val="lowerLetter"/>
      <w:start w:val="1"/>
    </w:lvl>
  </w:abstractNum>
  <w:abstractNum w:abstractNumId="83">
    <w:nsid w:val="1716703B"/>
    <w:multiLevelType w:val="hybridMultilevel"/>
    <w:lvl w:ilvl="0">
      <w:lvlJc w:val="left"/>
      <w:lvlText w:val="%1."/>
      <w:numFmt w:val="decimal"/>
      <w:start w:val="8"/>
    </w:lvl>
    <w:lvl w:ilvl="1">
      <w:lvlJc w:val="left"/>
      <w:lvlText w:val="(%2)"/>
      <w:numFmt w:val="lowerLetter"/>
      <w:start w:val="1"/>
    </w:lvl>
  </w:abstractNum>
  <w:abstractNum w:abstractNumId="84">
    <w:nsid w:val="14E17E33"/>
    <w:multiLevelType w:val="hybridMultilevel"/>
    <w:lvl w:ilvl="0">
      <w:lvlJc w:val="left"/>
      <w:lvlText w:val="%1"/>
      <w:numFmt w:val="decimal"/>
      <w:start w:val="1"/>
    </w:lvl>
    <w:lvl w:ilvl="1">
      <w:lvlJc w:val="left"/>
      <w:lvlText w:val="(%2)"/>
      <w:numFmt w:val="lowerLetter"/>
      <w:start w:val="1"/>
    </w:lvl>
  </w:abstractNum>
  <w:abstractNum w:abstractNumId="85">
    <w:nsid w:val="3222E7CD"/>
    <w:multiLevelType w:val="hybridMultilevel"/>
    <w:lvl w:ilvl="0">
      <w:lvlJc w:val="left"/>
      <w:lvlText w:val="%1."/>
      <w:numFmt w:val="decimal"/>
      <w:start w:val="12"/>
    </w:lvl>
    <w:lvl w:ilvl="1">
      <w:lvlJc w:val="left"/>
      <w:lvlText w:val="%2"/>
      <w:numFmt w:val="lowerLetter"/>
      <w:start w:val="1"/>
    </w:lvl>
  </w:abstractNum>
  <w:abstractNum w:abstractNumId="86">
    <w:nsid w:val="74DE0EE3"/>
    <w:multiLevelType w:val="hybridMultilevel"/>
    <w:lvl w:ilvl="0">
      <w:lvlJc w:val="left"/>
      <w:lvlText w:val="%1."/>
      <w:numFmt w:val="decimal"/>
      <w:start w:val="16"/>
    </w:lvl>
  </w:abstractNum>
  <w:abstractNum w:abstractNumId="87">
    <w:nsid w:val="68EBC550"/>
    <w:multiLevelType w:val="hybridMultilevel"/>
    <w:lvl w:ilvl="0">
      <w:lvlJc w:val="left"/>
      <w:lvlText w:val="%1."/>
      <w:numFmt w:val="decimal"/>
      <w:start w:val="17"/>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5"/>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25" Type="http://schemas.openxmlformats.org/officeDocument/2006/relationships/image" Target="media/image204.jpeg"/><Relationship Id="rId243" Type="http://schemas.openxmlformats.org/officeDocument/2006/relationships/image" Target="media/image205.jpeg"/><Relationship Id="rId248" Type="http://schemas.openxmlformats.org/officeDocument/2006/relationships/image" Target="media/image206.jpe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11" Type="http://schemas.openxmlformats.org/officeDocument/2006/relationships/hyperlink" Target="http://www.sec.gov/Archives/edgar/data/769397/000119312506068809/dex31.htm" TargetMode="External"/><Relationship Id="rId212" Type="http://schemas.openxmlformats.org/officeDocument/2006/relationships/hyperlink" Target="http://www.sec.gov/Archives/edgar/data/769397/000076939718000006/bylawsasamended-2018xmarch.htm" TargetMode="External"/><Relationship Id="rId213" Type="http://schemas.openxmlformats.org/officeDocument/2006/relationships/hyperlink" Target="http://www.sec.gov/Archives/edgar/data/769397/000119312512501656/d452709dex41.htm" TargetMode="External"/><Relationship Id="rId214" Type="http://schemas.openxmlformats.org/officeDocument/2006/relationships/hyperlink" Target="http://www.sec.gov/Archives/edgar/data/769397/000119312512501656/d452709dex42.htm" TargetMode="External"/><Relationship Id="rId215" Type="http://schemas.openxmlformats.org/officeDocument/2006/relationships/hyperlink" Target="http://www.sec.gov/Archives/edgar/data/769397/000119312515216324/d938494dex41.htm" TargetMode="External"/><Relationship Id="rId216" Type="http://schemas.openxmlformats.org/officeDocument/2006/relationships/hyperlink" Target="http://www.sec.gov/Archives/edgar/data/769397/000119312517198513/d399645dex41.htm" TargetMode="External"/><Relationship Id="rId217" Type="http://schemas.openxmlformats.org/officeDocument/2006/relationships/hyperlink" Target="http://www.sec.gov/Archives/edgar/data/769397/000076939717000011/adsk-form8xkitem502march17.htm" TargetMode="External"/><Relationship Id="rId218" Type="http://schemas.openxmlformats.org/officeDocument/2006/relationships/hyperlink" Target="http://www.sec.gov/Archives/edgar/data/769397/000076939717000051/adsk07312017ex103.htm" TargetMode="External"/><Relationship Id="rId219" Type="http://schemas.openxmlformats.org/officeDocument/2006/relationships/hyperlink" Target="http://www.sec.gov/Archives/edgar/data/769397/000076939716000087/adsk07312016ex105.htm" TargetMode="External"/><Relationship Id="rId220" Type="http://schemas.openxmlformats.org/officeDocument/2006/relationships/hyperlink" Target="http://www.sec.gov/Archives/edgar/data/769397/000076939717000051/adsk07312017ex104.htm" TargetMode="External"/><Relationship Id="rId221" Type="http://schemas.openxmlformats.org/officeDocument/2006/relationships/hyperlink" Target="http://www.sec.gov/Archives/edgar/data/769397/000076939716000087/adsk07312016ex102.htm" TargetMode="External"/><Relationship Id="rId222" Type="http://schemas.openxmlformats.org/officeDocument/2006/relationships/hyperlink" Target="http://www.sec.gov/Archives/edgar/data/769397/000076939716000087/adsk07312016ex103.htm" TargetMode="External"/><Relationship Id="rId223" Type="http://schemas.openxmlformats.org/officeDocument/2006/relationships/hyperlink" Target="http://www.sec.gov/Archives/edgar/data/769397/000119312512112024/d314351dex102.htm" TargetMode="External"/><Relationship Id="rId224" Type="http://schemas.openxmlformats.org/officeDocument/2006/relationships/hyperlink" Target="http://www.sec.gov/Archives/edgar/data/769397/000119312512112024/d314351dex104.htm" TargetMode="External"/><Relationship Id="rId226" Type="http://schemas.openxmlformats.org/officeDocument/2006/relationships/hyperlink" Target="http://www.sec.gov/Archives/edgar/data/769397/000076939717000014/adsk01312017ex1018.htm" TargetMode="External"/><Relationship Id="rId227" Type="http://schemas.openxmlformats.org/officeDocument/2006/relationships/hyperlink" Target="http://www.sec.gov/Archives/edgar/data/769397/000119312512112024/d314351dex105.htm" TargetMode="External"/><Relationship Id="rId228" Type="http://schemas.openxmlformats.org/officeDocument/2006/relationships/hyperlink" Target="http://www.sec.gov/Archives/edgar/data/769397/000076939716000067/adsk01312016ex1023.htm" TargetMode="External"/><Relationship Id="rId229" Type="http://schemas.openxmlformats.org/officeDocument/2006/relationships/hyperlink" Target="http://www.sec.gov/Archives/edgar/data/769397/000119312509249297/dex101.htm" TargetMode="External"/><Relationship Id="rId230" Type="http://schemas.openxmlformats.org/officeDocument/2006/relationships/hyperlink" Target="http://www.sec.gov/Archives/edgar/data/769397/000076939716000100/ex101executivechangeincont.htm" TargetMode="External"/><Relationship Id="rId231" Type="http://schemas.openxmlformats.org/officeDocument/2006/relationships/hyperlink" Target="http://www.sec.gov/Archives/edgar/data/769397/000119312505067261/dex108.htm" TargetMode="External"/><Relationship Id="rId232" Type="http://schemas.openxmlformats.org/officeDocument/2006/relationships/hyperlink" Target="http://www.sec.gov/Archives/edgar/data/769397/000076939713000011/final_carlxbassxemployment.htm" TargetMode="External"/><Relationship Id="rId233" Type="http://schemas.openxmlformats.org/officeDocument/2006/relationships/hyperlink" Target="http://www.sec.gov/Archives/edgar/data/769397/000076939714000060/adsk10312014ex101.htm" TargetMode="External"/><Relationship Id="rId234" Type="http://schemas.openxmlformats.org/officeDocument/2006/relationships/hyperlink" Target="http://www.sec.gov/Archives/edgar/data/769397/000119312508191064/dex104.htm" TargetMode="External"/><Relationship Id="rId235" Type="http://schemas.openxmlformats.org/officeDocument/2006/relationships/hyperlink" Target="http://www.sec.gov/Archives/edgar/data/769397/000076939712000005/adsk-01312012ex1037.htm" TargetMode="External"/><Relationship Id="rId236" Type="http://schemas.openxmlformats.org/officeDocument/2006/relationships/hyperlink" Target="http://www.sec.gov/Archives/edgar/data/769397/000119312504210314/dex101.htm" TargetMode="External"/><Relationship Id="rId237" Type="http://schemas.openxmlformats.org/officeDocument/2006/relationships/hyperlink" Target="http://www.sec.gov/Archives/edgar/data/769397/000119312510061070/dex1030.htm" TargetMode="External"/><Relationship Id="rId238" Type="http://schemas.openxmlformats.org/officeDocument/2006/relationships/hyperlink" Target="http://www.sec.gov/Archives/edgar/data/769397/000076939715000027/autodesk_crxagmtx2015.htm" TargetMode="External"/><Relationship Id="rId239" Type="http://schemas.openxmlformats.org/officeDocument/2006/relationships/hyperlink" Target="http://www.sec.gov/Archives/edgar/data/769397/000076939717000031/adsk04302017ex105.htm" TargetMode="External"/><Relationship Id="rId240" Type="http://schemas.openxmlformats.org/officeDocument/2006/relationships/hyperlink" Target="http://www.sec.gov/Archives/edgar/data/769397/000076939716000061/ex991settlement_agreementx.htm" TargetMode="External"/><Relationship Id="rId241" Type="http://schemas.openxmlformats.org/officeDocument/2006/relationships/hyperlink" Target="http://www.sec.gov/Archives/edgar/data/769397/000076939716000061/ex992settlement_agreementx.htm" TargetMode="External"/><Relationship Id="rId242" Type="http://schemas.openxmlformats.org/officeDocument/2006/relationships/hyperlink" Target="http://www.sec.gov/Archives/edgar/data/769397/000119312517032583/d344569dex991.htm" TargetMode="External"/><Relationship Id="rId244" Type="http://schemas.openxmlformats.org/officeDocument/2006/relationships/hyperlink" Target="http://www.sec.gov/Archives/edgar/data/769397/000119312517032583/d344569dex101.htm" TargetMode="External"/><Relationship Id="rId245" Type="http://schemas.openxmlformats.org/officeDocument/2006/relationships/hyperlink" Target="http://www.sec.gov/Archives/edgar/data/769397/000119312517207116/d372890dex101.htm" TargetMode="External"/><Relationship Id="rId246" Type="http://schemas.openxmlformats.org/officeDocument/2006/relationships/hyperlink" Target="http://www.sec.gov/Archives/edgar/data/769397/000119312517207116/d372890dex102.htm" TargetMode="External"/><Relationship Id="rId247" Type="http://schemas.openxmlformats.org/officeDocument/2006/relationships/hyperlink" Target="http://www.sec.gov/Archives/edgar/data/769397/000076939717000057/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2019-12-28T23:22:33Z</dcterms:created>
  <dcterms:modified xsi:type="dcterms:W3CDTF">2019-12-28T23:22:33Z</dcterms:modified>
</cp:coreProperties>
</file>