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October 31, 2012</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10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20"/>
        </w:trPr>
        <w:tc>
          <w:tcPr>
            <w:tcW w:w="6120" w:type="dxa"/>
            <w:vAlign w:val="bottom"/>
          </w:tcPr>
          <w:p>
            <w:pPr>
              <w:jc w:val="center"/>
              <w:ind w:left="1966"/>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377"/>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61"/>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Identification No.)</w:t>
            </w:r>
          </w:p>
        </w:tc>
      </w:tr>
      <w:tr>
        <w:trPr>
          <w:trHeight w:val="561"/>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4"/>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San Rafael, California</w:t>
            </w:r>
          </w:p>
        </w:tc>
        <w:tc>
          <w:tcPr>
            <w:tcW w:w="14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94903</w:t>
            </w:r>
          </w:p>
        </w:tc>
      </w:tr>
      <w:tr>
        <w:trPr>
          <w:trHeight w:val="218"/>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120" w:type="dxa"/>
            <w:vAlign w:val="bottom"/>
          </w:tcPr>
          <w:p>
            <w:pPr>
              <w:jc w:val="center"/>
              <w:ind w:left="1986"/>
              <w:spacing w:after="0"/>
              <w:rPr>
                <w:sz w:val="20"/>
                <w:szCs w:val="20"/>
                <w:color w:val="auto"/>
              </w:rPr>
            </w:pPr>
            <w:r>
              <w:rPr>
                <w:rFonts w:ascii="Arial" w:cs="Arial" w:eastAsia="Arial" w:hAnsi="Arial"/>
                <w:sz w:val="18"/>
                <w:szCs w:val="18"/>
                <w:b w:val="1"/>
                <w:bCs w:val="1"/>
                <w:color w:val="auto"/>
                <w:w w:val="90"/>
              </w:rPr>
              <w:t>(415) 507-5000</w:t>
            </w:r>
          </w:p>
        </w:tc>
        <w:tc>
          <w:tcPr>
            <w:tcW w:w="1400" w:type="dxa"/>
            <w:vAlign w:val="bottom"/>
          </w:tcPr>
          <w:p>
            <w:pPr>
              <w:spacing w:after="0"/>
              <w:rPr>
                <w:sz w:val="23"/>
                <w:szCs w:val="23"/>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-1844040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1"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during the</w:t>
      </w:r>
    </w:p>
    <w:p>
      <w:pPr>
        <w:spacing w:after="0" w:line="61"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61"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976"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660" w:space="680"/>
            <w:col w:w="6680" w:space="720"/>
            <w:col w:w="1200" w:space="160"/>
            <w:col w:w="280"/>
          </w:cols>
          <w:pgMar w:left="240" w:top="976"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4"/>
          <w:szCs w:val="24"/>
          <w:color w:val="auto"/>
        </w:rPr>
      </w:pPr>
    </w:p>
    <w:p>
      <w:pPr>
        <w:sectPr>
          <w:pgSz w:w="11900" w:h="16838" w:orient="portrait"/>
          <w:cols w:equalWidth="0" w:num="4">
            <w:col w:w="1620" w:space="720"/>
            <w:col w:w="5920" w:space="720"/>
            <w:col w:w="1960" w:space="160"/>
            <w:col w:w="280"/>
          </w:cols>
          <w:pgMar w:left="240" w:top="976" w:right="279" w:bottom="1440" w:gutter="0" w:footer="0" w:header="0"/>
          <w:type w:val="continuous"/>
        </w:sectPr>
      </w:pPr>
    </w:p>
    <w:p>
      <w:pPr>
        <w:spacing w:after="0" w:line="82" w:lineRule="exact"/>
        <w:rPr>
          <w:sz w:val="24"/>
          <w:szCs w:val="24"/>
          <w:color w:val="auto"/>
        </w:rPr>
      </w:pPr>
    </w:p>
    <w:p>
      <w:pPr>
        <w:ind w:left="440"/>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6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November 30, 2012, registrant had outstanding approximately 224.7 million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80" w:type="dxa"/>
            <w:vAlign w:val="bottom"/>
            <w:tcBorders>
              <w:bottom w:val="single" w:sz="8" w:color="0000FF"/>
            </w:tcBorders>
            <w:gridSpan w:val="7"/>
          </w:tcPr>
          <w:p>
            <w:pPr>
              <w:jc w:val="cente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2900" w:type="dxa"/>
            <w:vAlign w:val="bottom"/>
            <w:gridSpan w:val="5"/>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860" w:type="dxa"/>
            <w:vAlign w:val="bottom"/>
            <w:gridSpan w:val="23"/>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8860" w:type="dxa"/>
            <w:vAlign w:val="bottom"/>
            <w:gridSpan w:val="23"/>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Condensed Consolidated Statements of Operations Three and Nine Months Ended October 31, 2012 and 2011</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8860" w:type="dxa"/>
            <w:vAlign w:val="bottom"/>
            <w:gridSpan w:val="23"/>
          </w:tcPr>
          <w:p>
            <w:pPr>
              <w:spacing w:after="0"/>
              <w:rPr>
                <w:rFonts w:ascii="Arial" w:cs="Arial" w:eastAsia="Arial" w:hAnsi="Arial"/>
                <w:sz w:val="18"/>
                <w:szCs w:val="18"/>
                <w:color w:val="0000FF"/>
                <w:w w:val="93"/>
              </w:rPr>
            </w:pPr>
            <w:hyperlink w:anchor="page3">
              <w:r>
                <w:rPr>
                  <w:rFonts w:ascii="Arial" w:cs="Arial" w:eastAsia="Arial" w:hAnsi="Arial"/>
                  <w:sz w:val="18"/>
                  <w:szCs w:val="18"/>
                  <w:color w:val="0000FF"/>
                  <w:w w:val="93"/>
                </w:rPr>
                <w:t>Condensed Consolidated Statements of Comprehensive Income Three and Nine Months Ended October 31, 2012 and</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2011</w:t>
              </w:r>
            </w:hyperlink>
          </w:p>
        </w:tc>
        <w:tc>
          <w:tcPr>
            <w:tcW w:w="3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372"/>
        </w:trPr>
        <w:tc>
          <w:tcPr>
            <w:tcW w:w="1040" w:type="dxa"/>
            <w:vAlign w:val="bottom"/>
          </w:tcPr>
          <w:p>
            <w:pPr>
              <w:spacing w:after="0"/>
              <w:rPr>
                <w:sz w:val="24"/>
                <w:szCs w:val="24"/>
                <w:color w:val="auto"/>
              </w:rPr>
            </w:pPr>
          </w:p>
        </w:tc>
        <w:tc>
          <w:tcPr>
            <w:tcW w:w="5820" w:type="dxa"/>
            <w:vAlign w:val="bottom"/>
            <w:tcBorders>
              <w:bottom w:val="single" w:sz="8" w:color="0000FF"/>
            </w:tcBorders>
            <w:gridSpan w:val="17"/>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October 31, 2012 and January 31, 2012</w:t>
              </w:r>
            </w:hyperlink>
          </w:p>
        </w:tc>
        <w:tc>
          <w:tcPr>
            <w:tcW w:w="3040" w:type="dxa"/>
            <w:vAlign w:val="bottom"/>
            <w:gridSpan w:val="6"/>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8860" w:type="dxa"/>
            <w:vAlign w:val="bottom"/>
            <w:gridSpan w:val="2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Nine Months Ended October 31, 2012 and 2011</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372"/>
        </w:trPr>
        <w:tc>
          <w:tcPr>
            <w:tcW w:w="1040" w:type="dxa"/>
            <w:vAlign w:val="bottom"/>
          </w:tcPr>
          <w:p>
            <w:pPr>
              <w:spacing w:after="0"/>
              <w:rPr>
                <w:sz w:val="24"/>
                <w:szCs w:val="24"/>
                <w:color w:val="auto"/>
              </w:rPr>
            </w:pPr>
          </w:p>
        </w:tc>
        <w:tc>
          <w:tcPr>
            <w:tcW w:w="7200" w:type="dxa"/>
            <w:vAlign w:val="bottom"/>
            <w:tcBorders>
              <w:top w:val="single" w:sz="8" w:color="0000FF"/>
            </w:tcBorders>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66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860" w:type="dxa"/>
            <w:vAlign w:val="bottom"/>
            <w:gridSpan w:val="23"/>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9"/>
          </w:tcPr>
          <w:p>
            <w:pP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Quantitative and Qualitative Disclosures About Market Risk</w:t>
              </w:r>
            </w:hyperlink>
          </w:p>
        </w:tc>
        <w:tc>
          <w:tcPr>
            <w:tcW w:w="204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5"/>
          </w:tcPr>
          <w:p>
            <w:pP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Controls and Procedures</w:t>
              </w:r>
            </w:hyperlink>
          </w:p>
        </w:tc>
        <w:tc>
          <w:tcPr>
            <w:tcW w:w="420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372"/>
        </w:trPr>
        <w:tc>
          <w:tcPr>
            <w:tcW w:w="104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80" w:type="dxa"/>
            <w:vAlign w:val="bottom"/>
            <w:gridSpan w:val="12"/>
          </w:tcPr>
          <w:p>
            <w:pPr>
              <w:jc w:val="center"/>
              <w:ind w:right="2900"/>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5"/>
          </w:tcPr>
          <w:p>
            <w:pPr>
              <w:spacing w:after="0"/>
              <w:rPr>
                <w:rFonts w:ascii="Arial" w:cs="Arial" w:eastAsia="Arial" w:hAnsi="Arial"/>
                <w:sz w:val="18"/>
                <w:szCs w:val="18"/>
                <w:b w:val="1"/>
                <w:bCs w:val="1"/>
                <w:color w:val="0000FF"/>
                <w:w w:val="86"/>
              </w:rPr>
            </w:pPr>
            <w:hyperlink w:anchor="page45">
              <w:r>
                <w:rPr>
                  <w:rFonts w:ascii="Arial" w:cs="Arial" w:eastAsia="Arial" w:hAnsi="Arial"/>
                  <w:sz w:val="18"/>
                  <w:szCs w:val="18"/>
                  <w:b w:val="1"/>
                  <w:bCs w:val="1"/>
                  <w:color w:val="0000FF"/>
                  <w:w w:val="86"/>
                </w:rPr>
                <w:t>Legal Proceedings</w:t>
              </w:r>
            </w:hyperlink>
          </w:p>
        </w:tc>
        <w:tc>
          <w:tcPr>
            <w:tcW w:w="1640" w:type="dxa"/>
            <w:vAlign w:val="bottom"/>
            <w:gridSpan w:val="7"/>
          </w:tcPr>
          <w:p>
            <w:pPr>
              <w:spacing w:after="0"/>
              <w:rPr>
                <w:sz w:val="24"/>
                <w:szCs w:val="24"/>
                <w:color w:val="auto"/>
              </w:rPr>
            </w:pPr>
          </w:p>
        </w:tc>
        <w:tc>
          <w:tcPr>
            <w:tcW w:w="2760" w:type="dxa"/>
            <w:vAlign w:val="bottom"/>
            <w:tcBorders>
              <w:top w:val="single" w:sz="8" w:color="0000FF"/>
            </w:tcBorders>
            <w:gridSpan w:val="4"/>
          </w:tcPr>
          <w:p>
            <w:pPr>
              <w:spacing w:after="0"/>
              <w:rPr>
                <w:sz w:val="24"/>
                <w:szCs w:val="24"/>
                <w:color w:val="auto"/>
              </w:rPr>
            </w:pPr>
          </w:p>
        </w:tc>
        <w:tc>
          <w:tcPr>
            <w:tcW w:w="306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5"/>
          </w:tcPr>
          <w:p>
            <w:pP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Risk Factors</w:t>
              </w:r>
            </w:hyperlink>
          </w:p>
        </w:tc>
        <w:tc>
          <w:tcPr>
            <w:tcW w:w="7460" w:type="dxa"/>
            <w:vAlign w:val="bottom"/>
            <w:gridSpan w:val="1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860" w:type="dxa"/>
            <w:vAlign w:val="bottom"/>
            <w:gridSpan w:val="23"/>
          </w:tcPr>
          <w:p>
            <w:pPr>
              <w:spacing w:after="0"/>
              <w:rPr>
                <w:rFonts w:ascii="Arial" w:cs="Arial" w:eastAsia="Arial" w:hAnsi="Arial"/>
                <w:sz w:val="18"/>
                <w:szCs w:val="18"/>
                <w:b w:val="1"/>
                <w:bCs w:val="1"/>
                <w:color w:val="0000FF"/>
              </w:rPr>
            </w:pPr>
            <w:hyperlink w:anchor="page56">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10"/>
          </w:tcPr>
          <w:p>
            <w:pPr>
              <w:spacing w:after="0"/>
              <w:rPr>
                <w:rFonts w:ascii="Arial" w:cs="Arial" w:eastAsia="Arial" w:hAnsi="Arial"/>
                <w:sz w:val="18"/>
                <w:szCs w:val="18"/>
                <w:b w:val="1"/>
                <w:bCs w:val="1"/>
                <w:color w:val="0000FF"/>
                <w:w w:val="88"/>
              </w:rPr>
            </w:pPr>
            <w:hyperlink w:anchor="page56">
              <w:r>
                <w:rPr>
                  <w:rFonts w:ascii="Arial" w:cs="Arial" w:eastAsia="Arial" w:hAnsi="Arial"/>
                  <w:sz w:val="18"/>
                  <w:szCs w:val="18"/>
                  <w:b w:val="1"/>
                  <w:bCs w:val="1"/>
                  <w:color w:val="0000FF"/>
                  <w:w w:val="88"/>
                </w:rPr>
                <w:t>Defaults Upon Senior Securities</w:t>
              </w:r>
            </w:hyperlink>
          </w:p>
        </w:tc>
        <w:tc>
          <w:tcPr>
            <w:tcW w:w="2120" w:type="dxa"/>
            <w:vAlign w:val="bottom"/>
            <w:gridSpan w:val="4"/>
          </w:tcPr>
          <w:p>
            <w:pPr>
              <w:spacing w:after="0"/>
              <w:rPr>
                <w:sz w:val="24"/>
                <w:szCs w:val="24"/>
                <w:color w:val="auto"/>
              </w:rPr>
            </w:pPr>
          </w:p>
        </w:tc>
        <w:tc>
          <w:tcPr>
            <w:tcW w:w="430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2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8"/>
          </w:tcPr>
          <w:p>
            <w:pPr>
              <w:spacing w:after="0"/>
              <w:rPr>
                <w:rFonts w:ascii="Arial" w:cs="Arial" w:eastAsia="Arial" w:hAnsi="Arial"/>
                <w:sz w:val="18"/>
                <w:szCs w:val="18"/>
                <w:b w:val="1"/>
                <w:bCs w:val="1"/>
                <w:color w:val="0000FF"/>
                <w:w w:val="87"/>
              </w:rPr>
            </w:pPr>
            <w:hyperlink w:anchor="page56">
              <w:r>
                <w:rPr>
                  <w:rFonts w:ascii="Arial" w:cs="Arial" w:eastAsia="Arial" w:hAnsi="Arial"/>
                  <w:sz w:val="18"/>
                  <w:szCs w:val="18"/>
                  <w:b w:val="1"/>
                  <w:bCs w:val="1"/>
                  <w:color w:val="0000FF"/>
                  <w:w w:val="87"/>
                </w:rPr>
                <w:t>Mine Safety Disclosures</w:t>
              </w:r>
            </w:hyperlink>
          </w:p>
        </w:tc>
        <w:tc>
          <w:tcPr>
            <w:tcW w:w="600" w:type="dxa"/>
            <w:vAlign w:val="bottom"/>
            <w:gridSpan w:val="2"/>
          </w:tcPr>
          <w:p>
            <w:pPr>
              <w:spacing w:after="0"/>
              <w:rPr>
                <w:sz w:val="24"/>
                <w:szCs w:val="24"/>
                <w:color w:val="auto"/>
              </w:rPr>
            </w:pPr>
          </w:p>
        </w:tc>
        <w:tc>
          <w:tcPr>
            <w:tcW w:w="6420" w:type="dxa"/>
            <w:vAlign w:val="bottom"/>
            <w:gridSpan w:val="1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020" w:type="dxa"/>
            <w:vAlign w:val="bottom"/>
            <w:gridSpan w:val="1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6"/>
          </w:tcPr>
          <w:p>
            <w:pPr>
              <w:spacing w:after="0"/>
              <w:rPr>
                <w:rFonts w:ascii="Arial" w:cs="Arial" w:eastAsia="Arial" w:hAnsi="Arial"/>
                <w:sz w:val="18"/>
                <w:szCs w:val="18"/>
                <w:b w:val="1"/>
                <w:bCs w:val="1"/>
                <w:color w:val="0000FF"/>
                <w:w w:val="93"/>
              </w:rPr>
            </w:pPr>
            <w:hyperlink w:anchor="page56">
              <w:r>
                <w:rPr>
                  <w:rFonts w:ascii="Arial" w:cs="Arial" w:eastAsia="Arial" w:hAnsi="Arial"/>
                  <w:sz w:val="18"/>
                  <w:szCs w:val="18"/>
                  <w:b w:val="1"/>
                  <w:bCs w:val="1"/>
                  <w:color w:val="0000FF"/>
                  <w:w w:val="93"/>
                </w:rPr>
                <w:t>Other Information</w:t>
              </w:r>
            </w:hyperlink>
          </w:p>
        </w:tc>
        <w:tc>
          <w:tcPr>
            <w:tcW w:w="400" w:type="dxa"/>
            <w:vAlign w:val="bottom"/>
            <w:gridSpan w:val="2"/>
          </w:tcPr>
          <w:p>
            <w:pPr>
              <w:spacing w:after="0"/>
              <w:rPr>
                <w:sz w:val="24"/>
                <w:szCs w:val="24"/>
                <w:color w:val="auto"/>
              </w:rPr>
            </w:pPr>
          </w:p>
        </w:tc>
        <w:tc>
          <w:tcPr>
            <w:tcW w:w="7020" w:type="dxa"/>
            <w:vAlign w:val="bottom"/>
            <w:gridSpan w:val="1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42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gridSpan w:val="2"/>
          </w:tcPr>
          <w:p>
            <w:pPr>
              <w:spacing w:after="0"/>
              <w:rPr>
                <w:rFonts w:ascii="Arial" w:cs="Arial" w:eastAsia="Arial" w:hAnsi="Arial"/>
                <w:sz w:val="18"/>
                <w:szCs w:val="18"/>
                <w:b w:val="1"/>
                <w:bCs w:val="1"/>
                <w:color w:val="0000FF"/>
                <w:w w:val="88"/>
              </w:rPr>
            </w:pPr>
            <w:hyperlink w:anchor="page56">
              <w:r>
                <w:rPr>
                  <w:rFonts w:ascii="Arial" w:cs="Arial" w:eastAsia="Arial" w:hAnsi="Arial"/>
                  <w:sz w:val="18"/>
                  <w:szCs w:val="18"/>
                  <w:b w:val="1"/>
                  <w:bCs w:val="1"/>
                  <w:color w:val="0000FF"/>
                  <w:w w:val="88"/>
                </w:rPr>
                <w:t>Exhibits</w:t>
              </w:r>
            </w:hyperlink>
          </w:p>
        </w:tc>
        <w:tc>
          <w:tcPr>
            <w:tcW w:w="800" w:type="dxa"/>
            <w:vAlign w:val="bottom"/>
            <w:gridSpan w:val="4"/>
          </w:tcPr>
          <w:p>
            <w:pPr>
              <w:spacing w:after="0"/>
              <w:rPr>
                <w:sz w:val="24"/>
                <w:szCs w:val="24"/>
                <w:color w:val="auto"/>
              </w:rPr>
            </w:pPr>
          </w:p>
        </w:tc>
        <w:tc>
          <w:tcPr>
            <w:tcW w:w="742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57</w:t>
              </w:r>
            </w:hyperlink>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40" w:type="dxa"/>
            <w:vAlign w:val="bottom"/>
            <w:gridSpan w:val="2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b w:val="1"/>
                <w:bCs w:val="1"/>
                <w:color w:val="0000FF"/>
                <w:w w:val="85"/>
              </w:rPr>
            </w:pPr>
            <w:hyperlink w:anchor="page57">
              <w:r>
                <w:rPr>
                  <w:rFonts w:ascii="Arial" w:cs="Arial" w:eastAsia="Arial" w:hAnsi="Arial"/>
                  <w:sz w:val="18"/>
                  <w:szCs w:val="18"/>
                  <w:b w:val="1"/>
                  <w:bCs w:val="1"/>
                  <w:color w:val="0000FF"/>
                  <w:w w:val="85"/>
                </w:rPr>
                <w:t>Signatures</w:t>
              </w:r>
            </w:hyperlink>
          </w:p>
        </w:tc>
        <w:tc>
          <w:tcPr>
            <w:tcW w:w="8040" w:type="dxa"/>
            <w:vAlign w:val="bottom"/>
            <w:gridSpan w:val="20"/>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58</w:t>
              </w:r>
            </w:hyperlink>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October 31,</w:t>
            </w:r>
          </w:p>
        </w:tc>
        <w:tc>
          <w:tcPr>
            <w:tcW w:w="2140" w:type="dxa"/>
            <w:vAlign w:val="bottom"/>
            <w:gridSpan w:val="5"/>
          </w:tcPr>
          <w:p>
            <w:pPr>
              <w:jc w:val="right"/>
              <w:spacing w:after="0"/>
              <w:rPr>
                <w:sz w:val="20"/>
                <w:szCs w:val="20"/>
                <w:color w:val="auto"/>
              </w:rPr>
            </w:pPr>
            <w:r>
              <w:rPr>
                <w:rFonts w:ascii="Arial" w:cs="Arial" w:eastAsia="Arial" w:hAnsi="Arial"/>
                <w:sz w:val="14"/>
                <w:szCs w:val="14"/>
                <w:b w:val="1"/>
                <w:bCs w:val="1"/>
                <w:color w:val="auto"/>
                <w:w w:val="97"/>
              </w:rPr>
              <w:t>Nine Months Ended October 31,</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9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317.1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331.4</w:t>
            </w:r>
          </w:p>
        </w:tc>
        <w:tc>
          <w:tcPr>
            <w:tcW w:w="100" w:type="dxa"/>
            <w:vAlign w:val="bottom"/>
          </w:tcPr>
          <w:p>
            <w:pPr>
              <w:spacing w:after="0"/>
              <w:rPr>
                <w:sz w:val="20"/>
                <w:szCs w:val="20"/>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1,018.6</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987.4</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Maintenance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635.8</w:t>
            </w:r>
          </w:p>
        </w:tc>
        <w:tc>
          <w:tcPr>
            <w:tcW w:w="0" w:type="dxa"/>
            <w:vAlign w:val="bottom"/>
          </w:tcPr>
          <w:p>
            <w:pPr>
              <w:spacing w:after="0"/>
              <w:rPr>
                <w:sz w:val="1"/>
                <w:szCs w:val="1"/>
                <w:color w:val="auto"/>
              </w:rPr>
            </w:pPr>
          </w:p>
        </w:tc>
      </w:tr>
      <w:tr>
        <w:trPr>
          <w:trHeight w:val="217"/>
        </w:trPr>
        <w:tc>
          <w:tcPr>
            <w:tcW w:w="6980" w:type="dxa"/>
            <w:vAlign w:val="bottom"/>
          </w:tcPr>
          <w:p>
            <w:pPr>
              <w:ind w:left="720"/>
              <w:spacing w:after="0"/>
              <w:rPr>
                <w:sz w:val="20"/>
                <w:szCs w:val="20"/>
                <w:color w:val="auto"/>
              </w:rPr>
            </w:pPr>
            <w:r>
              <w:rPr>
                <w:rFonts w:ascii="Arial" w:cs="Arial" w:eastAsia="Arial" w:hAnsi="Arial"/>
                <w:sz w:val="16"/>
                <w:szCs w:val="16"/>
                <w:color w:val="auto"/>
              </w:rPr>
              <w:t>Total net revenue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548.0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548.6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1,705.3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1,623.2</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9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Cost of license and other revenue</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138.8</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maintenance revenue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7"/>
        </w:trPr>
        <w:tc>
          <w:tcPr>
            <w:tcW w:w="6980" w:type="dxa"/>
            <w:vAlign w:val="bottom"/>
          </w:tcPr>
          <w:p>
            <w:pPr>
              <w:ind w:left="720"/>
              <w:spacing w:after="0"/>
              <w:rPr>
                <w:sz w:val="20"/>
                <w:szCs w:val="20"/>
                <w:color w:val="auto"/>
              </w:rPr>
            </w:pPr>
            <w:r>
              <w:rPr>
                <w:rFonts w:ascii="Arial" w:cs="Arial" w:eastAsia="Arial" w:hAnsi="Arial"/>
                <w:sz w:val="16"/>
                <w:szCs w:val="16"/>
                <w:color w:val="auto"/>
              </w:rPr>
              <w:t>Total cost of revenue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171.6</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1,528.8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1,451.6</w:t>
            </w:r>
          </w:p>
        </w:tc>
        <w:tc>
          <w:tcPr>
            <w:tcW w:w="0" w:type="dxa"/>
            <w:vAlign w:val="bottom"/>
          </w:tcPr>
          <w:p>
            <w:pPr>
              <w:spacing w:after="0"/>
              <w:rPr>
                <w:sz w:val="1"/>
                <w:szCs w:val="1"/>
                <w:color w:val="auto"/>
              </w:rPr>
            </w:pP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Marketing and sales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609.1</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153.0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450.6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417.0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Restructuring charges (benefits), net</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1,187.8</w:t>
            </w:r>
          </w:p>
        </w:tc>
        <w:tc>
          <w:tcPr>
            <w:tcW w:w="0" w:type="dxa"/>
            <w:vAlign w:val="bottom"/>
          </w:tcPr>
          <w:p>
            <w:pPr>
              <w:spacing w:after="0"/>
              <w:rPr>
                <w:sz w:val="1"/>
                <w:szCs w:val="1"/>
                <w:color w:val="auto"/>
              </w:rPr>
            </w:pP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221.3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263.8</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270.0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72.8</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213.3</w:t>
            </w:r>
          </w:p>
        </w:tc>
        <w:tc>
          <w:tcPr>
            <w:tcW w:w="0" w:type="dxa"/>
            <w:vAlign w:val="bottom"/>
          </w:tcPr>
          <w:p>
            <w:pPr>
              <w:spacing w:after="0"/>
              <w:rPr>
                <w:sz w:val="1"/>
                <w:szCs w:val="1"/>
                <w:color w:val="auto"/>
              </w:rPr>
            </w:pPr>
          </w:p>
        </w:tc>
      </w:tr>
      <w:tr>
        <w:trPr>
          <w:trHeight w:val="73"/>
        </w:trPr>
        <w:tc>
          <w:tcPr>
            <w:tcW w:w="69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9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per share</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80" w:type="dxa"/>
            <w:vAlign w:val="bottom"/>
            <w:vMerge w:val="continue"/>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17"/>
                <w:szCs w:val="17"/>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73"/>
        </w:trPr>
        <w:tc>
          <w:tcPr>
            <w:tcW w:w="69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9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basic net income per share</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diluted net income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229.9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233.7</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20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Three Months Ended October 31,</w:t>
            </w:r>
          </w:p>
        </w:tc>
        <w:tc>
          <w:tcPr>
            <w:tcW w:w="2140" w:type="dxa"/>
            <w:vAlign w:val="bottom"/>
            <w:gridSpan w:val="5"/>
          </w:tcPr>
          <w:p>
            <w:pPr>
              <w:jc w:val="right"/>
              <w:spacing w:after="0"/>
              <w:rPr>
                <w:sz w:val="20"/>
                <w:szCs w:val="20"/>
                <w:color w:val="auto"/>
              </w:rPr>
            </w:pPr>
            <w:r>
              <w:rPr>
                <w:rFonts w:ascii="Arial" w:cs="Arial" w:eastAsia="Arial" w:hAnsi="Arial"/>
                <w:sz w:val="14"/>
                <w:szCs w:val="14"/>
                <w:b w:val="1"/>
                <w:bCs w:val="1"/>
                <w:color w:val="auto"/>
                <w:w w:val="97"/>
              </w:rPr>
              <w:t>Nine Months Ended October 31,</w:t>
            </w:r>
          </w:p>
        </w:tc>
      </w:tr>
      <w:tr>
        <w:trPr>
          <w:trHeight w:val="264"/>
        </w:trPr>
        <w:tc>
          <w:tcPr>
            <w:tcW w:w="70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2011</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213.3</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Other comprehensive (loss) income, net of tax and reclassifications: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on 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Change in net unrealized gain on available-for-sale securities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change in cumulative foreign currency translation gain (loss)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r>
      <w:tr>
        <w:trPr>
          <w:trHeight w:val="217"/>
        </w:trPr>
        <w:tc>
          <w:tcPr>
            <w:tcW w:w="7080" w:type="dxa"/>
            <w:vAlign w:val="bottom"/>
          </w:tcPr>
          <w:p>
            <w:pPr>
              <w:ind w:left="280"/>
              <w:spacing w:after="0"/>
              <w:rPr>
                <w:sz w:val="20"/>
                <w:szCs w:val="20"/>
                <w:color w:val="auto"/>
              </w:rPr>
            </w:pPr>
            <w:r>
              <w:rPr>
                <w:rFonts w:ascii="Arial" w:cs="Arial" w:eastAsia="Arial" w:hAnsi="Arial"/>
                <w:sz w:val="16"/>
                <w:szCs w:val="16"/>
                <w:color w:val="auto"/>
              </w:rPr>
              <w:t>Total other comprehensive (loss) income</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w:t>
            </w:r>
          </w:p>
        </w:tc>
      </w:tr>
      <w:tr>
        <w:trPr>
          <w:trHeight w:val="33"/>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217.3</w:t>
            </w: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2012</w:t>
            </w:r>
          </w:p>
        </w:tc>
        <w:tc>
          <w:tcPr>
            <w:tcW w:w="180" w:type="dxa"/>
            <w:vAlign w:val="bottom"/>
          </w:tcPr>
          <w:p>
            <w:pPr>
              <w:spacing w:after="0"/>
              <w:rPr>
                <w:sz w:val="16"/>
                <w:szCs w:val="16"/>
                <w:color w:val="auto"/>
              </w:rPr>
            </w:pPr>
          </w:p>
        </w:tc>
        <w:tc>
          <w:tcPr>
            <w:tcW w:w="1380" w:type="dxa"/>
            <w:vAlign w:val="bottom"/>
          </w:tcPr>
          <w:p>
            <w:pPr>
              <w:jc w:val="right"/>
              <w:ind w:right="179"/>
              <w:spacing w:after="0"/>
              <w:rPr>
                <w:sz w:val="20"/>
                <w:szCs w:val="20"/>
                <w:color w:val="auto"/>
              </w:rPr>
            </w:pPr>
            <w:r>
              <w:rPr>
                <w:rFonts w:ascii="Arial" w:cs="Arial" w:eastAsia="Arial" w:hAnsi="Arial"/>
                <w:sz w:val="14"/>
                <w:szCs w:val="14"/>
                <w:b w:val="1"/>
                <w:bCs w:val="1"/>
                <w:color w:val="auto"/>
                <w:w w:val="98"/>
              </w:rPr>
              <w:t>January 31, 2012</w:t>
            </w: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shd w:val="clear" w:color="auto" w:fill="CCEEFF"/>
          </w:tcPr>
          <w:p>
            <w:pPr>
              <w:ind w:left="37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1,156.9</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502.1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254.4</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395.1</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17"/>
        </w:trPr>
        <w:tc>
          <w:tcPr>
            <w:tcW w:w="804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1,724.6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1,895.9</w:t>
            </w:r>
          </w:p>
        </w:tc>
        <w:tc>
          <w:tcPr>
            <w:tcW w:w="0" w:type="dxa"/>
            <w:vAlign w:val="bottom"/>
          </w:tcPr>
          <w:p>
            <w:pPr>
              <w:spacing w:after="0"/>
              <w:rPr>
                <w:sz w:val="1"/>
                <w:szCs w:val="1"/>
                <w:color w:val="auto"/>
              </w:rPr>
            </w:pPr>
          </w:p>
        </w:tc>
      </w:tr>
      <w:tr>
        <w:trPr>
          <w:trHeight w:val="33"/>
        </w:trPr>
        <w:tc>
          <w:tcPr>
            <w:tcW w:w="8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192.8</w:t>
            </w: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104.5</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Purchased technologies, net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824.6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682.4</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135.8</w:t>
            </w: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131.8</w:t>
            </w:r>
          </w:p>
        </w:tc>
        <w:tc>
          <w:tcPr>
            <w:tcW w:w="0" w:type="dxa"/>
            <w:vAlign w:val="bottom"/>
          </w:tcPr>
          <w:p>
            <w:pPr>
              <w:spacing w:after="0"/>
              <w:rPr>
                <w:sz w:val="1"/>
                <w:szCs w:val="1"/>
                <w:color w:val="auto"/>
              </w:rPr>
            </w:pPr>
          </w:p>
        </w:tc>
      </w:tr>
      <w:tr>
        <w:trPr>
          <w:trHeight w:val="33"/>
        </w:trPr>
        <w:tc>
          <w:tcPr>
            <w:tcW w:w="8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3,227.8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26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75.9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183.9</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582.3</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Borrowings under line of credit</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217"/>
        </w:trPr>
        <w:tc>
          <w:tcPr>
            <w:tcW w:w="804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985.3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954.1</w:t>
            </w:r>
          </w:p>
        </w:tc>
        <w:tc>
          <w:tcPr>
            <w:tcW w:w="0" w:type="dxa"/>
            <w:vAlign w:val="bottom"/>
          </w:tcPr>
          <w:p>
            <w:pPr>
              <w:spacing w:after="0"/>
              <w:rPr>
                <w:sz w:val="1"/>
                <w:szCs w:val="1"/>
                <w:color w:val="auto"/>
              </w:rPr>
            </w:pPr>
          </w:p>
        </w:tc>
      </w:tr>
      <w:tr>
        <w:trPr>
          <w:trHeight w:val="33"/>
        </w:trPr>
        <w:tc>
          <w:tcPr>
            <w:tcW w:w="8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Long term income taxes payable</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184.4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174.8</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Preferred stock</w:t>
            </w:r>
          </w:p>
        </w:tc>
        <w:tc>
          <w:tcPr>
            <w:tcW w:w="1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1,365.4</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Accumulated other comprehensive (loss) income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511.6</w:t>
            </w:r>
          </w:p>
        </w:tc>
        <w:tc>
          <w:tcPr>
            <w:tcW w:w="0" w:type="dxa"/>
            <w:vAlign w:val="bottom"/>
          </w:tcPr>
          <w:p>
            <w:pPr>
              <w:spacing w:after="0"/>
              <w:rPr>
                <w:sz w:val="1"/>
                <w:szCs w:val="1"/>
                <w:color w:val="auto"/>
              </w:rPr>
            </w:pPr>
          </w:p>
        </w:tc>
      </w:tr>
      <w:tr>
        <w:trPr>
          <w:trHeight w:val="217"/>
        </w:trPr>
        <w:tc>
          <w:tcPr>
            <w:tcW w:w="80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2,017.9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1,882.9</w:t>
            </w:r>
          </w:p>
        </w:tc>
        <w:tc>
          <w:tcPr>
            <w:tcW w:w="0" w:type="dxa"/>
            <w:vAlign w:val="bottom"/>
          </w:tcPr>
          <w:p>
            <w:pPr>
              <w:spacing w:after="0"/>
              <w:rPr>
                <w:sz w:val="1"/>
                <w:szCs w:val="1"/>
                <w:color w:val="auto"/>
              </w:rPr>
            </w:pPr>
          </w:p>
        </w:tc>
      </w:tr>
      <w:tr>
        <w:trPr>
          <w:trHeight w:val="33"/>
        </w:trPr>
        <w:tc>
          <w:tcPr>
            <w:tcW w:w="8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3,227.8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1013" w:right="35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w w:val="99"/>
              </w:rPr>
              <w:t>Nine Months Ended October 31,</w:t>
            </w:r>
          </w:p>
        </w:tc>
      </w:tr>
      <w:tr>
        <w:trPr>
          <w:trHeight w:val="264"/>
        </w:trPr>
        <w:tc>
          <w:tcPr>
            <w:tcW w:w="86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2011</w:t>
            </w:r>
          </w:p>
        </w:tc>
      </w:tr>
      <w:tr>
        <w:trPr>
          <w:trHeight w:val="236"/>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86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172.9</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213.3</w:t>
            </w:r>
          </w:p>
        </w:tc>
      </w:tr>
      <w:tr>
        <w:trPr>
          <w:trHeight w:val="33"/>
        </w:trPr>
        <w:tc>
          <w:tcPr>
            <w:tcW w:w="8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862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85.2</w:t>
            </w:r>
          </w:p>
        </w:tc>
      </w:tr>
      <w:tr>
        <w:trPr>
          <w:trHeight w:val="33"/>
        </w:trPr>
        <w:tc>
          <w:tcPr>
            <w:tcW w:w="8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w:t>
            </w:r>
          </w:p>
        </w:tc>
      </w:tr>
      <w:tr>
        <w:trPr>
          <w:trHeight w:val="224"/>
        </w:trPr>
        <w:tc>
          <w:tcPr>
            <w:tcW w:w="8620" w:type="dxa"/>
            <w:vAlign w:val="bottom"/>
          </w:tcPr>
          <w:p>
            <w:pPr>
              <w:ind w:left="720"/>
              <w:spacing w:after="0"/>
              <w:rPr>
                <w:sz w:val="20"/>
                <w:szCs w:val="20"/>
                <w:color w:val="auto"/>
              </w:rPr>
            </w:pPr>
            <w:r>
              <w:rPr>
                <w:rFonts w:ascii="Arial" w:cs="Arial" w:eastAsia="Arial" w:hAnsi="Arial"/>
                <w:sz w:val="16"/>
                <w:szCs w:val="16"/>
                <w:color w:val="auto"/>
              </w:rPr>
              <w:t>Excess tax benefits from stock-based compensation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(33.0)</w:t>
            </w:r>
          </w:p>
        </w:tc>
      </w:tr>
      <w:tr>
        <w:trPr>
          <w:trHeight w:val="33"/>
        </w:trPr>
        <w:tc>
          <w:tcPr>
            <w:tcW w:w="8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Restructuring charges (benefits), net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24"/>
        </w:trPr>
        <w:tc>
          <w:tcPr>
            <w:tcW w:w="8620" w:type="dxa"/>
            <w:vAlign w:val="bottom"/>
          </w:tcPr>
          <w:p>
            <w:pPr>
              <w:ind w:left="720"/>
              <w:spacing w:after="0"/>
              <w:rPr>
                <w:sz w:val="20"/>
                <w:szCs w:val="20"/>
                <w:color w:val="auto"/>
              </w:rPr>
            </w:pPr>
            <w:r>
              <w:rPr>
                <w:rFonts w:ascii="Arial" w:cs="Arial" w:eastAsia="Arial" w:hAnsi="Arial"/>
                <w:sz w:val="16"/>
                <w:szCs w:val="16"/>
                <w:color w:val="auto"/>
              </w:rPr>
              <w:t>Other operating activities</w:t>
            </w:r>
          </w:p>
        </w:tc>
        <w:tc>
          <w:tcPr>
            <w:tcW w:w="24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8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w:t>
            </w:r>
          </w:p>
        </w:tc>
      </w:tr>
      <w:tr>
        <w:trPr>
          <w:trHeight w:val="217"/>
        </w:trPr>
        <w:tc>
          <w:tcPr>
            <w:tcW w:w="862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403.5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398.3</w:t>
            </w:r>
          </w:p>
        </w:tc>
      </w:tr>
      <w:tr>
        <w:trPr>
          <w:trHeight w:val="33"/>
        </w:trPr>
        <w:tc>
          <w:tcPr>
            <w:tcW w:w="8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8620" w:type="dxa"/>
            <w:vAlign w:val="bottom"/>
          </w:tcPr>
          <w:p>
            <w:pPr>
              <w:ind w:left="380"/>
              <w:spacing w:after="0"/>
              <w:rPr>
                <w:sz w:val="20"/>
                <w:szCs w:val="20"/>
                <w:color w:val="auto"/>
              </w:rPr>
            </w:pPr>
            <w:r>
              <w:rPr>
                <w:rFonts w:ascii="Arial" w:cs="Arial" w:eastAsia="Arial" w:hAnsi="Arial"/>
                <w:sz w:val="16"/>
                <w:szCs w:val="16"/>
                <w:color w:val="auto"/>
              </w:rPr>
              <w:t>Purchases of marketable securities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(456.0)</w:t>
            </w:r>
          </w:p>
        </w:tc>
      </w:tr>
      <w:tr>
        <w:trPr>
          <w:trHeight w:val="33"/>
        </w:trPr>
        <w:tc>
          <w:tcPr>
            <w:tcW w:w="8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of marketable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110.8</w:t>
            </w:r>
          </w:p>
        </w:tc>
      </w:tr>
      <w:tr>
        <w:trPr>
          <w:trHeight w:val="224"/>
        </w:trPr>
        <w:tc>
          <w:tcPr>
            <w:tcW w:w="8620" w:type="dxa"/>
            <w:vAlign w:val="bottom"/>
          </w:tcPr>
          <w:p>
            <w:pPr>
              <w:ind w:left="380"/>
              <w:spacing w:after="0"/>
              <w:rPr>
                <w:sz w:val="20"/>
                <w:szCs w:val="20"/>
                <w:color w:val="auto"/>
              </w:rPr>
            </w:pPr>
            <w:r>
              <w:rPr>
                <w:rFonts w:ascii="Arial" w:cs="Arial" w:eastAsia="Arial" w:hAnsi="Arial"/>
                <w:sz w:val="16"/>
                <w:szCs w:val="16"/>
                <w:color w:val="auto"/>
              </w:rPr>
              <w:t>Maturities of marketable securities</w:t>
            </w:r>
          </w:p>
        </w:tc>
        <w:tc>
          <w:tcPr>
            <w:tcW w:w="24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436.6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307.0</w:t>
            </w:r>
          </w:p>
        </w:tc>
      </w:tr>
      <w:tr>
        <w:trPr>
          <w:trHeight w:val="33"/>
        </w:trPr>
        <w:tc>
          <w:tcPr>
            <w:tcW w:w="8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r>
      <w:tr>
        <w:trPr>
          <w:trHeight w:val="224"/>
        </w:trPr>
        <w:tc>
          <w:tcPr>
            <w:tcW w:w="8620" w:type="dxa"/>
            <w:vAlign w:val="bottom"/>
          </w:tcPr>
          <w:p>
            <w:pPr>
              <w:ind w:left="380"/>
              <w:spacing w:after="0"/>
              <w:rPr>
                <w:sz w:val="20"/>
                <w:szCs w:val="20"/>
                <w:color w:val="auto"/>
              </w:rPr>
            </w:pPr>
            <w:r>
              <w:rPr>
                <w:rFonts w:ascii="Arial" w:cs="Arial" w:eastAsia="Arial" w:hAnsi="Arial"/>
                <w:sz w:val="16"/>
                <w:szCs w:val="16"/>
                <w:color w:val="auto"/>
              </w:rPr>
              <w:t>Acquisitions, net of cash acquired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(182.7)</w:t>
            </w:r>
          </w:p>
        </w:tc>
      </w:tr>
      <w:tr>
        <w:trPr>
          <w:trHeight w:val="33"/>
        </w:trPr>
        <w:tc>
          <w:tcPr>
            <w:tcW w:w="8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8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17"/>
        </w:trPr>
        <w:tc>
          <w:tcPr>
            <w:tcW w:w="862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(730.5)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(293.1)</w:t>
            </w:r>
          </w:p>
        </w:tc>
      </w:tr>
      <w:tr>
        <w:trPr>
          <w:trHeight w:val="33"/>
        </w:trPr>
        <w:tc>
          <w:tcPr>
            <w:tcW w:w="8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8620" w:type="dxa"/>
            <w:vAlign w:val="bottom"/>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24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199.6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156.3</w:t>
            </w:r>
          </w:p>
        </w:tc>
      </w:tr>
      <w:tr>
        <w:trPr>
          <w:trHeight w:val="33"/>
        </w:trPr>
        <w:tc>
          <w:tcPr>
            <w:tcW w:w="8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Repurchases of common stock</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(263.7)</w:t>
            </w:r>
          </w:p>
        </w:tc>
      </w:tr>
      <w:tr>
        <w:trPr>
          <w:trHeight w:val="237"/>
        </w:trPr>
        <w:tc>
          <w:tcPr>
            <w:tcW w:w="8620" w:type="dxa"/>
            <w:vAlign w:val="bottom"/>
          </w:tcPr>
          <w:p>
            <w:pPr>
              <w:ind w:left="380"/>
              <w:spacing w:after="0"/>
              <w:rPr>
                <w:sz w:val="20"/>
                <w:szCs w:val="20"/>
                <w:color w:val="auto"/>
              </w:rPr>
            </w:pPr>
            <w:r>
              <w:rPr>
                <w:rFonts w:ascii="Arial" w:cs="Arial" w:eastAsia="Arial" w:hAnsi="Arial"/>
                <w:sz w:val="16"/>
                <w:szCs w:val="16"/>
                <w:color w:val="auto"/>
              </w:rPr>
              <w:t>Draws on line of credit</w:t>
            </w:r>
          </w:p>
        </w:tc>
        <w:tc>
          <w:tcPr>
            <w:tcW w:w="2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110.0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8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w:t>
            </w:r>
          </w:p>
        </w:tc>
      </w:tr>
      <w:tr>
        <w:trPr>
          <w:trHeight w:val="217"/>
        </w:trPr>
        <w:tc>
          <w:tcPr>
            <w:tcW w:w="862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(74.4)</w:t>
            </w:r>
          </w:p>
        </w:tc>
      </w:tr>
      <w:tr>
        <w:trPr>
          <w:trHeight w:val="33"/>
        </w:trPr>
        <w:tc>
          <w:tcPr>
            <w:tcW w:w="8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
        </w:trPr>
        <w:tc>
          <w:tcPr>
            <w:tcW w:w="8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320"/>
          </w:cols>
          <w:pgMar w:left="240" w:top="580" w:right="339" w:bottom="1440" w:gutter="0" w:footer="0" w:header="0"/>
        </w:sectPr>
      </w:pPr>
    </w:p>
    <w:p>
      <w:pPr>
        <w:ind w:left="40"/>
        <w:spacing w:after="0"/>
        <w:rPr>
          <w:sz w:val="20"/>
          <w:szCs w:val="20"/>
          <w:color w:val="auto"/>
        </w:rPr>
      </w:pPr>
      <w:r>
        <w:rPr>
          <w:rFonts w:ascii="Arial" w:cs="Arial" w:eastAsia="Arial" w:hAnsi="Arial"/>
          <w:sz w:val="14"/>
          <w:szCs w:val="14"/>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86295"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295" cy="163195"/>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fiscal year</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jc w:val="right"/>
        <w:ind w:right="100"/>
        <w:spacing w:after="0"/>
        <w:tabs>
          <w:tab w:leader="none" w:pos="260" w:val="left"/>
        </w:tabs>
        <w:rPr>
          <w:sz w:val="20"/>
          <w:szCs w:val="20"/>
          <w:color w:val="auto"/>
        </w:rPr>
      </w:pPr>
      <w:r>
        <w:rPr>
          <w:rFonts w:ascii="Arial" w:cs="Arial" w:eastAsia="Arial" w:hAnsi="Arial"/>
          <w:sz w:val="16"/>
          <w:szCs w:val="16"/>
          <w:color w:val="auto"/>
        </w:rPr>
        <w:t>(329.9)</w:t>
      </w:r>
      <w:r>
        <w:rPr>
          <w:sz w:val="20"/>
          <w:szCs w:val="20"/>
          <w:color w:val="auto"/>
        </w:rPr>
        <w:tab/>
      </w:r>
      <w:r>
        <w:rPr>
          <w:rFonts w:ascii="Arial" w:cs="Arial" w:eastAsia="Arial" w:hAnsi="Arial"/>
          <w:sz w:val="14"/>
          <w:szCs w:val="14"/>
          <w:color w:val="auto"/>
        </w:rPr>
        <w:t>28.2</w:t>
      </w:r>
    </w:p>
    <w:p>
      <w:pPr>
        <w:spacing w:after="0" w:line="73" w:lineRule="exact"/>
        <w:rPr>
          <w:sz w:val="20"/>
          <w:szCs w:val="20"/>
          <w:color w:val="auto"/>
        </w:rPr>
      </w:pPr>
    </w:p>
    <w:p>
      <w:pPr>
        <w:jc w:val="right"/>
        <w:ind w:right="100"/>
        <w:spacing w:after="0"/>
        <w:tabs>
          <w:tab w:leader="none" w:pos="460" w:val="left"/>
        </w:tabs>
        <w:rPr>
          <w:sz w:val="20"/>
          <w:szCs w:val="20"/>
          <w:color w:val="auto"/>
        </w:rPr>
      </w:pPr>
      <w:r>
        <w:rPr>
          <w:rFonts w:ascii="Arial" w:cs="Arial" w:eastAsia="Arial" w:hAnsi="Arial"/>
          <w:sz w:val="16"/>
          <w:szCs w:val="16"/>
          <w:color w:val="auto"/>
        </w:rPr>
        <w:t>1,156.9</w:t>
      </w:r>
      <w:r>
        <w:rPr>
          <w:sz w:val="20"/>
          <w:szCs w:val="20"/>
          <w:color w:val="auto"/>
        </w:rPr>
        <w:tab/>
      </w:r>
      <w:r>
        <w:rPr>
          <w:rFonts w:ascii="Arial" w:cs="Arial" w:eastAsia="Arial" w:hAnsi="Arial"/>
          <w:sz w:val="14"/>
          <w:szCs w:val="14"/>
          <w:color w:val="auto"/>
        </w:rPr>
        <w:t>1,075.1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34925</wp:posOffset>
            </wp:positionV>
            <wp:extent cx="1724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66" w:lineRule="exact"/>
        <w:rPr>
          <w:sz w:val="20"/>
          <w:szCs w:val="20"/>
          <w:color w:val="auto"/>
        </w:rPr>
      </w:pPr>
    </w:p>
    <w:p>
      <w:pPr>
        <w:spacing w:after="0"/>
        <w:tabs>
          <w:tab w:leader="none" w:pos="840" w:val="left"/>
          <w:tab w:leader="none" w:pos="1460" w:val="left"/>
          <w:tab w:leader="none" w:pos="20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827.0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1,103.3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34925</wp:posOffset>
            </wp:positionV>
            <wp:extent cx="172402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2402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20" w:space="720"/>
            <w:col w:w="2680"/>
          </w:cols>
          <w:pgMar w:left="240" w:top="580" w:right="339" w:bottom="1440" w:gutter="0" w:footer="0" w:header="0"/>
          <w:type w:val="continuous"/>
        </w:sectPr>
      </w:pP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580" w:right="3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Autodesk, Inc. (“Autodesk” or the “Company”) as of October 31, 2012, and for the three and nine months ended October 31, 2012, have been prepared in accordance with accounting principles generally accepted in the U.S. for interim financial information along with the instructions to Form 10-Q and Article 10 of Securities and Exchange Commission (“SEC”) Regulation S-X. Accordingly, they do not include all of the information and notes required by generally accepted accounting principles (“GAAP”) for annual financial statements. In management’s opinion, Autodesk has made all adjustments (consisting of normal, recurring and non-recurring adjustments) during the quarter that were considered necessary for the fair presentation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nine months ended October 31, 2012 are not necessarily indicative of the results for the entire fiscal year ending January 31, 2013, or for any other period.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2012, filed on March 15, 2012.</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Adjustments</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Subsequent to furnishing preliminary financial statements on Form 8-K on November, 15, 2012 for the three and nine month periods ended October 31, 2012, Autodesk identified certain adjustments resulting in changes to the Condensed Consolidated Statements of Operations, Condensed Consolidated Statements of Comprehensive Income, Condensed Consolidated Balance Sheet and Condensed Consolidated Statements of Cash Flows as reflected in this Quarterly Report on Form 10-Q that increased diluted earnings per share from $0.74 to $0.75 and non-GAAP diluted earnings per share from $1.41 to $1.42 for the nine months ended October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nine months ended October 31, 2012, that are of significance, or potential significance, to the Company.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Standards Adopted in the Nine Months Ended October 31, 2012</w:t>
      </w:r>
    </w:p>
    <w:p>
      <w:pPr>
        <w:spacing w:after="0" w:line="225"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In September 2011, the FASB issued Accounting Standard Update (“ASU”) 2011-08 regarding Accounting Standards Codification (“ASC”) Topic 350 “Intangibles – Goodwill and Other.” This ASU allows for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it is more likely than not that the fair value of the reporting unit is greater than its carrying value, then performing the two-step impairment test is unnecessary. Autodesk adopted ASU 2011-08 effective February 1, 2012. The adoption of this ASU did not have a material impact on Autodesk's consolidated statements of financial position, results of operations or cash flows.</w:t>
      </w:r>
    </w:p>
    <w:p>
      <w:pPr>
        <w:spacing w:after="0" w:line="178"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In June 2011, the FASB issued ASU 2011-05 regarding ASC Topic 220 “Comprehensive Income.” This ASU eliminates the option to present components of other comprehensive income as part of the statement of changes in stockholders’ equity and requires the presentation of the total of comprehensive income, the components of net income, and the components of other comprehensive income either in a single continuous statement of comprehensive income or in two separate but consecutive statements. In December 2011, the FASB issued ASU 2011-12, an amendment to an existing accounting standard which defers the requirement to present components of reclassifications of other comprehensive income on the face of the income statement. Autodesk adopted ASU 2011-05 and ASU 2011-12 effective February 1, 2012. This accounting pronouncement impacted the presentation of other comprehensive income but did not impact Autodesk's consolidated financial position, results of operations or cash flow.</w:t>
      </w:r>
    </w:p>
    <w:p>
      <w:pPr>
        <w:spacing w:after="0" w:line="17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May 2011, FASB issued ASU 2011-04 regarding ASC Topic 820 “Fair Value Measurement.” This ASU amends the fair value measurement guidance and includes enhanced disclosure requirements primarily around Level 3 fair value measurements based on unobservable inputs. Autodesk adopted ASU 2011-4 effective February 1, 2012. The adoption of this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ASU did not have a material impact on Autodesk's consolidated statements of financial position, results of operations or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Citibank and its global affiliates (“Citibank”). Citicorp USA, Inc., an affiliate of Citibank, is one of the lead lenders and an agent in the syndicate of Autodesk’s $400.0 million line of credit facility. It is Autodesk’s policy to limit the amounts invested with any one institution by type of security and issuer.</w:t>
      </w:r>
    </w:p>
    <w:p>
      <w:pPr>
        <w:spacing w:after="0" w:line="18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Total sales to the distributor Tech Data Corporation, and its global affiliates (“Tech Data”), accounted for 24% and 23% of Autodesk’s total net revenue for the three and nine months ended October 31, 2012, respectively, and 16% of Autodesk's total net revenue for both the three and nine months ended October 31, 2011. The majority of the net revenue from sales to Tech Data relates to Autodesk’s Platform Solutions and Emerging Business segment and is for sales made outside of the United States. In October 2011, Tech Data purchased certain assets of Mensch and Maschine Software (“MuM”), which has been a distributor of the Company's products in Europe. The acquisition concentrates additional sales through Tech Data, which on a consolidated basis would have accounted for 20% and 22% of Autodesk’s total net revenue for the three and nine months ended October 31, 2011, respectively, if the acquisition had taken place at the beginning of fiscal 2012. In addition, Tech Data accounted for 23% and 21% of trade accounts receivable at October 31, 2012 and January 31, 2012, respectively.</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October 31, 2012 and January 31, 2012:</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October 31, 2012</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6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7"/>
              </w:rPr>
              <w:t>losses</w:t>
            </w:r>
          </w:p>
        </w:tc>
        <w:tc>
          <w:tcPr>
            <w:tcW w:w="8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140"/>
              <w:spacing w:after="0"/>
              <w:rPr>
                <w:sz w:val="20"/>
                <w:szCs w:val="20"/>
                <w:color w:val="auto"/>
              </w:rPr>
            </w:pPr>
            <w:r>
              <w:rPr>
                <w:rFonts w:ascii="Arial" w:cs="Arial" w:eastAsia="Arial" w:hAnsi="Arial"/>
                <w:sz w:val="16"/>
                <w:szCs w:val="16"/>
                <w:color w:val="auto"/>
              </w:rPr>
              <w:t>Certificates of deposit and time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40"/>
              <w:spacing w:after="0"/>
              <w:rPr>
                <w:sz w:val="20"/>
                <w:szCs w:val="20"/>
                <w:color w:val="auto"/>
              </w:rPr>
            </w:pPr>
            <w:r>
              <w:rPr>
                <w:rFonts w:ascii="Arial" w:cs="Arial" w:eastAsia="Arial" w:hAnsi="Arial"/>
                <w:sz w:val="16"/>
                <w:szCs w:val="16"/>
                <w:color w:val="auto"/>
              </w:rPr>
              <w:t>deposits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212.4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212.4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189.5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Commercial paper</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40"/>
              <w:spacing w:after="0"/>
              <w:rPr>
                <w:sz w:val="20"/>
                <w:szCs w:val="20"/>
                <w:color w:val="auto"/>
              </w:rPr>
            </w:pPr>
            <w:r>
              <w:rPr>
                <w:rFonts w:ascii="Arial" w:cs="Arial" w:eastAsia="Arial" w:hAnsi="Arial"/>
                <w:sz w:val="16"/>
                <w:szCs w:val="16"/>
                <w:color w:val="auto"/>
              </w:rPr>
              <w:t>Short-term available for sale</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Commercial paper and corporate</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debt securities</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740" w:type="dxa"/>
            <w:vAlign w:val="bottom"/>
          </w:tcPr>
          <w:p>
            <w:pPr>
              <w:ind w:left="320"/>
              <w:spacing w:after="0"/>
              <w:rPr>
                <w:sz w:val="20"/>
                <w:szCs w:val="20"/>
                <w:color w:val="auto"/>
              </w:rPr>
            </w:pPr>
            <w:r>
              <w:rPr>
                <w:rFonts w:ascii="Arial" w:cs="Arial" w:eastAsia="Arial" w:hAnsi="Arial"/>
                <w:sz w:val="16"/>
                <w:szCs w:val="16"/>
                <w:color w:val="auto"/>
              </w:rPr>
              <w:t>Certificates of deposit and time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80"/>
              <w:spacing w:after="0"/>
              <w:rPr>
                <w:sz w:val="20"/>
                <w:szCs w:val="20"/>
                <w:color w:val="auto"/>
              </w:rPr>
            </w:pPr>
            <w:r>
              <w:rPr>
                <w:rFonts w:ascii="Arial" w:cs="Arial" w:eastAsia="Arial" w:hAnsi="Arial"/>
                <w:sz w:val="16"/>
                <w:szCs w:val="16"/>
                <w:color w:val="auto"/>
              </w:rPr>
              <w:t>deposits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U.S. treasury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320"/>
              <w:spacing w:after="0"/>
              <w:rPr>
                <w:sz w:val="20"/>
                <w:szCs w:val="20"/>
                <w:color w:val="auto"/>
              </w:rPr>
            </w:pPr>
            <w:r>
              <w:rPr>
                <w:rFonts w:ascii="Arial" w:cs="Arial" w:eastAsia="Arial" w:hAnsi="Arial"/>
                <w:sz w:val="16"/>
                <w:szCs w:val="16"/>
                <w:color w:val="auto"/>
                <w:w w:val="96"/>
              </w:rPr>
              <w:t>U.S. government agency securities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Municipal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3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trading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320"/>
              <w:spacing w:after="0"/>
              <w:rPr>
                <w:sz w:val="20"/>
                <w:szCs w:val="20"/>
                <w:color w:val="auto"/>
              </w:rPr>
            </w:pPr>
            <w:r>
              <w:rPr>
                <w:rFonts w:ascii="Arial" w:cs="Arial" w:eastAsia="Arial" w:hAnsi="Arial"/>
                <w:sz w:val="16"/>
                <w:szCs w:val="16"/>
                <w:color w:val="auto"/>
              </w:rPr>
              <w:t>Mutual funds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available for sale</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32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U.S. treasury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320"/>
              <w:spacing w:after="0"/>
              <w:rPr>
                <w:sz w:val="20"/>
                <w:szCs w:val="20"/>
                <w:color w:val="auto"/>
              </w:rPr>
            </w:pPr>
            <w:r>
              <w:rPr>
                <w:rFonts w:ascii="Arial" w:cs="Arial" w:eastAsia="Arial" w:hAnsi="Arial"/>
                <w:sz w:val="16"/>
                <w:szCs w:val="16"/>
                <w:color w:val="auto"/>
                <w:w w:val="96"/>
              </w:rPr>
              <w:t>U.S. government agency securities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Municipal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320"/>
              <w:spacing w:after="0"/>
              <w:rPr>
                <w:sz w:val="20"/>
                <w:szCs w:val="20"/>
                <w:color w:val="auto"/>
              </w:rPr>
            </w:pPr>
            <w:r>
              <w:rPr>
                <w:rFonts w:ascii="Arial" w:cs="Arial" w:eastAsia="Arial" w:hAnsi="Arial"/>
                <w:sz w:val="16"/>
                <w:szCs w:val="16"/>
                <w:color w:val="auto"/>
              </w:rPr>
              <w:t>Sovereign debt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Taxable auction-rate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Convertible debt securities (2)</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contracts (3)</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44"/>
        </w:trPr>
        <w:tc>
          <w:tcPr>
            <w:tcW w:w="2740" w:type="dxa"/>
            <w:vAlign w:val="bottom"/>
          </w:tcPr>
          <w:p>
            <w:pPr>
              <w:ind w:left="32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1,422.9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1,428.1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661.4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735.8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in “Prepaid expenses and other current assets,” "Other assets," or “Other accrued liabilities” in the accompanying Condensed Consolidated Balance Sheets.</w:t>
      </w: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584"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5"/>
        </w:trPr>
        <w:tc>
          <w:tcPr>
            <w:tcW w:w="27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January 31, 2012</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6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205"/>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8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00" w:type="dxa"/>
            <w:vAlign w:val="bottom"/>
          </w:tcPr>
          <w:p>
            <w:pPr>
              <w:ind w:left="140"/>
              <w:spacing w:after="0"/>
              <w:rPr>
                <w:sz w:val="20"/>
                <w:szCs w:val="20"/>
                <w:color w:val="auto"/>
              </w:rPr>
            </w:pPr>
            <w:r>
              <w:rPr>
                <w:rFonts w:ascii="Arial" w:cs="Arial" w:eastAsia="Arial" w:hAnsi="Arial"/>
                <w:sz w:val="16"/>
                <w:szCs w:val="16"/>
                <w:color w:val="auto"/>
              </w:rPr>
              <w:t>Certificates of deposit and time</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00" w:type="dxa"/>
            <w:vAlign w:val="bottom"/>
          </w:tcPr>
          <w:p>
            <w:pPr>
              <w:ind w:left="300"/>
              <w:spacing w:after="0"/>
              <w:rPr>
                <w:sz w:val="20"/>
                <w:szCs w:val="20"/>
                <w:color w:val="auto"/>
              </w:rPr>
            </w:pPr>
            <w:r>
              <w:rPr>
                <w:rFonts w:ascii="Arial" w:cs="Arial" w:eastAsia="Arial" w:hAnsi="Arial"/>
                <w:sz w:val="16"/>
                <w:szCs w:val="16"/>
                <w:color w:val="auto"/>
              </w:rPr>
              <w:t>deposits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493.6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493.6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482.3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Commercial paper</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Short-term available for sale</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Commercial paper and corporate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debt securities</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700" w:type="dxa"/>
            <w:vAlign w:val="bottom"/>
          </w:tcPr>
          <w:p>
            <w:pPr>
              <w:ind w:left="320"/>
              <w:spacing w:after="0"/>
              <w:rPr>
                <w:sz w:val="20"/>
                <w:szCs w:val="20"/>
                <w:color w:val="auto"/>
              </w:rPr>
            </w:pPr>
            <w:r>
              <w:rPr>
                <w:rFonts w:ascii="Arial" w:cs="Arial" w:eastAsia="Arial" w:hAnsi="Arial"/>
                <w:sz w:val="16"/>
                <w:szCs w:val="16"/>
                <w:color w:val="auto"/>
              </w:rPr>
              <w:t>Certificates of deposit and time</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00" w:type="dxa"/>
            <w:vAlign w:val="bottom"/>
          </w:tcPr>
          <w:p>
            <w:pPr>
              <w:ind w:left="480"/>
              <w:spacing w:after="0"/>
              <w:rPr>
                <w:sz w:val="20"/>
                <w:szCs w:val="20"/>
                <w:color w:val="auto"/>
              </w:rPr>
            </w:pPr>
            <w:r>
              <w:rPr>
                <w:rFonts w:ascii="Arial" w:cs="Arial" w:eastAsia="Arial" w:hAnsi="Arial"/>
                <w:sz w:val="16"/>
                <w:szCs w:val="16"/>
                <w:color w:val="auto"/>
              </w:rPr>
              <w:t>deposits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U.S. treasury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tcPr>
          <w:p>
            <w:pPr>
              <w:ind w:left="320"/>
              <w:spacing w:after="0"/>
              <w:rPr>
                <w:sz w:val="20"/>
                <w:szCs w:val="20"/>
                <w:color w:val="auto"/>
              </w:rPr>
            </w:pPr>
            <w:r>
              <w:rPr>
                <w:rFonts w:ascii="Arial" w:cs="Arial" w:eastAsia="Arial" w:hAnsi="Arial"/>
                <w:sz w:val="16"/>
                <w:szCs w:val="16"/>
                <w:color w:val="auto"/>
                <w:w w:val="95"/>
              </w:rPr>
              <w:t>U.S. government agency securities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Municipal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tcPr>
          <w:p>
            <w:pPr>
              <w:ind w:left="32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trading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320"/>
              <w:spacing w:after="0"/>
              <w:rPr>
                <w:sz w:val="20"/>
                <w:szCs w:val="20"/>
                <w:color w:val="auto"/>
              </w:rPr>
            </w:pPr>
            <w:r>
              <w:rPr>
                <w:rFonts w:ascii="Arial" w:cs="Arial" w:eastAsia="Arial" w:hAnsi="Arial"/>
                <w:sz w:val="16"/>
                <w:szCs w:val="16"/>
                <w:color w:val="auto"/>
              </w:rPr>
              <w:t>Mutual funds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available for sale</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320"/>
              <w:spacing w:after="0"/>
              <w:rPr>
                <w:sz w:val="20"/>
                <w:szCs w:val="20"/>
                <w:color w:val="auto"/>
              </w:rPr>
            </w:pPr>
            <w:r>
              <w:rPr>
                <w:rFonts w:ascii="Arial" w:cs="Arial" w:eastAsia="Arial" w:hAnsi="Arial"/>
                <w:sz w:val="16"/>
                <w:szCs w:val="16"/>
                <w:color w:val="auto"/>
              </w:rPr>
              <w:t>Corporate debt securities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U.S. treasury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tcPr>
          <w:p>
            <w:pPr>
              <w:ind w:left="320"/>
              <w:spacing w:after="0"/>
              <w:rPr>
                <w:sz w:val="20"/>
                <w:szCs w:val="20"/>
                <w:color w:val="auto"/>
              </w:rPr>
            </w:pPr>
            <w:r>
              <w:rPr>
                <w:rFonts w:ascii="Arial" w:cs="Arial" w:eastAsia="Arial" w:hAnsi="Arial"/>
                <w:sz w:val="16"/>
                <w:szCs w:val="16"/>
                <w:color w:val="auto"/>
                <w:w w:val="95"/>
              </w:rPr>
              <w:t>U.S. government agency securities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Municipal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tcPr>
          <w:p>
            <w:pPr>
              <w:ind w:left="320"/>
              <w:spacing w:after="0"/>
              <w:rPr>
                <w:sz w:val="20"/>
                <w:szCs w:val="20"/>
                <w:color w:val="auto"/>
              </w:rPr>
            </w:pPr>
            <w:r>
              <w:rPr>
                <w:rFonts w:ascii="Arial" w:cs="Arial" w:eastAsia="Arial" w:hAnsi="Arial"/>
                <w:sz w:val="16"/>
                <w:szCs w:val="16"/>
                <w:color w:val="auto"/>
              </w:rPr>
              <w:t>Taxable auction-rate securities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debt securities (2)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37"/>
        </w:trPr>
        <w:tc>
          <w:tcPr>
            <w:tcW w:w="2700" w:type="dxa"/>
            <w:vAlign w:val="bottom"/>
          </w:tcPr>
          <w:p>
            <w:pPr>
              <w:ind w:left="40"/>
              <w:spacing w:after="0"/>
              <w:rPr>
                <w:sz w:val="20"/>
                <w:szCs w:val="20"/>
                <w:color w:val="auto"/>
              </w:rPr>
            </w:pPr>
            <w:r>
              <w:rPr>
                <w:rFonts w:ascii="Arial" w:cs="Arial" w:eastAsia="Arial" w:hAnsi="Arial"/>
                <w:sz w:val="16"/>
                <w:szCs w:val="16"/>
                <w:color w:val="auto"/>
              </w:rPr>
              <w:t>Derivative contracts (3)</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1,335.0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“Prepaid expenses and other current assets,” "Other assets," or “Other accrued liabilities” in the accompanying Condensed Consolidated Balance Sheets.</w:t>
      </w:r>
    </w:p>
    <w:p>
      <w:pPr>
        <w:spacing w:after="0" w:line="22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three and nine months ended October 31, 2012.</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1008" w:right="339" w:bottom="1440" w:gutter="0" w:footer="0" w:header="0"/>
        </w:sectPr>
      </w:pPr>
    </w:p>
    <w:bookmarkStart w:id="10" w:name="page11"/>
    <w:bookmarkEnd w:id="10"/>
    <w:p>
      <w:pPr>
        <w:jc w:val="both"/>
        <w:ind w:right="260"/>
        <w:spacing w:after="0" w:line="288" w:lineRule="auto"/>
        <w:rPr>
          <w:sz w:val="20"/>
          <w:szCs w:val="20"/>
          <w:color w:val="auto"/>
        </w:rPr>
      </w:pPr>
      <w:r>
        <w:rPr>
          <w:rFonts w:ascii="Arial" w:cs="Arial" w:eastAsia="Arial" w:hAnsi="Arial"/>
          <w:sz w:val="16"/>
          <w:szCs w:val="16"/>
          <w:color w:val="auto"/>
        </w:rPr>
        <w:t>Level 2 of the fair value hierarchy. Autodesk values its available for 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w:t>
      </w:r>
    </w:p>
    <w:p>
      <w:pPr>
        <w:spacing w:after="0" w:line="261" w:lineRule="auto"/>
        <w:rPr>
          <w:sz w:val="20"/>
          <w:szCs w:val="20"/>
          <w:color w:val="auto"/>
        </w:rPr>
      </w:pPr>
      <w:r>
        <w:rPr>
          <w:rFonts w:ascii="Arial" w:cs="Arial" w:eastAsia="Arial" w:hAnsi="Arial"/>
          <w:sz w:val="18"/>
          <w:szCs w:val="18"/>
          <w:color w:val="auto"/>
        </w:rPr>
        <w:t>Autodesk's Level 3 securities consist of investments held in auction rate securities, convertible debt securities and derivative contracts which are valued using probability weighted discounted cash flow models, in which some of the inputs are unobservable in the market.</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nine months ended October 31, 2012 was as follows:</w:t>
      </w:r>
    </w:p>
    <w:p>
      <w:pPr>
        <w:spacing w:after="0" w:line="379"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13335</wp:posOffset>
            </wp:positionV>
            <wp:extent cx="3129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Derivative</w:t>
            </w:r>
          </w:p>
        </w:tc>
        <w:tc>
          <w:tcPr>
            <w:tcW w:w="12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Convertible Debt</w:t>
            </w:r>
          </w:p>
        </w:tc>
        <w:tc>
          <w:tcPr>
            <w:tcW w:w="12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Taxable</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Auction-Rate</w:t>
            </w:r>
          </w:p>
        </w:tc>
        <w:tc>
          <w:tcPr>
            <w:tcW w:w="200" w:type="dxa"/>
            <w:vAlign w:val="bottom"/>
          </w:tcPr>
          <w:p>
            <w:pPr>
              <w:spacing w:after="0"/>
              <w:rPr>
                <w:sz w:val="12"/>
                <w:szCs w:val="12"/>
                <w:color w:val="auto"/>
              </w:rPr>
            </w:pPr>
          </w:p>
        </w:tc>
        <w:tc>
          <w:tcPr>
            <w:tcW w:w="68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Contracts</w:t>
            </w:r>
          </w:p>
        </w:tc>
        <w:tc>
          <w:tcPr>
            <w:tcW w:w="200" w:type="dxa"/>
            <w:vAlign w:val="bottom"/>
          </w:tcPr>
          <w:p>
            <w:pPr>
              <w:spacing w:after="0"/>
              <w:rPr>
                <w:sz w:val="16"/>
                <w:szCs w:val="16"/>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January 31, 2012</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37"/>
        </w:trPr>
        <w:tc>
          <w:tcPr>
            <w:tcW w:w="6400" w:type="dxa"/>
            <w:vAlign w:val="bottom"/>
            <w:gridSpan w:val="2"/>
          </w:tcPr>
          <w:p>
            <w:pPr>
              <w:ind w:left="380"/>
              <w:spacing w:after="0"/>
              <w:rPr>
                <w:sz w:val="20"/>
                <w:szCs w:val="20"/>
                <w:color w:val="auto"/>
              </w:rPr>
            </w:pPr>
            <w:r>
              <w:rPr>
                <w:rFonts w:ascii="Arial" w:cs="Arial" w:eastAsia="Arial" w:hAnsi="Arial"/>
                <w:sz w:val="16"/>
                <w:szCs w:val="16"/>
                <w:color w:val="auto"/>
              </w:rPr>
              <w:t>Purchases</w:t>
            </w:r>
          </w:p>
        </w:tc>
        <w:tc>
          <w:tcPr>
            <w:tcW w:w="2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Transfers into (out of) Level 3</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gridSpan w:val="2"/>
          </w:tcPr>
          <w:p>
            <w:pPr>
              <w:ind w:left="380"/>
              <w:spacing w:after="0"/>
              <w:rPr>
                <w:sz w:val="20"/>
                <w:szCs w:val="20"/>
                <w:color w:val="auto"/>
              </w:rPr>
            </w:pPr>
            <w:r>
              <w:rPr>
                <w:rFonts w:ascii="Arial" w:cs="Arial" w:eastAsia="Arial" w:hAnsi="Arial"/>
                <w:sz w:val="16"/>
                <w:szCs w:val="16"/>
                <w:color w:val="auto"/>
              </w:rPr>
              <w:t>Settlements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unrealized gains (losses)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4"/>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Balance at October 31, 2012</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estimated fair value of our “available-for-sale securities” classified by the contractual maturity date of the security:</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w w:val="98"/>
              </w:rPr>
              <w:t>October 31, 2012</w:t>
            </w:r>
          </w:p>
        </w:tc>
      </w:tr>
      <w:tr>
        <w:trPr>
          <w:trHeight w:val="264"/>
        </w:trPr>
        <w:tc>
          <w:tcPr>
            <w:tcW w:w="82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1 year</w:t>
            </w: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466.2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466.2</w:t>
            </w: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Due in 1 year through 5 years</w:t>
            </w:r>
          </w:p>
        </w:tc>
        <w:tc>
          <w:tcPr>
            <w:tcW w:w="94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420.1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420.2</w:t>
            </w:r>
          </w:p>
        </w:tc>
      </w:tr>
      <w:tr>
        <w:trPr>
          <w:trHeight w:val="33"/>
        </w:trPr>
        <w:tc>
          <w:tcPr>
            <w:tcW w:w="8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5 years through 10 years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Due after 10 years</w:t>
            </w:r>
          </w:p>
        </w:tc>
        <w:tc>
          <w:tcPr>
            <w:tcW w:w="94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4.2</w:t>
            </w:r>
          </w:p>
        </w:tc>
      </w:tr>
      <w:tr>
        <w:trPr>
          <w:trHeight w:val="33"/>
        </w:trPr>
        <w:tc>
          <w:tcPr>
            <w:tcW w:w="8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890.5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890.6</w:t>
            </w: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As of October 31, 2012 and January 31, 2012, Autodesk did not have any securities in a continuous unrealized loss position for greater than twelve months.</w:t>
      </w:r>
    </w:p>
    <w:p>
      <w:pPr>
        <w:spacing w:after="0" w:line="17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Autodesk also has direct investments in privately held companies accounted for under the cost method, which are periodically assessed for other-than-temporary impairment. If Autodesk determines that an other-than-temporary impairment has occurred, Autodesk writes down the investment to its fair value. Autodesk estimates fair value of our cost method investments considering available information such as pricing in recent rounds of financing, current cash positions, earnings and cash flow forecasts, recent operational performance and any other readily available market data. During the nine months ended October 31, 2012 Autodesk recorded a $10.5 million other-than-temporary impairment on its privately held equity investments. The impairment expense was recorded in “Interest and other (expense) income, net” on the Company's Condensed Consolidated Statement of Income.</w:t>
      </w:r>
    </w:p>
    <w:p>
      <w:pPr>
        <w:spacing w:after="0" w:line="165"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The sale or settlement of certain convertible debt and equity investments during the nine months ended October 31, 2012 and 2011 resulted in a gain of $5.0 million. The gain was recorded in “Interest and other (expense) income, net” on the Company's Condensed Consolidated Statement of Income.</w:t>
      </w:r>
    </w:p>
    <w:p>
      <w:pPr>
        <w:spacing w:after="0" w:line="124"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nine months ended October 31, 2012 and 2011 were $643.6 million and $417.8 million, respectively.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Under its risk management strategy, Autodesk uses derivative instruments to manage its short-term exposures to fluctuations in foreign currency exchange rates which exist as part of ongoing business operations. Autodesk's general practice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584" w:right="299" w:bottom="1440" w:gutter="0" w:footer="0" w:header="0"/>
        </w:sectPr>
      </w:pPr>
    </w:p>
    <w:bookmarkStart w:id="11" w:name="page12"/>
    <w:bookmarkEnd w:id="11"/>
    <w:p>
      <w:pPr>
        <w:ind w:right="60"/>
        <w:spacing w:after="0" w:line="264" w:lineRule="auto"/>
        <w:rPr>
          <w:sz w:val="20"/>
          <w:szCs w:val="20"/>
          <w:color w:val="auto"/>
        </w:rPr>
      </w:pPr>
      <w:r>
        <w:rPr>
          <w:rFonts w:ascii="Arial" w:cs="Arial" w:eastAsia="Arial" w:hAnsi="Arial"/>
          <w:sz w:val="18"/>
          <w:szCs w:val="18"/>
          <w:color w:val="auto"/>
        </w:rPr>
        <w:t>is to hedge a majority of transaction exposures denominated in euros, Japanese yen, Swiss francs, British pounds, Canadian dollars and Australian dollars. These instruments have maturities between one to twelve months in the future. Autodesk does not enter into derivative instrument transactions for trading or speculative purposes.</w:t>
      </w:r>
    </w:p>
    <w:p>
      <w:pPr>
        <w:spacing w:after="0" w:line="181"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Autodesk utilizes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income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income (loss)” to “Interest and other (expense) income, net” in the Company's Condensed Consolidated Financial Statements at that time.</w:t>
      </w:r>
    </w:p>
    <w:p>
      <w:pPr>
        <w:spacing w:after="0" w:line="166"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The net notional amounts of these contracts are presented net settled and were $429.3 million at October 31, 2012 and $419.6 million at January 31, 2012. Outstanding contracts are recognized as either assets or liabilities on the balance sheet at fair value. The majority of the net gain of $0.6 million remaining in “Accumulated other comprehensive (loss) income” as of October 31, 2012 is expected to be recognized into earnings within the next twelve months.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Autodesk uses foreign currency contracts which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(expense) income,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$1.3 million at October 31, 2012 and $75.1 million at January 31, 2012.</w:t>
      </w:r>
    </w:p>
    <w:p>
      <w:pPr>
        <w:spacing w:after="0" w:line="178"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(expense)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584" w:right="31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fair value of derivative instruments in Autodesk’s Condensed Consolidated Balance Sheets were as follows as of October 31, 2012 and January 31, 2012:</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5740" w:type="dxa"/>
            <w:vAlign w:val="bottom"/>
            <w:tcBorders>
              <w:bottom w:val="single" w:sz="8" w:color="CCEEFF"/>
            </w:tcBorders>
          </w:tcPr>
          <w:p>
            <w:pPr>
              <w:spacing w:after="0"/>
              <w:rPr>
                <w:sz w:val="22"/>
                <w:szCs w:val="22"/>
                <w:color w:val="auto"/>
              </w:rPr>
            </w:pPr>
          </w:p>
        </w:tc>
        <w:tc>
          <w:tcPr>
            <w:tcW w:w="23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4"/>
              </w:rPr>
              <w:t>October 31, 2012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6"/>
              </w:rPr>
              <w:t>January 31, 2012</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0"/>
        </w:trPr>
        <w:tc>
          <w:tcPr>
            <w:tcW w:w="574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360" w:type="dxa"/>
            <w:vAlign w:val="bottom"/>
          </w:tcPr>
          <w:p>
            <w:pPr>
              <w:ind w:left="20"/>
              <w:spacing w:after="0"/>
              <w:rPr>
                <w:sz w:val="20"/>
                <w:szCs w:val="20"/>
                <w:color w:val="auto"/>
              </w:rPr>
            </w:pPr>
            <w:r>
              <w:rPr>
                <w:rFonts w:ascii="Arial" w:cs="Arial" w:eastAsia="Arial" w:hAnsi="Arial"/>
                <w:sz w:val="16"/>
                <w:szCs w:val="16"/>
                <w:color w:val="auto"/>
                <w:w w:val="91"/>
              </w:rPr>
              <w:t>Prepaid expenses and other current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6"/>
        </w:trPr>
        <w:tc>
          <w:tcPr>
            <w:tcW w:w="5740" w:type="dxa"/>
            <w:vAlign w:val="bottom"/>
          </w:tcPr>
          <w:p>
            <w:pPr>
              <w:spacing w:after="0"/>
              <w:rPr>
                <w:sz w:val="17"/>
                <w:szCs w:val="17"/>
                <w:color w:val="auto"/>
              </w:rPr>
            </w:pPr>
          </w:p>
        </w:tc>
        <w:tc>
          <w:tcPr>
            <w:tcW w:w="2360" w:type="dxa"/>
            <w:vAlign w:val="bottom"/>
          </w:tcPr>
          <w:p>
            <w:pPr>
              <w:ind w:left="180"/>
              <w:spacing w:after="0"/>
              <w:rPr>
                <w:sz w:val="20"/>
                <w:szCs w:val="20"/>
                <w:color w:val="auto"/>
              </w:rPr>
            </w:pPr>
            <w:r>
              <w:rPr>
                <w:rFonts w:ascii="Arial" w:cs="Arial" w:eastAsia="Arial" w:hAnsi="Arial"/>
                <w:sz w:val="16"/>
                <w:szCs w:val="16"/>
                <w:color w:val="auto"/>
              </w:rPr>
              <w:t>assets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3.8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11.9</w:t>
            </w:r>
          </w:p>
        </w:tc>
      </w:tr>
      <w:tr>
        <w:trPr>
          <w:trHeight w:val="33"/>
        </w:trPr>
        <w:tc>
          <w:tcPr>
            <w:tcW w:w="57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r>
      <w:tr>
        <w:trPr>
          <w:trHeight w:val="284"/>
        </w:trPr>
        <w:tc>
          <w:tcPr>
            <w:tcW w:w="57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18.1</w:t>
            </w:r>
          </w:p>
        </w:tc>
      </w:tr>
      <w:tr>
        <w:trPr>
          <w:trHeight w:val="23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7"/>
        </w:trPr>
        <w:tc>
          <w:tcPr>
            <w:tcW w:w="574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36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2.2</w:t>
            </w:r>
          </w:p>
        </w:tc>
      </w:tr>
      <w:tr>
        <w:trPr>
          <w:trHeight w:val="33"/>
        </w:trPr>
        <w:tc>
          <w:tcPr>
            <w:tcW w:w="57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7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derivative liabilities</w:t>
            </w:r>
          </w:p>
        </w:tc>
        <w:tc>
          <w:tcPr>
            <w:tcW w:w="23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and nine months ended October 31, 2012 and 2011, respectively (amounts presented include any income tax effects):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Foreign Currency Contracts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5"/>
          </w:tcPr>
          <w:p>
            <w:pPr>
              <w:jc w:val="right"/>
              <w:ind w:right="360"/>
              <w:spacing w:after="0" w:line="153" w:lineRule="exact"/>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3"/>
                <w:szCs w:val="13"/>
                <w:color w:val="auto"/>
              </w:rPr>
            </w:pPr>
          </w:p>
        </w:tc>
        <w:tc>
          <w:tcPr>
            <w:tcW w:w="1520" w:type="dxa"/>
            <w:vAlign w:val="bottom"/>
            <w:gridSpan w:val="4"/>
          </w:tcPr>
          <w:p>
            <w:pPr>
              <w:jc w:val="right"/>
              <w:ind w:right="140"/>
              <w:spacing w:after="0" w:line="153" w:lineRule="exact"/>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October 31,</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264"/>
        </w:trPr>
        <w:tc>
          <w:tcPr>
            <w:tcW w:w="77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774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w w:val="97"/>
              </w:rPr>
              <w:t>Amount of (loss) gain recognized in accumulated other comprehensive income on derivatives (effective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w w:val="93"/>
              </w:rPr>
              <w:t>Amount and location of gain (loss) reclassified from accumulated other comprehensive income into income (effective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740" w:type="dxa"/>
            <w:vAlign w:val="bottom"/>
          </w:tcPr>
          <w:p>
            <w:pPr>
              <w:ind w:left="200"/>
              <w:spacing w:after="0"/>
              <w:rPr>
                <w:sz w:val="20"/>
                <w:szCs w:val="20"/>
                <w:color w:val="auto"/>
              </w:rPr>
            </w:pPr>
            <w:r>
              <w:rPr>
                <w:rFonts w:ascii="Arial" w:cs="Arial" w:eastAsia="Arial" w:hAnsi="Arial"/>
                <w:sz w:val="16"/>
                <w:szCs w:val="16"/>
                <w:i w:val="1"/>
                <w:iCs w:val="1"/>
                <w:color w:val="auto"/>
              </w:rPr>
              <w:t>portion)</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w w:val="96"/>
              </w:rPr>
              <w:t>Amount and location of (loss) gain recognized in income on derivatives (ineffective portion and amount excluded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740" w:type="dxa"/>
            <w:vAlign w:val="bottom"/>
          </w:tcPr>
          <w:p>
            <w:pPr>
              <w:ind w:left="200"/>
              <w:spacing w:after="0"/>
              <w:rPr>
                <w:sz w:val="20"/>
                <w:szCs w:val="20"/>
                <w:color w:val="auto"/>
              </w:rPr>
            </w:pPr>
            <w:r>
              <w:rPr>
                <w:rFonts w:ascii="Arial" w:cs="Arial" w:eastAsia="Arial" w:hAnsi="Arial"/>
                <w:sz w:val="16"/>
                <w:szCs w:val="16"/>
                <w:i w:val="1"/>
                <w:iCs w:val="1"/>
                <w:color w:val="auto"/>
              </w:rPr>
              <w:t>from effectiveness testing)</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and other (expense) income, net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432"/>
        <w:spacing w:after="0" w:line="308" w:lineRule="auto"/>
        <w:rPr>
          <w:sz w:val="20"/>
          <w:szCs w:val="20"/>
          <w:color w:val="auto"/>
        </w:rPr>
      </w:pPr>
      <w:r>
        <w:rPr>
          <w:rFonts w:ascii="Arial" w:cs="Arial" w:eastAsia="Arial" w:hAnsi="Arial"/>
          <w:sz w:val="17"/>
          <w:szCs w:val="17"/>
          <w:color w:val="auto"/>
        </w:rPr>
        <w:t>The effects of derivatives not designated as hedging instruments on Autodesk’s Condensed Consolidated Statements of Operations were as follows for the three and nine months ended October 31, 2012 and 2011, respectively (amounts presented include any income tax effects):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123"/>
              <w:spacing w:after="0"/>
              <w:rPr>
                <w:sz w:val="20"/>
                <w:szCs w:val="20"/>
                <w:color w:val="auto"/>
              </w:rPr>
            </w:pPr>
            <w:r>
              <w:rPr>
                <w:rFonts w:ascii="Arial" w:cs="Arial" w:eastAsia="Arial" w:hAnsi="Arial"/>
                <w:sz w:val="14"/>
                <w:szCs w:val="14"/>
                <w:b w:val="1"/>
                <w:bCs w:val="1"/>
                <w:color w:val="auto"/>
                <w:w w:val="96"/>
              </w:rPr>
              <w:t>Derivative Contracts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52"/>
        </w:trPr>
        <w:tc>
          <w:tcPr>
            <w:tcW w:w="7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5"/>
          </w:tcPr>
          <w:p>
            <w:pPr>
              <w:ind w:left="80"/>
              <w:spacing w:after="0" w:line="153" w:lineRule="exact"/>
              <w:rPr>
                <w:sz w:val="20"/>
                <w:szCs w:val="20"/>
                <w:color w:val="auto"/>
              </w:rPr>
            </w:pPr>
            <w:r>
              <w:rPr>
                <w:rFonts w:ascii="Arial" w:cs="Arial" w:eastAsia="Arial" w:hAnsi="Arial"/>
                <w:sz w:val="14"/>
                <w:szCs w:val="14"/>
                <w:b w:val="1"/>
                <w:bCs w:val="1"/>
                <w:color w:val="auto"/>
              </w:rPr>
              <w:t>Three Months Ended</w:t>
            </w:r>
          </w:p>
        </w:tc>
        <w:tc>
          <w:tcPr>
            <w:tcW w:w="1860" w:type="dxa"/>
            <w:vAlign w:val="bottom"/>
            <w:gridSpan w:val="6"/>
          </w:tcPr>
          <w:p>
            <w:pPr>
              <w:jc w:val="center"/>
              <w:spacing w:after="0" w:line="153" w:lineRule="exact"/>
              <w:rPr>
                <w:sz w:val="20"/>
                <w:szCs w:val="20"/>
                <w:color w:val="auto"/>
              </w:rPr>
            </w:pPr>
            <w:r>
              <w:rPr>
                <w:rFonts w:ascii="Arial" w:cs="Arial" w:eastAsia="Arial" w:hAnsi="Arial"/>
                <w:sz w:val="14"/>
                <w:szCs w:val="14"/>
                <w:b w:val="1"/>
                <w:bCs w:val="1"/>
                <w:color w:val="auto"/>
                <w:w w:val="93"/>
              </w:rPr>
              <w:t>Nine Months Ended October</w:t>
            </w:r>
          </w:p>
        </w:tc>
      </w:tr>
      <w:tr>
        <w:trPr>
          <w:trHeight w:val="192"/>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ind w:left="380"/>
              <w:spacing w:after="0"/>
              <w:rPr>
                <w:sz w:val="20"/>
                <w:szCs w:val="20"/>
                <w:color w:val="auto"/>
              </w:rPr>
            </w:pPr>
            <w:r>
              <w:rPr>
                <w:rFonts w:ascii="Arial" w:cs="Arial" w:eastAsia="Arial" w:hAnsi="Arial"/>
                <w:sz w:val="14"/>
                <w:szCs w:val="14"/>
                <w:b w:val="1"/>
                <w:bCs w:val="1"/>
                <w:color w:val="auto"/>
              </w:rPr>
              <w:t>October 31,</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31,</w:t>
            </w:r>
          </w:p>
        </w:tc>
        <w:tc>
          <w:tcPr>
            <w:tcW w:w="680" w:type="dxa"/>
            <w:vAlign w:val="bottom"/>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2011</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Amount and location of gain (loss) recognized in income on derivative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Interest and other (expense) income,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ind w:left="40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(0.6)</w:t>
            </w:r>
          </w:p>
        </w:tc>
      </w:tr>
    </w:tbl>
    <w:p>
      <w:pPr>
        <w:spacing w:after="0" w:line="235" w:lineRule="exact"/>
        <w:rPr>
          <w:sz w:val="20"/>
          <w:szCs w:val="20"/>
          <w:color w:val="auto"/>
        </w:rPr>
      </w:pPr>
    </w:p>
    <w:p>
      <w:pPr>
        <w:ind w:left="220" w:right="8500" w:hanging="212"/>
        <w:spacing w:after="0" w:line="501" w:lineRule="auto"/>
        <w:tabs>
          <w:tab w:leader="none" w:pos="184"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i w:val="1"/>
          <w:iCs w:val="1"/>
          <w:color w:val="auto"/>
        </w:rPr>
        <w:t>Stock Plans</w:t>
      </w:r>
    </w:p>
    <w:p>
      <w:pPr>
        <w:ind w:left="44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As of October 31, 2012, Autodesk maintained two active stock plans for the purpose of granting equity awards to</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1013" w:right="299" w:bottom="1440" w:gutter="0" w:footer="0" w:header="0"/>
        </w:sectPr>
      </w:pPr>
    </w:p>
    <w:bookmarkStart w:id="13" w:name="page14"/>
    <w:bookmarkEnd w:id="13"/>
    <w:p>
      <w:pPr>
        <w:ind w:right="40"/>
        <w:spacing w:after="0" w:line="259" w:lineRule="auto"/>
        <w:rPr>
          <w:sz w:val="20"/>
          <w:szCs w:val="20"/>
          <w:color w:val="auto"/>
        </w:rPr>
      </w:pPr>
      <w:r>
        <w:rPr>
          <w:rFonts w:ascii="Arial" w:cs="Arial" w:eastAsia="Arial" w:hAnsi="Arial"/>
          <w:sz w:val="18"/>
          <w:szCs w:val="18"/>
          <w:color w:val="auto"/>
        </w:rPr>
        <w:t>employees and to non-employee members of Autodesk’s Board of Directors: the 2012 Employee Stock Plan (“2012 Employee Plan”), which is available only to employees, and the Autodesk 2012 Outside Directors’ Plan (“2012 Directors' Plan”), which is available only to non-employee directors. Additionally, there are eight expired or terminated plans with options outstanding. The exercise price of all stock options granted under these plans was equal to the fair market value of the stock on the grant date.</w:t>
      </w:r>
    </w:p>
    <w:p>
      <w:pPr>
        <w:spacing w:after="0" w:line="187"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2012 Employee Plan was approved by Autodesk's stockholders in January 2012. The 2012 Employee Plan reserves up to 21.2 million shares which includes 15.2 million shares reserved upon the effectiveness of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October 31, 2012, 6.3 million options or restricted stock units have been granted under the 2012 Employee Plan. Options and restricted stock units that were granted under the 2012 Stock Plan vest over periods ranging from immediately upon grant to over a three-year period and options expire 10 years from the date of grant. The 2012 Employee Plan will expire on June 30, 2022. At October 31, 2012, 11.8 million shares were available for future issuance under the 2012 Employee Plan.</w:t>
      </w:r>
    </w:p>
    <w:p>
      <w:pPr>
        <w:spacing w:after="0" w:line="178"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2012 Directors' Plan was approved by Autodesk's stockholders in January 2012.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October 31, 2012, 0.2 million restricted stock units have been granted under the 2012 Directors' Plan. Restricted stock units that were granted under the 2012 Directors' Plan vest over one year from the date of grant. The 2012 Directors' Plan reserved 2.6 million shares of Autodesk common stock. The 2012 Directors' Plan will expire on June 30, 2022. At October 31, 2012, 2.4 million shares were available for future issuance under the 2012 Directors' Plan.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for the nine months ended October 31, 2012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w w:val="93"/>
              </w:rPr>
              <w:t>Weighted average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average remaining</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6"/>
                <w:szCs w:val="16"/>
                <w:color w:val="auto"/>
              </w:rPr>
            </w:pPr>
          </w:p>
        </w:tc>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exercise price per share</w:t>
            </w:r>
          </w:p>
        </w:tc>
        <w:tc>
          <w:tcPr>
            <w:tcW w:w="152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94"/>
              </w:rPr>
              <w:t>contractual term</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22"/>
                <w:szCs w:val="22"/>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January 31, 2012</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28.4</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31.39</w:t>
            </w:r>
          </w:p>
        </w:tc>
        <w:tc>
          <w:tcPr>
            <w:tcW w:w="1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60"/>
              <w:spacing w:after="0"/>
              <w:rPr>
                <w:sz w:val="20"/>
                <w:szCs w:val="20"/>
                <w:color w:val="auto"/>
              </w:rPr>
            </w:pPr>
            <w:r>
              <w:rPr>
                <w:rFonts w:ascii="Arial" w:cs="Arial" w:eastAsia="Arial" w:hAnsi="Arial"/>
                <w:sz w:val="16"/>
                <w:szCs w:val="16"/>
                <w:color w:val="auto"/>
              </w:rPr>
              <w:t>36.59</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25.46</w:t>
            </w:r>
          </w:p>
        </w:tc>
        <w:tc>
          <w:tcPr>
            <w:tcW w:w="1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Canceled</w:t>
            </w: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60"/>
              <w:spacing w:after="0"/>
              <w:rPr>
                <w:sz w:val="20"/>
                <w:szCs w:val="20"/>
                <w:color w:val="auto"/>
              </w:rPr>
            </w:pPr>
            <w:r>
              <w:rPr>
                <w:rFonts w:ascii="Arial" w:cs="Arial" w:eastAsia="Arial" w:hAnsi="Arial"/>
                <w:sz w:val="16"/>
                <w:szCs w:val="16"/>
                <w:color w:val="auto"/>
              </w:rPr>
              <w:t>38.12</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October 31, 2012</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20.6</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32.17</w:t>
            </w:r>
          </w:p>
        </w:tc>
        <w:tc>
          <w:tcPr>
            <w:tcW w:w="15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Options exercisable at October 31, 2012</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Borders>
              <w:bottom w:val="single" w:sz="8" w:color="CCEEFF"/>
            </w:tcBorders>
            <w:vMerge w:val="continue"/>
          </w:tcPr>
          <w:p>
            <w:pPr>
              <w:spacing w:after="0"/>
              <w:rPr>
                <w:sz w:val="24"/>
                <w:szCs w:val="24"/>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14.6</w:t>
            </w:r>
          </w:p>
        </w:tc>
        <w:tc>
          <w:tcPr>
            <w:tcW w:w="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tcPr>
          <w:p>
            <w:pPr>
              <w:jc w:val="right"/>
              <w:ind w:right="160"/>
              <w:spacing w:after="0"/>
              <w:rPr>
                <w:sz w:val="20"/>
                <w:szCs w:val="20"/>
                <w:color w:val="auto"/>
              </w:rPr>
            </w:pPr>
            <w:r>
              <w:rPr>
                <w:rFonts w:ascii="Arial" w:cs="Arial" w:eastAsia="Arial" w:hAnsi="Arial"/>
                <w:sz w:val="16"/>
                <w:szCs w:val="16"/>
                <w:color w:val="auto"/>
              </w:rPr>
              <w:t>31.12</w:t>
            </w:r>
          </w:p>
        </w:tc>
        <w:tc>
          <w:tcPr>
            <w:tcW w:w="1520" w:type="dxa"/>
            <w:vAlign w:val="bottom"/>
            <w:tcBorders>
              <w:bottom w:val="single" w:sz="8" w:color="CCEEFF"/>
            </w:tcBorders>
          </w:tcPr>
          <w:p>
            <w:pPr>
              <w:jc w:val="right"/>
              <w:ind w:right="4"/>
              <w:spacing w:after="0"/>
              <w:rPr>
                <w:sz w:val="20"/>
                <w:szCs w:val="20"/>
                <w:color w:val="auto"/>
              </w:rPr>
            </w:pPr>
            <w:r>
              <w:rPr>
                <w:rFonts w:ascii="Arial" w:cs="Arial" w:eastAsia="Arial" w:hAnsi="Arial"/>
                <w:sz w:val="16"/>
                <w:szCs w:val="16"/>
                <w:color w:val="auto"/>
              </w:rPr>
              <w:t>2.8</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vested as of October 31, 2012 and expected to vest thereafter (1)</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20.4</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32.10</w:t>
            </w:r>
          </w:p>
        </w:tc>
        <w:tc>
          <w:tcPr>
            <w:tcW w:w="15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Options available for grant at October 31, 2012</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60" w:type="dxa"/>
            <w:vAlign w:val="bottom"/>
            <w:vMerge w:val="continue"/>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Options expected to vest reflect an estimated forfeiture rate.</w:t>
      </w:r>
    </w:p>
    <w:p>
      <w:pPr>
        <w:spacing w:after="0" w:line="9" w:lineRule="exact"/>
        <w:rPr>
          <w:rFonts w:ascii="Arial" w:cs="Arial" w:eastAsia="Arial" w:hAnsi="Arial"/>
          <w:sz w:val="16"/>
          <w:szCs w:val="16"/>
          <w:color w:val="auto"/>
        </w:rPr>
      </w:pPr>
    </w:p>
    <w:p>
      <w:pPr>
        <w:ind w:left="420" w:right="120" w:hanging="412"/>
        <w:spacing w:after="0" w:line="257"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$31.85 per share as of October 31, 2012, which would have been received by the option holders had all option holders exercised their options as of that date.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jc w:val="both"/>
        <w:ind w:right="240" w:firstLine="432"/>
        <w:spacing w:after="0" w:line="286" w:lineRule="auto"/>
        <w:rPr>
          <w:sz w:val="20"/>
          <w:szCs w:val="20"/>
          <w:color w:val="auto"/>
        </w:rPr>
      </w:pPr>
      <w:r>
        <w:rPr>
          <w:rFonts w:ascii="Arial" w:cs="Arial" w:eastAsia="Arial" w:hAnsi="Arial"/>
          <w:sz w:val="17"/>
          <w:szCs w:val="17"/>
          <w:color w:val="auto"/>
        </w:rPr>
        <w:t>As of October 31, 2012, total compensation cost of $44.8 million related to non-vested options is expected to be recognized over a weighted average period of 1.3 years. The following table summarizes information about the pre-tax intrinsic value of options exercised, and the weighted average grant date fair value per share of options granted, during the three and nine months ended October 31, 2012, and 2011.</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5"/>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860" w:type="dxa"/>
            <w:vAlign w:val="bottom"/>
            <w:gridSpan w:val="4"/>
          </w:tcPr>
          <w:p>
            <w:pPr>
              <w:jc w:val="right"/>
              <w:ind w:right="802"/>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2012</w:t>
            </w: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2011</w:t>
            </w: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31, 2012</w:t>
            </w:r>
          </w:p>
        </w:tc>
        <w:tc>
          <w:tcPr>
            <w:tcW w:w="160" w:type="dxa"/>
            <w:vAlign w:val="bottom"/>
          </w:tcPr>
          <w:p>
            <w:pPr>
              <w:spacing w:after="0"/>
              <w:rPr>
                <w:sz w:val="24"/>
                <w:szCs w:val="24"/>
                <w:color w:val="auto"/>
              </w:rPr>
            </w:pPr>
          </w:p>
        </w:tc>
        <w:tc>
          <w:tcPr>
            <w:tcW w:w="1300" w:type="dxa"/>
            <w:vAlign w:val="bottom"/>
          </w:tcPr>
          <w:p>
            <w:pPr>
              <w:jc w:val="right"/>
              <w:ind w:right="142"/>
              <w:spacing w:after="0"/>
              <w:rPr>
                <w:sz w:val="20"/>
                <w:szCs w:val="20"/>
                <w:color w:val="auto"/>
              </w:rPr>
            </w:pPr>
            <w:r>
              <w:rPr>
                <w:rFonts w:ascii="Arial" w:cs="Arial" w:eastAsia="Arial" w:hAnsi="Arial"/>
                <w:sz w:val="14"/>
                <w:szCs w:val="14"/>
                <w:b w:val="1"/>
                <w:bCs w:val="1"/>
                <w:color w:val="auto"/>
                <w:w w:val="94"/>
              </w:rPr>
              <w:t>October 31, 2011</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intrinsic value of options exercised (1)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76.9</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w w:val="93"/>
              </w:rPr>
              <w:t>Weighted average grant date fair value per share of stock options granted (2)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11.65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10.45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13.39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14.06</w:t>
            </w:r>
          </w:p>
        </w:tc>
      </w:tr>
      <w:tr>
        <w:trPr>
          <w:trHeight w:val="249"/>
        </w:trPr>
        <w:tc>
          <w:tcPr>
            <w:tcW w:w="516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32" w:lineRule="exact"/>
        <w:rPr>
          <w:rFonts w:ascii="Arial" w:cs="Arial" w:eastAsia="Arial" w:hAnsi="Arial"/>
          <w:sz w:val="14"/>
          <w:szCs w:val="14"/>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weighted average grant date fair value of stock options granted is calculated, as of the stock option grant date, using the Black-Scholes-Merton option pricing model.</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options outstanding and exercisable at October 31, 2012:</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Options Exercisable</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96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intrinsic</w:t>
            </w: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6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life</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value (1)</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life</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exercise</w:t>
            </w:r>
          </w:p>
        </w:tc>
        <w:tc>
          <w:tcPr>
            <w:tcW w:w="140" w:type="dxa"/>
            <w:vAlign w:val="bottom"/>
          </w:tcPr>
          <w:p>
            <w:pPr>
              <w:spacing w:after="0"/>
              <w:rPr>
                <w:sz w:val="12"/>
                <w:szCs w:val="12"/>
                <w:color w:val="auto"/>
              </w:rPr>
            </w:pPr>
          </w:p>
        </w:tc>
        <w:tc>
          <w:tcPr>
            <w:tcW w:w="96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4"/>
              </w:rPr>
              <w:t>value (1)</w:t>
            </w:r>
          </w:p>
        </w:tc>
        <w:tc>
          <w:tcPr>
            <w:tcW w:w="0" w:type="dxa"/>
            <w:vAlign w:val="bottom"/>
          </w:tcPr>
          <w:p>
            <w:pPr>
              <w:spacing w:after="0"/>
              <w:rPr>
                <w:sz w:val="1"/>
                <w:szCs w:val="1"/>
                <w:color w:val="auto"/>
              </w:rPr>
            </w:pPr>
          </w:p>
        </w:tc>
      </w:tr>
      <w:tr>
        <w:trPr>
          <w:trHeight w:val="192"/>
        </w:trPr>
        <w:tc>
          <w:tcPr>
            <w:tcW w:w="18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price</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w:t>
            </w:r>
          </w:p>
        </w:tc>
        <w:tc>
          <w:tcPr>
            <w:tcW w:w="140" w:type="dxa"/>
            <w:vAlign w:val="bottom"/>
          </w:tcPr>
          <w:p>
            <w:pPr>
              <w:spacing w:after="0"/>
              <w:rPr>
                <w:sz w:val="16"/>
                <w:szCs w:val="16"/>
                <w:color w:val="auto"/>
              </w:rPr>
            </w:pPr>
          </w:p>
        </w:tc>
        <w:tc>
          <w:tcPr>
            <w:tcW w:w="960" w:type="dxa"/>
            <w:vAlign w:val="bottom"/>
          </w:tcPr>
          <w:p>
            <w:pPr>
              <w:jc w:val="center"/>
              <w:ind w:right="66"/>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6"/>
        </w:trPr>
        <w:tc>
          <w:tcPr>
            <w:tcW w:w="1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per-share</w:t>
            </w: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exercise prices:</w:t>
            </w: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$2.28 - $17.53</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13.86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14.17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$18.19 - $29.49</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28.06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$29.50 - $38.55</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32.72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32.70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$39.69 - $43.81</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41.71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41.89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$45.20 - $49.80</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45.70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45.70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20.6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0"/>
        </w:trPr>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20" w:hanging="412"/>
        <w:spacing w:after="0" w:line="263"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$31.85 per share as of October 31, 2012, which would have been received by the option holders had all option holders exercised their options as of that date.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options will expire if not exercised at specific dates ranging through September 2022.</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unit and restricted stock award activity for the nine months ended October 31, 2012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Unreleased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2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9"/>
        </w:trPr>
        <w:tc>
          <w:tcPr>
            <w:tcW w:w="82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92"/>
        </w:trPr>
        <w:tc>
          <w:tcPr>
            <w:tcW w:w="826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82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Unreleased restricted stock at January 31, 2012</w:t>
            </w: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2,184.1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36.65</w:t>
            </w:r>
          </w:p>
        </w:tc>
        <w:tc>
          <w:tcPr>
            <w:tcW w:w="0" w:type="dxa"/>
            <w:vAlign w:val="bottom"/>
          </w:tcPr>
          <w:p>
            <w:pPr>
              <w:spacing w:after="0"/>
              <w:rPr>
                <w:sz w:val="1"/>
                <w:szCs w:val="1"/>
                <w:color w:val="auto"/>
              </w:rPr>
            </w:pPr>
          </w:p>
        </w:tc>
      </w:tr>
      <w:tr>
        <w:trPr>
          <w:trHeight w:val="237"/>
        </w:trPr>
        <w:tc>
          <w:tcPr>
            <w:tcW w:w="8260" w:type="dxa"/>
            <w:vAlign w:val="bottom"/>
          </w:tcPr>
          <w:p>
            <w:pPr>
              <w:ind w:left="380"/>
              <w:spacing w:after="0"/>
              <w:rPr>
                <w:sz w:val="20"/>
                <w:szCs w:val="20"/>
                <w:color w:val="auto"/>
              </w:rPr>
            </w:pPr>
            <w:r>
              <w:rPr>
                <w:rFonts w:ascii="Arial" w:cs="Arial" w:eastAsia="Arial" w:hAnsi="Arial"/>
                <w:sz w:val="16"/>
                <w:szCs w:val="16"/>
                <w:color w:val="auto"/>
              </w:rPr>
              <w:t>Awarded</w:t>
            </w:r>
          </w:p>
        </w:tc>
        <w:tc>
          <w:tcPr>
            <w:tcW w:w="1480" w:type="dxa"/>
            <w:vAlign w:val="bottom"/>
          </w:tcPr>
          <w:p>
            <w:pPr>
              <w:jc w:val="right"/>
              <w:ind w:right="43"/>
              <w:spacing w:after="0"/>
              <w:rPr>
                <w:sz w:val="20"/>
                <w:szCs w:val="20"/>
                <w:color w:val="auto"/>
              </w:rPr>
            </w:pPr>
            <w:r>
              <w:rPr>
                <w:rFonts w:ascii="Arial" w:cs="Arial" w:eastAsia="Arial" w:hAnsi="Arial"/>
                <w:sz w:val="16"/>
                <w:szCs w:val="16"/>
                <w:color w:val="auto"/>
              </w:rPr>
              <w:t>3,283.2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35.36</w:t>
            </w:r>
          </w:p>
        </w:tc>
        <w:tc>
          <w:tcPr>
            <w:tcW w:w="0" w:type="dxa"/>
            <w:vAlign w:val="bottom"/>
          </w:tcPr>
          <w:p>
            <w:pPr>
              <w:spacing w:after="0"/>
              <w:rPr>
                <w:sz w:val="1"/>
                <w:szCs w:val="1"/>
                <w:color w:val="auto"/>
              </w:rPr>
            </w:pPr>
          </w:p>
        </w:tc>
      </w:tr>
      <w:tr>
        <w:trPr>
          <w:trHeight w:val="237"/>
        </w:trPr>
        <w:tc>
          <w:tcPr>
            <w:tcW w:w="826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480" w:type="dxa"/>
            <w:vAlign w:val="bottom"/>
          </w:tcPr>
          <w:p>
            <w:pPr>
              <w:jc w:val="right"/>
              <w:spacing w:after="0"/>
              <w:rPr>
                <w:sz w:val="20"/>
                <w:szCs w:val="20"/>
                <w:color w:val="auto"/>
              </w:rPr>
            </w:pPr>
            <w:r>
              <w:rPr>
                <w:rFonts w:ascii="Arial" w:cs="Arial" w:eastAsia="Arial" w:hAnsi="Arial"/>
                <w:sz w:val="16"/>
                <w:szCs w:val="16"/>
                <w:color w:val="auto"/>
              </w:rPr>
              <w:t>(141.5)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35.76</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Unreleased restricted stock at October 31, 2012</w:t>
            </w: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5,015.6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34.29</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During the nine months ended October 31, 2012, Autodesk granted 2.7 million restricted stock units. The restricted stock units vest over periods ranging from immediately upon grant to a pre-determined date that is typically within three years from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right="140"/>
        <w:spacing w:after="0" w:line="255" w:lineRule="auto"/>
        <w:rPr>
          <w:sz w:val="20"/>
          <w:szCs w:val="20"/>
          <w:color w:val="auto"/>
        </w:rPr>
      </w:pPr>
      <w:r>
        <w:rPr>
          <w:rFonts w:ascii="Arial" w:cs="Arial" w:eastAsia="Arial" w:hAnsi="Arial"/>
          <w:sz w:val="18"/>
          <w:szCs w:val="18"/>
          <w:color w:val="auto"/>
        </w:rPr>
        <w:t>the date of grant. Restricted stock units are not considered outstanding stock at the time of grant, as the holders of these units are not entitled to any of the rights of a stockholder, including voting rights. The fair value of the restricted stock units is expensed ratably over the vesting period. Autodesk recorded stock-based compensation expense related to restricted stock units of $31.8 million and $55.1 million during the three and nine months ended October 31, 2012, respectively. Autodesk recorded stock-based compensation expense related to restricted stock units of $6.9 million and $20.5 million, during the three and nine months ended October 31, 2011, respectively. As of October 31, 2012, total compensation cost not yet recognized of $88.3 million related to non-vested restricted stock units, is expected to be recognized over a weighted average period of 1.8 years. At October 31, 2012, the number of restricted stock units granted but unreleased was 4.5 million.</w:t>
      </w:r>
    </w:p>
    <w:p>
      <w:pPr>
        <w:spacing w:after="0" w:line="18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During the nine months ended October 31, 2012, Autodesk granted 0.5 million performance restricted stock units. Performance restricted stock units vest with the attainment of predetermined goals and requisite service periods. Performance stock units are not considered outstanding stock at the time of grant, as the holders of these units are not entitled to any of the rights of a stockholder, including voting rights. The fair value of the performance restricted stock units is expensed using the accelerated attribution method over the vesting period. Autodesk recorded stock-based compensation expense related to performance restricted stock units of $1.9 million and $5.2 million during the three and nine months ended October 31, 2012, respectively. Autodesk recorded no stock-based compensation related to performance restricted stock units for both the three and nine months ended October 31, 2011, as the Company previously had not granted performance restricted stock units. As of October 31, 2012, total compensation cost not yet recognized of $7.8 million related to non-vested performance restricted stock units, is expected to be recognized over a weighted average period of 1.4 years. At October 31, 2012, the number of performance restricted stock units granted but unreleased was 0.5 million.</w:t>
      </w:r>
    </w:p>
    <w:p>
      <w:pPr>
        <w:spacing w:after="0" w:line="3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22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Under Autodesk’s ESP Plan, which was approved by stockholders in 1998, eligible employees may purchase shares of Autodesk’s common stock at their discretion using up to 15% of their eligible compensation subject to certain limitations, at not less than 85% of fair market value as defined in the ESP Plan. At October 31, 2012, a total of 31.5 million shares were available for future issuance. This amount automatically increases on the first trading day of each fiscal year by an amount equal to the lesser of 10.0 million shares or 2%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93"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Autodesk issued 1.3 million and 2.9 million shares under the ESP Plan during the three and nine months ended October 31, 2012, respectively, with an average price of $21.98 and $21.79 per share, respectively. During the three and nine months ended October 31, 2011, Autodesk issued 1.0 million and 2.8 million shares, respectively, under the ESP Plan, at average prices of $23.52 and $18.26 per share, respectively. The weighted average grant date fair value of awards granted under the ESP Plan during the three and nine months ended October 31, 2012, calculated as of the award grant date using the Black-Scholes-Merton option pricing model, was $11.57 and $11.02 per share, respectively. The weighted average grant date fair value of awards granted under the ESP Plan during the three and nine months ended October 31, 2011, calculated as of the award grant date using the Black-Scholes-Merton option pricing model, was $8.32 and $9.95 per share, respectively.</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6" w:name="page17"/>
    <w:bookmarkEnd w:id="16"/>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table summarizes stock-based compensation expense for the three and nine months ended October 31, 2012 and 2011, respectively,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620" w:type="dxa"/>
            <w:vAlign w:val="bottom"/>
          </w:tcPr>
          <w:p>
            <w:pPr>
              <w:jc w:val="right"/>
              <w:ind w:right="161"/>
              <w:spacing w:after="0"/>
              <w:rPr>
                <w:sz w:val="20"/>
                <w:szCs w:val="20"/>
                <w:color w:val="auto"/>
              </w:rPr>
            </w:pPr>
            <w:r>
              <w:rPr>
                <w:rFonts w:ascii="Arial" w:cs="Arial" w:eastAsia="Arial" w:hAnsi="Arial"/>
                <w:sz w:val="14"/>
                <w:szCs w:val="14"/>
                <w:b w:val="1"/>
                <w:bCs w:val="1"/>
                <w:color w:val="auto"/>
                <w:w w:val="98"/>
              </w:rPr>
              <w:t>Three Months Ended</w:t>
            </w:r>
          </w:p>
        </w:tc>
      </w:tr>
      <w:tr>
        <w:trPr>
          <w:trHeight w:val="192"/>
        </w:trPr>
        <w:tc>
          <w:tcPr>
            <w:tcW w:w="7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October 31, 2012</w:t>
            </w:r>
          </w:p>
        </w:tc>
        <w:tc>
          <w:tcPr>
            <w:tcW w:w="180" w:type="dxa"/>
            <w:vAlign w:val="bottom"/>
          </w:tcPr>
          <w:p>
            <w:pPr>
              <w:spacing w:after="0"/>
              <w:rPr>
                <w:sz w:val="16"/>
                <w:szCs w:val="16"/>
                <w:color w:val="auto"/>
              </w:rPr>
            </w:pPr>
          </w:p>
        </w:tc>
        <w:tc>
          <w:tcPr>
            <w:tcW w:w="1620" w:type="dxa"/>
            <w:vAlign w:val="bottom"/>
          </w:tcPr>
          <w:p>
            <w:pPr>
              <w:jc w:val="right"/>
              <w:ind w:right="301"/>
              <w:spacing w:after="0"/>
              <w:rPr>
                <w:sz w:val="20"/>
                <w:szCs w:val="20"/>
                <w:color w:val="auto"/>
              </w:rPr>
            </w:pPr>
            <w:r>
              <w:rPr>
                <w:rFonts w:ascii="Arial" w:cs="Arial" w:eastAsia="Arial" w:hAnsi="Arial"/>
                <w:sz w:val="14"/>
                <w:szCs w:val="14"/>
                <w:b w:val="1"/>
                <w:bCs w:val="1"/>
                <w:color w:val="auto"/>
              </w:rPr>
              <w:t>October 31, 2011</w:t>
            </w:r>
          </w:p>
        </w:tc>
      </w:tr>
      <w:tr>
        <w:trPr>
          <w:trHeight w:val="236"/>
        </w:trPr>
        <w:tc>
          <w:tcPr>
            <w:tcW w:w="7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license and other revenue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0.9</w:t>
            </w:r>
          </w:p>
        </w:tc>
      </w:tr>
      <w:tr>
        <w:trPr>
          <w:trHeight w:val="237"/>
        </w:trPr>
        <w:tc>
          <w:tcPr>
            <w:tcW w:w="760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180" w:type="dxa"/>
            <w:vAlign w:val="bottom"/>
          </w:tcPr>
          <w:p>
            <w:pPr>
              <w:spacing w:after="0"/>
              <w:rPr>
                <w:sz w:val="20"/>
                <w:szCs w:val="20"/>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11.7</w:t>
            </w:r>
          </w:p>
        </w:tc>
      </w:tr>
      <w:tr>
        <w:trPr>
          <w:trHeight w:val="33"/>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8.9</w:t>
            </w:r>
          </w:p>
        </w:tc>
      </w:tr>
      <w:tr>
        <w:trPr>
          <w:trHeight w:val="237"/>
        </w:trPr>
        <w:tc>
          <w:tcPr>
            <w:tcW w:w="76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4.1</w:t>
            </w:r>
          </w:p>
        </w:tc>
      </w:tr>
      <w:tr>
        <w:trPr>
          <w:trHeight w:val="33"/>
        </w:trPr>
        <w:tc>
          <w:tcPr>
            <w:tcW w:w="7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w:t>
            </w: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25.6</w:t>
            </w:r>
          </w:p>
        </w:tc>
      </w:tr>
      <w:tr>
        <w:trPr>
          <w:trHeight w:val="237"/>
        </w:trPr>
        <w:tc>
          <w:tcPr>
            <w:tcW w:w="7600" w:type="dxa"/>
            <w:vAlign w:val="bottom"/>
          </w:tcPr>
          <w:p>
            <w:pPr>
              <w:ind w:left="40"/>
              <w:spacing w:after="0"/>
              <w:rPr>
                <w:sz w:val="20"/>
                <w:szCs w:val="20"/>
                <w:color w:val="auto"/>
              </w:rPr>
            </w:pPr>
            <w:r>
              <w:rPr>
                <w:rFonts w:ascii="Arial" w:cs="Arial" w:eastAsia="Arial" w:hAnsi="Arial"/>
                <w:sz w:val="16"/>
                <w:szCs w:val="16"/>
                <w:color w:val="auto"/>
              </w:rPr>
              <w:t>Tax benefit</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33"/>
        </w:trPr>
        <w:tc>
          <w:tcPr>
            <w:tcW w:w="7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5"/>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 net of tax</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420"/>
          </w:cols>
          <w:pgMar w:left="240" w:top="584" w:right="239" w:bottom="1440" w:gutter="0" w:footer="0" w:header="0"/>
        </w:sectPr>
      </w:pPr>
    </w:p>
    <w:p>
      <w:pPr>
        <w:jc w:val="center"/>
        <w:ind w:left="7900"/>
        <w:spacing w:after="0"/>
        <w:rPr>
          <w:sz w:val="20"/>
          <w:szCs w:val="20"/>
          <w:color w:val="auto"/>
        </w:rPr>
      </w:pPr>
      <w:r>
        <w:rPr>
          <w:rFonts w:ascii="Arial" w:cs="Arial" w:eastAsia="Arial" w:hAnsi="Arial"/>
          <w:sz w:val="13"/>
          <w:szCs w:val="13"/>
          <w:b w:val="1"/>
          <w:bCs w:val="1"/>
          <w:color w:val="auto"/>
        </w:rPr>
        <w:t>Nine Months Ended</w:t>
      </w:r>
    </w:p>
    <w:p>
      <w:pPr>
        <w:spacing w:after="0" w:line="15"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October 31, 2012</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Arial" w:cs="Arial" w:eastAsia="Arial" w:hAnsi="Arial"/>
          <w:sz w:val="13"/>
          <w:szCs w:val="13"/>
          <w:b w:val="1"/>
          <w:bCs w:val="1"/>
          <w:color w:val="auto"/>
        </w:rPr>
        <w:t>Nine Months Ended</w:t>
      </w:r>
    </w:p>
    <w:p>
      <w:pPr>
        <w:spacing w:after="0" w:line="15"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October 31, 2011</w:t>
      </w:r>
    </w:p>
    <w:p>
      <w:pPr>
        <w:spacing w:after="0" w:line="9" w:lineRule="exact"/>
        <w:rPr>
          <w:sz w:val="20"/>
          <w:szCs w:val="20"/>
          <w:color w:val="auto"/>
        </w:rPr>
      </w:pPr>
    </w:p>
    <w:p>
      <w:pPr>
        <w:sectPr>
          <w:pgSz w:w="11900" w:h="16838" w:orient="portrait"/>
          <w:cols w:equalWidth="0" w:num="2">
            <w:col w:w="9120" w:space="700"/>
            <w:col w:w="1600"/>
          </w:cols>
          <w:pgMar w:left="240" w:top="584" w:right="2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7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license and other revenue</w:t>
            </w:r>
          </w:p>
        </w:tc>
        <w:tc>
          <w:tcPr>
            <w:tcW w:w="740" w:type="dxa"/>
            <w:vAlign w:val="bottom"/>
            <w:tcBorders>
              <w:top w:val="single" w:sz="8" w:color="auto"/>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37"/>
        </w:trPr>
        <w:tc>
          <w:tcPr>
            <w:tcW w:w="760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7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34.8</w:t>
            </w:r>
          </w:p>
        </w:tc>
      </w:tr>
      <w:tr>
        <w:trPr>
          <w:trHeight w:val="33"/>
        </w:trPr>
        <w:tc>
          <w:tcPr>
            <w:tcW w:w="7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r>
      <w:tr>
        <w:trPr>
          <w:trHeight w:val="237"/>
        </w:trPr>
        <w:tc>
          <w:tcPr>
            <w:tcW w:w="76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7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33"/>
        </w:trPr>
        <w:tc>
          <w:tcPr>
            <w:tcW w:w="7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w:t>
            </w:r>
          </w:p>
        </w:tc>
        <w:tc>
          <w:tcPr>
            <w:tcW w:w="7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w:t>
            </w:r>
          </w:p>
        </w:tc>
      </w:tr>
      <w:tr>
        <w:trPr>
          <w:trHeight w:val="237"/>
        </w:trPr>
        <w:tc>
          <w:tcPr>
            <w:tcW w:w="7600" w:type="dxa"/>
            <w:vAlign w:val="bottom"/>
          </w:tcPr>
          <w:p>
            <w:pPr>
              <w:ind w:left="40"/>
              <w:spacing w:after="0"/>
              <w:rPr>
                <w:sz w:val="20"/>
                <w:szCs w:val="20"/>
                <w:color w:val="auto"/>
              </w:rPr>
            </w:pPr>
            <w:r>
              <w:rPr>
                <w:rFonts w:ascii="Arial" w:cs="Arial" w:eastAsia="Arial" w:hAnsi="Arial"/>
                <w:sz w:val="16"/>
                <w:szCs w:val="16"/>
                <w:color w:val="auto"/>
              </w:rPr>
              <w:t>Tax benefit</w:t>
            </w: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33"/>
        </w:trPr>
        <w:tc>
          <w:tcPr>
            <w:tcW w:w="7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 net of tax</w:t>
            </w:r>
          </w:p>
        </w:tc>
        <w:tc>
          <w:tcPr>
            <w:tcW w:w="7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Autodesk uses the Black-Scholes-Merton option-pricing model to estimate the fair value of stock-based awards based on the following assumptions: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52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4"/>
              </w:rPr>
              <w:t>Three Months Ended October 31,</w:t>
            </w:r>
          </w:p>
        </w:tc>
        <w:tc>
          <w:tcPr>
            <w:tcW w:w="2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 October 31,</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923"/>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152"/>
        </w:trPr>
        <w:tc>
          <w:tcPr>
            <w:tcW w:w="6640" w:type="dxa"/>
            <w:vAlign w:val="bottom"/>
          </w:tcPr>
          <w:p>
            <w:pPr>
              <w:spacing w:after="0"/>
              <w:rPr>
                <w:sz w:val="13"/>
                <w:szCs w:val="13"/>
                <w:color w:val="auto"/>
              </w:rPr>
            </w:pPr>
          </w:p>
        </w:tc>
        <w:tc>
          <w:tcPr>
            <w:tcW w:w="1040" w:type="dxa"/>
            <w:vAlign w:val="bottom"/>
            <w:gridSpan w:val="2"/>
          </w:tcPr>
          <w:p>
            <w:pPr>
              <w:jc w:val="center"/>
              <w:ind w:left="142"/>
              <w:spacing w:after="0" w:line="153" w:lineRule="exact"/>
              <w:rPr>
                <w:sz w:val="20"/>
                <w:szCs w:val="20"/>
                <w:color w:val="auto"/>
              </w:rPr>
            </w:pPr>
            <w:r>
              <w:rPr>
                <w:rFonts w:ascii="Arial" w:cs="Arial" w:eastAsia="Arial" w:hAnsi="Arial"/>
                <w:sz w:val="14"/>
                <w:szCs w:val="14"/>
                <w:b w:val="1"/>
                <w:bCs w:val="1"/>
                <w:color w:val="auto"/>
                <w:w w:val="94"/>
              </w:rPr>
              <w:t>Stock Option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ESP Plan</w:t>
            </w:r>
          </w:p>
        </w:tc>
        <w:tc>
          <w:tcPr>
            <w:tcW w:w="120" w:type="dxa"/>
            <w:vAlign w:val="bottom"/>
            <w:vMerge w:val="restart"/>
          </w:tcPr>
          <w:p>
            <w:pPr>
              <w:spacing w:after="0"/>
              <w:rPr>
                <w:sz w:val="13"/>
                <w:szCs w:val="13"/>
                <w:color w:val="auto"/>
              </w:rPr>
            </w:pPr>
          </w:p>
        </w:tc>
        <w:tc>
          <w:tcPr>
            <w:tcW w:w="980" w:type="dxa"/>
            <w:vAlign w:val="bottom"/>
          </w:tcPr>
          <w:p>
            <w:pPr>
              <w:jc w:val="center"/>
              <w:ind w:left="62"/>
              <w:spacing w:after="0" w:line="153" w:lineRule="exact"/>
              <w:rPr>
                <w:sz w:val="20"/>
                <w:szCs w:val="20"/>
                <w:color w:val="auto"/>
              </w:rPr>
            </w:pPr>
            <w:r>
              <w:rPr>
                <w:rFonts w:ascii="Arial" w:cs="Arial" w:eastAsia="Arial" w:hAnsi="Arial"/>
                <w:sz w:val="14"/>
                <w:szCs w:val="14"/>
                <w:b w:val="1"/>
                <w:bCs w:val="1"/>
                <w:color w:val="auto"/>
                <w:w w:val="91"/>
              </w:rPr>
              <w:t>Stock Option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ESP Plan</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left="142"/>
              <w:spacing w:after="0"/>
              <w:rPr>
                <w:sz w:val="20"/>
                <w:szCs w:val="20"/>
                <w:color w:val="auto"/>
              </w:rPr>
            </w:pPr>
            <w:r>
              <w:rPr>
                <w:rFonts w:ascii="Arial" w:cs="Arial" w:eastAsia="Arial" w:hAnsi="Arial"/>
                <w:sz w:val="14"/>
                <w:szCs w:val="14"/>
                <w:b w:val="1"/>
                <w:bCs w:val="1"/>
                <w:color w:val="auto"/>
                <w:w w:val="90"/>
              </w:rPr>
              <w:t>Plans</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center"/>
              <w:ind w:left="62"/>
              <w:spacing w:after="0"/>
              <w:rPr>
                <w:sz w:val="20"/>
                <w:szCs w:val="20"/>
                <w:color w:val="auto"/>
              </w:rPr>
            </w:pPr>
            <w:r>
              <w:rPr>
                <w:rFonts w:ascii="Arial" w:cs="Arial" w:eastAsia="Arial" w:hAnsi="Arial"/>
                <w:sz w:val="14"/>
                <w:szCs w:val="14"/>
                <w:b w:val="1"/>
                <w:bCs w:val="1"/>
                <w:color w:val="auto"/>
                <w:w w:val="85"/>
              </w:rPr>
              <w:t>Plans</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expected volatilities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- 45%</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- 44%</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center"/>
              <w:ind w:left="62"/>
              <w:spacing w:after="0"/>
              <w:rPr>
                <w:sz w:val="20"/>
                <w:szCs w:val="20"/>
                <w:color w:val="auto"/>
              </w:rPr>
            </w:pPr>
            <w:r>
              <w:rPr>
                <w:rFonts w:ascii="Arial" w:cs="Arial" w:eastAsia="Arial" w:hAnsi="Arial"/>
                <w:sz w:val="16"/>
                <w:szCs w:val="16"/>
                <w:color w:val="auto"/>
                <w:w w:val="93"/>
              </w:rPr>
              <w:t>43 - 45%</w:t>
            </w:r>
          </w:p>
        </w:tc>
        <w:tc>
          <w:tcPr>
            <w:tcW w:w="1280" w:type="dxa"/>
            <w:vAlign w:val="bottom"/>
            <w:tcBorders>
              <w:bottom w:val="single" w:sz="8" w:color="CCEEFF"/>
            </w:tcBorders>
            <w:gridSpan w:val="3"/>
            <w:shd w:val="clear" w:color="auto" w:fill="CCEEFF"/>
          </w:tcPr>
          <w:p>
            <w:pPr>
              <w:jc w:val="center"/>
              <w:ind w:left="161"/>
              <w:spacing w:after="0"/>
              <w:rPr>
                <w:sz w:val="20"/>
                <w:szCs w:val="20"/>
                <w:color w:val="auto"/>
              </w:rPr>
            </w:pPr>
            <w:r>
              <w:rPr>
                <w:rFonts w:ascii="Arial" w:cs="Arial" w:eastAsia="Arial" w:hAnsi="Arial"/>
                <w:sz w:val="16"/>
                <w:szCs w:val="16"/>
                <w:color w:val="auto"/>
                <w:w w:val="93"/>
              </w:rPr>
              <w:t>40 - 44%</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Range of expected lives (in years)</w:t>
            </w:r>
          </w:p>
        </w:tc>
        <w:tc>
          <w:tcPr>
            <w:tcW w:w="1040" w:type="dxa"/>
            <w:vAlign w:val="bottom"/>
            <w:gridSpan w:val="2"/>
          </w:tcPr>
          <w:p>
            <w:pPr>
              <w:jc w:val="center"/>
              <w:ind w:left="142"/>
              <w:spacing w:after="0"/>
              <w:rPr>
                <w:sz w:val="20"/>
                <w:szCs w:val="20"/>
                <w:color w:val="auto"/>
              </w:rPr>
            </w:pPr>
            <w:r>
              <w:rPr>
                <w:rFonts w:ascii="Arial" w:cs="Arial" w:eastAsia="Arial" w:hAnsi="Arial"/>
                <w:sz w:val="16"/>
                <w:szCs w:val="16"/>
                <w:color w:val="auto"/>
                <w:w w:val="91"/>
              </w:rPr>
              <w:t>3.6 - 4.2</w:t>
            </w:r>
          </w:p>
        </w:tc>
        <w:tc>
          <w:tcPr>
            <w:tcW w:w="1360" w:type="dxa"/>
            <w:vAlign w:val="bottom"/>
            <w:gridSpan w:val="4"/>
          </w:tcPr>
          <w:p>
            <w:pPr>
              <w:jc w:val="center"/>
              <w:ind w:left="260"/>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0"/>
                <w:szCs w:val="20"/>
                <w:color w:val="auto"/>
              </w:rPr>
            </w:pPr>
          </w:p>
        </w:tc>
        <w:tc>
          <w:tcPr>
            <w:tcW w:w="980" w:type="dxa"/>
            <w:vAlign w:val="bottom"/>
          </w:tcPr>
          <w:p>
            <w:pPr>
              <w:jc w:val="center"/>
              <w:ind w:left="42"/>
              <w:spacing w:after="0"/>
              <w:rPr>
                <w:sz w:val="20"/>
                <w:szCs w:val="20"/>
                <w:color w:val="auto"/>
              </w:rPr>
            </w:pPr>
            <w:r>
              <w:rPr>
                <w:rFonts w:ascii="Arial" w:cs="Arial" w:eastAsia="Arial" w:hAnsi="Arial"/>
                <w:sz w:val="16"/>
                <w:szCs w:val="16"/>
                <w:color w:val="auto"/>
                <w:w w:val="91"/>
              </w:rPr>
              <w:t>3.6 - 4.8</w:t>
            </w:r>
          </w:p>
        </w:tc>
        <w:tc>
          <w:tcPr>
            <w:tcW w:w="1280" w:type="dxa"/>
            <w:vAlign w:val="bottom"/>
            <w:gridSpan w:val="3"/>
          </w:tcPr>
          <w:p>
            <w:pPr>
              <w:jc w:val="center"/>
              <w:ind w:left="181"/>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040" w:type="dxa"/>
            <w:vAlign w:val="bottom"/>
            <w:tcBorders>
              <w:bottom w:val="single" w:sz="8" w:color="CCEEFF"/>
            </w:tcBorders>
            <w:gridSpan w:val="2"/>
            <w:shd w:val="clear" w:color="auto" w:fill="CCEEFF"/>
          </w:tcPr>
          <w:p>
            <w:pPr>
              <w:jc w:val="center"/>
              <w:ind w:left="142"/>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80" w:type="dxa"/>
            <w:vAlign w:val="bottom"/>
            <w:tcBorders>
              <w:bottom w:val="single" w:sz="8" w:color="CCEEFF"/>
            </w:tcBorders>
            <w:shd w:val="clear" w:color="auto" w:fill="CCEEFF"/>
          </w:tcPr>
          <w:p>
            <w:pPr>
              <w:jc w:val="center"/>
              <w:ind w:left="42"/>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Range of risk-free interest rates</w:t>
            </w:r>
          </w:p>
        </w:tc>
        <w:tc>
          <w:tcPr>
            <w:tcW w:w="1040" w:type="dxa"/>
            <w:vAlign w:val="bottom"/>
            <w:gridSpan w:val="2"/>
          </w:tcPr>
          <w:p>
            <w:pPr>
              <w:jc w:val="center"/>
              <w:ind w:left="142"/>
              <w:spacing w:after="0"/>
              <w:rPr>
                <w:sz w:val="20"/>
                <w:szCs w:val="20"/>
                <w:color w:val="auto"/>
              </w:rPr>
            </w:pPr>
            <w:r>
              <w:rPr>
                <w:rFonts w:ascii="Arial" w:cs="Arial" w:eastAsia="Arial" w:hAnsi="Arial"/>
                <w:sz w:val="16"/>
                <w:szCs w:val="16"/>
                <w:color w:val="auto"/>
                <w:w w:val="93"/>
              </w:rPr>
              <w:t>0.5%</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0.1</w:t>
            </w:r>
          </w:p>
        </w:tc>
        <w:tc>
          <w:tcPr>
            <w:tcW w:w="620" w:type="dxa"/>
            <w:vAlign w:val="bottom"/>
          </w:tcPr>
          <w:p>
            <w:pPr>
              <w:ind w:left="20"/>
              <w:spacing w:after="0"/>
              <w:rPr>
                <w:sz w:val="20"/>
                <w:szCs w:val="20"/>
                <w:color w:val="auto"/>
              </w:rPr>
            </w:pPr>
            <w:r>
              <w:rPr>
                <w:rFonts w:ascii="Arial" w:cs="Arial" w:eastAsia="Arial" w:hAnsi="Arial"/>
                <w:sz w:val="16"/>
                <w:szCs w:val="16"/>
                <w:color w:val="auto"/>
              </w:rPr>
              <w:t>- 0.3%</w:t>
            </w:r>
          </w:p>
        </w:tc>
        <w:tc>
          <w:tcPr>
            <w:tcW w:w="120" w:type="dxa"/>
            <w:vAlign w:val="bottom"/>
          </w:tcPr>
          <w:p>
            <w:pPr>
              <w:spacing w:after="0"/>
              <w:rPr>
                <w:sz w:val="20"/>
                <w:szCs w:val="20"/>
                <w:color w:val="auto"/>
              </w:rPr>
            </w:pPr>
          </w:p>
        </w:tc>
        <w:tc>
          <w:tcPr>
            <w:tcW w:w="980" w:type="dxa"/>
            <w:vAlign w:val="bottom"/>
          </w:tcPr>
          <w:p>
            <w:pPr>
              <w:jc w:val="center"/>
              <w:ind w:left="62"/>
              <w:spacing w:after="0"/>
              <w:rPr>
                <w:sz w:val="20"/>
                <w:szCs w:val="20"/>
                <w:color w:val="auto"/>
              </w:rPr>
            </w:pPr>
            <w:r>
              <w:rPr>
                <w:rFonts w:ascii="Arial" w:cs="Arial" w:eastAsia="Arial" w:hAnsi="Arial"/>
                <w:sz w:val="16"/>
                <w:szCs w:val="16"/>
                <w:color w:val="auto"/>
                <w:w w:val="93"/>
              </w:rPr>
              <w:t>0.5 - 0.9%</w:t>
            </w:r>
          </w:p>
        </w:tc>
        <w:tc>
          <w:tcPr>
            <w:tcW w:w="1280" w:type="dxa"/>
            <w:vAlign w:val="bottom"/>
            <w:gridSpan w:val="3"/>
          </w:tcPr>
          <w:p>
            <w:pPr>
              <w:jc w:val="center"/>
              <w:ind w:left="161"/>
              <w:spacing w:after="0"/>
              <w:rPr>
                <w:sz w:val="20"/>
                <w:szCs w:val="20"/>
                <w:color w:val="auto"/>
              </w:rPr>
            </w:pPr>
            <w:r>
              <w:rPr>
                <w:rFonts w:ascii="Arial" w:cs="Arial" w:eastAsia="Arial" w:hAnsi="Arial"/>
                <w:sz w:val="16"/>
                <w:szCs w:val="16"/>
                <w:color w:val="auto"/>
                <w:w w:val="93"/>
              </w:rPr>
              <w:t>0.1 - 0.3%</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forfeitures</w:t>
            </w:r>
          </w:p>
        </w:tc>
        <w:tc>
          <w:tcPr>
            <w:tcW w:w="1040" w:type="dxa"/>
            <w:vAlign w:val="bottom"/>
            <w:tcBorders>
              <w:bottom w:val="single" w:sz="8" w:color="CCEEFF"/>
            </w:tcBorders>
            <w:gridSpan w:val="2"/>
            <w:shd w:val="clear" w:color="auto" w:fill="CCEEFF"/>
          </w:tcPr>
          <w:p>
            <w:pPr>
              <w:jc w:val="center"/>
              <w:ind w:left="142"/>
              <w:spacing w:after="0"/>
              <w:rPr>
                <w:sz w:val="20"/>
                <w:szCs w:val="20"/>
                <w:color w:val="auto"/>
              </w:rPr>
            </w:pPr>
            <w:r>
              <w:rPr>
                <w:rFonts w:ascii="Arial" w:cs="Arial" w:eastAsia="Arial" w:hAnsi="Arial"/>
                <w:sz w:val="16"/>
                <w:szCs w:val="16"/>
                <w:color w:val="auto"/>
                <w:w w:val="93"/>
              </w:rPr>
              <w:t>7.7%</w:t>
            </w:r>
          </w:p>
        </w:tc>
        <w:tc>
          <w:tcPr>
            <w:tcW w:w="1360" w:type="dxa"/>
            <w:vAlign w:val="bottom"/>
            <w:tcBorders>
              <w:bottom w:val="single" w:sz="8" w:color="CCEEFF"/>
            </w:tcBorders>
            <w:gridSpan w:val="4"/>
            <w:shd w:val="clear" w:color="auto" w:fill="CCEEFF"/>
          </w:tcPr>
          <w:p>
            <w:pPr>
              <w:jc w:val="center"/>
              <w:ind w:left="260"/>
              <w:spacing w:after="0"/>
              <w:rPr>
                <w:sz w:val="20"/>
                <w:szCs w:val="20"/>
                <w:color w:val="auto"/>
              </w:rPr>
            </w:pPr>
            <w:r>
              <w:rPr>
                <w:rFonts w:ascii="Arial" w:cs="Arial" w:eastAsia="Arial" w:hAnsi="Arial"/>
                <w:sz w:val="16"/>
                <w:szCs w:val="16"/>
                <w:color w:val="auto"/>
                <w:w w:val="93"/>
              </w:rPr>
              <w:t>7.7%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left="42"/>
              <w:spacing w:after="0"/>
              <w:rPr>
                <w:sz w:val="20"/>
                <w:szCs w:val="20"/>
                <w:color w:val="auto"/>
              </w:rPr>
            </w:pPr>
            <w:r>
              <w:rPr>
                <w:rFonts w:ascii="Arial" w:cs="Arial" w:eastAsia="Arial" w:hAnsi="Arial"/>
                <w:sz w:val="16"/>
                <w:szCs w:val="16"/>
                <w:color w:val="auto"/>
                <w:w w:val="93"/>
              </w:rPr>
              <w:t>7.8%</w:t>
            </w:r>
          </w:p>
        </w:tc>
        <w:tc>
          <w:tcPr>
            <w:tcW w:w="1280" w:type="dxa"/>
            <w:vAlign w:val="bottom"/>
            <w:tcBorders>
              <w:bottom w:val="single" w:sz="8" w:color="CCEEFF"/>
            </w:tcBorders>
            <w:gridSpan w:val="3"/>
            <w:shd w:val="clear" w:color="auto" w:fill="CCEEFF"/>
          </w:tcPr>
          <w:p>
            <w:pPr>
              <w:jc w:val="center"/>
              <w:ind w:left="181"/>
              <w:spacing w:after="0"/>
              <w:rPr>
                <w:sz w:val="20"/>
                <w:szCs w:val="20"/>
                <w:color w:val="auto"/>
              </w:rPr>
            </w:pPr>
            <w:r>
              <w:rPr>
                <w:rFonts w:ascii="Arial" w:cs="Arial" w:eastAsia="Arial" w:hAnsi="Arial"/>
                <w:sz w:val="16"/>
                <w:szCs w:val="16"/>
                <w:color w:val="auto"/>
                <w:w w:val="93"/>
              </w:rPr>
              <w:t>7.8%</w:t>
            </w:r>
          </w:p>
        </w:tc>
        <w:tc>
          <w:tcPr>
            <w:tcW w:w="0" w:type="dxa"/>
            <w:vAlign w:val="bottom"/>
          </w:tcPr>
          <w:p>
            <w:pPr>
              <w:spacing w:after="0"/>
              <w:rPr>
                <w:sz w:val="1"/>
                <w:szCs w:val="1"/>
                <w:color w:val="auto"/>
              </w:rPr>
            </w:pPr>
          </w:p>
        </w:tc>
      </w:tr>
      <w:tr>
        <w:trPr>
          <w:trHeight w:val="153"/>
        </w:trPr>
        <w:tc>
          <w:tcPr>
            <w:tcW w:w="6640" w:type="dxa"/>
            <w:vAlign w:val="bottom"/>
          </w:tcPr>
          <w:p>
            <w:pPr>
              <w:spacing w:after="0"/>
              <w:rPr>
                <w:sz w:val="13"/>
                <w:szCs w:val="13"/>
                <w:color w:val="auto"/>
              </w:rPr>
            </w:pPr>
          </w:p>
        </w:tc>
        <w:tc>
          <w:tcPr>
            <w:tcW w:w="240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4"/>
              </w:rPr>
              <w:t>Nine Months Ended October 31, 2012</w:t>
            </w:r>
          </w:p>
        </w:tc>
        <w:tc>
          <w:tcPr>
            <w:tcW w:w="120" w:type="dxa"/>
            <w:vAlign w:val="bottom"/>
            <w:vMerge w:val="restart"/>
          </w:tcPr>
          <w:p>
            <w:pPr>
              <w:spacing w:after="0"/>
              <w:rPr>
                <w:sz w:val="13"/>
                <w:szCs w:val="13"/>
                <w:color w:val="auto"/>
              </w:rPr>
            </w:pPr>
          </w:p>
        </w:tc>
        <w:tc>
          <w:tcPr>
            <w:tcW w:w="226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3"/>
              </w:rPr>
              <w:t>Nine Months Ended October 31,</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2400" w:type="dxa"/>
            <w:vAlign w:val="bottom"/>
            <w:tcBorders>
              <w:bottom w:val="single" w:sz="8" w:color="auto"/>
            </w:tcBorders>
            <w:gridSpan w:val="6"/>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923"/>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152"/>
        </w:trPr>
        <w:tc>
          <w:tcPr>
            <w:tcW w:w="6640" w:type="dxa"/>
            <w:vAlign w:val="bottom"/>
          </w:tcPr>
          <w:p>
            <w:pPr>
              <w:spacing w:after="0"/>
              <w:rPr>
                <w:sz w:val="13"/>
                <w:szCs w:val="13"/>
                <w:color w:val="auto"/>
              </w:rPr>
            </w:pPr>
          </w:p>
        </w:tc>
        <w:tc>
          <w:tcPr>
            <w:tcW w:w="1040" w:type="dxa"/>
            <w:vAlign w:val="bottom"/>
            <w:gridSpan w:val="2"/>
          </w:tcPr>
          <w:p>
            <w:pPr>
              <w:jc w:val="center"/>
              <w:ind w:left="142"/>
              <w:spacing w:after="0" w:line="153" w:lineRule="exact"/>
              <w:rPr>
                <w:sz w:val="20"/>
                <w:szCs w:val="20"/>
                <w:color w:val="auto"/>
              </w:rPr>
            </w:pPr>
            <w:r>
              <w:rPr>
                <w:rFonts w:ascii="Arial" w:cs="Arial" w:eastAsia="Arial" w:hAnsi="Arial"/>
                <w:sz w:val="14"/>
                <w:szCs w:val="14"/>
                <w:b w:val="1"/>
                <w:bCs w:val="1"/>
                <w:color w:val="auto"/>
                <w:w w:val="94"/>
              </w:rPr>
              <w:t>Stock Option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ESP Plan</w:t>
            </w:r>
          </w:p>
        </w:tc>
        <w:tc>
          <w:tcPr>
            <w:tcW w:w="120" w:type="dxa"/>
            <w:vAlign w:val="bottom"/>
            <w:vMerge w:val="restart"/>
          </w:tcPr>
          <w:p>
            <w:pPr>
              <w:spacing w:after="0"/>
              <w:rPr>
                <w:sz w:val="13"/>
                <w:szCs w:val="13"/>
                <w:color w:val="auto"/>
              </w:rPr>
            </w:pPr>
          </w:p>
        </w:tc>
        <w:tc>
          <w:tcPr>
            <w:tcW w:w="980" w:type="dxa"/>
            <w:vAlign w:val="bottom"/>
          </w:tcPr>
          <w:p>
            <w:pPr>
              <w:jc w:val="center"/>
              <w:ind w:left="62"/>
              <w:spacing w:after="0" w:line="153" w:lineRule="exact"/>
              <w:rPr>
                <w:sz w:val="20"/>
                <w:szCs w:val="20"/>
                <w:color w:val="auto"/>
              </w:rPr>
            </w:pPr>
            <w:r>
              <w:rPr>
                <w:rFonts w:ascii="Arial" w:cs="Arial" w:eastAsia="Arial" w:hAnsi="Arial"/>
                <w:sz w:val="14"/>
                <w:szCs w:val="14"/>
                <w:b w:val="1"/>
                <w:bCs w:val="1"/>
                <w:color w:val="auto"/>
                <w:w w:val="91"/>
              </w:rPr>
              <w:t>Stock Option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ESP Plan</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left="142"/>
              <w:spacing w:after="0"/>
              <w:rPr>
                <w:sz w:val="20"/>
                <w:szCs w:val="20"/>
                <w:color w:val="auto"/>
              </w:rPr>
            </w:pPr>
            <w:r>
              <w:rPr>
                <w:rFonts w:ascii="Arial" w:cs="Arial" w:eastAsia="Arial" w:hAnsi="Arial"/>
                <w:sz w:val="14"/>
                <w:szCs w:val="14"/>
                <w:b w:val="1"/>
                <w:bCs w:val="1"/>
                <w:color w:val="auto"/>
                <w:w w:val="90"/>
              </w:rPr>
              <w:t>Plans</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center"/>
              <w:ind w:left="62"/>
              <w:spacing w:after="0"/>
              <w:rPr>
                <w:sz w:val="20"/>
                <w:szCs w:val="20"/>
                <w:color w:val="auto"/>
              </w:rPr>
            </w:pPr>
            <w:r>
              <w:rPr>
                <w:rFonts w:ascii="Arial" w:cs="Arial" w:eastAsia="Arial" w:hAnsi="Arial"/>
                <w:sz w:val="14"/>
                <w:szCs w:val="14"/>
                <w:b w:val="1"/>
                <w:bCs w:val="1"/>
                <w:color w:val="auto"/>
                <w:w w:val="85"/>
              </w:rPr>
              <w:t>Plans</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expected volatilities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- 45%</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- 44%</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center"/>
              <w:ind w:left="62"/>
              <w:spacing w:after="0"/>
              <w:rPr>
                <w:sz w:val="20"/>
                <w:szCs w:val="20"/>
                <w:color w:val="auto"/>
              </w:rPr>
            </w:pPr>
            <w:r>
              <w:rPr>
                <w:rFonts w:ascii="Arial" w:cs="Arial" w:eastAsia="Arial" w:hAnsi="Arial"/>
                <w:sz w:val="16"/>
                <w:szCs w:val="16"/>
                <w:color w:val="auto"/>
                <w:w w:val="93"/>
              </w:rPr>
              <w:t>40 - 45%</w:t>
            </w:r>
          </w:p>
        </w:tc>
        <w:tc>
          <w:tcPr>
            <w:tcW w:w="1280" w:type="dxa"/>
            <w:vAlign w:val="bottom"/>
            <w:tcBorders>
              <w:bottom w:val="single" w:sz="8" w:color="CCEEFF"/>
            </w:tcBorders>
            <w:gridSpan w:val="3"/>
            <w:shd w:val="clear" w:color="auto" w:fill="CCEEFF"/>
          </w:tcPr>
          <w:p>
            <w:pPr>
              <w:jc w:val="center"/>
              <w:ind w:left="161"/>
              <w:spacing w:after="0"/>
              <w:rPr>
                <w:sz w:val="20"/>
                <w:szCs w:val="20"/>
                <w:color w:val="auto"/>
              </w:rPr>
            </w:pPr>
            <w:r>
              <w:rPr>
                <w:rFonts w:ascii="Arial" w:cs="Arial" w:eastAsia="Arial" w:hAnsi="Arial"/>
                <w:sz w:val="16"/>
                <w:szCs w:val="16"/>
                <w:color w:val="auto"/>
                <w:w w:val="93"/>
              </w:rPr>
              <w:t>34 - 44%</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Range of expected lives (in years)</w:t>
            </w:r>
          </w:p>
        </w:tc>
        <w:tc>
          <w:tcPr>
            <w:tcW w:w="1040" w:type="dxa"/>
            <w:vAlign w:val="bottom"/>
            <w:gridSpan w:val="2"/>
          </w:tcPr>
          <w:p>
            <w:pPr>
              <w:jc w:val="center"/>
              <w:ind w:left="142"/>
              <w:spacing w:after="0"/>
              <w:rPr>
                <w:sz w:val="20"/>
                <w:szCs w:val="20"/>
                <w:color w:val="auto"/>
              </w:rPr>
            </w:pPr>
            <w:r>
              <w:rPr>
                <w:rFonts w:ascii="Arial" w:cs="Arial" w:eastAsia="Arial" w:hAnsi="Arial"/>
                <w:sz w:val="16"/>
                <w:szCs w:val="16"/>
                <w:color w:val="auto"/>
                <w:w w:val="91"/>
              </w:rPr>
              <w:t>3.6 - 4.6</w:t>
            </w:r>
          </w:p>
        </w:tc>
        <w:tc>
          <w:tcPr>
            <w:tcW w:w="1360" w:type="dxa"/>
            <w:vAlign w:val="bottom"/>
            <w:gridSpan w:val="4"/>
          </w:tcPr>
          <w:p>
            <w:pPr>
              <w:jc w:val="center"/>
              <w:ind w:left="260"/>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0"/>
                <w:szCs w:val="20"/>
                <w:color w:val="auto"/>
              </w:rPr>
            </w:pPr>
          </w:p>
        </w:tc>
        <w:tc>
          <w:tcPr>
            <w:tcW w:w="980" w:type="dxa"/>
            <w:vAlign w:val="bottom"/>
          </w:tcPr>
          <w:p>
            <w:pPr>
              <w:jc w:val="center"/>
              <w:ind w:left="42"/>
              <w:spacing w:after="0"/>
              <w:rPr>
                <w:sz w:val="20"/>
                <w:szCs w:val="20"/>
                <w:color w:val="auto"/>
              </w:rPr>
            </w:pPr>
            <w:r>
              <w:rPr>
                <w:rFonts w:ascii="Arial" w:cs="Arial" w:eastAsia="Arial" w:hAnsi="Arial"/>
                <w:sz w:val="16"/>
                <w:szCs w:val="16"/>
                <w:color w:val="auto"/>
                <w:w w:val="91"/>
              </w:rPr>
              <w:t>2.6 - 4.8</w:t>
            </w:r>
          </w:p>
        </w:tc>
        <w:tc>
          <w:tcPr>
            <w:tcW w:w="1280" w:type="dxa"/>
            <w:vAlign w:val="bottom"/>
            <w:gridSpan w:val="3"/>
          </w:tcPr>
          <w:p>
            <w:pPr>
              <w:jc w:val="center"/>
              <w:ind w:left="181"/>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040" w:type="dxa"/>
            <w:vAlign w:val="bottom"/>
            <w:tcBorders>
              <w:bottom w:val="single" w:sz="8" w:color="CCEEFF"/>
            </w:tcBorders>
            <w:gridSpan w:val="2"/>
            <w:shd w:val="clear" w:color="auto" w:fill="CCEEFF"/>
          </w:tcPr>
          <w:p>
            <w:pPr>
              <w:jc w:val="center"/>
              <w:ind w:left="142"/>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80" w:type="dxa"/>
            <w:vAlign w:val="bottom"/>
            <w:tcBorders>
              <w:bottom w:val="single" w:sz="8" w:color="CCEEFF"/>
            </w:tcBorders>
            <w:shd w:val="clear" w:color="auto" w:fill="CCEEFF"/>
          </w:tcPr>
          <w:p>
            <w:pPr>
              <w:jc w:val="center"/>
              <w:ind w:left="42"/>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Range of risk-free interest rates</w:t>
            </w:r>
          </w:p>
        </w:tc>
        <w:tc>
          <w:tcPr>
            <w:tcW w:w="520" w:type="dxa"/>
            <w:vAlign w:val="bottom"/>
          </w:tcPr>
          <w:p>
            <w:pPr>
              <w:jc w:val="right"/>
              <w:spacing w:after="0"/>
              <w:rPr>
                <w:sz w:val="20"/>
                <w:szCs w:val="20"/>
                <w:color w:val="auto"/>
              </w:rPr>
            </w:pPr>
            <w:r>
              <w:rPr>
                <w:rFonts w:ascii="Arial" w:cs="Arial" w:eastAsia="Arial" w:hAnsi="Arial"/>
                <w:sz w:val="16"/>
                <w:szCs w:val="16"/>
                <w:color w:val="auto"/>
              </w:rPr>
              <w:t>0.5</w:t>
            </w:r>
          </w:p>
        </w:tc>
        <w:tc>
          <w:tcPr>
            <w:tcW w:w="520" w:type="dxa"/>
            <w:vAlign w:val="bottom"/>
          </w:tcPr>
          <w:p>
            <w:pPr>
              <w:ind w:left="20"/>
              <w:spacing w:after="0"/>
              <w:rPr>
                <w:sz w:val="20"/>
                <w:szCs w:val="20"/>
                <w:color w:val="auto"/>
              </w:rPr>
            </w:pPr>
            <w:r>
              <w:rPr>
                <w:rFonts w:ascii="Arial" w:cs="Arial" w:eastAsia="Arial" w:hAnsi="Arial"/>
                <w:sz w:val="16"/>
                <w:szCs w:val="16"/>
                <w:color w:val="auto"/>
              </w:rPr>
              <w:t>- 0.8%</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0.1</w:t>
            </w:r>
          </w:p>
        </w:tc>
        <w:tc>
          <w:tcPr>
            <w:tcW w:w="620" w:type="dxa"/>
            <w:vAlign w:val="bottom"/>
          </w:tcPr>
          <w:p>
            <w:pPr>
              <w:ind w:left="20"/>
              <w:spacing w:after="0"/>
              <w:rPr>
                <w:sz w:val="20"/>
                <w:szCs w:val="20"/>
                <w:color w:val="auto"/>
              </w:rPr>
            </w:pPr>
            <w:r>
              <w:rPr>
                <w:rFonts w:ascii="Arial" w:cs="Arial" w:eastAsia="Arial" w:hAnsi="Arial"/>
                <w:sz w:val="16"/>
                <w:szCs w:val="16"/>
                <w:color w:val="auto"/>
              </w:rPr>
              <w:t>- 0.3%</w:t>
            </w:r>
          </w:p>
        </w:tc>
        <w:tc>
          <w:tcPr>
            <w:tcW w:w="120" w:type="dxa"/>
            <w:vAlign w:val="bottom"/>
          </w:tcPr>
          <w:p>
            <w:pPr>
              <w:spacing w:after="0"/>
              <w:rPr>
                <w:sz w:val="20"/>
                <w:szCs w:val="20"/>
                <w:color w:val="auto"/>
              </w:rPr>
            </w:pPr>
          </w:p>
        </w:tc>
        <w:tc>
          <w:tcPr>
            <w:tcW w:w="980" w:type="dxa"/>
            <w:vAlign w:val="bottom"/>
          </w:tcPr>
          <w:p>
            <w:pPr>
              <w:jc w:val="center"/>
              <w:ind w:left="62"/>
              <w:spacing w:after="0"/>
              <w:rPr>
                <w:sz w:val="20"/>
                <w:szCs w:val="20"/>
                <w:color w:val="auto"/>
              </w:rPr>
            </w:pPr>
            <w:r>
              <w:rPr>
                <w:rFonts w:ascii="Arial" w:cs="Arial" w:eastAsia="Arial" w:hAnsi="Arial"/>
                <w:sz w:val="16"/>
                <w:szCs w:val="16"/>
                <w:color w:val="auto"/>
                <w:w w:val="93"/>
              </w:rPr>
              <w:t>0.5 - 1.9%</w:t>
            </w:r>
          </w:p>
        </w:tc>
        <w:tc>
          <w:tcPr>
            <w:tcW w:w="1280" w:type="dxa"/>
            <w:vAlign w:val="bottom"/>
            <w:gridSpan w:val="3"/>
          </w:tcPr>
          <w:p>
            <w:pPr>
              <w:jc w:val="center"/>
              <w:ind w:left="161"/>
              <w:spacing w:after="0"/>
              <w:rPr>
                <w:sz w:val="20"/>
                <w:szCs w:val="20"/>
                <w:color w:val="auto"/>
              </w:rPr>
            </w:pPr>
            <w:r>
              <w:rPr>
                <w:rFonts w:ascii="Arial" w:cs="Arial" w:eastAsia="Arial" w:hAnsi="Arial"/>
                <w:sz w:val="16"/>
                <w:szCs w:val="16"/>
                <w:color w:val="auto"/>
                <w:w w:val="93"/>
              </w:rPr>
              <w:t>0.1 - 0.8%</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forfeitures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- 7.8%</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- 7.8%</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center"/>
              <w:ind w:left="62"/>
              <w:spacing w:after="0"/>
              <w:rPr>
                <w:sz w:val="20"/>
                <w:szCs w:val="20"/>
                <w:color w:val="auto"/>
              </w:rPr>
            </w:pPr>
            <w:r>
              <w:rPr>
                <w:rFonts w:ascii="Arial" w:cs="Arial" w:eastAsia="Arial" w:hAnsi="Arial"/>
                <w:sz w:val="16"/>
                <w:szCs w:val="16"/>
                <w:color w:val="auto"/>
                <w:w w:val="92"/>
              </w:rPr>
              <w:t>7.8 - 10.5%</w:t>
            </w:r>
          </w:p>
        </w:tc>
        <w:tc>
          <w:tcPr>
            <w:tcW w:w="1280" w:type="dxa"/>
            <w:vAlign w:val="bottom"/>
            <w:gridSpan w:val="3"/>
            <w:shd w:val="clear" w:color="auto" w:fill="CCEEFF"/>
          </w:tcPr>
          <w:p>
            <w:pPr>
              <w:jc w:val="center"/>
              <w:ind w:left="161"/>
              <w:spacing w:after="0"/>
              <w:rPr>
                <w:sz w:val="20"/>
                <w:szCs w:val="20"/>
                <w:color w:val="auto"/>
              </w:rPr>
            </w:pPr>
            <w:r>
              <w:rPr>
                <w:rFonts w:ascii="Arial" w:cs="Arial" w:eastAsia="Arial" w:hAnsi="Arial"/>
                <w:sz w:val="16"/>
                <w:szCs w:val="16"/>
                <w:color w:val="auto"/>
                <w:w w:val="92"/>
              </w:rPr>
              <w:t>7.8 - 10.5%</w:t>
            </w:r>
          </w:p>
        </w:tc>
        <w:tc>
          <w:tcPr>
            <w:tcW w:w="0" w:type="dxa"/>
            <w:vAlign w:val="bottom"/>
          </w:tcPr>
          <w:p>
            <w:pPr>
              <w:spacing w:after="0"/>
              <w:rPr>
                <w:sz w:val="1"/>
                <w:szCs w:val="1"/>
                <w:color w:val="auto"/>
              </w:rPr>
            </w:pPr>
          </w:p>
        </w:tc>
      </w:tr>
      <w:tr>
        <w:trPr>
          <w:trHeight w:val="33"/>
        </w:trPr>
        <w:tc>
          <w:tcPr>
            <w:tcW w:w="66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w:t>
      </w:r>
    </w:p>
    <w:p>
      <w:pPr>
        <w:spacing w:after="0" w:line="18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type w:val="continuous"/>
        </w:sectPr>
      </w:pPr>
    </w:p>
    <w:bookmarkStart w:id="17" w:name="page18"/>
    <w:bookmarkEnd w:id="17"/>
    <w:p>
      <w:pPr>
        <w:ind w:right="80"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any cash dividends in the foreseeable future. Consequently, an expected dividend yield of zero is used in the Black-Scholes-Merton option pricing model.</w:t>
      </w:r>
    </w:p>
    <w:p>
      <w:pPr>
        <w:spacing w:after="0" w:line="170"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risk-free interest rate used in the Black-Scholes-Merton option pricing model for stock-based awards is the historical yield on U.S. Treasury securities with equivalent remaining lives.</w:t>
      </w:r>
    </w:p>
    <w:p>
      <w:pPr>
        <w:spacing w:after="0" w:line="1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w:t>
      </w:r>
    </w:p>
    <w:p>
      <w:pPr>
        <w:spacing w:after="0" w:line="2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Autodesk’s effective tax rate was 14% and 23% during the three and nine months ended October 31, 2012, respectively, compared to 20% and 21% during the three and nine months ended October 31, 2011, respectively. Autodesk’s effective tax rate decreased 6% during the three months ended October 31, 2012 as compared to the same period in the prior fiscal year primarily due to restructuring charges, partially offset by non-deductible stock based compensation. Autodesk's effective tax rate increased 2% during the nine months ended October 31, 2012 as compared to the same period in the prior fiscal year primarily due to the establishment of a U.S. valuation allowance related to the impairment of an investment, expiration of the federal research credit, and non-deductible stock based compensation, partially offset by discrete tax benefits from closure of the statute of limitations during the first quarter of fiscal 2013 and adjustments related to tax return filings. Discrete tax benefits for the three and nine months ended October 31, 2012 were $15.4 million and $19.0 million, respectively, primarily associated with restructuring charges, stock-based compensation, closure of a foreign statute of limitations, and adjustments related to tax return filings, partially offset by the establishment of a U.S. valuation allowance related to the impairment of an investment. Excluding the impact of these discrete tax items, the effective tax rate for both the three and nine months ended October 31, 2012 was 25%, and was lower than the Federal statutory tax rate of 35% primarily due to foreign income taxed at lower rates partially offset by the impact of non-deductible stock based compensation expense.</w:t>
      </w:r>
    </w:p>
    <w:p>
      <w:pPr>
        <w:spacing w:after="0" w:line="180"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As of October 31, 2012, the Company had $206.0 million of gross unrecognized tax benefits, excluding interest, of which approximately $195.3 million represents the amount of unrecognized tax benefits that would impact the effective tax rate, if recognized. It is possible that the amount of unrecognized tax benefits will change in the next twelve months; however, an estimate of the range of the possible change cannot be made at this time.</w:t>
      </w:r>
    </w:p>
    <w:p>
      <w:pPr>
        <w:spacing w:after="0" w:line="166"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At October 31, 2012, Autodesk had net deferred tax assets of $176.7 million. The Company believes that it will generate sufficient future taxable income in appropriate tax jurisdictions to realize these assets.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During the nine months ended October 31, 2012, Autodesk completed the business combinations and technology purchases described below. The results of operations for the following acquisitions are included in the accompanying Condensed Consolidated Statement of Operations since their respective acquisition dates. Pro forma results of operations have not been presented because the effects of the acquisitions, individually and in the aggregate, were not material to Autodesk’s Condensed Consolidated Financial Statements.</w:t>
      </w:r>
    </w:p>
    <w:p>
      <w:pPr>
        <w:spacing w:after="0" w:line="18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w:t>
      </w:r>
    </w:p>
    <w:p>
      <w:pPr>
        <w:spacing w:after="0" w:line="181"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On June 7, 2012, Autodesk acquired Vela Systems, Inc. (“Vela”) for total cash consideration of $76.0 million. Vela was a privately owned company that provided a cloud-based mobile platform that delivers critical information to the construction and capital projects market. Prior to acquiring Vela, Autodesk had an equity investment in the company with an acquisition-date fair value of $6.8 million using a market approach to value the investment. Valuations using the market approach reflect relevant observable information generated by market transactions involving comparable businesses. As a result of the acquisition, Autodesk recorded a $3.3 million gain on the business combination achieved in stages. Vela has been integrated into, and the related goodwill was assigned to, Autodesk's Architecture, Engineering and Construction segment. The amount of goodwill that is expected to be deductible for tax purposes is zero.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18" w:name="page19"/>
    <w:bookmarkEnd w:id="18"/>
    <w:p>
      <w:pPr>
        <w:ind w:firstLine="405"/>
        <w:spacing w:after="0" w:line="273" w:lineRule="auto"/>
        <w:rPr>
          <w:sz w:val="20"/>
          <w:szCs w:val="20"/>
          <w:color w:val="auto"/>
        </w:rPr>
      </w:pPr>
      <w:r>
        <w:rPr>
          <w:rFonts w:ascii="Arial" w:cs="Arial" w:eastAsia="Arial" w:hAnsi="Arial"/>
          <w:sz w:val="17"/>
          <w:szCs w:val="17"/>
          <w:color w:val="auto"/>
        </w:rPr>
        <w:t>On August 1, 2012, Autodesk acquired Socialcam, Inc, (“Socialcam”) for total cash consideration of $59.5 million. Socialcam was a privately held web-based company offering a smartphone application and web-based service that allows users to capture, edit, and share video. Of the $59.5 million, Autodesk incurred $16.6 million relating to the acceleration of vesting of equity awards held in Socialcam for Socialcam employees immediately prior to the acquisition. The $16.6 million stock based compensation charge is included in "Research and development" in the Condensed Consolidated Statement of Operations. Socialcam has been integrated into, and the related goodwill was assigned to, Autodesk’s Platform Solutions and Emerging Business segment. The amount of goodwill that is expected to be deductible for tax purposes is zero.</w:t>
      </w:r>
    </w:p>
    <w:p>
      <w:pPr>
        <w:spacing w:after="0" w:line="17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On October 4, 2012, Autodesk acquired Qontext, an enterprise social collaboration software solution, from India-based Pramati Technologies for $26.0 million and hired the Qontext development team. This acquisition is expected to accelerate Autodesk’s ongoing move to the cloud and expansion of social capabilities in the Autodesk 360 cloud-based service. Treated as a business combination, Qontext has been integrated into, and the related goodwill was assigned to, Autodesk’s Platform Solutions and Emerging Business segment. The amount of goodwill that is expected to be deductible for tax purposes is $24.0 million.</w:t>
      </w:r>
    </w:p>
    <w:p>
      <w:pPr>
        <w:spacing w:after="0" w:line="188"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During the nine months ended October 31, 2012, Autodesk also completed five other business combination and technology acquisitions for a total cash consideration of approximately $52.2 million. These business combinations and technology acquisitions were not material individually or in aggregate to Autodesk’s Condensed Consolidated Financial Statements.</w:t>
      </w:r>
    </w:p>
    <w:p>
      <w:pPr>
        <w:spacing w:after="0" w:line="18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each of the business combinations and technology acquisitions completed during the nine months ended October 31, 2012: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Vela</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Socialcam</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Qontext</w:t>
            </w:r>
          </w:p>
        </w:tc>
        <w:tc>
          <w:tcPr>
            <w:tcW w:w="180" w:type="dxa"/>
            <w:vAlign w:val="bottom"/>
          </w:tcPr>
          <w:p>
            <w:pPr>
              <w:spacing w:after="0"/>
              <w:rPr>
                <w:sz w:val="16"/>
                <w:szCs w:val="16"/>
                <w:color w:val="auto"/>
              </w:rPr>
            </w:pPr>
          </w:p>
        </w:tc>
        <w:tc>
          <w:tcPr>
            <w:tcW w:w="700" w:type="dxa"/>
            <w:vAlign w:val="bottom"/>
          </w:tcPr>
          <w:p>
            <w:pPr>
              <w:jc w:val="right"/>
              <w:ind w:right="180"/>
              <w:spacing w:after="0"/>
              <w:rPr>
                <w:sz w:val="20"/>
                <w:szCs w:val="20"/>
                <w:color w:val="auto"/>
              </w:rPr>
            </w:pPr>
            <w:r>
              <w:rPr>
                <w:rFonts w:ascii="Arial" w:cs="Arial" w:eastAsia="Arial" w:hAnsi="Arial"/>
                <w:sz w:val="14"/>
                <w:szCs w:val="14"/>
                <w:b w:val="1"/>
                <w:bCs w:val="1"/>
                <w:color w:val="auto"/>
              </w:rPr>
              <w:t>Other</w:t>
            </w:r>
          </w:p>
        </w:tc>
      </w:tr>
      <w:tr>
        <w:trPr>
          <w:trHeight w:val="236"/>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740" w:type="dxa"/>
            <w:vAlign w:val="bottom"/>
            <w:tcBorders>
              <w:top w:val="single" w:sz="8" w:color="auto"/>
              <w:bottom w:val="single" w:sz="8" w:color="CCEEFF"/>
            </w:tcBorders>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74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1.5</w:t>
            </w:r>
          </w:p>
        </w:tc>
      </w:tr>
      <w:tr>
        <w:trPr>
          <w:trHeight w:val="33"/>
        </w:trPr>
        <w:tc>
          <w:tcPr>
            <w:tcW w:w="6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User List</w:t>
            </w:r>
          </w:p>
        </w:tc>
        <w:tc>
          <w:tcPr>
            <w:tcW w:w="74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Patent</w:t>
            </w: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Goodwill</w:t>
            </w:r>
          </w:p>
        </w:tc>
        <w:tc>
          <w:tcPr>
            <w:tcW w:w="74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w w:val="89"/>
              </w:rPr>
              <w:t>57.6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38.3</w:t>
            </w:r>
          </w:p>
        </w:tc>
      </w:tr>
      <w:tr>
        <w:trPr>
          <w:trHeight w:val="33"/>
        </w:trPr>
        <w:tc>
          <w:tcPr>
            <w:tcW w:w="6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 and non-current)</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Deferred tax asset (liability)</w:t>
            </w:r>
          </w:p>
        </w:tc>
        <w:tc>
          <w:tcPr>
            <w:tcW w:w="74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tangible assets (liabilities)</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44"/>
        </w:trPr>
        <w:tc>
          <w:tcPr>
            <w:tcW w:w="6740" w:type="dxa"/>
            <w:vAlign w:val="bottom"/>
          </w:tcPr>
          <w:p>
            <w:pPr>
              <w:ind w:left="280"/>
              <w:spacing w:after="0"/>
              <w:rPr>
                <w:sz w:val="20"/>
                <w:szCs w:val="20"/>
                <w:color w:val="auto"/>
              </w:rPr>
            </w:pPr>
            <w:r>
              <w:rPr>
                <w:rFonts w:ascii="Arial" w:cs="Arial" w:eastAsia="Arial" w:hAnsi="Arial"/>
                <w:sz w:val="16"/>
                <w:szCs w:val="16"/>
                <w:color w:val="auto"/>
              </w:rPr>
              <w:t>Total</w:t>
            </w:r>
          </w:p>
        </w:tc>
        <w:tc>
          <w:tcPr>
            <w:tcW w:w="7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76.0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52.2</w:t>
            </w:r>
          </w:p>
        </w:tc>
      </w:tr>
      <w:tr>
        <w:trPr>
          <w:trHeight w:val="20"/>
        </w:trPr>
        <w:tc>
          <w:tcPr>
            <w:tcW w:w="6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For Vela and Socialcam, the business combination accounting is not yet finalized. The initial accounting was based upon a preliminary valuation and our estimates and assumptions are subject to change within the measurement period (up to one year from the acquisition date). The primary areas of the business combination accounting that are not yet finalized are amounts for income tax assets and liabilities, pending finalization of estimates and assumptions in respect of certain tax aspects of the transaction and residual goodwill.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8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Other intangible assets that include purchased technologies, customer relationships, trade names, patents, user lists and the related accumulated amortization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2012</w:t>
            </w:r>
          </w:p>
        </w:tc>
        <w:tc>
          <w:tcPr>
            <w:tcW w:w="14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2012</w:t>
            </w:r>
          </w:p>
        </w:tc>
        <w:tc>
          <w:tcPr>
            <w:tcW w:w="0" w:type="dxa"/>
            <w:vAlign w:val="bottom"/>
          </w:tcPr>
          <w:p>
            <w:pPr>
              <w:spacing w:after="0"/>
              <w:rPr>
                <w:sz w:val="1"/>
                <w:szCs w:val="1"/>
                <w:color w:val="auto"/>
              </w:rPr>
            </w:pPr>
          </w:p>
        </w:tc>
      </w:tr>
      <w:tr>
        <w:trPr>
          <w:trHeight w:val="236"/>
        </w:trPr>
        <w:tc>
          <w:tcPr>
            <w:tcW w:w="8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Purchased technologies, at cost (1)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400.5</w:t>
            </w:r>
          </w:p>
        </w:tc>
        <w:tc>
          <w:tcPr>
            <w:tcW w:w="0" w:type="dxa"/>
            <w:vAlign w:val="bottom"/>
          </w:tcPr>
          <w:p>
            <w:pPr>
              <w:spacing w:after="0"/>
              <w:rPr>
                <w:sz w:val="1"/>
                <w:szCs w:val="1"/>
                <w:color w:val="auto"/>
              </w:rPr>
            </w:pPr>
          </w:p>
        </w:tc>
      </w:tr>
      <w:tr>
        <w:trPr>
          <w:trHeight w:val="237"/>
        </w:trPr>
        <w:tc>
          <w:tcPr>
            <w:tcW w:w="8260" w:type="dxa"/>
            <w:vAlign w:val="bottom"/>
          </w:tcPr>
          <w:p>
            <w:pPr>
              <w:spacing w:after="0"/>
              <w:rPr>
                <w:sz w:val="20"/>
                <w:szCs w:val="20"/>
                <w:color w:val="auto"/>
              </w:rPr>
            </w:pPr>
            <w:r>
              <w:rPr>
                <w:rFonts w:ascii="Arial" w:cs="Arial" w:eastAsia="Arial" w:hAnsi="Arial"/>
                <w:sz w:val="16"/>
                <w:szCs w:val="16"/>
                <w:color w:val="auto"/>
              </w:rPr>
              <w:t>Customer relationships, trade names, patents, user list, at cost (2)</w:t>
            </w:r>
          </w:p>
        </w:tc>
        <w:tc>
          <w:tcPr>
            <w:tcW w:w="16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250.8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215.3</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615.8</w:t>
            </w: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Less: Accumulated amortization (1)</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(467.0)</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300" w:hanging="412"/>
        <w:spacing w:after="0" w:line="248"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Beginning in fiscal 2013, the purchased technologies balances are presented gross. Previously, Autodesk reported the cost and amortization balance for purchased technologies net of fully amortized intangible assets. For comparability, the presentation of the purchased technologies cost and amortization balances at January 31, 2012 were adjusted to align to current year presentation.</w:t>
      </w:r>
    </w:p>
    <w:p>
      <w:pPr>
        <w:spacing w:after="0" w:line="1" w:lineRule="exact"/>
        <w:rPr>
          <w:rFonts w:ascii="Arial" w:cs="Arial" w:eastAsia="Arial" w:hAnsi="Arial"/>
          <w:sz w:val="16"/>
          <w:szCs w:val="16"/>
          <w:color w:val="auto"/>
        </w:rPr>
      </w:pPr>
    </w:p>
    <w:p>
      <w:pPr>
        <w:ind w:left="420" w:hanging="412"/>
        <w:spacing w:after="0" w:line="257"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 Customer relationships and trade names include the effects of foreign currency translation.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during the nine months ended October 31, 2012,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Platform</w:t>
            </w:r>
          </w:p>
        </w:tc>
        <w:tc>
          <w:tcPr>
            <w:tcW w:w="2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Architecture,</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Solutions and</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Engineering</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Media and</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Emerging</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Business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Construction</w:t>
            </w: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Entertainment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January 31, 2012</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247.7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323.3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184.0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831.6</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247.7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323.3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682.4</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Vela acquisition</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33"/>
        </w:trPr>
        <w:tc>
          <w:tcPr>
            <w:tcW w:w="3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380"/>
          </w:cols>
          <w:pgMar w:left="240" w:top="584" w:right="279" w:bottom="1440" w:gutter="0" w:footer="0" w:header="0"/>
        </w:sectPr>
      </w:pPr>
    </w:p>
    <w:p>
      <w:pPr>
        <w:ind w:left="380"/>
        <w:spacing w:after="0"/>
        <w:rPr>
          <w:sz w:val="20"/>
          <w:szCs w:val="20"/>
          <w:color w:val="auto"/>
        </w:rPr>
      </w:pPr>
      <w:r>
        <w:rPr>
          <w:rFonts w:ascii="Arial" w:cs="Arial" w:eastAsia="Arial" w:hAnsi="Arial"/>
          <w:sz w:val="16"/>
          <w:szCs w:val="16"/>
          <w:color w:val="auto"/>
        </w:rPr>
        <w:t>Qontext acquisition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Socialcam acquisition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Addition arising from other acquisitions</w:t>
      </w:r>
    </w:p>
    <w:p>
      <w:pPr>
        <w:spacing w:after="0" w:line="86" w:lineRule="exact"/>
        <w:rPr>
          <w:sz w:val="20"/>
          <w:szCs w:val="20"/>
          <w:color w:val="auto"/>
        </w:rPr>
      </w:pPr>
    </w:p>
    <w:p>
      <w:pPr>
        <w:ind w:left="540" w:hanging="161"/>
        <w:spacing w:after="0" w:line="293" w:lineRule="auto"/>
        <w:rPr>
          <w:sz w:val="20"/>
          <w:szCs w:val="20"/>
          <w:color w:val="auto"/>
        </w:rPr>
      </w:pPr>
      <w:r>
        <w:rPr>
          <w:rFonts w:ascii="Arial" w:cs="Arial" w:eastAsia="Arial" w:hAnsi="Arial"/>
          <w:sz w:val="16"/>
          <w:szCs w:val="16"/>
          <w:color w:val="auto"/>
        </w:rPr>
        <w:t>Effect of foreign currency translation, purchase accounting and other</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October 31, 2012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480" w:type="dxa"/>
            <w:vAlign w:val="bottom"/>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7"/>
                <w:szCs w:val="17"/>
                <w:color w:val="auto"/>
              </w:rPr>
            </w:pPr>
          </w:p>
        </w:tc>
        <w:tc>
          <w:tcPr>
            <w:tcW w:w="158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24.0</w:t>
            </w:r>
          </w:p>
        </w:tc>
      </w:tr>
      <w:tr>
        <w:trPr>
          <w:trHeight w:val="270"/>
        </w:trPr>
        <w:tc>
          <w:tcPr>
            <w:tcW w:w="148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3"/>
                <w:szCs w:val="23"/>
                <w:color w:val="auto"/>
              </w:rPr>
            </w:pPr>
          </w:p>
        </w:tc>
        <w:tc>
          <w:tcPr>
            <w:tcW w:w="158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23.0</w:t>
            </w:r>
          </w:p>
        </w:tc>
      </w:tr>
      <w:tr>
        <w:trPr>
          <w:trHeight w:val="270"/>
        </w:trPr>
        <w:tc>
          <w:tcPr>
            <w:tcW w:w="14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158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38.3</w:t>
            </w:r>
          </w:p>
        </w:tc>
      </w:tr>
      <w:tr>
        <w:trPr>
          <w:trHeight w:val="459"/>
        </w:trPr>
        <w:tc>
          <w:tcPr>
            <w:tcW w:w="14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4"/>
                <w:szCs w:val="24"/>
                <w:color w:val="auto"/>
              </w:rPr>
            </w:pPr>
          </w:p>
        </w:tc>
        <w:tc>
          <w:tcPr>
            <w:tcW w:w="158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4"/>
                <w:szCs w:val="2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-642620</wp:posOffset>
            </wp:positionV>
            <wp:extent cx="712660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-299720</wp:posOffset>
            </wp:positionV>
            <wp:extent cx="7126605"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6605" cy="291465"/>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3460" w:space="40"/>
            <w:col w:w="7880"/>
          </w:cols>
          <w:pgMar w:left="240" w:top="584" w:right="27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4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973.8</w:t>
            </w:r>
          </w:p>
        </w:tc>
      </w:tr>
      <w:tr>
        <w:trPr>
          <w:trHeight w:val="237"/>
        </w:trPr>
        <w:tc>
          <w:tcPr>
            <w:tcW w:w="4040" w:type="dxa"/>
            <w:vAlign w:val="bottom"/>
            <w:gridSpan w:val="2"/>
          </w:tcPr>
          <w:p>
            <w:pPr>
              <w:ind w:left="380"/>
              <w:spacing w:after="0"/>
              <w:rPr>
                <w:sz w:val="20"/>
                <w:szCs w:val="20"/>
                <w:color w:val="auto"/>
              </w:rPr>
            </w:pPr>
            <w:r>
              <w:rPr>
                <w:rFonts w:ascii="Arial" w:cs="Arial" w:eastAsia="Arial" w:hAnsi="Arial"/>
                <w:sz w:val="16"/>
                <w:szCs w:val="16"/>
                <w:color w:val="auto"/>
              </w:rPr>
              <w:t>Accumulated impairment losses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35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4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824.6</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Goodwill consists of the excess of cost over the fair value of net assets acquired in business combinations. Autodesk assigns goodwill to the reportable segment associated with each business combination, and tests goodwill for impairment annually in its fourth fiscal quarter or more often if circumstances indicate a potential impairment. When assessing goodwill for impairment, Autodesk uses discounted cash flow models that include assumptions regarding reportable segments’ projected cash flows (“Income Approach”) and corroborates it with the estimated consideration that the Company would receive if there were to be a sale of the reporting segment (“Market Approach”).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The process of evaluating the potential impairment of goodwill is subjective and requires significant judgment at many points during the analysis. The value of Autodesk’s goodwill could also be impacted by future adverse changes such as:</w:t>
      </w:r>
    </w:p>
    <w:p>
      <w:pPr>
        <w:spacing w:after="0" w:line="1" w:lineRule="exact"/>
        <w:rPr>
          <w:sz w:val="20"/>
          <w:szCs w:val="20"/>
          <w:color w:val="auto"/>
        </w:rPr>
      </w:pPr>
    </w:p>
    <w:p>
      <w:pPr>
        <w:ind w:right="340" w:firstLine="8"/>
        <w:spacing w:after="0" w:line="255" w:lineRule="auto"/>
        <w:tabs>
          <w:tab w:leader="none" w:pos="2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declines in Autodesk’s actual financial results, (ii) a sustained decline in Autodesk’s market capitalization, (iii) significant slowdown in the worldwide economy or the industries Autodesk serves, or (iv) changes in Autodesk’s business strategy or internal financial results forecasts. A hypothetical 10% decrease in the fair value of any of Autodesk’s four reporting units would not have an</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584" w:right="279" w:bottom="1440" w:gutter="0" w:footer="0" w:header="0"/>
          <w:type w:val="continuous"/>
        </w:sectPr>
      </w:pPr>
    </w:p>
    <w:bookmarkStart w:id="20" w:name="page21"/>
    <w:bookmarkEnd w:id="20"/>
    <w:p>
      <w:pPr>
        <w:ind w:right="40"/>
        <w:spacing w:after="0" w:line="277" w:lineRule="auto"/>
        <w:rPr>
          <w:sz w:val="20"/>
          <w:szCs w:val="20"/>
          <w:color w:val="auto"/>
        </w:rPr>
      </w:pPr>
      <w:r>
        <w:rPr>
          <w:rFonts w:ascii="Arial" w:cs="Arial" w:eastAsia="Arial" w:hAnsi="Arial"/>
          <w:sz w:val="18"/>
          <w:szCs w:val="18"/>
          <w:color w:val="auto"/>
        </w:rPr>
        <w:t>impact on the carrying value, nor result in an impairment, of goodwill shown on Autodesk’s balance sheet as of October 31, 2012 for the respective reporting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Deferred Compensation</w:t>
      </w:r>
    </w:p>
    <w:p>
      <w:pPr>
        <w:spacing w:after="0" w:line="2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At October 31, 2012, Autodesk had marketable securities totaling $910.4 million, of which $35.9 million related to investments in debt and equity securities that are held in a rabbi trust under non-qualified deferred compensation plans. The total related deferred compensation liability was $35.9 million at October 31, 2012, of which $3.5 million was classified as current and $32.4 million was classified as non-current liabilities. The value of debt and equity securities held in the rabbi trust at January 31, 2012 was $31.5 million. The total related deferred compensation liability at January 31, 2012 was $31.5 million, of which $3.2 million was classified as current and $28.3 million was classified as non-current liabilities. The current and non-current portions of the liability are recorded in the Condensed Consolidated Balance Sheets under “Accrued compensation” and “Other liabilities,”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p>
      <w:pPr>
        <w:ind w:left="8420"/>
        <w:spacing w:after="0"/>
        <w:tabs>
          <w:tab w:leader="none" w:pos="9960" w:val="left"/>
        </w:tabs>
        <w:rPr>
          <w:sz w:val="20"/>
          <w:szCs w:val="20"/>
          <w:color w:val="auto"/>
        </w:rPr>
      </w:pPr>
      <w:r>
        <w:rPr>
          <w:rFonts w:ascii="Arial" w:cs="Arial" w:eastAsia="Arial" w:hAnsi="Arial"/>
          <w:sz w:val="14"/>
          <w:szCs w:val="14"/>
          <w:b w:val="1"/>
          <w:bCs w:val="1"/>
          <w:color w:val="auto"/>
        </w:rPr>
        <w:t>October 31, 2012</w:t>
      </w:r>
      <w:r>
        <w:rPr>
          <w:sz w:val="20"/>
          <w:szCs w:val="20"/>
          <w:color w:val="auto"/>
        </w:rPr>
        <w:tab/>
      </w:r>
      <w:r>
        <w:rPr>
          <w:rFonts w:ascii="Arial" w:cs="Arial" w:eastAsia="Arial" w:hAnsi="Arial"/>
          <w:sz w:val="13"/>
          <w:szCs w:val="13"/>
          <w:b w:val="1"/>
          <w:bCs w:val="1"/>
          <w:color w:val="auto"/>
        </w:rPr>
        <w:t>January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660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Computer software, at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Computer hardware,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Leasehold improvements, land and buildings, at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Furniture and equipment,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6605" cy="291465"/>
                    </a:xfrm>
                    <a:prstGeom prst="rect">
                      <a:avLst/>
                    </a:prstGeom>
                    <a:noFill/>
                  </pic:spPr>
                </pic:pic>
              </a:graphicData>
            </a:graphic>
          </wp:anchor>
        </w:drawing>
      </w:r>
    </w:p>
    <w:p>
      <w:pPr>
        <w:spacing w:after="0" w:line="66" w:lineRule="exact"/>
        <w:rPr>
          <w:sz w:val="20"/>
          <w:szCs w:val="20"/>
          <w:color w:val="auto"/>
        </w:rPr>
      </w:pPr>
    </w:p>
    <w:p>
      <w:pPr>
        <w:ind w:left="120" w:right="3200" w:hanging="80"/>
        <w:spacing w:after="0" w:line="293" w:lineRule="auto"/>
        <w:rPr>
          <w:sz w:val="20"/>
          <w:szCs w:val="20"/>
          <w:color w:val="auto"/>
        </w:rPr>
      </w:pPr>
      <w:r>
        <w:rPr>
          <w:rFonts w:ascii="Arial" w:cs="Arial" w:eastAsia="Arial" w:hAnsi="Arial"/>
          <w:sz w:val="16"/>
          <w:szCs w:val="16"/>
          <w:color w:val="auto"/>
        </w:rPr>
        <w:t>Computer software, hardware, leasehold improvements, furniture and equipment, net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17"/>
                <w:szCs w:val="17"/>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133.5</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166.5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153.3</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158.7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139.5</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47.7</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511.5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474.0</w:t>
            </w:r>
          </w:p>
        </w:tc>
      </w:tr>
      <w:tr>
        <w:trPr>
          <w:trHeight w:val="270"/>
        </w:trPr>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(396.9)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(369.5)</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93"/>
        </w:trPr>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114.6</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104.5</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80" w:space="720"/>
            <w:col w:w="3180"/>
          </w:cols>
          <w:pgMar w:left="240" w:top="584" w:right="2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Borrowing Arrangements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The line of credit is syndicated with various financial institutions, including Citicorp USA, Inc., an affiliate of Citibank, which is one of the lead lenders and an agent. At October 31, 2012, Autodesk had $110.0 million outstanding borrowings on this line of credit. This balance is included in "Borrowings under line of credit" in the accompanying Condensed Consolidated Balance Sheets. This facility expires in May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Restructuring</w:t>
      </w:r>
    </w:p>
    <w:p>
      <w:pPr>
        <w:spacing w:after="0" w:line="225"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During the third quarter of fiscal 2013, the Board of Directors of the Company approved a world-wide restructuring plan in line with the Company's strategy, including its continuing shift to cloud and mobile computing. The plan included a reduction of approximately 500 positions and the consolidation of eight leased facilities with a total cost of approximately $42.0 million to $52.0 million ("Fiscal 2013 Plan"). During the three and nine months ended October 31, 2012, Autodesk recorded restructuring charges of $36.7 million. Of this amount, $36.1 million was recorded for one-time termination benefits and other costs and $0.6 million was recorded for facilities-related costs. The one-time termination benefits will substantially be paid as of January 31, 2013. Autodesk expects to pay the facility related liabilities through the first quarter of fiscal 2014.</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584" w:right="279" w:bottom="1440" w:gutter="0" w:footer="0" w:header="0"/>
          <w:type w:val="continuous"/>
        </w:sectPr>
      </w:pPr>
    </w:p>
    <w:bookmarkStart w:id="21" w:name="page22"/>
    <w:bookmarkEnd w:id="21"/>
    <w:p>
      <w:pPr>
        <w:ind w:left="420"/>
        <w:spacing w:after="0"/>
        <w:rPr>
          <w:sz w:val="20"/>
          <w:szCs w:val="20"/>
          <w:color w:val="auto"/>
        </w:rPr>
      </w:pPr>
      <w:r>
        <w:rPr>
          <w:rFonts w:ascii="Arial" w:cs="Arial" w:eastAsia="Arial" w:hAnsi="Arial"/>
          <w:sz w:val="18"/>
          <w:szCs w:val="18"/>
          <w:color w:val="auto"/>
        </w:rPr>
        <w:t>The following table sets forth the restructuring activities during the nine months ended October 31, 2012.</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Additions</w:t>
            </w:r>
          </w:p>
        </w:tc>
        <w:tc>
          <w:tcPr>
            <w:tcW w:w="20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Payments</w:t>
            </w:r>
          </w:p>
        </w:tc>
        <w:tc>
          <w:tcPr>
            <w:tcW w:w="1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Adjustments(1)</w:t>
            </w:r>
          </w:p>
        </w:tc>
        <w:tc>
          <w:tcPr>
            <w:tcW w:w="200" w:type="dxa"/>
            <w:vAlign w:val="bottom"/>
          </w:tcPr>
          <w:p>
            <w:pPr>
              <w:spacing w:after="0"/>
              <w:rPr>
                <w:sz w:val="14"/>
                <w:szCs w:val="14"/>
                <w:color w:val="auto"/>
              </w:rPr>
            </w:pPr>
          </w:p>
        </w:tc>
        <w:tc>
          <w:tcPr>
            <w:tcW w:w="960" w:type="dxa"/>
            <w:vAlign w:val="bottom"/>
          </w:tcPr>
          <w:p>
            <w:pPr>
              <w:jc w:val="right"/>
              <w:ind w:right="220"/>
              <w:spacing w:after="0"/>
              <w:rPr>
                <w:sz w:val="20"/>
                <w:szCs w:val="20"/>
                <w:color w:val="auto"/>
              </w:rPr>
            </w:pPr>
            <w:r>
              <w:rPr>
                <w:rFonts w:ascii="Arial" w:cs="Arial" w:eastAsia="Arial" w:hAnsi="Arial"/>
                <w:sz w:val="14"/>
                <w:szCs w:val="14"/>
                <w:b w:val="1"/>
                <w:bCs w:val="1"/>
                <w:color w:val="auto"/>
                <w:w w:val="97"/>
              </w:rPr>
              <w:t>Balances,</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January 31, 2012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October 31, 2012</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Fiscal 2013 Plan</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9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Employee termination costs</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Pr>
          <w:p>
            <w:pPr>
              <w:ind w:left="76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and asset costs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7"/>
        </w:trPr>
        <w:tc>
          <w:tcPr>
            <w:tcW w:w="2960" w:type="dxa"/>
            <w:vAlign w:val="bottom"/>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73"/>
        </w:trPr>
        <w:tc>
          <w:tcPr>
            <w:tcW w:w="296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9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Current portion(2)</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Non-current portion(2)</w:t>
            </w:r>
          </w:p>
        </w:tc>
        <w:tc>
          <w:tcPr>
            <w:tcW w:w="180" w:type="dxa"/>
            <w:vAlign w:val="bottom"/>
          </w:tcPr>
          <w:p>
            <w:pPr>
              <w:spacing w:after="0"/>
              <w:rPr>
                <w:sz w:val="20"/>
                <w:szCs w:val="20"/>
                <w:color w:val="auto"/>
              </w:rPr>
            </w:pPr>
          </w:p>
        </w:tc>
        <w:tc>
          <w:tcPr>
            <w:tcW w:w="980" w:type="dxa"/>
            <w:vAlign w:val="bottom"/>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2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right="100" w:hanging="412"/>
        <w:spacing w:after="0" w:line="257"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current and non-current portions of the reserve are recorded in the Condensed Consolidated Balance Sheets under “Other accrued liabilities” and “Other liabilities,”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Common Stock Repurchase Program</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Autodesk has a stock repurchase program that is used to offset dilution from the issuance of stock under the Company’s employee stock plans and for such other purposes as may be in the interests of Autodesk and its stockholders, which has the effect of returning excess cash generated from the Company’s business to stockholders. During the three and nine months ended October 31, 2012, Autodesk repurchased and retired 4.0 million and 9.9 million shares at an average repurchase price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ind w:right="200"/>
        <w:spacing w:after="0" w:line="264" w:lineRule="auto"/>
        <w:rPr>
          <w:sz w:val="20"/>
          <w:szCs w:val="20"/>
          <w:color w:val="auto"/>
        </w:rPr>
      </w:pPr>
      <w:r>
        <w:rPr>
          <w:rFonts w:ascii="Arial" w:cs="Arial" w:eastAsia="Arial" w:hAnsi="Arial"/>
          <w:sz w:val="18"/>
          <w:szCs w:val="18"/>
          <w:color w:val="auto"/>
        </w:rPr>
        <w:t>$32.53 per share and $34.25 per share, respectively. Common stock and additional paid-in capital and retained earnings were reduced by $92.8 million and $37.4 million, respectively, during the three months ended October 31, 2012. Common stock and additional paid-in capital and retained earnings were reduced by $241.4 million and $99.1 million, respectively, during the nine months ended October 31, 2012.</w:t>
      </w:r>
    </w:p>
    <w:p>
      <w:pPr>
        <w:spacing w:after="0" w:line="181"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At October 31, 2012, 34.8 million shares remained available for repurchase under the repurchase plans approved by the Board of Directors. This amount includes the 30.0 million share increase approved by the Board of Directors in June 2012. During the three and nine months ended October 31, 2012, Autodesk repurchased its common stock through open market purchases.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Accumulated Other Comprehensive (Loss) Income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Accumulated other comprehensive (loss) income, net of taxes, was comprised of the following at October 31, 2012 and January 31, 2012:</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2012</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2012</w:t>
            </w:r>
          </w:p>
        </w:tc>
      </w:tr>
      <w:tr>
        <w:trPr>
          <w:trHeight w:val="236"/>
        </w:trPr>
        <w:tc>
          <w:tcPr>
            <w:tcW w:w="8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gain on derivative instruments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Net unrealized gain on available-for-sale securities</w:t>
            </w:r>
          </w:p>
        </w:tc>
        <w:tc>
          <w:tcPr>
            <w:tcW w:w="16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33"/>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Unfunded portion of pension plans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33"/>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Income Per Share</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Basic net income per share is computed using the weighted average number of shares of common stock outstanding for the period, including restricted stock awards and excluding stock options and restricted stock units. Diluted net income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October 31,</w:t>
            </w:r>
          </w:p>
        </w:tc>
        <w:tc>
          <w:tcPr>
            <w:tcW w:w="160" w:type="dxa"/>
            <w:vAlign w:val="bottom"/>
          </w:tcPr>
          <w:p>
            <w:pPr>
              <w:spacing w:after="0"/>
              <w:rPr>
                <w:sz w:val="16"/>
                <w:szCs w:val="16"/>
                <w:color w:val="auto"/>
              </w:rPr>
            </w:pPr>
          </w:p>
        </w:tc>
        <w:tc>
          <w:tcPr>
            <w:tcW w:w="21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4"/>
              </w:rPr>
              <w:t>Nine Months Ended October 31,</w:t>
            </w:r>
          </w:p>
        </w:tc>
        <w:tc>
          <w:tcPr>
            <w:tcW w:w="0" w:type="dxa"/>
            <w:vAlign w:val="bottom"/>
          </w:tcPr>
          <w:p>
            <w:pPr>
              <w:spacing w:after="0"/>
              <w:rPr>
                <w:sz w:val="1"/>
                <w:szCs w:val="1"/>
                <w:color w:val="auto"/>
              </w:rPr>
            </w:pPr>
          </w:p>
        </w:tc>
      </w:tr>
      <w:tr>
        <w:trPr>
          <w:trHeight w:val="264"/>
        </w:trPr>
        <w:tc>
          <w:tcPr>
            <w:tcW w:w="63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3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36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172.9</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213.3</w:t>
            </w:r>
          </w:p>
        </w:tc>
        <w:tc>
          <w:tcPr>
            <w:tcW w:w="0" w:type="dxa"/>
            <w:vAlign w:val="bottom"/>
          </w:tcPr>
          <w:p>
            <w:pPr>
              <w:spacing w:after="0"/>
              <w:rPr>
                <w:sz w:val="1"/>
                <w:szCs w:val="1"/>
                <w:color w:val="auto"/>
              </w:rPr>
            </w:pPr>
          </w:p>
        </w:tc>
      </w:tr>
      <w:tr>
        <w:trPr>
          <w:trHeight w:val="73"/>
        </w:trPr>
        <w:tc>
          <w:tcPr>
            <w:tcW w:w="63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3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380"/>
              <w:spacing w:after="0"/>
              <w:rPr>
                <w:sz w:val="20"/>
                <w:szCs w:val="20"/>
                <w:color w:val="auto"/>
              </w:rPr>
            </w:pPr>
            <w:r>
              <w:rPr>
                <w:rFonts w:ascii="Arial" w:cs="Arial" w:eastAsia="Arial" w:hAnsi="Arial"/>
                <w:sz w:val="16"/>
                <w:szCs w:val="16"/>
                <w:color w:val="auto"/>
              </w:rPr>
              <w:t>Denominator for basic net income per share—weighted average shares</w:t>
            </w:r>
          </w:p>
        </w:tc>
        <w:tc>
          <w:tcPr>
            <w:tcW w:w="14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225.5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227.1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227.1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228.2</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7"/>
        </w:trPr>
        <w:tc>
          <w:tcPr>
            <w:tcW w:w="6360" w:type="dxa"/>
            <w:vAlign w:val="bottom"/>
          </w:tcPr>
          <w:p>
            <w:pPr>
              <w:ind w:left="380"/>
              <w:spacing w:after="0"/>
              <w:rPr>
                <w:sz w:val="20"/>
                <w:szCs w:val="20"/>
                <w:color w:val="auto"/>
              </w:rPr>
            </w:pPr>
            <w:r>
              <w:rPr>
                <w:rFonts w:ascii="Arial" w:cs="Arial" w:eastAsia="Arial" w:hAnsi="Arial"/>
                <w:sz w:val="16"/>
                <w:szCs w:val="16"/>
                <w:color w:val="auto"/>
              </w:rPr>
              <w:t>Denominator for dilutive net income per share</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229.9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230.7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231.4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233.7</w:t>
            </w:r>
          </w:p>
        </w:tc>
        <w:tc>
          <w:tcPr>
            <w:tcW w:w="0" w:type="dxa"/>
            <w:vAlign w:val="bottom"/>
          </w:tcPr>
          <w:p>
            <w:pPr>
              <w:spacing w:after="0"/>
              <w:rPr>
                <w:sz w:val="1"/>
                <w:szCs w:val="1"/>
                <w:color w:val="auto"/>
              </w:rPr>
            </w:pPr>
          </w:p>
        </w:tc>
      </w:tr>
      <w:tr>
        <w:trPr>
          <w:trHeight w:val="73"/>
        </w:trPr>
        <w:tc>
          <w:tcPr>
            <w:tcW w:w="63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3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0.76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The computation of diluted net income per share does not include shares that are anti-dilutive under the treasury stock method because their exercise prices are higher than the average market value of Autodesk’s stock during the period. For the three and nine months ended October 31, 2012, 11.8 million and 9.8 million potentially anti-dilutive shares, respectively, were excluded from the computation of diluted net income per share. For the three and nine months ended October 31, 2011, 22.8 million and 11.9 million potentially anti-dilutive shares, respectively, were excluded from the computation of diluted net income per share.</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584"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18. Segments</w:t>
      </w:r>
    </w:p>
    <w:p>
      <w:pPr>
        <w:spacing w:after="0" w:line="225"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Platform Solutions and Emerging Business (“PSEB”), Architecture, Engineering and Construction (“AEC”), Manufacturing (“MFG”) and Media and Entertainment (“M&amp;E”). Autodesk has no material inter-segment revenue.</w:t>
      </w:r>
    </w:p>
    <w:p>
      <w:pPr>
        <w:spacing w:after="0" w:line="18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Our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87" w:lineRule="exact"/>
        <w:rPr>
          <w:sz w:val="20"/>
          <w:szCs w:val="20"/>
          <w:color w:val="auto"/>
        </w:rPr>
      </w:pPr>
    </w:p>
    <w:p>
      <w:pPr>
        <w:ind w:right="540" w:firstLine="432"/>
        <w:spacing w:after="0" w:line="291" w:lineRule="auto"/>
        <w:rPr>
          <w:sz w:val="20"/>
          <w:szCs w:val="20"/>
          <w:color w:val="auto"/>
        </w:rPr>
      </w:pPr>
      <w:r>
        <w:rPr>
          <w:rFonts w:ascii="Arial" w:cs="Arial" w:eastAsia="Arial" w:hAnsi="Arial"/>
          <w:sz w:val="16"/>
          <w:szCs w:val="16"/>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w:t>
      </w:r>
    </w:p>
    <w:p>
      <w:pPr>
        <w:ind w:right="180"/>
        <w:spacing w:after="0" w:line="255" w:lineRule="auto"/>
        <w:rPr>
          <w:sz w:val="20"/>
          <w:szCs w:val="20"/>
          <w:color w:val="auto"/>
        </w:rPr>
      </w:pPr>
      <w:r>
        <w:rPr>
          <w:rFonts w:ascii="Arial" w:cs="Arial" w:eastAsia="Arial" w:hAnsi="Arial"/>
          <w:sz w:val="18"/>
          <w:szCs w:val="18"/>
          <w:color w:val="auto"/>
        </w:rPr>
        <w:t>serve. Autodesk’s AutoCAD product also provides a platform for Autodesk’s developer partners to build custom solutions for a range of diverse design-oriented markets. PSEB’s revenue primarily includes revenue from sales of licenses of Autodesk’s design products, AutoCAD and AutoCAD LT, as well as the Autodesk Design Suite and many other design products.</w:t>
      </w:r>
    </w:p>
    <w:p>
      <w:pPr>
        <w:spacing w:after="0" w:line="190"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Revit family suites, AutoCAD Civil 3D, AutoCAD Architecture and AutoCAD Map 3D products.</w:t>
      </w:r>
    </w:p>
    <w:p>
      <w:pPr>
        <w:spacing w:after="0" w:line="19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Inventor family suites, AutoCAD Mechanical and Autodesk Moldflow products.</w:t>
      </w:r>
    </w:p>
    <w:p>
      <w:pPr>
        <w:spacing w:after="0" w:line="188"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M&amp;E is comprised of two product groups: Animation, including design visualization, and Creative Finishing. Animation products, such as Autodesk 3ds Max, Autodesk Maya and the Autodesk Entertainment Creation Suite, provide tools for digital sculpting, modeling, animation, effects, rendering and compositing, for design visualization, visual effects and games production. Creative Finishing products provide editing, finishing and visual effects design and color grading.</w:t>
      </w:r>
    </w:p>
    <w:p>
      <w:pPr>
        <w:spacing w:after="0" w:line="18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7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accounting policies of the reportable segments are the same as those described in Note 1, “Business and Summary of Significant Accounting Policies” of our 2012 Annual Report on Form 10-K. Autodesk evaluates each segment’s performance on the basis of gross profit. Autodesk currently does not separately accumulate and report asset information by segment, except for goodwill, which is disclosed in Note 9, “Goodwill.”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4" w:right="25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color w:val="auto"/>
        </w:rPr>
        <w:t>Information concerning the operations of Autodesk’s reportable segments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October 31,</w:t>
            </w:r>
          </w:p>
        </w:tc>
        <w:tc>
          <w:tcPr>
            <w:tcW w:w="212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Nine Months Ended October 31,</w:t>
            </w:r>
          </w:p>
        </w:tc>
        <w:tc>
          <w:tcPr>
            <w:tcW w:w="0" w:type="dxa"/>
            <w:vAlign w:val="bottom"/>
          </w:tcPr>
          <w:p>
            <w:pPr>
              <w:spacing w:after="0"/>
              <w:rPr>
                <w:sz w:val="1"/>
                <w:szCs w:val="1"/>
                <w:color w:val="auto"/>
              </w:rPr>
            </w:pPr>
          </w:p>
        </w:tc>
      </w:tr>
      <w:tr>
        <w:trPr>
          <w:trHeight w:val="264"/>
        </w:trPr>
        <w:tc>
          <w:tcPr>
            <w:tcW w:w="69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9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204.7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209.7</w:t>
            </w:r>
          </w:p>
        </w:tc>
        <w:tc>
          <w:tcPr>
            <w:tcW w:w="100" w:type="dxa"/>
            <w:vAlign w:val="bottom"/>
          </w:tcPr>
          <w:p>
            <w:pPr>
              <w:spacing w:after="0"/>
              <w:rPr>
                <w:sz w:val="20"/>
                <w:szCs w:val="20"/>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650.0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618.7</w:t>
            </w:r>
          </w:p>
        </w:tc>
        <w:tc>
          <w:tcPr>
            <w:tcW w:w="0" w:type="dxa"/>
            <w:vAlign w:val="bottom"/>
          </w:tcPr>
          <w:p>
            <w:pPr>
              <w:spacing w:after="0"/>
              <w:rPr>
                <w:sz w:val="1"/>
                <w:szCs w:val="1"/>
                <w:color w:val="auto"/>
              </w:rPr>
            </w:pPr>
          </w:p>
        </w:tc>
      </w:tr>
      <w:tr>
        <w:trPr>
          <w:trHeight w:val="33"/>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451.5</w:t>
            </w:r>
          </w:p>
        </w:tc>
        <w:tc>
          <w:tcPr>
            <w:tcW w:w="0" w:type="dxa"/>
            <w:vAlign w:val="bottom"/>
          </w:tcPr>
          <w:p>
            <w:pPr>
              <w:spacing w:after="0"/>
              <w:rPr>
                <w:sz w:val="1"/>
                <w:szCs w:val="1"/>
                <w:color w:val="auto"/>
              </w:rPr>
            </w:pPr>
          </w:p>
        </w:tc>
      </w:tr>
      <w:tr>
        <w:trPr>
          <w:trHeight w:val="237"/>
        </w:trPr>
        <w:tc>
          <w:tcPr>
            <w:tcW w:w="694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131.8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133.5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418.8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392.5</w:t>
            </w:r>
          </w:p>
        </w:tc>
        <w:tc>
          <w:tcPr>
            <w:tcW w:w="0" w:type="dxa"/>
            <w:vAlign w:val="bottom"/>
          </w:tcPr>
          <w:p>
            <w:pPr>
              <w:spacing w:after="0"/>
              <w:rPr>
                <w:sz w:val="1"/>
                <w:szCs w:val="1"/>
                <w:color w:val="auto"/>
              </w:rPr>
            </w:pPr>
          </w:p>
        </w:tc>
      </w:tr>
      <w:tr>
        <w:trPr>
          <w:trHeight w:val="33"/>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160.5</w:t>
            </w:r>
          </w:p>
        </w:tc>
        <w:tc>
          <w:tcPr>
            <w:tcW w:w="0" w:type="dxa"/>
            <w:vAlign w:val="bottom"/>
          </w:tcPr>
          <w:p>
            <w:pPr>
              <w:spacing w:after="0"/>
              <w:rPr>
                <w:sz w:val="1"/>
                <w:szCs w:val="1"/>
                <w:color w:val="auto"/>
              </w:rPr>
            </w:pPr>
          </w:p>
        </w:tc>
      </w:tr>
      <w:tr>
        <w:trPr>
          <w:trHeight w:val="217"/>
        </w:trPr>
        <w:tc>
          <w:tcPr>
            <w:tcW w:w="6940" w:type="dxa"/>
            <w:vAlign w:val="bottom"/>
          </w:tcPr>
          <w:p>
            <w:pPr>
              <w:spacing w:after="0"/>
              <w:rPr>
                <w:sz w:val="18"/>
                <w:szCs w:val="18"/>
                <w:color w:val="auto"/>
              </w:rPr>
            </w:pP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548.0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548.6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1,705.3</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1,623.2</w:t>
            </w:r>
          </w:p>
        </w:tc>
        <w:tc>
          <w:tcPr>
            <w:tcW w:w="0" w:type="dxa"/>
            <w:vAlign w:val="bottom"/>
          </w:tcPr>
          <w:p>
            <w:pPr>
              <w:spacing w:after="0"/>
              <w:rPr>
                <w:sz w:val="1"/>
                <w:szCs w:val="1"/>
                <w:color w:val="auto"/>
              </w:rPr>
            </w:pPr>
          </w:p>
        </w:tc>
      </w:tr>
      <w:tr>
        <w:trPr>
          <w:trHeight w:val="73"/>
        </w:trPr>
        <w:tc>
          <w:tcPr>
            <w:tcW w:w="69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9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9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191.2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198.2</w:t>
            </w:r>
          </w:p>
        </w:tc>
        <w:tc>
          <w:tcPr>
            <w:tcW w:w="100" w:type="dxa"/>
            <w:vAlign w:val="bottom"/>
          </w:tcPr>
          <w:p>
            <w:pPr>
              <w:spacing w:after="0"/>
              <w:rPr>
                <w:sz w:val="20"/>
                <w:szCs w:val="20"/>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610.0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584.0</w:t>
            </w:r>
          </w:p>
        </w:tc>
        <w:tc>
          <w:tcPr>
            <w:tcW w:w="0" w:type="dxa"/>
            <w:vAlign w:val="bottom"/>
          </w:tcPr>
          <w:p>
            <w:pPr>
              <w:spacing w:after="0"/>
              <w:rPr>
                <w:sz w:val="1"/>
                <w:szCs w:val="1"/>
                <w:color w:val="auto"/>
              </w:rPr>
            </w:pPr>
          </w:p>
        </w:tc>
      </w:tr>
      <w:tr>
        <w:trPr>
          <w:trHeight w:val="33"/>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408.8</w:t>
            </w:r>
          </w:p>
        </w:tc>
        <w:tc>
          <w:tcPr>
            <w:tcW w:w="0" w:type="dxa"/>
            <w:vAlign w:val="bottom"/>
          </w:tcPr>
          <w:p>
            <w:pPr>
              <w:spacing w:after="0"/>
              <w:rPr>
                <w:sz w:val="1"/>
                <w:szCs w:val="1"/>
                <w:color w:val="auto"/>
              </w:rPr>
            </w:pPr>
          </w:p>
        </w:tc>
      </w:tr>
      <w:tr>
        <w:trPr>
          <w:trHeight w:val="237"/>
        </w:trPr>
        <w:tc>
          <w:tcPr>
            <w:tcW w:w="694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386.7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359.8</w:t>
            </w:r>
          </w:p>
        </w:tc>
        <w:tc>
          <w:tcPr>
            <w:tcW w:w="0" w:type="dxa"/>
            <w:vAlign w:val="bottom"/>
          </w:tcPr>
          <w:p>
            <w:pPr>
              <w:spacing w:after="0"/>
              <w:rPr>
                <w:sz w:val="1"/>
                <w:szCs w:val="1"/>
                <w:color w:val="auto"/>
              </w:rPr>
            </w:pPr>
          </w:p>
        </w:tc>
      </w:tr>
      <w:tr>
        <w:trPr>
          <w:trHeight w:val="33"/>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37"/>
        </w:trPr>
        <w:tc>
          <w:tcPr>
            <w:tcW w:w="6940" w:type="dxa"/>
            <w:vAlign w:val="bottom"/>
          </w:tcPr>
          <w:p>
            <w:pPr>
              <w:ind w:left="360"/>
              <w:spacing w:after="0"/>
              <w:rPr>
                <w:sz w:val="20"/>
                <w:szCs w:val="20"/>
                <w:color w:val="auto"/>
              </w:rPr>
            </w:pPr>
            <w:r>
              <w:rPr>
                <w:rFonts w:ascii="Arial" w:cs="Arial" w:eastAsia="Arial" w:hAnsi="Arial"/>
                <w:sz w:val="16"/>
                <w:szCs w:val="16"/>
                <w:color w:val="auto"/>
              </w:rPr>
              <w:t>Unallocated (1)</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33"/>
        </w:trPr>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1,451.6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440" w:hanging="412"/>
        <w:spacing w:after="0" w:line="263"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Unallocated amounts primarily relate to corporate expenses and other costs and expenses that are managed outside the reportable segments, including stock-based compensation expense.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Autodesk’s operations by geographic area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October 31,</w:t>
            </w:r>
          </w:p>
        </w:tc>
        <w:tc>
          <w:tcPr>
            <w:tcW w:w="210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Nine Months Ended October 31,</w:t>
            </w:r>
          </w:p>
        </w:tc>
      </w:tr>
      <w:tr>
        <w:trPr>
          <w:trHeight w:val="264"/>
        </w:trPr>
        <w:tc>
          <w:tcPr>
            <w:tcW w:w="69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2011</w:t>
            </w:r>
          </w:p>
        </w:tc>
      </w:tr>
      <w:tr>
        <w:trPr>
          <w:trHeight w:val="210"/>
        </w:trPr>
        <w:tc>
          <w:tcPr>
            <w:tcW w:w="6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60"/>
        </w:trPr>
        <w:tc>
          <w:tcPr>
            <w:tcW w:w="6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r>
      <w:tr>
        <w:trPr>
          <w:trHeight w:val="224"/>
        </w:trPr>
        <w:tc>
          <w:tcPr>
            <w:tcW w:w="6900" w:type="dxa"/>
            <w:vAlign w:val="bottom"/>
          </w:tcPr>
          <w:p>
            <w:pPr>
              <w:ind w:left="38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7"/>
        </w:trPr>
        <w:tc>
          <w:tcPr>
            <w:tcW w:w="6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6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456.6</w:t>
            </w:r>
          </w:p>
        </w:tc>
      </w:tr>
      <w:tr>
        <w:trPr>
          <w:trHeight w:val="237"/>
        </w:trPr>
        <w:tc>
          <w:tcPr>
            <w:tcW w:w="690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116.3</w:t>
            </w:r>
          </w:p>
        </w:tc>
      </w:tr>
      <w:tr>
        <w:trPr>
          <w:trHeight w:val="33"/>
        </w:trPr>
        <w:tc>
          <w:tcPr>
            <w:tcW w:w="6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572.9</w:t>
            </w:r>
          </w:p>
        </w:tc>
      </w:tr>
      <w:tr>
        <w:trPr>
          <w:trHeight w:val="217"/>
        </w:trPr>
        <w:tc>
          <w:tcPr>
            <w:tcW w:w="690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196.3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630.3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628.7</w:t>
            </w:r>
          </w:p>
        </w:tc>
      </w:tr>
      <w:tr>
        <w:trPr>
          <w:trHeight w:val="33"/>
        </w:trPr>
        <w:tc>
          <w:tcPr>
            <w:tcW w:w="6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4"/>
        </w:trPr>
        <w:tc>
          <w:tcPr>
            <w:tcW w:w="6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60"/>
        </w:trPr>
        <w:tc>
          <w:tcPr>
            <w:tcW w:w="6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r>
      <w:tr>
        <w:trPr>
          <w:trHeight w:val="237"/>
        </w:trPr>
        <w:tc>
          <w:tcPr>
            <w:tcW w:w="6900" w:type="dxa"/>
            <w:vAlign w:val="bottom"/>
          </w:tcPr>
          <w:p>
            <w:pPr>
              <w:ind w:left="720"/>
              <w:spacing w:after="0"/>
              <w:rPr>
                <w:sz w:val="20"/>
                <w:szCs w:val="20"/>
                <w:color w:val="auto"/>
              </w:rPr>
            </w:pPr>
            <w:r>
              <w:rPr>
                <w:rFonts w:ascii="Arial" w:cs="Arial" w:eastAsia="Arial" w:hAnsi="Arial"/>
                <w:sz w:val="16"/>
                <w:szCs w:val="16"/>
                <w:color w:val="auto"/>
              </w:rPr>
              <w:t>Japan</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211.6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184.3</w:t>
            </w:r>
          </w:p>
        </w:tc>
      </w:tr>
      <w:tr>
        <w:trPr>
          <w:trHeight w:val="33"/>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Asia Pacific</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237.3</w:t>
            </w:r>
          </w:p>
        </w:tc>
      </w:tr>
      <w:tr>
        <w:trPr>
          <w:trHeight w:val="217"/>
        </w:trPr>
        <w:tc>
          <w:tcPr>
            <w:tcW w:w="6900" w:type="dxa"/>
            <w:vAlign w:val="bottom"/>
          </w:tcPr>
          <w:p>
            <w:pPr>
              <w:ind w:left="380"/>
              <w:spacing w:after="0"/>
              <w:rPr>
                <w:sz w:val="20"/>
                <w:szCs w:val="20"/>
                <w:color w:val="auto"/>
              </w:rPr>
            </w:pPr>
            <w:r>
              <w:rPr>
                <w:rFonts w:ascii="Arial" w:cs="Arial" w:eastAsia="Arial" w:hAnsi="Arial"/>
                <w:sz w:val="16"/>
                <w:szCs w:val="16"/>
                <w:color w:val="auto"/>
              </w:rPr>
              <w:t>Total Asia Pacific</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146.4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459.5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421.6</w:t>
            </w:r>
          </w:p>
        </w:tc>
      </w:tr>
      <w:tr>
        <w:trPr>
          <w:trHeight w:val="33"/>
        </w:trPr>
        <w:tc>
          <w:tcPr>
            <w:tcW w:w="6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1,623.2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584" w:right="299" w:bottom="1440" w:gutter="0" w:footer="0" w:header="0"/>
        </w:sectPr>
      </w:pPr>
    </w:p>
    <w:bookmarkStart w:id="25" w:name="page26"/>
    <w:bookmarkEnd w:id="25"/>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i w:val="1"/>
          <w:iCs w:val="1"/>
          <w:color w:val="auto"/>
        </w:rPr>
        <w:t>The discussion in our MD&amp;A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below in “Strategy” below, anticipated future net revenue, future operating margin and other future financial results (by product type and geography) and operating expenses, the effectiveness of our internal reorganization and restructuring efforts, the effectiveness of efforts to reduce our operating expenses, expected market trends, including the growth of cloud, mobile and social computing, the effect of unemployment and availability of credit, the effects of the weak global economic conditions, our backlog, expected trends in certain financial metrics, the impact of acquisitions and investment activities, the effect of fluctuations in exchange rates and our hedging activities on our financial results, our abilities to successfully expand adoption of our products, our ability to gain market acceptance of new businesses and sales initiatives, our ability to successfully increase sales of product suites as part of our overall sales strategy, and the impact of economic volatility and geopolitical activities in certain countries, particularly emerging economy countries, and the resulting effect on our financial results. In addition, forward-looking statements also consist of statements involving expectations regarding product acceptance, continuation of our stock repurchase program,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Autodesk’s vision is to help people imagine, design and create a better world. We do this by developing software for the world’s designers, architects, engineers, and digital artists—the people who create the world's products, buildings, infrastructure, films, and games. Autodesk serves customers in three primary markets: architecture, engineering and construction; manufacturing; and digital media and entertainment.</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goal is to provide our customers with the world’s most valuable, innovative, and engaging software and services. Our product and services portfolio allows our customers to digitally visualize, simulate, and analyze their projects, helping them to better understand the consequences of their design decisions; save time, money, and resources; and become more innovative.</w:t>
      </w:r>
    </w:p>
    <w:p>
      <w:pPr>
        <w:spacing w:after="0" w:line="181"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87"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By innovating in existing technology categories, we bring powerful new design capabilities to volume markets. Our products are designed to be easy-to-learn and use, and to provide customers with a low cost of deployment, a low total cost of ownership,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78"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 addition to the competitive advantages afforded by our technology, our large global network of distributors, resellers, third-party developers, customers, educational institutions, faculty and students is a key competitive advantage. This network of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Autodesk products and extend them for a variety of specialized applications. Users with expertise in our products are broadly and globally available from educational institutions and in the existing workforce. We offer extensive educational programs,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96" w:right="239" w:bottom="1440" w:gutter="0" w:footer="0" w:header="0"/>
        </w:sectPr>
      </w:pPr>
    </w:p>
    <w:bookmarkStart w:id="26" w:name="page27"/>
    <w:bookmarkEnd w:id="26"/>
    <w:p>
      <w:pPr>
        <w:ind w:right="40"/>
        <w:spacing w:after="0" w:line="279" w:lineRule="auto"/>
        <w:rPr>
          <w:sz w:val="20"/>
          <w:szCs w:val="20"/>
          <w:color w:val="auto"/>
        </w:rPr>
      </w:pPr>
      <w:r>
        <w:rPr>
          <w:rFonts w:ascii="Arial" w:cs="Arial" w:eastAsia="Arial" w:hAnsi="Arial"/>
          <w:sz w:val="17"/>
          <w:szCs w:val="17"/>
          <w:color w:val="auto"/>
        </w:rPr>
        <w:t>including student versions of software, curricula, and faculty development. We have an extensive global community of students who are experienced with our software and poised to become the next generation of professional users – thus reducing the cost of training and providing fresh talent for our customers. Our global network of distributors, resellers, third party developers, customers, educational institutions and students has been developed over our thirty year history. We believe it is an enduring competitive advantage that is difficult for others to replicate.</w:t>
      </w:r>
    </w:p>
    <w:p>
      <w:pPr>
        <w:spacing w:after="0" w:line="17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continually strive to increase the business value of our design tools to our customers in a number of ways. First, we seek to address an increasing portion of our customers' workflow with products that extend the value of our customers' digital design information into visualization, analysis and simulation. Second, we seek to improve our product interoperability and usability, thus improving our customers' productivity and effectiveness. Third, we continue to develop new ways to deliver capability and value to our customers, such as product suites, cloud and social-based services, and delivery of our solutions on mobile devices and new hardware platforms. Fourth, we extend our customers' workflow with products for adjacent users and for the “customers of our customers,” thus increasing the value of the design information our customers produce. Finally, we continue to develop new lines of consumer products and services that are delivered and experienced through the Web, tablets, and mobile devices providing our advanced visualization technologies to consumers —a whole new category of Autodesk customer.</w:t>
      </w:r>
    </w:p>
    <w:p>
      <w:pPr>
        <w:spacing w:after="0" w:line="179"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Autodesk was founded during the platform transition from mainframes and engineering workstations to personal computers. We developed and sustained a compelling value proposition based upon desktop software for the personal computer. Just as the transition from mainframes to personal computers transformed the industry thirty years ago, we believe our industry is undergoing a similar transition from the personal computer to cloud, social, and mobile computing. During the first quarter of the fiscal year, we undertook a number of important organizational changes to drive the success of our business. These changes were made in order to address major business initiatives including our desire to accelerate the business' move to the cloud, transform our customers' experience, increase industry focus to meet customer demands, and develop more effective marketing. The reorganization included changes to the structure and alignment of our product development and marketing teams and re-organizing our sales teams by industry.</w:t>
      </w:r>
    </w:p>
    <w:p>
      <w:pPr>
        <w:spacing w:after="0" w:line="16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While these changes were intended to better serve our customers and drive future growth, we have encountered challenges in the execution of these efforts which have impacted our financial results in the short term. In order to achieve these organizational changes and to further our strategy, including our continuing shift to cloud and mobile computing, in the third quarter of the fiscal year, we commenced a company-wide restructuring plan. The plan included a reduction of approximately 500 positions and the consolidation of eight leased facilities with a total cost of approximately $42.0 million to $52.0 million ("Fiscal 2013 Plan"), of which $36.7 million was incurred during the third quarter of fiscal 2013. The one-time termination benefits will substantially be paid as of January 31, 2013. Autodesk expects to pay the facility related liabilities through the first quarter of fiscal 2014. For further discussion see Note 13, “ Restructuring,” in the Notes to the Condensed Consolidated Financial Statements.</w:t>
      </w:r>
    </w:p>
    <w:p>
      <w:pPr>
        <w:spacing w:after="0" w:line="178"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While we are reducing our overall staffing levels in the near-term, we will continue to invest in key development areas. If we are unable to successfully complete our reorganizational efforts we may need to undertake additional restructuring efforts, and our business and operating results may be harmed.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growth strategy is predicated upon leading the transition in the industries we serve into the cloud in three ways:</w:t>
      </w:r>
    </w:p>
    <w:p>
      <w:pPr>
        <w:spacing w:after="0" w:line="225" w:lineRule="exact"/>
        <w:rPr>
          <w:sz w:val="20"/>
          <w:szCs w:val="20"/>
          <w:color w:val="auto"/>
        </w:rPr>
      </w:pPr>
    </w:p>
    <w:p>
      <w:pPr>
        <w:ind w:left="660" w:right="240" w:hanging="328"/>
        <w:spacing w:after="0" w:line="279"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Grow. We believe sufficient opportunity remains in our PC-based software business, and we intend to continue to grow this business. In particular we are offering product suites with improved interoperability and usability to enhance our customers' productivity. We are continuing to drive maintenance and new licensing models to better match the business needs of our customers. We will continue to emphasize developing direct relationships with large, global customers and pursuing opportunities in emerging economies.</w:t>
      </w:r>
    </w:p>
    <w:p>
      <w:pPr>
        <w:spacing w:after="0" w:line="171" w:lineRule="exact"/>
        <w:rPr>
          <w:rFonts w:ascii="Arial" w:cs="Arial" w:eastAsia="Arial" w:hAnsi="Arial"/>
          <w:sz w:val="17"/>
          <w:szCs w:val="17"/>
          <w:color w:val="auto"/>
        </w:rPr>
      </w:pPr>
    </w:p>
    <w:p>
      <w:pPr>
        <w:ind w:left="660" w:right="12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Transform. At the same time we grow our desktop software business, we are migrating many of our products to the cloud. This entails development of new cloud computing infrastructure and redesigning our applications to leverage the cloud. We are also developing new capabilities that are enabled by the cloud such as collaborative Product Lifecycle Management ("PLM") and on line simulation. Our goal is to lead our industry in transitioning to the cloud.</w:t>
      </w:r>
    </w:p>
    <w:p>
      <w:pPr>
        <w:spacing w:after="0" w:line="186"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We believe that the combination of cloud, social and mobile computing affords us the opportunity to expand our business into new markets. For example, we have added new customers through our consumer products. We intend to continue to develop our business to both add new customers and find new capabilities to incorporate in our core business.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ind w:firstLine="432"/>
        <w:spacing w:after="0" w:line="257" w:lineRule="auto"/>
        <w:rPr>
          <w:sz w:val="20"/>
          <w:szCs w:val="20"/>
          <w:color w:val="auto"/>
        </w:rPr>
      </w:pPr>
      <w:r>
        <w:rPr>
          <w:rFonts w:ascii="Arial" w:cs="Arial" w:eastAsia="Arial" w:hAnsi="Arial"/>
          <w:sz w:val="18"/>
          <w:szCs w:val="18"/>
          <w:color w:val="auto"/>
        </w:rPr>
        <w:t>We believe that expanding our customers' portfolios to include our suites presents a meaningful growth opportunity and is an important part of our overall strategy. As our customers in all industries adopt our design suites, we believe they will experience an increase in their productivity and the value of their design data. For the three and nine months ended October 31, 2012, revenue from suites increased 10% and 15%, respectively, as compared to the same periods in the prior fiscal year. As a percentage of revenue, suites comprised 30% and 29% in the three and nine months ended October 31, 2012, respectively, as compared to 27% in both the three and nine months ended October 31, 2011.</w:t>
      </w:r>
    </w:p>
    <w:p>
      <w:pPr>
        <w:spacing w:after="0" w:line="188"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Expanding our geographic coverage is another key element of our growth strategy. While emerging economies are important for all global businesses, we believe they hold special opportunity for Autodesk. Much of the growth opportunity in the world’s construction and manufacturing is in emerging economies. Further, emerging economies face many of the challenges that our design technology can help address, for example infrastructure build-out. Although revenue from emerging countries decreased 9% and 1% during the three and nine months ended October 31, 2012, respectively, as compared to the same periods of the prior fiscal year, we believe that emerging economies continue to present long-term growth opportunities for us. Revenue from emerging countries represented 15% of net revenue for both the three and nine months ended October 31, 2012, as compared to 16% of net revenue for both the three and nine months ended October 31, 2011. While we believe there are long-term growth opportunities in emerging economies, conducting business in these countries presents significant challenges, including economic volatility, geopolitical risk, local competition, intellectual property protection, poorly developed business infrastructure, scarcity of talent and software piracy.</w:t>
      </w:r>
    </w:p>
    <w:p>
      <w:pPr>
        <w:spacing w:after="0" w:line="182"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acquire products, technology and businesses as compelling opportunities become available.</w:t>
      </w:r>
    </w:p>
    <w:p>
      <w:pPr>
        <w:spacing w:after="0" w:line="188"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Our strategy depends upon a number of assumptions, including those mentioned above as well as that we will be able to continue making our technology available to mainstream markets; leverage our large global network of distributors, resellers, third-party developers, customers, educational institutions, and students; improve the performance and functionality of our products; and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Our Condensed Consolidated Financial Statements are prepared in conformity with U.S. generally accepted accounting principles.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2012 (the “2012 Form 10-K”). In addition, we highlighted those policies that involve a higher degree of judgment and complexity with further discussion of these judgmental areas in Item 7, “Management’s Discussion and Analysis of Financial Condition and Results of Operations” in the 2012 Form 10-K. We believe these policies are the most critical to aid in fully understanding and evaluating our financial condition and results of operations. Updates on the relevant periodic financial disclosures related to these policies are provided below.</w:t>
      </w:r>
    </w:p>
    <w:p>
      <w:pPr>
        <w:spacing w:after="0" w:line="178"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As of October 31, 2012, a hypothetical 10% decrease in the fair value of our reporting units would not have an impact on the carrying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goodwill, nor result in impairment of goodwill. For further discussion see Note 9, “Goodwill,” in the Notes to the Condensed Consolidated Financial Statements.</w:t>
      </w:r>
    </w:p>
    <w:p>
      <w:pPr>
        <w:spacing w:after="0" w:line="181"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currently have $176.7 million of net deferred tax assets, primarily a result of tax credits, net operating losses, capital losses, and</w:t>
      </w:r>
      <w:r>
        <w:rPr>
          <w:rFonts w:ascii="Arial" w:cs="Arial" w:eastAsia="Arial" w:hAnsi="Arial"/>
          <w:sz w:val="17"/>
          <w:szCs w:val="17"/>
          <w:i w:val="1"/>
          <w:iCs w:val="1"/>
          <w:color w:val="auto"/>
        </w:rPr>
        <w:t xml:space="preserve"> </w:t>
      </w:r>
      <w:r>
        <w:rPr>
          <w:rFonts w:ascii="Arial" w:cs="Arial" w:eastAsia="Arial" w:hAnsi="Arial"/>
          <w:sz w:val="17"/>
          <w:szCs w:val="17"/>
          <w:color w:val="auto"/>
        </w:rPr>
        <w:t>timing differences for reserves, accrued liabilities, stock options and restricted stock units, fixed assets, deferred revenue, purchased technologies and capitalized intangibles, partially offset by the establishment of U.S. deferred tax liabilities on unremitted earnings from certain foreign subsidiaries, deferred tax liabilities associated with tax method change on advanced payments and valuation allowances against U.S. and Canadian deferred tax assets. We perform a quarterly assessment of the recoverability of these net deferred tax assets and believe that we will generate sufficient future taxable income in appropriate tax jurisdictions to realize the net deferred tax assets. Our judgments regarding future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ind w:right="20"/>
        <w:spacing w:after="0" w:line="279" w:lineRule="auto"/>
        <w:rPr>
          <w:sz w:val="20"/>
          <w:szCs w:val="20"/>
          <w:color w:val="auto"/>
        </w:rPr>
      </w:pPr>
      <w:r>
        <w:rPr>
          <w:rFonts w:ascii="Arial" w:cs="Arial" w:eastAsia="Arial" w:hAnsi="Arial"/>
          <w:sz w:val="17"/>
          <w:szCs w:val="17"/>
          <w:color w:val="auto"/>
        </w:rPr>
        <w:t>profitability may change due to future market conditions and other factors. Any change in future profitability may require material adjustments to these net deferred tax assets, resulting in a reduction in net income in the period when such determination is made. We believe our tax positions, including intercompany transfer pricing policies, are consistent with the tax laws in the jurisdictions in which we conduct our business. It is possible that these positions may be challenged by jurisdictional tax authorities and that such challenges may have a significant impact on our effective tax rate.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and Nine Months Ended October 31, 2012</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400" w:type="dxa"/>
            <w:vAlign w:val="bottom"/>
          </w:tcPr>
          <w:p>
            <w:pPr>
              <w:jc w:val="center"/>
              <w:ind w:left="388"/>
              <w:spacing w:after="0"/>
              <w:rPr>
                <w:sz w:val="20"/>
                <w:szCs w:val="20"/>
                <w:color w:val="auto"/>
              </w:rPr>
            </w:pPr>
            <w:r>
              <w:rPr>
                <w:rFonts w:ascii="Arial" w:cs="Arial" w:eastAsia="Arial" w:hAnsi="Arial"/>
                <w:sz w:val="14"/>
                <w:szCs w:val="14"/>
                <w:b w:val="1"/>
                <w:bCs w:val="1"/>
                <w:color w:val="auto"/>
                <w:w w:val="96"/>
              </w:rPr>
              <w:t>As a % of Net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center"/>
              <w:ind w:right="82"/>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As a % of Net</w:t>
            </w:r>
          </w:p>
        </w:tc>
      </w:tr>
      <w:tr>
        <w:trPr>
          <w:trHeight w:val="192"/>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2"/>
              </w:rPr>
              <w:t>October 31, 2012</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2"/>
              </w:rPr>
              <w:t>Revenue</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October 31, 2011</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3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548.0</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548.6</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60" w:type="dxa"/>
            <w:vAlign w:val="bottom"/>
          </w:tcPr>
          <w:p>
            <w:pPr>
              <w:spacing w:after="0"/>
              <w:rPr>
                <w:sz w:val="20"/>
                <w:szCs w:val="20"/>
                <w:color w:val="auto"/>
              </w:rPr>
            </w:pP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2"/>
              <w:spacing w:after="0"/>
              <w:rPr>
                <w:sz w:val="20"/>
                <w:szCs w:val="20"/>
                <w:color w:val="auto"/>
              </w:rPr>
            </w:pPr>
            <w:r>
              <w:rPr>
                <w:rFonts w:ascii="Arial" w:cs="Arial" w:eastAsia="Arial" w:hAnsi="Arial"/>
                <w:sz w:val="16"/>
                <w:szCs w:val="16"/>
                <w:color w:val="auto"/>
              </w:rPr>
              <w:t>59.6</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3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490.1</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489.0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20"/>
                <w:szCs w:val="20"/>
                <w:color w:val="auto"/>
              </w:rPr>
            </w:pP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455.7</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2"/>
              <w:spacing w:after="0"/>
              <w:rPr>
                <w:sz w:val="20"/>
                <w:szCs w:val="20"/>
                <w:color w:val="auto"/>
              </w:rPr>
            </w:pPr>
            <w:r>
              <w:rPr>
                <w:rFonts w:ascii="Arial" w:cs="Arial" w:eastAsia="Arial" w:hAnsi="Arial"/>
                <w:sz w:val="16"/>
                <w:szCs w:val="16"/>
                <w:color w:val="auto"/>
              </w:rPr>
              <w:t>398.8</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90.2</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75"/>
        </w:trPr>
        <w:tc>
          <w:tcPr>
            <w:tcW w:w="3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23"/>
                <w:szCs w:val="23"/>
                <w:color w:val="auto"/>
              </w:rPr>
            </w:pPr>
          </w:p>
        </w:tc>
        <w:tc>
          <w:tcPr>
            <w:tcW w:w="1400" w:type="dxa"/>
            <w:vAlign w:val="bottom"/>
          </w:tcPr>
          <w:p>
            <w:pPr>
              <w:jc w:val="center"/>
              <w:ind w:left="388"/>
              <w:spacing w:after="0"/>
              <w:rPr>
                <w:sz w:val="20"/>
                <w:szCs w:val="20"/>
                <w:color w:val="auto"/>
              </w:rPr>
            </w:pPr>
            <w:r>
              <w:rPr>
                <w:rFonts w:ascii="Arial" w:cs="Arial" w:eastAsia="Arial" w:hAnsi="Arial"/>
                <w:sz w:val="14"/>
                <w:szCs w:val="14"/>
                <w:b w:val="1"/>
                <w:bCs w:val="1"/>
                <w:color w:val="auto"/>
                <w:w w:val="96"/>
              </w:rPr>
              <w:t>As a % of Net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As a % of Net</w:t>
            </w:r>
          </w:p>
        </w:tc>
      </w:tr>
      <w:tr>
        <w:trPr>
          <w:trHeight w:val="192"/>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2"/>
              </w:rPr>
              <w:t>October 31, 2012</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2"/>
              </w:rPr>
              <w:t>Revenue</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October 31, 2011</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3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1,705.3</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1,623.2</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60" w:type="dxa"/>
            <w:vAlign w:val="bottom"/>
          </w:tcPr>
          <w:p>
            <w:pPr>
              <w:spacing w:after="0"/>
              <w:rPr>
                <w:sz w:val="20"/>
                <w:szCs w:val="20"/>
                <w:color w:val="auto"/>
              </w:rPr>
            </w:pP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176.5</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2"/>
              <w:spacing w:after="0"/>
              <w:rPr>
                <w:sz w:val="20"/>
                <w:szCs w:val="20"/>
                <w:color w:val="auto"/>
              </w:rPr>
            </w:pPr>
            <w:r>
              <w:rPr>
                <w:rFonts w:ascii="Arial" w:cs="Arial" w:eastAsia="Arial" w:hAnsi="Arial"/>
                <w:sz w:val="16"/>
                <w:szCs w:val="16"/>
                <w:color w:val="auto"/>
              </w:rPr>
              <w:t>171.6</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3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1,528.8</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1,451.6</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20"/>
                <w:szCs w:val="20"/>
                <w:color w:val="auto"/>
              </w:rPr>
            </w:pP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1,307.5</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2"/>
              <w:spacing w:after="0"/>
              <w:rPr>
                <w:sz w:val="20"/>
                <w:szCs w:val="20"/>
                <w:color w:val="auto"/>
              </w:rPr>
            </w:pPr>
            <w:r>
              <w:rPr>
                <w:rFonts w:ascii="Arial" w:cs="Arial" w:eastAsia="Arial" w:hAnsi="Arial"/>
                <w:sz w:val="16"/>
                <w:szCs w:val="16"/>
                <w:color w:val="auto"/>
              </w:rPr>
              <w:t>1,187.8</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221.3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263.8</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experienced mixed results in the three and nine months ended October 31, 2012. Revenue and gross profit in the three months ended October 31, 2012 were relatively flat compared to the same period in the prior fiscal year. During the three months ended October 31, 2012, growth in certain of our major products, reportable segments and geographic areas was tempered by a decline in demand. For the nine months ended October 31, 2012, although impacted by the demand decline in the three months ended October 31, 2012, our business grew year over year as evidenced by our increases in revenue and gross profit. Contributing to the year over year increases in revenue for the nine months ended October 31, 2012 were increases in revenue from new seat license revenue and maintenance revenue. In addition, we experienced increases in revenue for many of our major products, reportable segments and all of our geographic areas during the nine months ended October 31, 2012 as compared to the same period in the prior fiscal year. The reasons for these increases are discussed below under the heading “Results of Operations.”</w:t>
      </w:r>
    </w:p>
    <w:p>
      <w:pPr>
        <w:spacing w:after="0" w:line="13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decline in demand impacting the three and nine months ended October 31, 2012 was due to a combination of a weaker economic environment and execution related challenges arising from our recent internal organizational changes, including reorganizing our sales teams by industry. An uneven global economy, combined with execution related challenges, resulted in lower than anticipated revenue results for the quarter. In light of the uneven macroeconomic environment and our focus on improving operating margins, we have taken a prudent approach to spending for the fiscal year. Although, we addressed certain execution related challenges in the three months ended October 31, 2012, we remain focused on addressing remaining internal challenges as rapidly as possible, while continuing to satisfy the needs of our customers around the world.</w:t>
      </w:r>
    </w:p>
    <w:p>
      <w:pPr>
        <w:spacing w:after="0" w:line="138"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Our income from operations decreased 62% in the three months ended October 31, 2012, compared to the same period in the prior fiscal year. Our total operating margin decreased as a percentage of revenue from 16% for the three months ended October 31, 2011 to 6% during the three months ended October 31, 2012. The decreases in our income from operations and our operating margin were impacted by a decline of less than 1% or $0.6 million in net revenue, while our operating expenses increased $56.9 million, or 14% for the three months ended October 31, 2012, as compared to the same period in the prior fiscal year. The 14% increase in operating expenses in the three months ended October 31, 2012, as compared to the three months ended October 31, 2011 was due primarily to recording $36.7 million in restructuring charges in the three months ended October 31, 2012 incurred as a result of our Fiscal 2013 Plan. During the third quarter of fiscal 2013, the Board of Directors of the Company approved a world-wide restructuring plan in line with the Company's strategy, including its continuing shift to cloud and mobile computing.</w:t>
      </w:r>
    </w:p>
    <w:p>
      <w:pPr>
        <w:spacing w:after="0" w:line="13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income from operations decreased 16% in the nine months ended October 31, 2012, compared to same period in the prior fiscal year. Our total operating margin decreased as a percentage of revenue from 16% for the three months ended October 31, 2011 to 13% for the nine months ended October 31, 2012. The decreases in our income from operations and our operating margin resulted from a $119.7 million, or 10%, increase in our operating expenses against an increase in net revenue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29" w:name="page30"/>
    <w:bookmarkEnd w:id="29"/>
    <w:p>
      <w:pPr>
        <w:ind w:right="100"/>
        <w:spacing w:after="0" w:line="257" w:lineRule="auto"/>
        <w:rPr>
          <w:sz w:val="20"/>
          <w:szCs w:val="20"/>
          <w:color w:val="auto"/>
        </w:rPr>
      </w:pPr>
      <w:r>
        <w:rPr>
          <w:rFonts w:ascii="Arial" w:cs="Arial" w:eastAsia="Arial" w:hAnsi="Arial"/>
          <w:sz w:val="18"/>
          <w:szCs w:val="18"/>
          <w:color w:val="auto"/>
        </w:rPr>
        <w:t>of $82.1 million, or 5%, for the nine months ended October 31, 2012, as compared to the same period in the prior fiscal year. The 10% increase in operating expenses in the nine months ended October 31, 2012, as compared to the nine months ended October 31, 2011 was due primarily to higher employee salary related expenses related to higher headcount in the first half of fiscal 2013, higher stock based compensation expense, and restructuring charges incurred as a result of the board approved restructuring plan in the third quarter of fiscal 2013. During the nine months ended October 31, 2012, Autodesk recorded restructuring charges of $36.7 million.</w:t>
      </w:r>
    </w:p>
    <w:p>
      <w:pPr>
        <w:spacing w:after="0" w:line="148"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We generate a majority of our revenue in the U.S., Japan, Germany, France, and Canada. Our revenue was negatively impacted from foreign exchange rate changes during the three and nine months ended October 31, 2012, as compared to the same periods in the prior fiscal year. During the three and nine months ended October 31, 2012 net revenue declined slightly and increased 5%, respectively, compared to the same periods in the prior fiscal year; had applicable exchange rates from the three and nine months ended October 31, 2011 been in effect during the three and nine months ended October 31, 2012, and had we excluded foreign exchange hedge gains and losses from the three and nine months ended October 31, 2012 and 2011 (“on a constant currency basis”), net revenue would have increased 2% and 5% respectively, compared to the same periods in the prior fiscal year. During the three and nine months ended October 31, 2012, total spend, defined as cost of revenue plus operating expenses, increased 12% and 9%, respectively, compared to the same periods in the prior fiscal year as reported and increased 14% and 10%, respectively, on a constant currency basis. 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 of such foreign currency against the U.S. dollar.</w:t>
      </w:r>
    </w:p>
    <w:p>
      <w:pPr>
        <w:spacing w:after="0" w:line="183"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rely significantly upon major distributors and resellers in both the U.S. and international regions, including Tech Data Corporation and its global affiliates (collectively, “Tech Data”). Tech Data accounted for 24% and 23% of our total net revenue during the three and nine months ended October 31, 2012, respectively. Tech Data accounted for 16% of Autodesk's total net revenue for both the three and nine months ended October 31, 2011. In October 2011, Tech Data purchased certain assets of Mensch and Maschine Software (“MuM”), which has been a distributor of our products in Europe. The acquisition concentrates additional sales through Tech Data, which on a consolidated basis would have accounted for 20% and 22% of our total net revenue for the three and nine months ended October 31, 2011, respectively, if the acquisition had taken place at the beginning of fiscal 2012. We believe our business is not substantially dependent on Tech Data. Our customers through Tech Data are the resellers and end users who purchase our software licenses and services. Should any of the agreements between us and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w:t>
      </w:r>
    </w:p>
    <w:p>
      <w:pPr>
        <w:spacing w:after="0" w:line="178"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Our primary goals for the remainder of fiscal 2013 are to grow revenue from our current levels consistent with seasonal trends and manage our operating margin as a percentage of revenue by delivering our market-leading products and solutions to our customers and investing in product functionality and new product lines, including suites offerings, while controlling our operating expenses. However, in light of our lower than expected second and third quarter performance and our reduced revenue outlook for the year, we are further reducing our spend by implementing cost cutting measures during in the remainder of this fiscal year. In an attempt to adjust our cost structure and accelerate our transition to cloud, social and mobile computing, we initiated a restructuring plan in the third quarter of fiscal 2013. While a substantial portion of the restructuring charges were incurred in the three months ended October 31, 2012, we will continue to have material restructuring charges or other non-recurring charges that will have the effect of reducing our operating margins and net income for the remainder of fiscal 2013. In addition, we will continue to look closely at our cost structure to find ways that we can reduce our operating expenses to improve our operating margin while allowing continued investment in growth and productivity initiatives. There can be no assurance that we will achieve our financial goals and improve our financial results. Additionally, we believe that unemployment rates and the availability of credit to major industries we serve are important indicators for our business; if we are unable to successfully achieve our reorganization and restructuring efforts or if global economic conditions deteriorate we may not achieve our financial goals.</w:t>
      </w:r>
    </w:p>
    <w:p>
      <w:pPr>
        <w:spacing w:after="0" w:line="180"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Revenue from flagship products was 54% and 56% of total net revenue during the three and nine months ended October 31, 2012, respectively, and decreased 4% and increased 2% during the three and nine months ended October 31, 2012, respectively, as compared to the same periods in the prior fiscal year. Revenue from suites was 30% and 29% of total net revenue during the three and nine months ended October 31, 2012, respectively, and increased 10% and 15% as compared to the same periods in the prior fiscal year, respectively. Revenue from new and adjacent products was 15% of total net revenue during both the three and nine months ended October 31, 2012 and decreased 3% and increased 1% as compared to the same periods in the prior fiscal year, respectively. We anticipate, as our new and existing customers migrate from our stand-alone products, that our revenue from suites will increase as a percentage of revenue, while our revenue from our flagship and new and adjacent products will decline as a percentage of revenue.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ind w:right="180" w:firstLine="432"/>
        <w:spacing w:after="0" w:line="271" w:lineRule="auto"/>
        <w:rPr>
          <w:sz w:val="20"/>
          <w:szCs w:val="20"/>
          <w:color w:val="auto"/>
        </w:rPr>
      </w:pPr>
      <w:r>
        <w:rPr>
          <w:rFonts w:ascii="Arial" w:cs="Arial" w:eastAsia="Arial" w:hAnsi="Arial"/>
          <w:sz w:val="17"/>
          <w:szCs w:val="17"/>
          <w:color w:val="auto"/>
        </w:rPr>
        <w:t>At October 31, 2012, we had $1,737.4 million in cash, cash equivalents and marketable securities. We completed the quarter ended October 31, 2012 with a higher deferred revenue balance and a lower accounts receivable balance as compared to the fiscal year ended January 31, 2012. Deferred revenue at October 31, 2012 was $713.7 million. Deferred revenue consists primarily of deferred maintenance revenue. To a lesser extent, deferred revenue consists of deferred license and other revenue derived from collaborative project management services, consulting services and deferred license sales. We repurchased 4.0 million shares of our common stock for $130.2 million during the three months ended October 31, 2012. Comparatively, we repurchased 3.5 million shares of our common stock for $94.3 million during the three months ended October 31, 2011. We repurchased 9.9 million shares of our common stock for $340.5 million during the nine months ended October 31, 2012. Comparatively, we repurchased 7.7 million shares of our common stock for $263.7 million during the nine months ended October 31, 2011.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22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3"/>
              </w:rPr>
              <w:t>Increase/(Decrease) compared to</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Nine Months</w:t>
            </w:r>
          </w:p>
        </w:tc>
        <w:tc>
          <w:tcPr>
            <w:tcW w:w="22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Increase/(Decrease) compared to</w:t>
            </w:r>
          </w:p>
        </w:tc>
        <w:tc>
          <w:tcPr>
            <w:tcW w:w="120" w:type="dxa"/>
            <w:vAlign w:val="bottom"/>
          </w:tcPr>
          <w:p>
            <w:pPr>
              <w:spacing w:after="0"/>
              <w:rPr>
                <w:sz w:val="14"/>
                <w:szCs w:val="14"/>
                <w:color w:val="auto"/>
              </w:rPr>
            </w:pPr>
          </w:p>
        </w:tc>
        <w:tc>
          <w:tcPr>
            <w:tcW w:w="92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6"/>
                <w:szCs w:val="16"/>
                <w:color w:val="auto"/>
              </w:rPr>
            </w:pPr>
          </w:p>
        </w:tc>
        <w:tc>
          <w:tcPr>
            <w:tcW w:w="1980" w:type="dxa"/>
            <w:vAlign w:val="bottom"/>
            <w:gridSpan w:val="4"/>
          </w:tcPr>
          <w:p>
            <w:pPr>
              <w:ind w:left="34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6"/>
                <w:szCs w:val="16"/>
                <w:color w:val="auto"/>
              </w:rPr>
            </w:pPr>
          </w:p>
        </w:tc>
        <w:tc>
          <w:tcPr>
            <w:tcW w:w="19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prior fiscal year</w:t>
            </w:r>
          </w:p>
        </w:tc>
        <w:tc>
          <w:tcPr>
            <w:tcW w:w="120" w:type="dxa"/>
            <w:vAlign w:val="bottom"/>
          </w:tcPr>
          <w:p>
            <w:pPr>
              <w:spacing w:after="0"/>
              <w:rPr>
                <w:sz w:val="16"/>
                <w:szCs w:val="16"/>
                <w:color w:val="auto"/>
              </w:rPr>
            </w:pPr>
          </w:p>
        </w:tc>
        <w:tc>
          <w:tcPr>
            <w:tcW w:w="92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39"/>
        </w:trPr>
        <w:tc>
          <w:tcPr>
            <w:tcW w:w="2320" w:type="dxa"/>
            <w:vAlign w:val="bottom"/>
          </w:tcPr>
          <w:p>
            <w:pPr>
              <w:spacing w:after="0"/>
              <w:rPr>
                <w:sz w:val="12"/>
                <w:szCs w:val="12"/>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October 31, 2012</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vMerge w:val="restart"/>
          </w:tcPr>
          <w:p>
            <w:pPr>
              <w:jc w:val="right"/>
              <w:ind w:right="42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gridSpan w:val="2"/>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October 31, 2011</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3"/>
              </w:rPr>
              <w:t>October 31,</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vMerge w:val="restart"/>
          </w:tcPr>
          <w:p>
            <w:pPr>
              <w:jc w:val="right"/>
              <w:ind w:right="36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gridSpan w:val="2"/>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1"/>
              <w:spacing w:after="0" w:line="139" w:lineRule="exact"/>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92"/>
        </w:trPr>
        <w:tc>
          <w:tcPr>
            <w:tcW w:w="232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32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317.1</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331.4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1,018.6</w:t>
            </w:r>
          </w:p>
        </w:tc>
        <w:tc>
          <w:tcPr>
            <w:tcW w:w="10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31.2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987.4</w:t>
            </w: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Maintenance</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635.8</w:t>
            </w:r>
          </w:p>
        </w:tc>
        <w:tc>
          <w:tcPr>
            <w:tcW w:w="0" w:type="dxa"/>
            <w:vAlign w:val="bottom"/>
          </w:tcPr>
          <w:p>
            <w:pPr>
              <w:spacing w:after="0"/>
              <w:rPr>
                <w:sz w:val="1"/>
                <w:szCs w:val="1"/>
                <w:color w:val="auto"/>
              </w:rPr>
            </w:pPr>
          </w:p>
        </w:tc>
      </w:tr>
      <w:tr>
        <w:trPr>
          <w:trHeight w:val="284"/>
        </w:trPr>
        <w:tc>
          <w:tcPr>
            <w:tcW w:w="23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548.0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rPr>
              <w:t>— %</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548.6</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1,705.3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82.1</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5 %</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1,623.2</w:t>
            </w:r>
          </w:p>
        </w:tc>
        <w:tc>
          <w:tcPr>
            <w:tcW w:w="0" w:type="dxa"/>
            <w:vAlign w:val="bottom"/>
          </w:tcPr>
          <w:p>
            <w:pPr>
              <w:spacing w:after="0"/>
              <w:rPr>
                <w:sz w:val="1"/>
                <w:szCs w:val="1"/>
                <w:color w:val="auto"/>
              </w:rPr>
            </w:pPr>
          </w:p>
        </w:tc>
      </w:tr>
      <w:tr>
        <w:trPr>
          <w:trHeight w:val="184"/>
        </w:trPr>
        <w:tc>
          <w:tcPr>
            <w:tcW w:w="23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Net Revenue by Geographic Area:</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2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209.4</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9.0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4 %</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200.4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615.5</w:t>
            </w:r>
          </w:p>
        </w:tc>
        <w:tc>
          <w:tcPr>
            <w:tcW w:w="10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42.6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572.9</w:t>
            </w: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Europe, Middle East and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Africa</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630.3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628.7</w:t>
            </w:r>
          </w:p>
        </w:tc>
        <w:tc>
          <w:tcPr>
            <w:tcW w:w="0" w:type="dxa"/>
            <w:vAlign w:val="bottom"/>
          </w:tcPr>
          <w:p>
            <w:pPr>
              <w:spacing w:after="0"/>
              <w:rPr>
                <w:sz w:val="1"/>
                <w:szCs w:val="1"/>
                <w:color w:val="auto"/>
              </w:rPr>
            </w:pPr>
          </w:p>
        </w:tc>
      </w:tr>
      <w:tr>
        <w:trPr>
          <w:trHeight w:val="237"/>
        </w:trPr>
        <w:tc>
          <w:tcPr>
            <w:tcW w:w="232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12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146.4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459.5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37.9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421.6</w:t>
            </w:r>
          </w:p>
        </w:tc>
        <w:tc>
          <w:tcPr>
            <w:tcW w:w="0" w:type="dxa"/>
            <w:vAlign w:val="bottom"/>
          </w:tcPr>
          <w:p>
            <w:pPr>
              <w:spacing w:after="0"/>
              <w:rPr>
                <w:sz w:val="1"/>
                <w:szCs w:val="1"/>
                <w:color w:val="auto"/>
              </w:rPr>
            </w:pPr>
          </w:p>
        </w:tc>
      </w:tr>
      <w:tr>
        <w:trPr>
          <w:trHeight w:val="33"/>
        </w:trPr>
        <w:tc>
          <w:tcPr>
            <w:tcW w:w="2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1,705.3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82.1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1,623.2</w:t>
            </w:r>
          </w:p>
        </w:tc>
        <w:tc>
          <w:tcPr>
            <w:tcW w:w="0" w:type="dxa"/>
            <w:vAlign w:val="bottom"/>
          </w:tcPr>
          <w:p>
            <w:pPr>
              <w:spacing w:after="0"/>
              <w:rPr>
                <w:sz w:val="1"/>
                <w:szCs w:val="1"/>
                <w:color w:val="auto"/>
              </w:rPr>
            </w:pPr>
          </w:p>
        </w:tc>
      </w:tr>
      <w:tr>
        <w:trPr>
          <w:trHeight w:val="20"/>
        </w:trPr>
        <w:tc>
          <w:tcPr>
            <w:tcW w:w="2320" w:type="dxa"/>
            <w:vAlign w:val="bottom"/>
            <w:vMerge w:val="restart"/>
          </w:tcPr>
          <w:p>
            <w:pPr>
              <w:ind w:left="40"/>
              <w:spacing w:after="0"/>
              <w:rPr>
                <w:sz w:val="20"/>
                <w:szCs w:val="20"/>
                <w:color w:val="auto"/>
              </w:rPr>
            </w:pPr>
            <w:r>
              <w:rPr>
                <w:rFonts w:ascii="Arial" w:cs="Arial" w:eastAsia="Arial" w:hAnsi="Arial"/>
                <w:sz w:val="16"/>
                <w:szCs w:val="16"/>
                <w:color w:val="auto"/>
              </w:rPr>
              <w:t>Net Revenue by Operating</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320" w:type="dxa"/>
            <w:vAlign w:val="bottom"/>
          </w:tcPr>
          <w:p>
            <w:pPr>
              <w:ind w:left="40"/>
              <w:spacing w:after="0"/>
              <w:rPr>
                <w:sz w:val="20"/>
                <w:szCs w:val="20"/>
                <w:color w:val="auto"/>
              </w:rPr>
            </w:pPr>
            <w:r>
              <w:rPr>
                <w:rFonts w:ascii="Arial" w:cs="Arial" w:eastAsia="Arial" w:hAnsi="Arial"/>
                <w:sz w:val="16"/>
                <w:szCs w:val="16"/>
                <w:color w:val="auto"/>
              </w:rPr>
              <w:t>Segment:</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Platform Solutions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w w:val="99"/>
              </w:rPr>
              <w:t>and Emerging Business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618.7</w:t>
            </w:r>
          </w:p>
        </w:tc>
        <w:tc>
          <w:tcPr>
            <w:tcW w:w="0" w:type="dxa"/>
            <w:vAlign w:val="bottom"/>
          </w:tcPr>
          <w:p>
            <w:pPr>
              <w:spacing w:after="0"/>
              <w:rPr>
                <w:sz w:val="1"/>
                <w:szCs w:val="1"/>
                <w:color w:val="auto"/>
              </w:rPr>
            </w:pPr>
          </w:p>
        </w:tc>
      </w:tr>
      <w:tr>
        <w:trPr>
          <w:trHeight w:val="220"/>
        </w:trPr>
        <w:tc>
          <w:tcPr>
            <w:tcW w:w="2320" w:type="dxa"/>
            <w:vAlign w:val="bottom"/>
          </w:tcPr>
          <w:p>
            <w:pPr>
              <w:ind w:left="380"/>
              <w:spacing w:after="0"/>
              <w:rPr>
                <w:sz w:val="20"/>
                <w:szCs w:val="20"/>
                <w:color w:val="auto"/>
              </w:rPr>
            </w:pPr>
            <w:r>
              <w:rPr>
                <w:rFonts w:ascii="Arial" w:cs="Arial" w:eastAsia="Arial" w:hAnsi="Arial"/>
                <w:sz w:val="16"/>
                <w:szCs w:val="16"/>
                <w:color w:val="auto"/>
              </w:rPr>
              <w:t>Architecture,</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620"/>
              <w:spacing w:after="0"/>
              <w:rPr>
                <w:sz w:val="20"/>
                <w:szCs w:val="20"/>
                <w:color w:val="auto"/>
              </w:rPr>
            </w:pPr>
            <w:r>
              <w:rPr>
                <w:rFonts w:ascii="Arial" w:cs="Arial" w:eastAsia="Arial" w:hAnsi="Arial"/>
                <w:sz w:val="16"/>
                <w:szCs w:val="16"/>
                <w:color w:val="auto"/>
              </w:rPr>
              <w:t>Engineering and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20" w:type="dxa"/>
            <w:vAlign w:val="bottom"/>
          </w:tcPr>
          <w:p>
            <w:pPr>
              <w:ind w:left="620"/>
              <w:spacing w:after="0"/>
              <w:rPr>
                <w:sz w:val="20"/>
                <w:szCs w:val="20"/>
                <w:color w:val="auto"/>
              </w:rPr>
            </w:pPr>
            <w:r>
              <w:rPr>
                <w:rFonts w:ascii="Arial" w:cs="Arial" w:eastAsia="Arial" w:hAnsi="Arial"/>
                <w:sz w:val="16"/>
                <w:szCs w:val="16"/>
                <w:color w:val="auto"/>
              </w:rPr>
              <w:t>Construction</w:t>
            </w:r>
          </w:p>
        </w:tc>
        <w:tc>
          <w:tcPr>
            <w:tcW w:w="12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163.1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10.9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152.2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488.8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37.3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451.5</w:t>
            </w: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392.5</w:t>
            </w:r>
          </w:p>
        </w:tc>
        <w:tc>
          <w:tcPr>
            <w:tcW w:w="0" w:type="dxa"/>
            <w:vAlign w:val="bottom"/>
          </w:tcPr>
          <w:p>
            <w:pPr>
              <w:spacing w:after="0"/>
              <w:rPr>
                <w:sz w:val="1"/>
                <w:szCs w:val="1"/>
                <w:color w:val="auto"/>
              </w:rPr>
            </w:pPr>
          </w:p>
        </w:tc>
      </w:tr>
      <w:tr>
        <w:trPr>
          <w:trHeight w:val="237"/>
        </w:trPr>
        <w:tc>
          <w:tcPr>
            <w:tcW w:w="2320" w:type="dxa"/>
            <w:vAlign w:val="bottom"/>
          </w:tcPr>
          <w:p>
            <w:pPr>
              <w:ind w:left="380"/>
              <w:spacing w:after="0"/>
              <w:rPr>
                <w:sz w:val="20"/>
                <w:szCs w:val="20"/>
                <w:color w:val="auto"/>
              </w:rPr>
            </w:pPr>
            <w:r>
              <w:rPr>
                <w:rFonts w:ascii="Arial" w:cs="Arial" w:eastAsia="Arial" w:hAnsi="Arial"/>
                <w:sz w:val="16"/>
                <w:szCs w:val="16"/>
                <w:color w:val="auto"/>
              </w:rPr>
              <w:t>Media and Entertainment</w:t>
            </w:r>
          </w:p>
        </w:tc>
        <w:tc>
          <w:tcPr>
            <w:tcW w:w="12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147.7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(12.8)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160.5</w:t>
            </w:r>
          </w:p>
        </w:tc>
        <w:tc>
          <w:tcPr>
            <w:tcW w:w="0" w:type="dxa"/>
            <w:vAlign w:val="bottom"/>
          </w:tcPr>
          <w:p>
            <w:pPr>
              <w:spacing w:after="0"/>
              <w:rPr>
                <w:sz w:val="1"/>
                <w:szCs w:val="1"/>
                <w:color w:val="auto"/>
              </w:rPr>
            </w:pPr>
          </w:p>
        </w:tc>
      </w:tr>
      <w:tr>
        <w:trPr>
          <w:trHeight w:val="33"/>
        </w:trPr>
        <w:tc>
          <w:tcPr>
            <w:tcW w:w="2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1,705.3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82.1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1,623.2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License and Other Revenue</w:t>
      </w:r>
    </w:p>
    <w:p>
      <w:pPr>
        <w:spacing w:after="0" w:line="225"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License and other revenue is comprised of two components: all forms of product license revenue and other revenue. Product license revenue includes revenue from the sale of new seat licenses and upgrades. Other revenue consists of revenue from Creative Finishing, consulting and training services and hosted technology solutions.</w:t>
      </w:r>
    </w:p>
    <w:p>
      <w:pPr>
        <w:spacing w:after="0" w:line="18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Total license and other revenue decreased 4% during the three months ended October 31, 2012, as compared to the three months ended October 31, 2011. This decrease was primarily due to a large, one-time license compliance transaction in the three months ended October 31, 2011 and a 14% decrease in upgrade revenue. These decreases were partially offset by a 3% increase in revenue from commercial new seat licenses during the three months ended October 31, 2012 as compared to the same period in the prior fiscal year. During the three months ended October 31, 2012, 9 percentage points of the 3% increase in commercial new seat licenses were due to the increase in the number of seats sold offset by 6 percentage points due to a decrease in the average net revenue per seat. Commercial new seat license revenue, as a percentage of license and other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revenue, was 71% and 66% for the three months ended October 31, 2012 and 2011, respectively.</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Total license and other revenue increased 3% during the nine months ended October 31, 2012, as compared to the nine months ended October 31, 2011. This increase was primarily due to a 9% increase in revenue from commercial new seat licenses offset by an 11% decrease in upgrade revenue during the nine months ended October 31, 2012 as compared to the same period in the prior fiscal year. During the nine months ended October 31, 2012, 12 percentage points of the 9% increase in commercial new seat licenses was due to the increase in the number of seats sold offset by 3 percentage point due to a decrease in the average net revenue per seat. Commercial new seat license revenue, as a percentage of license and other revenue, was 71% and 67% for the nine months ended October 31, 2012 and 2011, respectively.</w:t>
      </w:r>
    </w:p>
    <w:p>
      <w:pPr>
        <w:spacing w:after="0" w:line="178"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Upgrade revenue was lower during the three and nine months ended October 31, 2012, as compared to the same periods of the prior fiscal year, primarily due to upgrade promotions that had run during the first three quarters of fiscal 2012.</w:t>
      </w:r>
    </w:p>
    <w:p>
      <w:pPr>
        <w:spacing w:after="0" w:line="170"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Backlog related to current software license product orders that had not shipped at the end of the quarter decreased by $25.0 million during the nine months ended October 31, 2012 from $27.1 million at January 31, 2012 to $2.1 million at October 31, 2012. Backlog from current software license product orders that we have not yet shipped consists of orders for currently available licensed software products from customers with approved credit status and may include orders with current ship dates and orders with ship dates beyond the current fiscal period.</w:t>
      </w:r>
    </w:p>
    <w:p>
      <w:pPr>
        <w:spacing w:after="0" w:line="17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Revenue from the sales of our services, training and support, included in “License and other revenue,” represented less than 6% of total net revenue for all periods presented.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Maintenance Revenue</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maintenance revenue relates to a program known by our user community as the "Subscription Program." Our maintenance program provides our commercial and educational customers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maintenance contract periods.</w:t>
      </w:r>
    </w:p>
    <w:p>
      <w:pPr>
        <w:spacing w:after="0" w:line="154"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Maintenance revenue increased 6% during the three months ended October 31, 2012, as compared to the three months ended October 31, 2011, primarily due to a 6% increase in commercial maintenance revenue. The 6% increase in commercial maintenance revenue was due to a 3 percentage point increase from commercial enrollment during the corresponding maintenance contract term and a 3 percentage point increase from net revenue per maintenance seat. Commercial maintenance revenue represented 98% of maintenance revenue for both the three months ended October 31, 2012 and 2011.</w:t>
      </w:r>
    </w:p>
    <w:p>
      <w:pPr>
        <w:spacing w:after="0" w:line="15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Maintenance revenue increased 8% during the nine months ended October 31, 2012, as compared to the nine months ended October 31, 2011, primarily due to an 8% increase in commercial maintenance revenue. The 8% increase in commercial maintenance revenue was due to a 10 percentage point increase from commercial enrollment during the corresponding maintenance contract term offset by a 2 percentage point decrease from net revenue per maintenance seat. Commercial maintenance revenue represented 98% of maintenance revenue for both the nine months ended October 31, 2012 and 2011.</w:t>
      </w:r>
    </w:p>
    <w:p>
      <w:pPr>
        <w:spacing w:after="0" w:line="154"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Changes in maintenance revenue lag changes in net billings for maintenance contracts because we recognize the revenue from those contracts ratably over their contract terms. Our maintenance contracts are predominantly for a term of one year, but may be two or three years, or occasionally as long as five year terms. Net maintenance billings decreased 5% during the three months ended October 31, 2012 as compared to the same period in the prior fiscal year. Net maintenance billings increased 1% during the nine months ended October 31, 2012 as compared to the nine months ended October 31, 2011. Net maintenance billings were impacted by early maintenance renewal activity in the second quarter of fiscal 2013 related to a pricing change that took effect in the third quarter of fiscal 2013.</w:t>
      </w:r>
    </w:p>
    <w:p>
      <w:pPr>
        <w:spacing w:after="0" w:line="19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Our deferred revenue balance at October 31, 2012 and January 31, 2012 included $634.3 million and $633.3 million, respectively, related to customer maintenance contracts, which will be recognized as revenue ratably over the life of the contracts.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Net revenue in the Americas geography increased by 4% during the three months ended October 31, 2012, as compared to the same period in the prior fiscal year. This increase was primarily due to a 9% increase in maintenance revenue partially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32" w:name="page33"/>
    <w:bookmarkEnd w:id="32"/>
    <w:p>
      <w:pPr>
        <w:ind w:right="240"/>
        <w:spacing w:after="0" w:line="297" w:lineRule="auto"/>
        <w:rPr>
          <w:sz w:val="20"/>
          <w:szCs w:val="20"/>
          <w:color w:val="auto"/>
        </w:rPr>
      </w:pPr>
      <w:r>
        <w:rPr>
          <w:rFonts w:ascii="Arial" w:cs="Arial" w:eastAsia="Arial" w:hAnsi="Arial"/>
          <w:sz w:val="16"/>
          <w:szCs w:val="16"/>
          <w:color w:val="auto"/>
        </w:rPr>
        <w:t>offset by a 5% decrease in upgrade revenue in this geography during the three months ended October 31, 2012 as compared to the three months ended October 31, 2011. The increase in our revenue in this geography was led by the U.S., partially offset by a decrease in Brazil. Net revenue in the Americas geography increased by 7% during the nine months ended October 31, 2012, as compared to the same period in the prior fiscal year. This increase was primarily due to a 9% increase in maintenance revenue and a 3% increase in new seat revenue in this geography during the nine months ended October 31, 2012 as compared to the nine months ended October 31, 2011. The increase in our revenue in this geography was led by the U.S. and Canada.</w:t>
      </w:r>
    </w:p>
    <w:p>
      <w:pPr>
        <w:spacing w:after="0" w:line="158"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Net revenue in the EMEA geography decreased by 3%, or increased by 3% on a constant currency basis, during the three months ended October 31, 2012 as compared to the same period in the prior fiscal year. The decrease was primarily due to a 6% decrease in new seat revenue and a 29% decrease in upgrade revenue offset by a 1% increase in maintenance revenue in this geography during the three months ended October 31, 2012 as compared to the three months ended October 31, 2011. The decrease in our revenue in this geography was led by the United Kingdom, Sweden and France partially offset by an increase in revenue from Ireland and Finland. Net revenue in the EMEA geography increased less than 1%, or 2% on a constant currency basis, during the nine months ended October 31, 2012 as compared to the same period in the prior fiscal year. The 5% increase in maintenance revenue was offset by a 23% decrease in upgrade revenue in this geography during the nine months ended October 31, 2012 as compared to the nine months ended October 31, 2011. Increases in revenue in Ireland, Germany and Finland were offset by decreases in revenue from the United Kingdom, Sweden, and Poland.</w:t>
      </w:r>
    </w:p>
    <w:p>
      <w:pPr>
        <w:spacing w:after="0" w:line="16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Net revenue in the APAC geography decreased by 3% both as reported and on a constant currency basis, during the three months ended October 31, 2012, as compared to the same period in the prior fiscal year. This decrease was primarily due a large, one-time license compliance transaction in the three months ended October 31, 2011 partially offset by a 12% increase in maintenance revenue and a 5% increase in new seat revenue in this geography during the three months ended October 31, 2012 as compared to the three months ended October 31, 2011. The decrease in our revenue in this geography during the three months ended October 31, 2012 was led by China and India partially offset by an increase in our revenue from South Korea. Net revenue in the APAC geography increased by 9%, or 6% on a constant currency basis, during the nine months ended October 31, 2012, as compared to the same period in the prior fiscal year. This increase was primarily due to an 18% increase in new seat revenue and a 13% increase in maintenance revenue in this geography during the nine months ended October 31, 2012 as compared to the nine months ended October 31, 2011. The increase in our revenue in this geography during the nine months ended October 31, 2012 was led by Japan, South Korea and China.</w:t>
      </w:r>
    </w:p>
    <w:p>
      <w:pPr>
        <w:spacing w:after="0" w:line="167" w:lineRule="exact"/>
        <w:rPr>
          <w:sz w:val="20"/>
          <w:szCs w:val="20"/>
          <w:color w:val="auto"/>
        </w:rPr>
      </w:pPr>
    </w:p>
    <w:p>
      <w:pPr>
        <w:jc w:val="both"/>
        <w:ind w:right="120" w:firstLine="432"/>
        <w:spacing w:after="0" w:line="293" w:lineRule="auto"/>
        <w:rPr>
          <w:sz w:val="20"/>
          <w:szCs w:val="20"/>
          <w:color w:val="auto"/>
        </w:rPr>
      </w:pPr>
      <w:r>
        <w:rPr>
          <w:rFonts w:ascii="Arial" w:cs="Arial" w:eastAsia="Arial" w:hAnsi="Arial"/>
          <w:sz w:val="16"/>
          <w:szCs w:val="16"/>
          <w:color w:val="auto"/>
        </w:rPr>
        <w:t>Net revenue in emerging economies decreased 9% during the three months ended October 31, 2012 as compared to the same period in the prior fiscal year, primarily due to a decrease in revenue from China, India and Brazil partially offset by an increase in the Russian Federation. Revenue from emerging economies represented 15% and 16% of total net revenue during the three months ended October 31, 2012 and 2011, respectively. Net revenue in emerging economies decreased 1% during the nine months ended October 31, 2012 as compared to the same period in the prior fiscal year, primarily due to a decrease in revenue from Brazil and Poland partially offset by an increase in the Russian Federation and China. Revenue from emerging economies represented 15% and 16% of total net revenue during the nine months ended October 31, 2012 and 2011, respectively.</w:t>
      </w:r>
    </w:p>
    <w:p>
      <w:pPr>
        <w:spacing w:after="0" w:line="165"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International net revenue represented 68% and 71% of our total net revenue for the three months ended October 31, 2012 and 2011, respectively. International net revenue represented 71% and 72% of our total net revenue for both the nine months ended October 31, 2012 and 2011, respectively. We believe that international revenue will continue to comprise a majority of our total net revenue. Unfavorable economic conditions in the countries that contribute a significant portion of our net revenue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Additionally, weak global economic conditions that have been characterized by restructuring of sovereign debt, high unemployment, and volatility in the financial markets may impact our future financial results.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225"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We have four reportable segments: Platform Solutions and Emerging Business (“PSEB”), Architecture, Engineering and Construction (“AEC”), Manufacturing (“MFG”) and Media and Entertainment (“M&amp;E”). We have no material inter-segment revenue.</w:t>
      </w:r>
    </w:p>
    <w:p>
      <w:pPr>
        <w:spacing w:after="0" w:line="17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During the three months ended October 31, 2012, net revenue for PSEB decreased 2% as compared to the same period of the prior fiscal year primarily due to a large, one-time license compliance transaction in the three months ended October 31, 2011. This decrease was partially offset by respective 7% and 4% increases in revenue from our AutoCAD LT and AutoCAD products. During the nine months ended October 31, 2012, net revenue for PSEB increased 5% as compared to the same period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4" w:right="259" w:bottom="1440" w:gutter="0" w:footer="0" w:header="0"/>
        </w:sectPr>
      </w:pPr>
    </w:p>
    <w:bookmarkStart w:id="33" w:name="page34"/>
    <w:bookmarkEnd w:id="33"/>
    <w:p>
      <w:pPr>
        <w:ind w:right="100"/>
        <w:spacing w:after="0" w:line="277" w:lineRule="auto"/>
        <w:rPr>
          <w:sz w:val="20"/>
          <w:szCs w:val="20"/>
          <w:color w:val="auto"/>
        </w:rPr>
      </w:pPr>
      <w:r>
        <w:rPr>
          <w:rFonts w:ascii="Arial" w:cs="Arial" w:eastAsia="Arial" w:hAnsi="Arial"/>
          <w:sz w:val="18"/>
          <w:szCs w:val="18"/>
          <w:color w:val="auto"/>
        </w:rPr>
        <w:t>of the prior fiscal year primarily due to respective 10% and 7% increases in revenue from our AutoCAD LT products and AutoCAD products as compared to the same periods in the prior fiscal year.</w:t>
      </w:r>
    </w:p>
    <w:p>
      <w:pPr>
        <w:spacing w:after="0" w:line="170"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During the three months ended October 31, 2012, net revenue for AEC increased 7% as compared to the same period of the prior fiscal year primarily due to a 26% increase in revenue from our AEC suites, which includes our Autodesk Building Design Suite. During the nine months ended October 31, 2012, net revenue for AEC increased 8% as compared to the same period of the prior fiscal year primarily due to a 28% increase in revenue from our AEC suites.</w:t>
      </w:r>
    </w:p>
    <w:p>
      <w:pPr>
        <w:spacing w:after="0" w:line="147"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During the three months ended October 31, 2012, net revenue for MFG decreased 1% as compared to the same period of the prior fiscal year primarily due to a 27% decrease in revenue from our flagship product, ACAD Mechanical, partially offset by a 4% increase in revenue from our MFG suites, which includes the Autodesk Product Design Suite. During the nine months ended October 31, 2012, net revenue for MFG increased 7% as compared to the same period of the prior fiscal year primarily due to a 5% increase in revenue from MFG suites.</w:t>
      </w:r>
    </w:p>
    <w:p>
      <w:pPr>
        <w:spacing w:after="0" w:line="17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During the three months ended October 31, 2012, net revenue for M&amp;E decreased 9% as compared to the same period in the prior fiscal year, primarily due to a 10% decrease in revenue from Animation and 7% decrease in revenue from Creative Finishing. The decrease in Animation revenue was primarily due to a 21% decrease in revenue from our flagship product, 3Ds Max, and an 87% decrease in revenue from our animation suites, which includes our Autodesk Entertainment Creation Suite. The decline in Creative Finishing was marked by weakening demand across all geographic regions. During the nine months ended October 31, 2012, net revenue for M&amp;E decreased 8% as compared to the same period in the prior fiscal year, primarily due to a 15% decrease in revenue from Creative Finishing and a 5% decrease in Animation product group. The decline in Creative Finishing was marked by weakening demand across all geographic regions. The decrease in Animation revenue was primarily due to a 19% decrease in revenue from our flagship product, 3Ds Max, and a 61% decrease in revenue from our animation suites, which includes our Autodesk Entertainment Creation Suite. As more of our customers move to our suites products, our revenue on stand-alone products like 3Ds Max may decrease because it is included in our suites. This move to our suites is part of our strategy and represents a growth opportunity for us over the long-term.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 and 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4"/>
                <w:szCs w:val="14"/>
                <w:color w:val="auto"/>
              </w:rPr>
            </w:pPr>
          </w:p>
        </w:tc>
        <w:tc>
          <w:tcPr>
            <w:tcW w:w="17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Decrease compared to</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Nine Months</w:t>
            </w:r>
          </w:p>
        </w:tc>
        <w:tc>
          <w:tcPr>
            <w:tcW w:w="22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Increase/(Decrease) compared to</w:t>
            </w:r>
          </w:p>
        </w:tc>
        <w:tc>
          <w:tcPr>
            <w:tcW w:w="140" w:type="dxa"/>
            <w:vAlign w:val="bottom"/>
          </w:tcPr>
          <w:p>
            <w:pPr>
              <w:spacing w:after="0"/>
              <w:rPr>
                <w:sz w:val="14"/>
                <w:szCs w:val="14"/>
                <w:color w:val="auto"/>
              </w:rPr>
            </w:pPr>
          </w:p>
        </w:tc>
        <w:tc>
          <w:tcPr>
            <w:tcW w:w="980" w:type="dxa"/>
            <w:vAlign w:val="bottom"/>
          </w:tcPr>
          <w:p>
            <w:pPr>
              <w:jc w:val="right"/>
              <w:ind w:right="82"/>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6"/>
                <w:szCs w:val="16"/>
                <w:color w:val="auto"/>
              </w:rPr>
            </w:pPr>
          </w:p>
        </w:tc>
        <w:tc>
          <w:tcPr>
            <w:tcW w:w="17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prior fiscal year</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6"/>
                <w:szCs w:val="16"/>
                <w:color w:val="auto"/>
              </w:rPr>
            </w:pPr>
          </w:p>
        </w:tc>
        <w:tc>
          <w:tcPr>
            <w:tcW w:w="19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prior fiscal year</w:t>
            </w:r>
          </w:p>
        </w:tc>
        <w:tc>
          <w:tcPr>
            <w:tcW w:w="140" w:type="dxa"/>
            <w:vAlign w:val="bottom"/>
          </w:tcPr>
          <w:p>
            <w:pPr>
              <w:spacing w:after="0"/>
              <w:rPr>
                <w:sz w:val="16"/>
                <w:szCs w:val="16"/>
                <w:color w:val="auto"/>
              </w:rPr>
            </w:pPr>
          </w:p>
        </w:tc>
        <w:tc>
          <w:tcPr>
            <w:tcW w:w="980" w:type="dxa"/>
            <w:vAlign w:val="bottom"/>
          </w:tcPr>
          <w:p>
            <w:pPr>
              <w:jc w:val="right"/>
              <w:ind w:right="282"/>
              <w:spacing w:after="0"/>
              <w:rPr>
                <w:sz w:val="20"/>
                <w:szCs w:val="20"/>
                <w:color w:val="auto"/>
              </w:rPr>
            </w:pPr>
            <w:r>
              <w:rPr>
                <w:rFonts w:ascii="Arial" w:cs="Arial" w:eastAsia="Arial" w:hAnsi="Arial"/>
                <w:sz w:val="14"/>
                <w:szCs w:val="14"/>
                <w:b w:val="1"/>
                <w:bCs w:val="1"/>
                <w:color w:val="auto"/>
              </w:rPr>
              <w:t>Ended</w:t>
            </w:r>
          </w:p>
        </w:tc>
      </w:tr>
      <w:tr>
        <w:trPr>
          <w:trHeight w:val="264"/>
        </w:trPr>
        <w:tc>
          <w:tcPr>
            <w:tcW w:w="224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October 31, 2012</w:t>
            </w:r>
          </w:p>
        </w:tc>
        <w:tc>
          <w:tcPr>
            <w:tcW w:w="1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October 31, 2011</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 2012</w:t>
            </w:r>
          </w:p>
        </w:tc>
        <w:tc>
          <w:tcPr>
            <w:tcW w:w="2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October 31, 2011</w:t>
            </w:r>
          </w:p>
        </w:tc>
      </w:tr>
      <w:tr>
        <w:trPr>
          <w:trHeight w:val="210"/>
        </w:trPr>
        <w:tc>
          <w:tcPr>
            <w:tcW w:w="2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60"/>
        </w:trPr>
        <w:tc>
          <w:tcPr>
            <w:tcW w:w="22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r>
      <w:tr>
        <w:trPr>
          <w:trHeight w:val="237"/>
        </w:trPr>
        <w:tc>
          <w:tcPr>
            <w:tcW w:w="224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2"/>
              <w:spacing w:after="0"/>
              <w:rPr>
                <w:sz w:val="20"/>
                <w:szCs w:val="20"/>
                <w:color w:val="auto"/>
              </w:rPr>
            </w:pPr>
            <w:r>
              <w:rPr>
                <w:rFonts w:ascii="Arial" w:cs="Arial" w:eastAsia="Arial" w:hAnsi="Arial"/>
                <w:sz w:val="16"/>
                <w:szCs w:val="16"/>
                <w:color w:val="auto"/>
              </w:rPr>
              <w:t>145.7</w:t>
            </w:r>
          </w:p>
        </w:tc>
        <w:tc>
          <w:tcPr>
            <w:tcW w:w="100" w:type="dxa"/>
            <w:vAlign w:val="bottom"/>
          </w:tcPr>
          <w:p>
            <w:pPr>
              <w:spacing w:after="0"/>
              <w:rPr>
                <w:sz w:val="20"/>
                <w:szCs w:val="20"/>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3"/>
              <w:spacing w:after="0"/>
              <w:rPr>
                <w:sz w:val="20"/>
                <w:szCs w:val="20"/>
                <w:color w:val="auto"/>
              </w:rPr>
            </w:pPr>
            <w:r>
              <w:rPr>
                <w:rFonts w:ascii="Arial" w:cs="Arial" w:eastAsia="Arial" w:hAnsi="Arial"/>
                <w:sz w:val="16"/>
                <w:szCs w:val="16"/>
                <w:color w:val="auto"/>
              </w:rPr>
              <w:t>6.9</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2"/>
              <w:spacing w:after="0"/>
              <w:rPr>
                <w:sz w:val="20"/>
                <w:szCs w:val="20"/>
                <w:color w:val="auto"/>
              </w:rPr>
            </w:pPr>
            <w:r>
              <w:rPr>
                <w:rFonts w:ascii="Arial" w:cs="Arial" w:eastAsia="Arial" w:hAnsi="Arial"/>
                <w:sz w:val="16"/>
                <w:szCs w:val="16"/>
                <w:color w:val="auto"/>
              </w:rPr>
              <w:t>138.8</w:t>
            </w:r>
          </w:p>
        </w:tc>
      </w:tr>
      <w:tr>
        <w:trPr>
          <w:trHeight w:val="33"/>
        </w:trPr>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Maintenance</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(2.0)</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32.8</w:t>
            </w:r>
          </w:p>
        </w:tc>
      </w:tr>
      <w:tr>
        <w:trPr>
          <w:trHeight w:val="284"/>
        </w:trPr>
        <w:tc>
          <w:tcPr>
            <w:tcW w:w="22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59.6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176.5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4.9</w:t>
            </w:r>
          </w:p>
        </w:tc>
        <w:tc>
          <w:tcPr>
            <w:tcW w:w="11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171.6</w:t>
            </w:r>
          </w:p>
        </w:tc>
      </w:tr>
      <w:tr>
        <w:trPr>
          <w:trHeight w:val="224"/>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As a percentage of net revenue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2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Cost of license and other revenue includes labor costs of order fulfillment and costs of fulfilling consulting and training services contracts and collaborative project management services contracts. Cost of license and other revenue also includes stock-based compensation expense, direct material and overhead charges, amortization of purchased technology, professional services fees and royalties. Direct material and overhead charges include the cost of hardware sold (mainly PC-based workstations for Creative Finishing in the M&amp;E segment), costs associated with transferring our software to electronic media, printing of user manuals and packaging materials and shipping and handling costs.</w:t>
      </w:r>
    </w:p>
    <w:p>
      <w:pPr>
        <w:spacing w:after="0" w:line="17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Cost of license and other revenue decreased 2% during the three months ended October 31, 2012, as compared to the same period in the prior fiscal year, primarily due to a decrease in amortization of developed technology. Cost of license and other revenue increased 5% during the nine months ended October 31, 2012, as compared to the same periods in the prior fiscal year, primarily due to an increase in cloud services-related expenses, and lower-margin consulting engagements and royalties cost.</w:t>
      </w:r>
    </w:p>
    <w:p>
      <w:pPr>
        <w:spacing w:after="0" w:line="18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Cost of maintenance revenue includes labor costs of providing product support to our maintenance customers, including rent and occupancy, shipping and handling costs and professional services fees. Cost of maintenance revenue decreased 8%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ind w:right="580"/>
        <w:spacing w:after="0" w:line="277" w:lineRule="auto"/>
        <w:rPr>
          <w:sz w:val="20"/>
          <w:szCs w:val="20"/>
          <w:color w:val="auto"/>
        </w:rPr>
      </w:pPr>
      <w:r>
        <w:rPr>
          <w:rFonts w:ascii="Arial" w:cs="Arial" w:eastAsia="Arial" w:hAnsi="Arial"/>
          <w:sz w:val="18"/>
          <w:szCs w:val="18"/>
          <w:color w:val="auto"/>
        </w:rPr>
        <w:t>6% during the three and nine months ended October 31, 2012, respectively, as compared to the same period in the prior fiscal year, due to cost savings associated with the increased use of electronic fulfillment.</w:t>
      </w:r>
    </w:p>
    <w:p>
      <w:pPr>
        <w:spacing w:after="0" w:line="17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purchased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700" w:firstLine="432"/>
        <w:spacing w:after="0" w:line="342" w:lineRule="auto"/>
        <w:rPr>
          <w:sz w:val="20"/>
          <w:szCs w:val="20"/>
          <w:color w:val="auto"/>
        </w:rPr>
      </w:pPr>
      <w:r>
        <w:rPr>
          <w:rFonts w:ascii="Arial" w:cs="Arial" w:eastAsia="Arial" w:hAnsi="Arial"/>
          <w:sz w:val="16"/>
          <w:szCs w:val="16"/>
          <w:color w:val="auto"/>
        </w:rPr>
        <w:t>We expect cost of revenue to slightly increase in absolute dollars and as a percentage of net revenue during the fourth quarter of fiscal 2013, as compared to the fourth quarter of fiscal 2012, primarily due to an increase in costs associated with meeting our major business initiatives.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Marketing and Sales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2100" w:type="dxa"/>
            <w:vAlign w:val="bottom"/>
            <w:gridSpan w:val="7"/>
          </w:tcPr>
          <w:p>
            <w:pPr>
              <w:ind w:left="280"/>
              <w:spacing w:after="0"/>
              <w:rPr>
                <w:sz w:val="20"/>
                <w:szCs w:val="20"/>
                <w:color w:val="auto"/>
              </w:rPr>
            </w:pPr>
            <w:r>
              <w:rPr>
                <w:rFonts w:ascii="Arial" w:cs="Arial" w:eastAsia="Arial" w:hAnsi="Arial"/>
                <w:sz w:val="14"/>
                <w:szCs w:val="14"/>
                <w:b w:val="1"/>
                <w:bCs w:val="1"/>
                <w:color w:val="auto"/>
              </w:rPr>
              <w:t>Decrease compared to</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Nine Months</w:t>
            </w:r>
          </w:p>
        </w:tc>
        <w:tc>
          <w:tcPr>
            <w:tcW w:w="160" w:type="dxa"/>
            <w:vAlign w:val="bottom"/>
          </w:tcPr>
          <w:p>
            <w:pPr>
              <w:spacing w:after="0"/>
              <w:rPr>
                <w:sz w:val="14"/>
                <w:szCs w:val="14"/>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Increase compared to</w:t>
            </w:r>
          </w:p>
        </w:tc>
        <w:tc>
          <w:tcPr>
            <w:tcW w:w="14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prior fiscal year</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6"/>
                <w:szCs w:val="16"/>
                <w:color w:val="auto"/>
              </w:rPr>
            </w:pPr>
          </w:p>
        </w:tc>
        <w:tc>
          <w:tcPr>
            <w:tcW w:w="1680" w:type="dxa"/>
            <w:vAlign w:val="bottom"/>
            <w:gridSpan w:val="4"/>
          </w:tcPr>
          <w:p>
            <w:pPr>
              <w:ind w:left="220"/>
              <w:spacing w:after="0"/>
              <w:rPr>
                <w:sz w:val="20"/>
                <w:szCs w:val="20"/>
                <w:color w:val="auto"/>
              </w:rPr>
            </w:pPr>
            <w:r>
              <w:rPr>
                <w:rFonts w:ascii="Arial" w:cs="Arial" w:eastAsia="Arial" w:hAnsi="Arial"/>
                <w:sz w:val="14"/>
                <w:szCs w:val="14"/>
                <w:b w:val="1"/>
                <w:bCs w:val="1"/>
                <w:color w:val="auto"/>
              </w:rPr>
              <w:t>prior fiscal year</w:t>
            </w:r>
          </w:p>
        </w:tc>
        <w:tc>
          <w:tcPr>
            <w:tcW w:w="140" w:type="dxa"/>
            <w:vAlign w:val="bottom"/>
          </w:tcPr>
          <w:p>
            <w:pPr>
              <w:spacing w:after="0"/>
              <w:rPr>
                <w:sz w:val="16"/>
                <w:szCs w:val="16"/>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4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October 31, 2012</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October 31, 2011</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2012</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2011</w:t>
            </w:r>
          </w:p>
        </w:tc>
      </w:tr>
      <w:tr>
        <w:trPr>
          <w:trHeight w:val="236"/>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203.9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(2.3)</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  $</w:t>
            </w:r>
          </w:p>
        </w:tc>
        <w:tc>
          <w:tcPr>
            <w:tcW w:w="11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206.2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639.5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609.1</w:t>
            </w:r>
          </w:p>
        </w:tc>
      </w:tr>
      <w:tr>
        <w:trPr>
          <w:trHeight w:val="237"/>
        </w:trPr>
        <w:tc>
          <w:tcPr>
            <w:tcW w:w="240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w:t>
            </w:r>
          </w:p>
        </w:tc>
      </w:tr>
    </w:tbl>
    <w:p>
      <w:pPr>
        <w:spacing w:after="0" w:line="2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and the expense of travel, entertainment and training for such personnel, and the costs of programs aimed at increasing revenue, such as advertising, trade shows and expositions, and various sales and promotional programs. Marketing and sales expenses also include labor costs of sales and order processing, sales and dealer commissions, rent and occupancy, and the cost of supplies and equipment.</w:t>
      </w:r>
    </w:p>
    <w:p>
      <w:pPr>
        <w:spacing w:after="0" w:line="187" w:lineRule="exact"/>
        <w:rPr>
          <w:sz w:val="20"/>
          <w:szCs w:val="20"/>
          <w:color w:val="auto"/>
        </w:rPr>
      </w:pPr>
    </w:p>
    <w:p>
      <w:pPr>
        <w:ind w:right="560" w:firstLine="432"/>
        <w:spacing w:after="0" w:line="342" w:lineRule="auto"/>
        <w:rPr>
          <w:sz w:val="20"/>
          <w:szCs w:val="20"/>
          <w:color w:val="auto"/>
        </w:rPr>
      </w:pPr>
      <w:r>
        <w:rPr>
          <w:rFonts w:ascii="Arial" w:cs="Arial" w:eastAsia="Arial" w:hAnsi="Arial"/>
          <w:sz w:val="16"/>
          <w:szCs w:val="16"/>
          <w:color w:val="auto"/>
        </w:rPr>
        <w:t>Marketing and sales expenses decreased 1% for the three months ended October 31, 2012 as compared to the same period in the prior fiscal year primarily due to a decrease in employee-travel and a decrease in professional fees primarily due to lower license compliance related legal fees.</w:t>
      </w:r>
    </w:p>
    <w:p>
      <w:pPr>
        <w:spacing w:after="0" w:line="124"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Marketing and sales expenses increased 5% during the nine months ended October 31, 2012 as compared to the same period in the prior fiscal year primarily due to higher employee related salary expenses related to higher headcount in the first half of fiscal 2013 and an increase in stock-based compensation expense partially offset by a decrease in advertising primarily associated with our cost containment efforts and a decrease in professional fees primarily due to lower license compliance related legal fees.</w:t>
      </w:r>
    </w:p>
    <w:p>
      <w:pPr>
        <w:spacing w:after="0" w:line="187"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For the fourth quarter of fiscal 2013, as compared to the fourth quarter of fiscal 2012, we expect marketing and sales expense to decrease in absolute dollars and as a percentage of net revenue primarily due to cost savings from the restructuring plan announced in August of 2012, partially offset by an increase in costs as we work towards meeting our major business initiatives.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240" w:type="dxa"/>
            <w:vAlign w:val="bottom"/>
          </w:tcPr>
          <w:p>
            <w:pPr>
              <w:spacing w:after="0"/>
              <w:rPr>
                <w:sz w:val="14"/>
                <w:szCs w:val="14"/>
                <w:color w:val="auto"/>
              </w:rPr>
            </w:pPr>
          </w:p>
        </w:tc>
        <w:tc>
          <w:tcPr>
            <w:tcW w:w="1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Increase compared to</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Nine Months</w:t>
            </w:r>
          </w:p>
        </w:tc>
        <w:tc>
          <w:tcPr>
            <w:tcW w:w="280" w:type="dxa"/>
            <w:vAlign w:val="bottom"/>
          </w:tcPr>
          <w:p>
            <w:pPr>
              <w:spacing w:after="0"/>
              <w:rPr>
                <w:sz w:val="14"/>
                <w:szCs w:val="14"/>
                <w:color w:val="auto"/>
              </w:rPr>
            </w:pPr>
          </w:p>
        </w:tc>
        <w:tc>
          <w:tcPr>
            <w:tcW w:w="15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Increase compared to</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prior fiscal year</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prior fiscal year</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15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22"/>
                <w:szCs w:val="22"/>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October 31, 2012</w:t>
            </w:r>
          </w:p>
        </w:tc>
        <w:tc>
          <w:tcPr>
            <w:tcW w:w="240" w:type="dxa"/>
            <w:vAlign w:val="bottom"/>
          </w:tcPr>
          <w:p>
            <w:pPr>
              <w:spacing w:after="0"/>
              <w:rPr>
                <w:sz w:val="22"/>
                <w:szCs w:val="22"/>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October 31, 2011</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October 31, 2012</w:t>
            </w:r>
          </w:p>
        </w:tc>
        <w:tc>
          <w:tcPr>
            <w:tcW w:w="2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October 31, 2011</w:t>
            </w:r>
          </w:p>
        </w:tc>
      </w:tr>
      <w:tr>
        <w:trPr>
          <w:trHeight w:val="206"/>
        </w:trPr>
        <w:tc>
          <w:tcPr>
            <w:tcW w:w="1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w:t>
            </w: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9"/>
        </w:trPr>
        <w:tc>
          <w:tcPr>
            <w:tcW w:w="1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development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153.0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1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141.2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450.6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  $</w:t>
            </w:r>
          </w:p>
        </w:tc>
        <w:tc>
          <w:tcPr>
            <w:tcW w:w="11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417.0</w:t>
            </w:r>
          </w:p>
        </w:tc>
      </w:tr>
      <w:tr>
        <w:trPr>
          <w:trHeight w:val="220"/>
        </w:trPr>
        <w:tc>
          <w:tcPr>
            <w:tcW w:w="1560" w:type="dxa"/>
            <w:vAlign w:val="bottom"/>
          </w:tcPr>
          <w:p>
            <w:pPr>
              <w:ind w:left="40"/>
              <w:spacing w:after="0"/>
              <w:rPr>
                <w:sz w:val="20"/>
                <w:szCs w:val="20"/>
                <w:color w:val="auto"/>
              </w:rPr>
            </w:pPr>
            <w:r>
              <w:rPr>
                <w:rFonts w:ascii="Arial" w:cs="Arial" w:eastAsia="Arial" w:hAnsi="Arial"/>
                <w:sz w:val="16"/>
                <w:szCs w:val="16"/>
                <w:color w:val="auto"/>
              </w:rPr>
              <w:t>As a percentage</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6"/>
        </w:trPr>
        <w:tc>
          <w:tcPr>
            <w:tcW w:w="1560" w:type="dxa"/>
            <w:vAlign w:val="bottom"/>
          </w:tcPr>
          <w:p>
            <w:pPr>
              <w:ind w:left="200"/>
              <w:spacing w:after="0"/>
              <w:rPr>
                <w:sz w:val="20"/>
                <w:szCs w:val="20"/>
                <w:color w:val="auto"/>
              </w:rPr>
            </w:pPr>
            <w:r>
              <w:rPr>
                <w:rFonts w:ascii="Arial" w:cs="Arial" w:eastAsia="Arial" w:hAnsi="Arial"/>
                <w:sz w:val="16"/>
                <w:szCs w:val="16"/>
                <w:color w:val="auto"/>
              </w:rPr>
              <w:t>of net revenue</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23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professional services such as fees paid to software development firms and independent contractors.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ind w:right="200" w:firstLine="432"/>
        <w:spacing w:after="0" w:line="342" w:lineRule="auto"/>
        <w:rPr>
          <w:sz w:val="20"/>
          <w:szCs w:val="20"/>
          <w:color w:val="auto"/>
        </w:rPr>
      </w:pPr>
      <w:r>
        <w:rPr>
          <w:rFonts w:ascii="Arial" w:cs="Arial" w:eastAsia="Arial" w:hAnsi="Arial"/>
          <w:sz w:val="16"/>
          <w:szCs w:val="16"/>
          <w:color w:val="auto"/>
        </w:rPr>
        <w:t>Research and development expenses increased 8% during the three months ended October 31, 2012 as compared to the same period in the prior fiscal year, primarily due to an increase in stock-based compensation expense associated with the acquisition of Socialcam in the third quarter of fiscal 2013.</w:t>
      </w:r>
    </w:p>
    <w:p>
      <w:pPr>
        <w:spacing w:after="0" w:line="124"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Research and development expenses increased 8% during the nine months ended October 31, 2012 as compared to the same period in the prior fiscal year, primarily due to an increase in stock-based compensation expense associated with the acquisition of Socialcam in the third quarter of fiscal 2013, and higher employee related salary and stock-based compensation related to higher headcount in the first half of fiscal 2013.</w:t>
      </w:r>
    </w:p>
    <w:p>
      <w:pPr>
        <w:spacing w:after="0" w:line="166"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For the fourth quarter of fiscal 2013, as compared to the fourth quarter of fiscal 2012, we expect research and development expense to increase in absolute dollars and as a percentage of net revenue primarily due to an increase in stock-based compensation and an increase in costs associated with meeting our major business initiatives, partially offset by cost savings from the restructuring plan announced in August of 2012.</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220" w:type="dxa"/>
            <w:vAlign w:val="bottom"/>
          </w:tcPr>
          <w:p>
            <w:pPr>
              <w:spacing w:after="0"/>
              <w:rPr>
                <w:sz w:val="14"/>
                <w:szCs w:val="14"/>
                <w:color w:val="auto"/>
              </w:rPr>
            </w:pPr>
          </w:p>
        </w:tc>
        <w:tc>
          <w:tcPr>
            <w:tcW w:w="1480" w:type="dxa"/>
            <w:vAlign w:val="bottom"/>
            <w:gridSpan w:val="4"/>
          </w:tcPr>
          <w:p>
            <w:pPr>
              <w:jc w:val="center"/>
              <w:ind w:left="48"/>
              <w:spacing w:after="0"/>
              <w:rPr>
                <w:sz w:val="20"/>
                <w:szCs w:val="20"/>
                <w:color w:val="auto"/>
              </w:rPr>
            </w:pPr>
            <w:r>
              <w:rPr>
                <w:rFonts w:ascii="Arial" w:cs="Arial" w:eastAsia="Arial" w:hAnsi="Arial"/>
                <w:sz w:val="14"/>
                <w:szCs w:val="14"/>
                <w:b w:val="1"/>
                <w:bCs w:val="1"/>
                <w:color w:val="auto"/>
                <w:w w:val="91"/>
              </w:rPr>
              <w:t>Increase compared to</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Nine Months Ended</w:t>
            </w:r>
          </w:p>
        </w:tc>
        <w:tc>
          <w:tcPr>
            <w:tcW w:w="300" w:type="dxa"/>
            <w:vAlign w:val="bottom"/>
          </w:tcPr>
          <w:p>
            <w:pPr>
              <w:spacing w:after="0"/>
              <w:rPr>
                <w:sz w:val="14"/>
                <w:szCs w:val="14"/>
                <w:color w:val="auto"/>
              </w:rPr>
            </w:pPr>
          </w:p>
        </w:tc>
        <w:tc>
          <w:tcPr>
            <w:tcW w:w="1560" w:type="dxa"/>
            <w:vAlign w:val="bottom"/>
            <w:gridSpan w:val="4"/>
          </w:tcPr>
          <w:p>
            <w:pPr>
              <w:jc w:val="center"/>
              <w:ind w:left="48"/>
              <w:spacing w:after="0"/>
              <w:rPr>
                <w:sz w:val="20"/>
                <w:szCs w:val="20"/>
                <w:color w:val="auto"/>
              </w:rPr>
            </w:pPr>
            <w:r>
              <w:rPr>
                <w:rFonts w:ascii="Arial" w:cs="Arial" w:eastAsia="Arial" w:hAnsi="Arial"/>
                <w:sz w:val="14"/>
                <w:szCs w:val="14"/>
                <w:b w:val="1"/>
                <w:bCs w:val="1"/>
                <w:color w:val="auto"/>
                <w:w w:val="91"/>
              </w:rPr>
              <w:t>Increase compared to</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prior fiscal year</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3"/>
              </w:rPr>
              <w:t>prior fiscal year</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264"/>
        </w:trPr>
        <w:tc>
          <w:tcPr>
            <w:tcW w:w="13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October 31, 2012</w:t>
            </w:r>
          </w:p>
        </w:tc>
        <w:tc>
          <w:tcPr>
            <w:tcW w:w="2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October 31, 2011</w:t>
            </w:r>
          </w:p>
        </w:tc>
        <w:tc>
          <w:tcPr>
            <w:tcW w:w="140" w:type="dxa"/>
            <w:vAlign w:val="bottom"/>
          </w:tcPr>
          <w:p>
            <w:pPr>
              <w:spacing w:after="0"/>
              <w:rPr>
                <w:sz w:val="22"/>
                <w:szCs w:val="22"/>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October 31, 2012</w:t>
            </w:r>
          </w:p>
        </w:tc>
        <w:tc>
          <w:tcPr>
            <w:tcW w:w="3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October 31, 2011</w:t>
            </w:r>
          </w:p>
        </w:tc>
        <w:tc>
          <w:tcPr>
            <w:tcW w:w="0" w:type="dxa"/>
            <w:vAlign w:val="bottom"/>
          </w:tcPr>
          <w:p>
            <w:pPr>
              <w:spacing w:after="0"/>
              <w:rPr>
                <w:sz w:val="1"/>
                <w:szCs w:val="1"/>
                <w:color w:val="auto"/>
              </w:rPr>
            </w:pPr>
          </w:p>
        </w:tc>
      </w:tr>
      <w:tr>
        <w:trPr>
          <w:trHeight w:val="206"/>
        </w:trPr>
        <w:tc>
          <w:tcPr>
            <w:tcW w:w="1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w:t>
            </w: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administrative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62.1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2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180.7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1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20"/>
        </w:trPr>
        <w:tc>
          <w:tcPr>
            <w:tcW w:w="1380" w:type="dxa"/>
            <w:vAlign w:val="bottom"/>
          </w:tcPr>
          <w:p>
            <w:pPr>
              <w:ind w:left="40"/>
              <w:spacing w:after="0"/>
              <w:rPr>
                <w:sz w:val="20"/>
                <w:szCs w:val="20"/>
                <w:color w:val="auto"/>
              </w:rPr>
            </w:pPr>
            <w:r>
              <w:rPr>
                <w:rFonts w:ascii="Arial" w:cs="Arial" w:eastAsia="Arial" w:hAnsi="Arial"/>
                <w:sz w:val="16"/>
                <w:szCs w:val="16"/>
                <w:color w:val="auto"/>
              </w:rPr>
              <w:t>As a percentage</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200"/>
              <w:spacing w:after="0"/>
              <w:rPr>
                <w:sz w:val="20"/>
                <w:szCs w:val="20"/>
                <w:color w:val="auto"/>
              </w:rPr>
            </w:pPr>
            <w:r>
              <w:rPr>
                <w:rFonts w:ascii="Arial" w:cs="Arial" w:eastAsia="Arial" w:hAnsi="Arial"/>
                <w:sz w:val="16"/>
                <w:szCs w:val="16"/>
                <w:color w:val="auto"/>
              </w:rPr>
              <w:t>of net revenue</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General and administrative expenses include salaries, bonuses, benefits and stock-based compensation expense for our finance, human resources and legal employees, as well as professional fees for legal and accounting services, amortization of acquisition related customer relationships and trade names, gains and losses on our operating expense cash flow hedges, expense of travel, entertainment and training, expense of communication and the cost of supplies and equipment.</w:t>
      </w:r>
    </w:p>
    <w:p>
      <w:pPr>
        <w:spacing w:after="0" w:line="18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General and administrative expenses increased 21% during the three months ended October 31, 2012 as compared to the same period in the prior fiscal year, primarily due to an increase in amortization of acquisition related customer relationships and trade names, higher stock based compensation expense, and fluctuations in our operating expense hedge activity.</w:t>
      </w:r>
    </w:p>
    <w:p>
      <w:pPr>
        <w:spacing w:after="0" w:line="181"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General and administrative expenses increased 11% during the nine months ended October 31, 2012 as compared to the same period in the prior fiscal year, primarily due to fluctuations in our operating expense hedge activity, an increase in amortization of acquisition related customer relationships and trade names, and higher employee related salary expenses related to higher headcount in the first half of fiscal 2013.</w:t>
      </w:r>
    </w:p>
    <w:p>
      <w:pPr>
        <w:spacing w:after="0" w:line="16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For the fourth quarter of fiscal 2013, as compared to the fourth quarter of fiscal 2012, we expect general and administrative expenses to increase in absolute dollars and as a percentage of net revenue primarily due to an increase in amortization of acquisition related customer relationships and trade names, stock-based compensation and costs associated with our major business initiatives.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Charges (Benefits), Net</w:t>
      </w:r>
    </w:p>
    <w:p>
      <w:pPr>
        <w:spacing w:after="0" w:line="366"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Three Months</w:t>
            </w:r>
          </w:p>
        </w:tc>
        <w:tc>
          <w:tcPr>
            <w:tcW w:w="1480" w:type="dxa"/>
            <w:vAlign w:val="bottom"/>
            <w:gridSpan w:val="4"/>
          </w:tcPr>
          <w:p>
            <w:pPr>
              <w:jc w:val="center"/>
              <w:ind w:left="66"/>
              <w:spacing w:after="0"/>
              <w:rPr>
                <w:sz w:val="20"/>
                <w:szCs w:val="20"/>
                <w:color w:val="auto"/>
              </w:rPr>
            </w:pPr>
            <w:r>
              <w:rPr>
                <w:rFonts w:ascii="Arial" w:cs="Arial" w:eastAsia="Arial" w:hAnsi="Arial"/>
                <w:sz w:val="14"/>
                <w:szCs w:val="14"/>
                <w:b w:val="1"/>
                <w:bCs w:val="1"/>
                <w:color w:val="auto"/>
                <w:w w:val="92"/>
              </w:rPr>
              <w:t>Increase compared to</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Nine Months</w:t>
            </w:r>
          </w:p>
        </w:tc>
        <w:tc>
          <w:tcPr>
            <w:tcW w:w="140" w:type="dxa"/>
            <w:vAlign w:val="bottom"/>
          </w:tcPr>
          <w:p>
            <w:pPr>
              <w:spacing w:after="0"/>
              <w:rPr>
                <w:sz w:val="14"/>
                <w:szCs w:val="14"/>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rPr>
              <w:t>Increase compared to</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92"/>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480" w:type="dxa"/>
            <w:vAlign w:val="bottom"/>
            <w:gridSpan w:val="4"/>
          </w:tcPr>
          <w:p>
            <w:pPr>
              <w:jc w:val="center"/>
              <w:ind w:left="66"/>
              <w:spacing w:after="0"/>
              <w:rPr>
                <w:sz w:val="20"/>
                <w:szCs w:val="20"/>
                <w:color w:val="auto"/>
              </w:rPr>
            </w:pPr>
            <w:r>
              <w:rPr>
                <w:rFonts w:ascii="Arial" w:cs="Arial" w:eastAsia="Arial" w:hAnsi="Arial"/>
                <w:sz w:val="14"/>
                <w:szCs w:val="14"/>
                <w:b w:val="1"/>
                <w:bCs w:val="1"/>
                <w:color w:val="auto"/>
                <w:w w:val="93"/>
              </w:rPr>
              <w:t>prior fiscal year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6"/>
                <w:szCs w:val="16"/>
                <w:color w:val="auto"/>
              </w:rPr>
            </w:pPr>
          </w:p>
        </w:tc>
        <w:tc>
          <w:tcPr>
            <w:tcW w:w="1660" w:type="dxa"/>
            <w:vAlign w:val="bottom"/>
            <w:gridSpan w:val="4"/>
          </w:tcPr>
          <w:p>
            <w:pPr>
              <w:ind w:left="22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860" w:type="dxa"/>
            <w:vAlign w:val="bottom"/>
          </w:tcPr>
          <w:p>
            <w:pPr>
              <w:jc w:val="center"/>
              <w:ind w:right="24"/>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39"/>
        </w:trPr>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3"/>
              </w:rPr>
              <w:t>October 31,</w:t>
            </w: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3"/>
              </w:rPr>
              <w:t>October 31,</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3"/>
              </w:rPr>
              <w:t>October 31,</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4"/>
              <w:spacing w:after="0" w:line="139" w:lineRule="exact"/>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92"/>
        </w:trPr>
        <w:tc>
          <w:tcPr>
            <w:tcW w:w="13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86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5"/>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24"/>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06"/>
        </w:trPr>
        <w:tc>
          <w:tcPr>
            <w:tcW w:w="1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charges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(benefits),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36.7</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w w:val="92"/>
              </w:rPr>
              <w:t>2,923%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0"/>
        </w:trPr>
        <w:tc>
          <w:tcPr>
            <w:tcW w:w="1360" w:type="dxa"/>
            <w:vAlign w:val="bottom"/>
          </w:tcPr>
          <w:p>
            <w:pPr>
              <w:ind w:left="20"/>
              <w:spacing w:after="0"/>
              <w:rPr>
                <w:sz w:val="20"/>
                <w:szCs w:val="20"/>
                <w:color w:val="auto"/>
              </w:rPr>
            </w:pPr>
            <w:r>
              <w:rPr>
                <w:rFonts w:ascii="Arial" w:cs="Arial" w:eastAsia="Arial" w:hAnsi="Arial"/>
                <w:sz w:val="16"/>
                <w:szCs w:val="16"/>
                <w:color w:val="auto"/>
              </w:rPr>
              <w:t>As a percentage</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60" w:type="dxa"/>
            <w:vAlign w:val="bottom"/>
          </w:tcPr>
          <w:p>
            <w:pPr>
              <w:ind w:left="180"/>
              <w:spacing w:after="0"/>
              <w:rPr>
                <w:sz w:val="20"/>
                <w:szCs w:val="20"/>
                <w:color w:val="auto"/>
              </w:rPr>
            </w:pPr>
            <w:r>
              <w:rPr>
                <w:rFonts w:ascii="Arial" w:cs="Arial" w:eastAsia="Arial" w:hAnsi="Arial"/>
                <w:sz w:val="16"/>
                <w:szCs w:val="16"/>
                <w:color w:val="auto"/>
              </w:rPr>
              <w:t>of net revenue</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Percentage is not meaningful</w:t>
      </w:r>
    </w:p>
    <w:p>
      <w:pPr>
        <w:spacing w:after="0" w:line="20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During the third quarter of fiscal 2013, Autodesk initiated a restructuring plan that included a reduction in force and the consolidation of certain leased facilities. During both the three and nine months ended October 31, 2012, Autodesk recorded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ind w:right="260"/>
        <w:spacing w:after="0" w:line="342" w:lineRule="auto"/>
        <w:rPr>
          <w:sz w:val="20"/>
          <w:szCs w:val="20"/>
          <w:color w:val="auto"/>
        </w:rPr>
      </w:pPr>
      <w:r>
        <w:rPr>
          <w:rFonts w:ascii="Arial" w:cs="Arial" w:eastAsia="Arial" w:hAnsi="Arial"/>
          <w:sz w:val="16"/>
          <w:szCs w:val="16"/>
          <w:color w:val="auto"/>
        </w:rPr>
        <w:t>restructuring charge of $36.7 million. Of this amount, $36.1 million was recorded for one-time termination benefits and other costs and $0.6 million was recorded for facilities-related costs. See Note 13, “Restructuring,” in the Notes to the Condensed Consolidated Financial Statements for further discussion.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and Other (Expense) Income,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(expense) income, net: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Three Months Ended October 31,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 October 31,</w:t>
            </w:r>
          </w:p>
        </w:tc>
      </w:tr>
      <w:tr>
        <w:trPr>
          <w:trHeight w:val="264"/>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2011</w:t>
            </w:r>
          </w:p>
        </w:tc>
      </w:tr>
      <w:tr>
        <w:trPr>
          <w:trHeight w:val="23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income, net</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(Loss) gain on foreign currency</w:t>
            </w: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0.2</w:t>
            </w:r>
          </w:p>
        </w:tc>
      </w:tr>
      <w:tr>
        <w:trPr>
          <w:trHeight w:val="33"/>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strategic investments</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2.4</w:t>
            </w:r>
          </w:p>
        </w:tc>
      </w:tr>
      <w:tr>
        <w:trPr>
          <w:trHeight w:val="33"/>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income, net</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Interest and other (expense) income, net, decreased $1.2 million during the three months ended October 31, 2012, as compared to the same period in the prior fiscal year, primarily due to losses on foreign currency partially offset by increases in interest and investment income. Interest and other (expense) income, net, decreased $3.6 million during the nine months ended October 31, 2012, as compared to the same period in the prior fiscal year, primarily due to the impairment of our equity investments partially offset by increases in interest and investment income.</w:t>
      </w:r>
    </w:p>
    <w:p>
      <w:pPr>
        <w:spacing w:after="0" w:line="17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81"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Interest and investment income, net, fluctuates based on average cash and marketable securities balances, average maturities and interest rates. The increases in interest and investment income, net, during the three and nine months ended October 31, 2012, as compared to the same periods in the prior fiscal year, are primarily due to the increase in the fair value of our trading securities that are marked to market each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basis of assets and liabilities, using enacted rates expected to be in effect during the year in which the basis differences reverse.</w:t>
      </w:r>
    </w:p>
    <w:p>
      <w:pPr>
        <w:spacing w:after="0" w:line="181"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Our effective tax rate was 14% and 23% during the three and nine months ended October 31, 2012, respectively, compared to 20% and 21% during the three and nine months ended October 31, 2011, respectively. Our effective tax rate decreased 6% during the three months ended October 31, 2012 as compared to the same period in the prior fiscal year primarily due to restructuring charges, partially offset by non-deductible stock based compensation. Our effective tax rate increased 2% during the nine months ended October 31, 2012, as compared to the same period in the prior fiscal year, primarily due to the establishment of a U.S. valuation allowance related to the impairment of an investment, expiration of the federal research credit, and non-deductible stock based compensation, partially offset by discrete tax benefits from closure of the statute of limitations during the first quarter of fiscal 2013 and adjustments related to tax return filings. Discrete tax benefits for the three and nine months ended October 31, 2012 were $15.4 million and $19.0 million, respectively, primarily associated with restructuring charges, stock-based compensation, closure of a foreign statute of limitations and adjustments related to tax return filings, partially offset by the establishment of a U.S. valuation allowance related to the impairment of an investment. Excluding the impact of these discrete tax items, the effective tax rate for both the three and nine months ended October 31, 2012 was 25% and was lower than the Federal statutory tax rate of 35% primarily due to foreign income taxed at lower rates partially offset by the impact of non-deductible stock based compensation expense.</w:t>
      </w:r>
    </w:p>
    <w:p>
      <w:pPr>
        <w:spacing w:after="0" w:line="173"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and investments, U.S. Manufacturer’s deduction, closure of statute of limitations or settlement of tax audits, changes in valuation allowances and changes in tax laws including possible U.S. tax law changes that, if enacted, could significantly impact how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84" w:right="259" w:bottom="1440" w:gutter="0" w:footer="0" w:header="0"/>
        </w:sectPr>
      </w:pPr>
    </w:p>
    <w:bookmarkStart w:id="37" w:name="page38"/>
    <w:bookmarkEnd w:id="37"/>
    <w:p>
      <w:pPr>
        <w:ind w:right="340"/>
        <w:spacing w:after="0" w:line="286" w:lineRule="auto"/>
        <w:rPr>
          <w:sz w:val="20"/>
          <w:szCs w:val="20"/>
          <w:color w:val="auto"/>
        </w:rPr>
      </w:pPr>
      <w:r>
        <w:rPr>
          <w:rFonts w:ascii="Arial" w:cs="Arial" w:eastAsia="Arial" w:hAnsi="Arial"/>
          <w:sz w:val="17"/>
          <w:szCs w:val="17"/>
          <w:color w:val="auto"/>
        </w:rPr>
        <w:t>U.S. multinational companies are taxed on foreign subsidiary earnings. A significant amount of our earnings is generated by our Europe and Asia Pacific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66"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At October 31, 2012, we had net deferred tax assets of $176.7 million. We believe that we will generate sufficient future taxable income in appropriate tax jurisdictions to realize these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three and nine months ended October 31, 2012, and 2011, our gross profit, gross margin, income from operations, operating margin, net income and diluted earnings per share on a GAAP and non-GAAP basis were as follows (in millions except for gross margin, operating margin and per share data):</w:t>
      </w:r>
    </w:p>
    <w:p>
      <w:pPr>
        <w:sectPr>
          <w:pgSz w:w="11900" w:h="16838" w:orient="portrait"/>
          <w:cols w:equalWidth="0" w:num="1">
            <w:col w:w="11380"/>
          </w:cols>
          <w:pgMar w:left="240" w:top="584" w:right="27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480"/>
        <w:spacing w:after="0"/>
        <w:rPr>
          <w:sz w:val="20"/>
          <w:szCs w:val="20"/>
          <w:color w:val="auto"/>
        </w:rPr>
      </w:pPr>
      <w:r>
        <w:rPr>
          <w:rFonts w:ascii="Arial" w:cs="Arial" w:eastAsia="Arial" w:hAnsi="Arial"/>
          <w:sz w:val="13"/>
          <w:szCs w:val="13"/>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31115</wp:posOffset>
            </wp:positionV>
            <wp:extent cx="19551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14" w:lineRule="exact"/>
        <w:rPr>
          <w:sz w:val="20"/>
          <w:szCs w:val="20"/>
          <w:color w:val="auto"/>
        </w:rPr>
      </w:pPr>
    </w:p>
    <w:p>
      <w:pPr>
        <w:ind w:left="5560"/>
        <w:spacing w:after="0"/>
        <w:tabs>
          <w:tab w:leader="none" w:pos="714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23495</wp:posOffset>
            </wp:positionV>
            <wp:extent cx="19551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9" w:lineRule="exact"/>
        <w:rPr>
          <w:sz w:val="20"/>
          <w:szCs w:val="20"/>
          <w:color w:val="auto"/>
        </w:rPr>
      </w:pPr>
    </w:p>
    <w:p>
      <w:pPr>
        <w:ind w:left="614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31115</wp:posOffset>
            </wp:positionV>
            <wp:extent cx="19723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23495</wp:posOffset>
            </wp:positionV>
            <wp:extent cx="19723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8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8000" w:space="720"/>
            <w:col w:w="2660"/>
          </w:cols>
          <w:pgMar w:left="240" w:top="584" w:right="27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490.1</w:t>
            </w:r>
          </w:p>
        </w:tc>
        <w:tc>
          <w:tcPr>
            <w:tcW w:w="6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489.0</w:t>
            </w:r>
          </w:p>
        </w:tc>
        <w:tc>
          <w:tcPr>
            <w:tcW w:w="5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1,528.8</w:t>
            </w:r>
          </w:p>
        </w:tc>
        <w:tc>
          <w:tcPr>
            <w:tcW w:w="5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1,451.6</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1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501.3</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501.0</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1,561.9</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1,482.1</w:t>
            </w:r>
          </w:p>
        </w:tc>
      </w:tr>
      <w:tr>
        <w:trPr>
          <w:trHeight w:val="33"/>
        </w:trPr>
        <w:tc>
          <w:tcPr>
            <w:tcW w:w="3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1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1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w:t>
            </w: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w:t>
            </w: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3"/>
        </w:trPr>
        <w:tc>
          <w:tcPr>
            <w:tcW w:w="3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34.4</w:t>
            </w:r>
          </w:p>
        </w:tc>
        <w:tc>
          <w:tcPr>
            <w:tcW w:w="6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90.2</w:t>
            </w:r>
          </w:p>
        </w:tc>
        <w:tc>
          <w:tcPr>
            <w:tcW w:w="5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221.3</w:t>
            </w:r>
          </w:p>
        </w:tc>
        <w:tc>
          <w:tcPr>
            <w:tcW w:w="5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263.8</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1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146.7</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135.1</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435.6</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393.0</w:t>
            </w:r>
          </w:p>
        </w:tc>
      </w:tr>
      <w:tr>
        <w:trPr>
          <w:trHeight w:val="33"/>
        </w:trPr>
        <w:tc>
          <w:tcPr>
            <w:tcW w:w="3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1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1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w:t>
            </w: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w:t>
            </w: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3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29.4</w:t>
            </w:r>
          </w:p>
        </w:tc>
        <w:tc>
          <w:tcPr>
            <w:tcW w:w="6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72.8</w:t>
            </w:r>
          </w:p>
        </w:tc>
        <w:tc>
          <w:tcPr>
            <w:tcW w:w="5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172.9</w:t>
            </w:r>
          </w:p>
        </w:tc>
        <w:tc>
          <w:tcPr>
            <w:tcW w:w="5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213.3</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Non-GAAP net income (2)</w:t>
            </w:r>
          </w:p>
        </w:tc>
        <w:tc>
          <w:tcPr>
            <w:tcW w:w="1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109.0</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102.1</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329.2</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299.3</w:t>
            </w:r>
          </w:p>
        </w:tc>
      </w:tr>
      <w:tr>
        <w:trPr>
          <w:trHeight w:val="33"/>
        </w:trPr>
        <w:tc>
          <w:tcPr>
            <w:tcW w:w="3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 (1)</w:t>
            </w:r>
          </w:p>
        </w:tc>
        <w:tc>
          <w:tcPr>
            <w:tcW w:w="1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0.13</w:t>
            </w:r>
          </w:p>
        </w:tc>
        <w:tc>
          <w:tcPr>
            <w:tcW w:w="6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0.32</w:t>
            </w:r>
          </w:p>
        </w:tc>
        <w:tc>
          <w:tcPr>
            <w:tcW w:w="5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0.75</w:t>
            </w:r>
          </w:p>
        </w:tc>
        <w:tc>
          <w:tcPr>
            <w:tcW w:w="5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0.91</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Non-GAAP diluted earnings per share (1)(2)</w:t>
            </w:r>
          </w:p>
        </w:tc>
        <w:tc>
          <w:tcPr>
            <w:tcW w:w="1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0.47</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0.44</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1.42</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1.28</w:t>
            </w:r>
          </w:p>
        </w:tc>
      </w:tr>
      <w:tr>
        <w:trPr>
          <w:trHeight w:val="249"/>
        </w:trPr>
        <w:tc>
          <w:tcPr>
            <w:tcW w:w="396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1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ind w:left="420" w:hanging="412"/>
        <w:spacing w:after="0" w:line="249"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ind w:left="420" w:right="260" w:hanging="412"/>
        <w:spacing w:after="0" w:line="252"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Effective in the second quarter of fiscal 2013, Autodesk began excluding gains and losses on strategic investments for purposes of its non-GAAP financial measures. Prior period non-GAAP interest and other income (expense), net, net income and earnings per share amounts have been revised to conform to the current period presentation.</w:t>
      </w:r>
    </w:p>
    <w:p>
      <w:pPr>
        <w:spacing w:after="0" w:line="18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For our internal budgeting and resource allocation process, we use non-GAAP measures to supplement our condensed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In addition, these non-GAAP financial measures facilitate comparisons to our and our competitors’ historical results and operating guidance. We also use some of these measures for purposes of determining company-wide incentive compensation.</w:t>
      </w:r>
    </w:p>
    <w:p>
      <w:pPr>
        <w:spacing w:after="0" w:line="173"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not meant to be considered in isolation or as a substitute for the directly comparable financial measures prepared in accordance with GAAP. The non-GAAP financial measures are meant to supplement, and be viewed in conjunction with, GAAP financial measures. We urge investors to review the reconciliation of our non-GAAP financial measures to the comparable GAAP financial measures included below, and not to rely on any single financial measure to evaluate our business.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584" w:right="27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Reconciliation of GAAP Financial Measures to Non-GAAP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ectPr>
          <w:pgSz w:w="11900" w:h="16838" w:orient="portrait"/>
          <w:cols w:equalWidth="0" w:num="1">
            <w:col w:w="11380"/>
          </w:cols>
          <w:pgMar w:left="240" w:top="796" w:right="27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31115</wp:posOffset>
            </wp:positionV>
            <wp:extent cx="19551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14" w:lineRule="exact"/>
        <w:rPr>
          <w:sz w:val="20"/>
          <w:szCs w:val="20"/>
          <w:color w:val="auto"/>
        </w:rPr>
      </w:pPr>
    </w:p>
    <w:p>
      <w:pPr>
        <w:ind w:left="5600"/>
        <w:spacing w:after="0"/>
        <w:tabs>
          <w:tab w:leader="none" w:pos="718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23495</wp:posOffset>
            </wp:positionV>
            <wp:extent cx="1955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9" w:lineRule="exact"/>
        <w:rPr>
          <w:sz w:val="20"/>
          <w:szCs w:val="20"/>
          <w:color w:val="auto"/>
        </w:rPr>
      </w:pPr>
    </w:p>
    <w:p>
      <w:pPr>
        <w:ind w:left="618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31115</wp:posOffset>
            </wp:positionV>
            <wp:extent cx="19723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23495</wp:posOffset>
            </wp:positionV>
            <wp:extent cx="19723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8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8040" w:space="720"/>
            <w:col w:w="2620"/>
          </w:cols>
          <w:pgMar w:left="240" w:top="796" w:right="27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490.1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489.0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1,528.8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1,451.6</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54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 (1)</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17"/>
        </w:trPr>
        <w:tc>
          <w:tcPr>
            <w:tcW w:w="500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501.3</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501.0</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1,561.9</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1,482.1</w:t>
            </w:r>
          </w:p>
        </w:tc>
        <w:tc>
          <w:tcPr>
            <w:tcW w:w="0" w:type="dxa"/>
            <w:vAlign w:val="bottom"/>
          </w:tcPr>
          <w:p>
            <w:pPr>
              <w:spacing w:after="0"/>
              <w:rPr>
                <w:sz w:val="1"/>
                <w:szCs w:val="1"/>
                <w:color w:val="auto"/>
              </w:rPr>
            </w:pPr>
          </w:p>
        </w:tc>
      </w:tr>
      <w:tr>
        <w:trPr>
          <w:trHeight w:val="73"/>
        </w:trPr>
        <w:tc>
          <w:tcPr>
            <w:tcW w:w="500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Gross margin</w:t>
            </w:r>
          </w:p>
        </w:tc>
        <w:tc>
          <w:tcPr>
            <w:tcW w:w="5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540" w:type="dxa"/>
            <w:vAlign w:val="bottom"/>
          </w:tcPr>
          <w:p>
            <w:pPr>
              <w:spacing w:after="0"/>
              <w:rPr>
                <w:sz w:val="20"/>
                <w:szCs w:val="20"/>
                <w:color w:val="auto"/>
              </w:rPr>
            </w:pPr>
          </w:p>
        </w:tc>
        <w:tc>
          <w:tcPr>
            <w:tcW w:w="10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0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12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00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5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73"/>
        </w:trPr>
        <w:tc>
          <w:tcPr>
            <w:tcW w:w="500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Income from operations</w:t>
            </w: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90.2</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221.3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263.8</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54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118.8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 (1)</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Restructuring charges (benefits)</w:t>
            </w:r>
          </w:p>
        </w:tc>
        <w:tc>
          <w:tcPr>
            <w:tcW w:w="54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0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income from operations</w:t>
            </w: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435.6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393.0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Operating margin</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Amortization of purchased intangibles (1)</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(benefits)</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00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5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73"/>
        </w:trPr>
        <w:tc>
          <w:tcPr>
            <w:tcW w:w="500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Net income</w:t>
            </w: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72.8</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172.9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213.3</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54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118.8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 (1)</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Restructuring charges (benefits)</w:t>
            </w:r>
          </w:p>
        </w:tc>
        <w:tc>
          <w:tcPr>
            <w:tcW w:w="54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strategic investments (3)</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7"/>
        </w:trPr>
        <w:tc>
          <w:tcPr>
            <w:tcW w:w="500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109.0</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329.2</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299.3</w:t>
            </w:r>
          </w:p>
        </w:tc>
        <w:tc>
          <w:tcPr>
            <w:tcW w:w="0" w:type="dxa"/>
            <w:vAlign w:val="bottom"/>
          </w:tcPr>
          <w:p>
            <w:pPr>
              <w:spacing w:after="0"/>
              <w:rPr>
                <w:sz w:val="1"/>
                <w:szCs w:val="1"/>
                <w:color w:val="auto"/>
              </w:rPr>
            </w:pPr>
          </w:p>
        </w:tc>
      </w:tr>
      <w:tr>
        <w:trPr>
          <w:trHeight w:val="73"/>
        </w:trPr>
        <w:tc>
          <w:tcPr>
            <w:tcW w:w="500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income per share (2)</w:t>
            </w: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0.75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54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 (1)</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Restructuring charges (benefits)</w:t>
            </w:r>
          </w:p>
        </w:tc>
        <w:tc>
          <w:tcPr>
            <w:tcW w:w="54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strategic investments (3)</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17"/>
        </w:trPr>
        <w:tc>
          <w:tcPr>
            <w:tcW w:w="5000" w:type="dxa"/>
            <w:vAlign w:val="bottom"/>
          </w:tcPr>
          <w:p>
            <w:pPr>
              <w:ind w:left="40"/>
              <w:spacing w:after="0"/>
              <w:rPr>
                <w:sz w:val="20"/>
                <w:szCs w:val="20"/>
                <w:color w:val="auto"/>
              </w:rPr>
            </w:pPr>
            <w:r>
              <w:rPr>
                <w:rFonts w:ascii="Arial" w:cs="Arial" w:eastAsia="Arial" w:hAnsi="Arial"/>
                <w:sz w:val="16"/>
                <w:szCs w:val="16"/>
                <w:color w:val="auto"/>
              </w:rPr>
              <w:t>Non-GAAP diluted net income per share (2)</w:t>
            </w:r>
          </w:p>
        </w:tc>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33"/>
        </w:trPr>
        <w:tc>
          <w:tcPr>
            <w:tcW w:w="500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vMerge w:val="continue"/>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00" w:hanging="412"/>
        <w:spacing w:after="0" w:line="249"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Amortization of purchased intangibles includes amortization of purchased developed technology, customer relationships and trade names for acquisitions subsequent to December 2005.</w:t>
      </w:r>
    </w:p>
    <w:p>
      <w:pPr>
        <w:ind w:left="420" w:hanging="412"/>
        <w:spacing w:after="0" w:line="246"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ind w:left="420" w:right="260" w:hanging="412"/>
        <w:spacing w:after="0" w:line="252"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Effective in the second quarter of fiscal 2013, Autodesk began excluding gains and losses on strategic investments for purposes of its non-GAAP financial measures. Prior period non-GAAP interest and other income (expense), net, net income and earnings per share amounts have been revised to conform to the current period presentation.</w:t>
      </w:r>
    </w:p>
    <w:p>
      <w:pPr>
        <w:sectPr>
          <w:pgSz w:w="11900" w:h="16838" w:orient="portrait"/>
          <w:cols w:equalWidth="0" w:num="1">
            <w:col w:w="11380"/>
          </w:cols>
          <w:pgMar w:left="240" w:top="796"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380"/>
          </w:cols>
          <w:pgMar w:left="240" w:top="796" w:right="279" w:bottom="1440" w:gutter="0" w:footer="0" w:header="0"/>
          <w:type w:val="continuous"/>
        </w:sectPr>
      </w:pPr>
    </w:p>
    <w:bookmarkStart w:id="39" w:name="page40"/>
    <w:bookmarkEnd w:id="39"/>
    <w:p>
      <w:pPr>
        <w:ind w:left="420"/>
        <w:spacing w:after="0"/>
        <w:rPr>
          <w:sz w:val="20"/>
          <w:szCs w:val="20"/>
          <w:color w:val="auto"/>
        </w:rPr>
      </w:pPr>
      <w:r>
        <w:rPr>
          <w:rFonts w:ascii="Arial" w:cs="Arial" w:eastAsia="Arial" w:hAnsi="Arial"/>
          <w:sz w:val="18"/>
          <w:szCs w:val="18"/>
          <w:color w:val="auto"/>
        </w:rPr>
        <w:t>Our non-GAAP financial measures as set forth in the table above exclude the following:</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i w:val="1"/>
          <w:iCs w:val="1"/>
          <w:color w:val="auto"/>
        </w:rPr>
        <w:t>Stock-based compensation expenses</w:t>
      </w:r>
      <w:r>
        <w:rPr>
          <w:rFonts w:ascii="Arial" w:cs="Arial" w:eastAsia="Arial" w:hAnsi="Arial"/>
          <w:sz w:val="18"/>
          <w:szCs w:val="18"/>
          <w:color w:val="auto"/>
        </w:rPr>
        <w:t>. We exclude stock-based compensation expenses from non-GAAP measures primarily because management finds it</w:t>
      </w:r>
      <w:r>
        <w:rPr>
          <w:rFonts w:ascii="Arial" w:cs="Arial" w:eastAsia="Arial" w:hAnsi="Arial"/>
          <w:sz w:val="18"/>
          <w:szCs w:val="18"/>
          <w:i w:val="1"/>
          <w:iCs w:val="1"/>
          <w:color w:val="auto"/>
        </w:rPr>
        <w:t xml:space="preserve"> </w:t>
      </w:r>
      <w:r>
        <w:rPr>
          <w:rFonts w:ascii="Arial" w:cs="Arial" w:eastAsia="Arial" w:hAnsi="Arial"/>
          <w:sz w:val="18"/>
          <w:szCs w:val="18"/>
          <w:color w:val="auto"/>
        </w:rPr>
        <w:t>useful to exclude these charges to assess the appropriate level of various operating expenses and to assist in budgeting, planning and forecasting future periods.</w:t>
      </w:r>
    </w:p>
    <w:p>
      <w:pPr>
        <w:spacing w:after="0" w:line="1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i w:val="1"/>
          <w:iCs w:val="1"/>
          <w:color w:val="auto"/>
        </w:rPr>
        <w:t>Amortization of purchased intangibles</w:t>
      </w:r>
      <w:r>
        <w:rPr>
          <w:rFonts w:ascii="Arial" w:cs="Arial" w:eastAsia="Arial" w:hAnsi="Arial"/>
          <w:sz w:val="18"/>
          <w:szCs w:val="18"/>
          <w:color w:val="auto"/>
        </w:rPr>
        <w:t>. We incur amortization of acquisition-related purchased intangible assets primarily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of certain businesses and technologies. The amortization of purchased intangibles varies depending on the level of acquisition activity and management finds it useful to exclude these variable charges to assess the appropriate level of various operating expenses and to assist in budgeting, planning and forecasting future periods.</w:t>
      </w:r>
    </w:p>
    <w:p>
      <w:pPr>
        <w:spacing w:after="0" w:line="18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i w:val="1"/>
          <w:iCs w:val="1"/>
          <w:color w:val="auto"/>
        </w:rPr>
        <w:t xml:space="preserve">Restructuring charges (benefits). </w:t>
      </w:r>
      <w:r>
        <w:rPr>
          <w:rFonts w:ascii="Arial" w:cs="Arial" w:eastAsia="Arial" w:hAnsi="Arial"/>
          <w:sz w:val="18"/>
          <w:szCs w:val="18"/>
          <w:color w:val="auto"/>
        </w:rPr>
        <w:t>These expenses are associated with realigning our business strategies based on current economic conditions.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these restructuring actions, we recognize costs related to termination benefits for former employees whose positions were eliminated, and the closure of facilities and cancellation of certain contracts. We exclude these charges because these expenses are not reflective of ongoing financial results in the current period.</w:t>
      </w:r>
    </w:p>
    <w:p>
      <w:pPr>
        <w:spacing w:after="0" w:line="187"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i w:val="1"/>
          <w:iCs w:val="1"/>
          <w:color w:val="auto"/>
        </w:rPr>
        <w:t xml:space="preserve">(Gain) loss on strategic investments. </w:t>
      </w:r>
      <w:r>
        <w:rPr>
          <w:rFonts w:ascii="Arial" w:cs="Arial" w:eastAsia="Arial" w:hAnsi="Arial"/>
          <w:sz w:val="18"/>
          <w:szCs w:val="18"/>
          <w:color w:val="auto"/>
        </w:rPr>
        <w:t>Autodesk excludes gains and losses related to our strategic investments from its non-GAAP measures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management finds it useful to exclude these variable gains and losses on these investments in assessing our financial results. Included in these amounts are non-cash unrealized gains and losses on the derivative components, realized gains and losses on the sale or losses on the impairment of these investments.</w:t>
      </w:r>
    </w:p>
    <w:p>
      <w:pPr>
        <w:spacing w:after="0" w:line="187"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i w:val="1"/>
          <w:iCs w:val="1"/>
          <w:color w:val="auto"/>
        </w:rPr>
        <w:t>Discrete tax provision items</w:t>
      </w:r>
      <w:r>
        <w:rPr>
          <w:rFonts w:ascii="Arial" w:cs="Arial" w:eastAsia="Arial" w:hAnsi="Arial"/>
          <w:sz w:val="16"/>
          <w:szCs w:val="16"/>
          <w:color w:val="auto"/>
        </w:rPr>
        <w:t>. We exclude the GAAP tax provision, including discrete items, from the non-GAAP measure of income, and 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law. Management believes this approach assists investors in understanding the tax provision and the effective tax rate related to ongoing operations.</w:t>
      </w:r>
    </w:p>
    <w:p>
      <w:pPr>
        <w:spacing w:after="0" w:line="222"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i w:val="1"/>
          <w:iCs w:val="1"/>
          <w:color w:val="auto"/>
        </w:rPr>
        <w:t>Income tax effects of non-GAAP adjustments</w:t>
      </w:r>
      <w:r>
        <w:rPr>
          <w:rFonts w:ascii="Arial" w:cs="Arial" w:eastAsia="Arial" w:hAnsi="Arial"/>
          <w:sz w:val="18"/>
          <w:szCs w:val="18"/>
          <w:color w:val="auto"/>
        </w:rPr>
        <w:t>. The income tax effects that are excluded from the non-GAAP measures relate to the tax impact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 between GAAP and non-GAAP costs and expenses, primarily due to stock-based compensation and purchased intangibles for GAAP and non-GAAP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20" w:firstLine="432"/>
        <w:spacing w:after="0" w:line="279" w:lineRule="auto"/>
        <w:rPr>
          <w:sz w:val="20"/>
          <w:szCs w:val="20"/>
          <w:color w:val="auto"/>
        </w:rPr>
      </w:pPr>
      <w:r>
        <w:rPr>
          <w:rFonts w:ascii="Arial" w:cs="Arial" w:eastAsia="Arial" w:hAnsi="Arial"/>
          <w:sz w:val="17"/>
          <w:szCs w:val="17"/>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invest in our growth initiatives, which include acquisitions of products, technology and businesses and to fund our stock repurchase program. See further discussion of these items below.</w:t>
      </w:r>
    </w:p>
    <w:p>
      <w:pPr>
        <w:spacing w:after="0" w:line="17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At October 31, 2012, our principal sources of liquidity were cash, cash equivalents and marketable securities totaling $1,737.4 million and net accounts receivable of $293.3 million. In addition, at October 31, 2012 we had a line of credit facility that permitted unsecured short-term borrowings of up to $400.0 million. This credit facility is available for working capital and general corporate purposes and expires in May 2016. During the three months ended October 31, 2012, we borrowed $110.0 million on our line of credit for business acquisitions and stock repurchases.</w:t>
      </w:r>
    </w:p>
    <w:p>
      <w:pPr>
        <w:spacing w:after="0" w:line="171"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Our cash and cash equivalents are held by diversified financial institutions globally. Our primary commercial banking relationship is with Citibank and its global affiliates (“Citibank”). In addition, Citibank is one of the lead lenders and agent in the syndicate of our $400.0 million line of credit.</w:t>
      </w:r>
    </w:p>
    <w:p>
      <w:pPr>
        <w:spacing w:after="0" w:line="14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increase in our cash, cash equivalents and marketable securities from $1,604.1 million at January 31, 2012 to $1,737.4 million at October 31, 2012 is principally due to cash generated by operating activities, proceeds from the issuance of common stock following stock option exercises and employee stock plan purchases, and draws on the line of credit. These increases to cash, cash equivalents and marketable securities are partially offset by cash used for repurchases of common stock, acquisitions including business combination and technology purchases, capital expenditures, and other investing activities. We anticipate the cash proceeds from issuance of common stock will vary based on our stock price, stock option exercise activity and the volume of employee purchases under the Employee Stock Purchase Plan ("ESP Plan").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84" w:right="259" w:bottom="1440" w:gutter="0" w:footer="0" w:header="0"/>
        </w:sectPr>
      </w:pPr>
    </w:p>
    <w:bookmarkStart w:id="40" w:name="page41"/>
    <w:bookmarkEnd w:id="40"/>
    <w:p>
      <w:pPr>
        <w:ind w:left="440"/>
        <w:spacing w:after="0"/>
        <w:rPr>
          <w:sz w:val="20"/>
          <w:szCs w:val="20"/>
          <w:color w:val="auto"/>
        </w:rPr>
      </w:pPr>
      <w:r>
        <w:rPr>
          <w:rFonts w:ascii="Arial" w:cs="Arial" w:eastAsia="Arial" w:hAnsi="Arial"/>
          <w:sz w:val="17"/>
          <w:szCs w:val="17"/>
          <w:color w:val="auto"/>
        </w:rPr>
        <w:t>The primary source for net cash provided by operating activities of $403.5 million for the nine months ended October 31, 2012 was net income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$172.9 million increased by the cash effect of expenses totaling $211.9 million associated with depreciation and amortization and stock-based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addition, net cash flow provided by changes in operating assets and liabilities was $5.0 million. The primary source of working capital was a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and increase in income tax payable. Our days sales outstanding in trade receivables was 49 at October 31, 2012 compared to 61 days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January 31, 2012. The days sales outstanding decrease relates primarily to seasonality in our subscription contract renewals; subscription billings 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generally higher in the fourth quarter in comparison to the rest of our fiscal year. The primary working capital uses of cash were for payments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reduction of the accrued expense primarily related to restructuring charges arising from our Fiscal 2013 Plan, our fiscal 2012 employee bonus accrual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fiscal 2012 commissions and purchases of shares under the ESP Plan.</w:t>
      </w:r>
    </w:p>
    <w:p>
      <w:pPr>
        <w:spacing w:after="0" w:line="21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At October 31, 2012, our short-term investment portfolio had an estimated fair value of $502.1 million and a cost basis of $499.0 million. The portfolio fair value consisted of $118.5 million invested in commercial paper and corporate securities, $74.4 million invested in U.S. government agency securities, $35.9 million invested in mutual funds, $46.2 million invested in U.S. treasury securities, $3.0 million invested in municipal securities, $223.8 million invested in certificates of deposit and time deposits with remaining maturities at the date of purchase greater than 90 days and less than one year and $0.3 million invested in other short-term securities.</w:t>
      </w:r>
    </w:p>
    <w:p>
      <w:pPr>
        <w:spacing w:after="0" w:line="188"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At October 31, 2012, $35.9 million of trading securities were invested in a defined set of mutual funds as directed by the participants in our Deferred Compensation Plan (see Note 10, “Deferred Compensation,” in the Notes to Condensed Consolidated Financial Statements for further discussion).</w:t>
      </w:r>
    </w:p>
    <w:p>
      <w:pPr>
        <w:spacing w:after="0" w:line="124"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stock repurchases; the acquisition of businesses, software products, or technologies complementary to our business; and capital expenditures.</w:t>
      </w:r>
    </w:p>
    <w:p>
      <w:pPr>
        <w:spacing w:after="0" w:line="17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As of October 31, 2012,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2012.</w:t>
      </w:r>
    </w:p>
    <w:p>
      <w:pPr>
        <w:spacing w:after="0" w:line="181"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Our cash, cash equivalent and marketable securities balances are concentrated in a few locations around the world, with substantial amounts held outside of the U.S.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regularly review our capital structure and consider a variety of potential financing alternatives and planning strategies to ensure we have the proper liquidity available in the locations in which it is needed.</w:t>
      </w:r>
    </w:p>
    <w:p>
      <w:pPr>
        <w:spacing w:after="0" w:line="18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existing cash, cash equivalents and investment balances may decline in fiscal 2013 in the event of a weakening of the global economy or changes in our planned cash outlay. Cash from operations could also be affected by various risks and uncertainties, including, but not limited to the risks detailed in Part II, Item 1A titled “Risk Factors.” However, based on our current business plan, including the cost associated with our Fiscal 2013 Plan, and revenue prospects, we believe that our existing balances, our anticipated cash flows from operations and our available credit facility will be sufficient to meet our working capital and operating resource expenditure requirements for the next 12 months. Our existing credit facility at December 4, 2012 is $400.0 million of which we have $80.0 million outstanding. This credit facility is available for working capital and general corporate purposes.</w:t>
      </w:r>
    </w:p>
    <w:p>
      <w:pPr>
        <w:spacing w:after="0" w:line="17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October 31, 2012,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notional amount of our option and forward contracts was $428.0 million and $494.7 million at October 31, 2012 and January 31, 2012, respectively.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0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The purpose of Autodesk’s stock repurchase program is used to offset dilution from the issuance of stock under our employee stock plans and for such other purposes as may be in the interests of Autodesk and its stockholders, which has the effect of returning excess cash generated from our business to stockholders. The number of shares acquired and the timing of the purchases are based on several factors, including general market and economic conditions, the volume of employee stock option exercises and stock issuances, the trading price of our common stock, cash on hand and available in the U.S., cash requirements for acquisitions, and company defined trading windows. In December 2010, the Board of Directors approved a plan which authorized the repurchase of 20.0 million shares; at October 31, 2012, 15.2 million repurchases have been made under this plan. In June 2012, the Board of Directors approved a plan, which authorized the repurchase of 30.0 million shares; as of October 31, 2012, no repurchases have been made under this plan. Neither of these plans have a fixed expiration date. At October 31, 2012, 34.8 million shares remained available for repurchase under the repurchase plans approved by the Board of Directors. During the three and nine months ended October 31, 2012, we repurchased 4.0 million and 9.9 million shares, respectively, of our common stock. See Note 15, “Common Stock Repurchase Program,” in the Notes to Condensed Consolidated Financial Statements for further discussion.</w:t>
      </w:r>
    </w:p>
    <w:p>
      <w:pPr>
        <w:spacing w:after="0" w:line="169"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following table provides information about the repurchase of common stock in open-market transactions during the quarter ended October 31, 2012:</w:t>
      </w:r>
    </w:p>
    <w:p>
      <w:pPr>
        <w:sectPr>
          <w:pgSz w:w="11900" w:h="16838" w:orient="portrait"/>
          <w:cols w:equalWidth="0" w:num="1">
            <w:col w:w="11380"/>
          </w:cols>
          <w:pgMar w:left="240" w:top="796" w:right="279" w:bottom="1440" w:gutter="0" w:footer="0" w:header="0"/>
        </w:sect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98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Total Number of</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89"/>
              </w:rPr>
              <w:t>Average Price</w:t>
            </w:r>
          </w:p>
        </w:tc>
        <w:tc>
          <w:tcPr>
            <w:tcW w:w="296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Total Number of Shares Purchased as Part of</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98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89"/>
              </w:rPr>
              <w:t>Shares</w:t>
            </w:r>
          </w:p>
        </w:tc>
        <w:tc>
          <w:tcPr>
            <w:tcW w:w="1440" w:type="dxa"/>
            <w:vAlign w:val="bottom"/>
            <w:vMerge w:val="continue"/>
          </w:tcPr>
          <w:p>
            <w:pPr>
              <w:spacing w:after="0"/>
              <w:rPr>
                <w:sz w:val="12"/>
                <w:szCs w:val="12"/>
                <w:color w:val="auto"/>
              </w:rPr>
            </w:pPr>
          </w:p>
        </w:tc>
        <w:tc>
          <w:tcPr>
            <w:tcW w:w="2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920" w:type="dxa"/>
            <w:vAlign w:val="bottom"/>
          </w:tcPr>
          <w:p>
            <w:pPr>
              <w:spacing w:after="0"/>
              <w:rPr>
                <w:sz w:val="20"/>
                <w:szCs w:val="20"/>
                <w:color w:val="auto"/>
              </w:rPr>
            </w:pPr>
            <w:r>
              <w:rPr>
                <w:rFonts w:ascii="Arial" w:cs="Arial" w:eastAsia="Arial" w:hAnsi="Arial"/>
                <w:sz w:val="14"/>
                <w:szCs w:val="14"/>
                <w:i w:val="1"/>
                <w:iCs w:val="1"/>
                <w:color w:val="auto"/>
              </w:rPr>
              <w:t>(Shares in thousands)</w:t>
            </w:r>
          </w:p>
        </w:tc>
        <w:tc>
          <w:tcPr>
            <w:tcW w:w="1980" w:type="dxa"/>
            <w:vAlign w:val="bottom"/>
          </w:tcPr>
          <w:p>
            <w:pPr>
              <w:jc w:val="center"/>
              <w:ind w:left="288"/>
              <w:spacing w:after="0"/>
              <w:rPr>
                <w:sz w:val="20"/>
                <w:szCs w:val="20"/>
                <w:color w:val="auto"/>
              </w:rPr>
            </w:pPr>
            <w:r>
              <w:rPr>
                <w:rFonts w:ascii="Arial" w:cs="Arial" w:eastAsia="Arial" w:hAnsi="Arial"/>
                <w:sz w:val="14"/>
                <w:szCs w:val="14"/>
                <w:b w:val="1"/>
                <w:bCs w:val="1"/>
                <w:color w:val="auto"/>
                <w:w w:val="92"/>
              </w:rPr>
              <w:t>Purchased</w:t>
            </w:r>
          </w:p>
        </w:tc>
        <w:tc>
          <w:tcPr>
            <w:tcW w:w="1440" w:type="dxa"/>
            <w:vAlign w:val="bottom"/>
          </w:tcPr>
          <w:p>
            <w:pPr>
              <w:jc w:val="center"/>
              <w:ind w:left="48"/>
              <w:spacing w:after="0"/>
              <w:rPr>
                <w:sz w:val="20"/>
                <w:szCs w:val="20"/>
                <w:color w:val="auto"/>
              </w:rPr>
            </w:pPr>
            <w:r>
              <w:rPr>
                <w:rFonts w:ascii="Arial" w:cs="Arial" w:eastAsia="Arial" w:hAnsi="Arial"/>
                <w:sz w:val="14"/>
                <w:szCs w:val="14"/>
                <w:b w:val="1"/>
                <w:bCs w:val="1"/>
                <w:color w:val="auto"/>
                <w:w w:val="97"/>
              </w:rPr>
              <w:t>Paid per Share</w:t>
            </w:r>
          </w:p>
        </w:tc>
        <w:tc>
          <w:tcPr>
            <w:tcW w:w="296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Publicly Announced 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8340" w:space="200"/>
            <w:col w:w="2840"/>
          </w:cols>
          <w:pgMar w:left="240" w:top="796" w:right="27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2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August 1 - August 31</w:t>
            </w:r>
          </w:p>
        </w:tc>
        <w:tc>
          <w:tcPr>
            <w:tcW w:w="15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38,020.1</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September 1 - September 30</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2,974.8</w:t>
            </w:r>
          </w:p>
        </w:tc>
        <w:tc>
          <w:tcPr>
            <w:tcW w:w="66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32.96</w:t>
            </w:r>
          </w:p>
        </w:tc>
        <w:tc>
          <w:tcPr>
            <w:tcW w:w="100" w:type="dxa"/>
            <w:vAlign w:val="bottom"/>
          </w:tcPr>
          <w:p>
            <w:pPr>
              <w:spacing w:after="0"/>
              <w:rPr>
                <w:sz w:val="20"/>
                <w:szCs w:val="20"/>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2,974.8</w:t>
            </w:r>
          </w:p>
        </w:tc>
        <w:tc>
          <w:tcPr>
            <w:tcW w:w="2920" w:type="dxa"/>
            <w:vAlign w:val="bottom"/>
            <w:gridSpan w:val="2"/>
          </w:tcPr>
          <w:p>
            <w:pPr>
              <w:jc w:val="right"/>
              <w:ind w:right="19"/>
              <w:spacing w:after="0"/>
              <w:rPr>
                <w:sz w:val="20"/>
                <w:szCs w:val="20"/>
                <w:color w:val="auto"/>
              </w:rPr>
            </w:pPr>
            <w:r>
              <w:rPr>
                <w:rFonts w:ascii="Arial" w:cs="Arial" w:eastAsia="Arial" w:hAnsi="Arial"/>
                <w:sz w:val="16"/>
                <w:szCs w:val="16"/>
                <w:color w:val="auto"/>
              </w:rPr>
              <w:t>35,045.3</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1 - October 31</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244.2</w:t>
            </w:r>
          </w:p>
        </w:tc>
        <w:tc>
          <w:tcPr>
            <w:tcW w:w="660" w:type="dxa"/>
            <w:vAlign w:val="bottom"/>
            <w:tcBorders>
              <w:bottom w:val="single" w:sz="8" w:color="CCEEFF"/>
            </w:tcBorders>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33.39</w:t>
            </w:r>
          </w:p>
        </w:tc>
        <w:tc>
          <w:tcPr>
            <w:tcW w:w="10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244.2</w:t>
            </w:r>
          </w:p>
        </w:tc>
        <w:tc>
          <w:tcPr>
            <w:tcW w:w="29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34,801.1</w:t>
            </w:r>
          </w:p>
        </w:tc>
        <w:tc>
          <w:tcPr>
            <w:tcW w:w="0" w:type="dxa"/>
            <w:vAlign w:val="bottom"/>
          </w:tcPr>
          <w:p>
            <w:pPr>
              <w:spacing w:after="0"/>
              <w:rPr>
                <w:sz w:val="1"/>
                <w:szCs w:val="1"/>
                <w:color w:val="auto"/>
              </w:rPr>
            </w:pPr>
          </w:p>
        </w:tc>
      </w:tr>
      <w:tr>
        <w:trPr>
          <w:trHeight w:val="244"/>
        </w:trPr>
        <w:tc>
          <w:tcPr>
            <w:tcW w:w="238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4,000.6</w:t>
            </w:r>
          </w:p>
        </w:tc>
        <w:tc>
          <w:tcPr>
            <w:tcW w:w="66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32.53</w:t>
            </w:r>
          </w:p>
        </w:tc>
        <w:tc>
          <w:tcPr>
            <w:tcW w:w="100" w:type="dxa"/>
            <w:vAlign w:val="bottom"/>
          </w:tcPr>
          <w:p>
            <w:pPr>
              <w:spacing w:after="0"/>
              <w:rPr>
                <w:sz w:val="21"/>
                <w:szCs w:val="21"/>
                <w:color w:val="auto"/>
              </w:rPr>
            </w:pPr>
          </w:p>
        </w:tc>
        <w:tc>
          <w:tcPr>
            <w:tcW w:w="2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4,000.6</w:t>
            </w:r>
          </w:p>
        </w:tc>
        <w:tc>
          <w:tcPr>
            <w:tcW w:w="1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ind w:left="420" w:right="300" w:hanging="412"/>
        <w:spacing w:after="0" w:line="257"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These amounts correspond to the plans approved by the Board of Directors in June 2012 and December 2010 that authorized the repurchase of 30.0 million and 20.0 million shares, respectively. These plans do not have a fixed expiration date.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nine months ended October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October 31, 2012, we did not have any significant off-balance sheet arrangements, as defined in Item 303(a)(4)(ii) of Regulation S-K.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200" w:firstLine="405"/>
        <w:spacing w:after="0" w:line="266" w:lineRule="auto"/>
        <w:rPr>
          <w:sz w:val="20"/>
          <w:szCs w:val="20"/>
          <w:color w:val="auto"/>
        </w:rPr>
      </w:pPr>
      <w:r>
        <w:rPr>
          <w:rFonts w:ascii="Arial" w:cs="Arial" w:eastAsia="Arial" w:hAnsi="Arial"/>
          <w:sz w:val="18"/>
          <w:szCs w:val="18"/>
          <w:i w:val="1"/>
          <w:iCs w:val="1"/>
          <w:color w:val="auto"/>
        </w:rPr>
        <w:t>BIM (Building Information Modeling)</w:t>
      </w:r>
      <w:r>
        <w:rPr>
          <w:rFonts w:ascii="Arial" w:cs="Arial" w:eastAsia="Arial" w:hAnsi="Arial"/>
          <w:sz w:val="18"/>
          <w:szCs w:val="18"/>
          <w:b w:val="1"/>
          <w:bCs w:val="1"/>
          <w:color w:val="auto"/>
        </w:rPr>
        <w:t>—</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ind w:right="320" w:firstLine="405"/>
        <w:spacing w:after="0" w:line="266" w:lineRule="auto"/>
        <w:rPr>
          <w:sz w:val="20"/>
          <w:szCs w:val="20"/>
          <w:color w:val="auto"/>
        </w:rPr>
      </w:pPr>
      <w:r>
        <w:rPr>
          <w:rFonts w:ascii="Arial" w:cs="Arial" w:eastAsia="Arial" w:hAnsi="Arial"/>
          <w:sz w:val="18"/>
          <w:szCs w:val="18"/>
          <w:i w:val="1"/>
          <w:iCs w:val="1"/>
          <w:color w:val="auto"/>
        </w:rPr>
        <w:t>Constant currency growth rates</w:t>
      </w:r>
      <w:r>
        <w:rPr>
          <w:rFonts w:ascii="Arial" w:cs="Arial" w:eastAsia="Arial" w:hAnsi="Arial"/>
          <w:sz w:val="18"/>
          <w:szCs w:val="18"/>
          <w:b w:val="1"/>
          <w:bCs w:val="1"/>
          <w:color w:val="auto"/>
        </w:rPr>
        <w:t>—</w:t>
      </w:r>
      <w:r>
        <w:rPr>
          <w:rFonts w:ascii="Arial" w:cs="Arial" w:eastAsia="Arial" w:hAnsi="Arial"/>
          <w:sz w:val="18"/>
          <w:szCs w:val="18"/>
          <w:color w:val="auto"/>
        </w:rPr>
        <w:t>We attempt to represent the changes in the underlying business operations by eliminating fluctuations caused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foreign currency exchange rates as well as eliminating hedge gains or losses recorded within the current and comparative period. Our constant currency methodology removes all hedging gains and losses from the calculation.</w:t>
      </w:r>
    </w:p>
    <w:p>
      <w:pPr>
        <w:spacing w:after="0" w:line="176" w:lineRule="exact"/>
        <w:rPr>
          <w:sz w:val="20"/>
          <w:szCs w:val="20"/>
          <w:color w:val="auto"/>
        </w:rPr>
      </w:pPr>
    </w:p>
    <w:p>
      <w:pPr>
        <w:ind w:right="80" w:firstLine="405"/>
        <w:spacing w:after="0" w:line="282" w:lineRule="auto"/>
        <w:rPr>
          <w:sz w:val="20"/>
          <w:szCs w:val="20"/>
          <w:color w:val="auto"/>
        </w:rPr>
      </w:pPr>
      <w:r>
        <w:rPr>
          <w:rFonts w:ascii="Arial" w:cs="Arial" w:eastAsia="Arial" w:hAnsi="Arial"/>
          <w:sz w:val="18"/>
          <w:szCs w:val="18"/>
          <w:i w:val="1"/>
          <w:iCs w:val="1"/>
          <w:color w:val="auto"/>
        </w:rPr>
        <w:t>Digital prototyping</w:t>
      </w:r>
      <w:r>
        <w:rPr>
          <w:rFonts w:ascii="Arial" w:cs="Arial" w:eastAsia="Arial" w:hAnsi="Arial"/>
          <w:sz w:val="18"/>
          <w:szCs w:val="18"/>
          <w:b w:val="1"/>
          <w:bCs w:val="1"/>
          <w:color w:val="auto"/>
        </w:rPr>
        <w:t>—</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model rather than a physical model.</w:t>
      </w:r>
    </w:p>
    <w:p>
      <w:pPr>
        <w:spacing w:after="0" w:line="162" w:lineRule="exact"/>
        <w:rPr>
          <w:sz w:val="20"/>
          <w:szCs w:val="20"/>
          <w:color w:val="auto"/>
        </w:rPr>
      </w:pPr>
    </w:p>
    <w:p>
      <w:pPr>
        <w:ind w:firstLine="405"/>
        <w:spacing w:after="0" w:line="266" w:lineRule="auto"/>
        <w:rPr>
          <w:sz w:val="20"/>
          <w:szCs w:val="20"/>
          <w:color w:val="auto"/>
        </w:rPr>
      </w:pPr>
      <w:r>
        <w:rPr>
          <w:rFonts w:ascii="Arial" w:cs="Arial" w:eastAsia="Arial" w:hAnsi="Arial"/>
          <w:sz w:val="18"/>
          <w:szCs w:val="18"/>
          <w:i w:val="1"/>
          <w:iCs w:val="1"/>
          <w:color w:val="auto"/>
        </w:rPr>
        <w:t>Flagship</w:t>
      </w:r>
      <w:r>
        <w:rPr>
          <w:rFonts w:ascii="Arial" w:cs="Arial" w:eastAsia="Arial" w:hAnsi="Arial"/>
          <w:sz w:val="18"/>
          <w:szCs w:val="18"/>
          <w:b w:val="1"/>
          <w:bCs w:val="1"/>
          <w:color w:val="auto"/>
        </w:rPr>
        <w:t>—</w:t>
      </w:r>
      <w:r>
        <w:rPr>
          <w:rFonts w:ascii="Arial" w:cs="Arial" w:eastAsia="Arial" w:hAnsi="Arial"/>
          <w:sz w:val="18"/>
          <w:szCs w:val="18"/>
          <w:color w:val="auto"/>
        </w:rPr>
        <w:t>Autodesk flagship products are our core design products. Flagship includes the following products: 3ds Max, AutoCAD, AutoCAD LT,</w:t>
      </w:r>
      <w:r>
        <w:rPr>
          <w:rFonts w:ascii="Arial" w:cs="Arial" w:eastAsia="Arial" w:hAnsi="Arial"/>
          <w:sz w:val="18"/>
          <w:szCs w:val="18"/>
          <w:i w:val="1"/>
          <w:iCs w:val="1"/>
          <w:color w:val="auto"/>
        </w:rPr>
        <w:t xml:space="preserve"> </w:t>
      </w:r>
      <w:r>
        <w:rPr>
          <w:rFonts w:ascii="Arial" w:cs="Arial" w:eastAsia="Arial" w:hAnsi="Arial"/>
          <w:sz w:val="18"/>
          <w:szCs w:val="18"/>
          <w:color w:val="auto"/>
        </w:rPr>
        <w:t>AutoCAD vertical products (such as AutoCAD Architecture and AutoCAD Mechanical), Civil 3D, Maya, Plant 3D, Inventor products (standalone) and Revit products (standalone).</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New and Adjacent</w:t>
      </w:r>
      <w:r>
        <w:rPr>
          <w:rFonts w:ascii="Arial" w:cs="Arial" w:eastAsia="Arial" w:hAnsi="Arial"/>
          <w:sz w:val="18"/>
          <w:szCs w:val="18"/>
          <w:b w:val="1"/>
          <w:bCs w:val="1"/>
          <w:color w:val="auto"/>
        </w:rPr>
        <w:t>—</w:t>
      </w:r>
      <w:r>
        <w:rPr>
          <w:rFonts w:ascii="Arial" w:cs="Arial" w:eastAsia="Arial" w:hAnsi="Arial"/>
          <w:sz w:val="18"/>
          <w:szCs w:val="18"/>
          <w:color w:val="auto"/>
        </w:rPr>
        <w:t>Autodesk new and adjacent products include Autodesk's new product offerings as well as products</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796" w:right="279" w:bottom="1440" w:gutter="0" w:footer="0" w:header="0"/>
          <w:type w:val="continuous"/>
        </w:sectPr>
      </w:pPr>
    </w:p>
    <w:bookmarkStart w:id="42" w:name="page43"/>
    <w:bookmarkEnd w:id="42"/>
    <w:p>
      <w:pPr>
        <w:spacing w:after="0" w:line="264" w:lineRule="auto"/>
        <w:rPr>
          <w:sz w:val="20"/>
          <w:szCs w:val="20"/>
          <w:color w:val="auto"/>
        </w:rPr>
      </w:pPr>
      <w:r>
        <w:rPr>
          <w:rFonts w:ascii="Arial" w:cs="Arial" w:eastAsia="Arial" w:hAnsi="Arial"/>
          <w:sz w:val="18"/>
          <w:szCs w:val="18"/>
          <w:color w:val="auto"/>
        </w:rPr>
        <w:t>that are not included in flagship or suites. New and adjacent includes the following services and products: Autodesk Alias Design products, Autodesk Consulting, Autodesk Buzzsaw, Autodesk Constructware, Autodesk consumer products, Autodesk Creative Finishing products, Autodesk Moldflow products, Autodesk Navisworks, Autodesk Simulation, Autodesk Vault products and all other products.</w:t>
      </w:r>
    </w:p>
    <w:p>
      <w:pPr>
        <w:spacing w:after="0" w:line="177" w:lineRule="exact"/>
        <w:rPr>
          <w:sz w:val="20"/>
          <w:szCs w:val="20"/>
          <w:color w:val="auto"/>
        </w:rPr>
      </w:pPr>
    </w:p>
    <w:p>
      <w:pPr>
        <w:ind w:right="180" w:firstLine="405"/>
        <w:spacing w:after="0" w:line="303" w:lineRule="auto"/>
        <w:rPr>
          <w:sz w:val="20"/>
          <w:szCs w:val="20"/>
          <w:color w:val="auto"/>
        </w:rPr>
      </w:pPr>
      <w:r>
        <w:rPr>
          <w:rFonts w:ascii="Arial" w:cs="Arial" w:eastAsia="Arial" w:hAnsi="Arial"/>
          <w:sz w:val="16"/>
          <w:szCs w:val="16"/>
          <w:i w:val="1"/>
          <w:iCs w:val="1"/>
          <w:color w:val="auto"/>
        </w:rPr>
        <w:t>Suites</w:t>
      </w:r>
      <w:r>
        <w:rPr>
          <w:rFonts w:ascii="Arial" w:cs="Arial" w:eastAsia="Arial" w:hAnsi="Arial"/>
          <w:sz w:val="16"/>
          <w:szCs w:val="16"/>
          <w:b w:val="1"/>
          <w:bCs w:val="1"/>
          <w:color w:val="auto"/>
        </w:rPr>
        <w:t>—</w:t>
      </w:r>
      <w:r>
        <w:rPr>
          <w:rFonts w:ascii="Arial" w:cs="Arial" w:eastAsia="Arial" w:hAnsi="Arial"/>
          <w:sz w:val="16"/>
          <w:szCs w:val="16"/>
          <w:color w:val="auto"/>
        </w:rPr>
        <w:t>Autodesk design suites are a combination of products that target a specific user objective (product design, building design, etc.) and support a</w:t>
      </w:r>
      <w:r>
        <w:rPr>
          <w:rFonts w:ascii="Arial" w:cs="Arial" w:eastAsia="Arial" w:hAnsi="Arial"/>
          <w:sz w:val="16"/>
          <w:szCs w:val="16"/>
          <w:i w:val="1"/>
          <w:iCs w:val="1"/>
          <w:color w:val="auto"/>
        </w:rPr>
        <w:t xml:space="preserve"> </w:t>
      </w:r>
      <w:r>
        <w:rPr>
          <w:rFonts w:ascii="Arial" w:cs="Arial" w:eastAsia="Arial" w:hAnsi="Arial"/>
          <w:sz w:val="16"/>
          <w:szCs w:val="16"/>
          <w:color w:val="auto"/>
        </w:rPr>
        <w:t>set of workflows for that objective. Our new design and creation suites include: Autodesk Design Suite, Autodesk Building Design Suite, Autodesk Entertainment Creation Suite, Autodesk Factory Design Suite, Autodesk Infrastructure Design Suite, Autodesk Plant Design Suite, and Autodesk Product Design Suite. Our previously established suites include: Autodesk Inventor family suites, Autodesk Revit family suites, and education solutions suites.</w:t>
      </w:r>
    </w:p>
    <w:p>
      <w:pPr>
        <w:spacing w:after="0" w:line="15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7"/>
          <w:szCs w:val="17"/>
          <w:i w:val="1"/>
          <w:iCs w:val="1"/>
          <w:color w:val="auto"/>
        </w:rPr>
        <w:t>Upgrade</w:t>
      </w:r>
      <w:r>
        <w:rPr>
          <w:rFonts w:ascii="Arial" w:cs="Arial" w:eastAsia="Arial" w:hAnsi="Arial"/>
          <w:sz w:val="17"/>
          <w:szCs w:val="17"/>
          <w:b w:val="1"/>
          <w:bCs w:val="1"/>
          <w:color w:val="auto"/>
        </w:rPr>
        <w:t>—</w:t>
      </w:r>
      <w:r>
        <w:rPr>
          <w:rFonts w:ascii="Arial" w:cs="Arial" w:eastAsia="Arial" w:hAnsi="Arial"/>
          <w:sz w:val="17"/>
          <w:szCs w:val="17"/>
          <w:color w:val="auto"/>
        </w:rPr>
        <w:t>Upgrades allow customers to pay an incremental fee at currently available prices toward the purchase of the latest version of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Upgrades are available only for licenses of software that are up to three versions prior to the latest version available; an upgrade terminates the license to the previous version of the product. A similar exchange and termination of a previous version of a product that is four versions prior to the latest version available, is recorded as commercial new revenue. Upgrades also includes crossgrades where a customer pays an incremental fee at currently available prices toward the purchase of a different product; the license to the previous product is terminated.</w:t>
      </w:r>
    </w:p>
    <w:p>
      <w:pPr>
        <w:spacing w:after="0" w:line="16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October 31, 2012 and January 31, 2012,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notional amount of our option and forward contracts was $428.0 million and $494.7 million at October 31, 2012 and January 31, 2012, respectively.</w:t>
      </w:r>
    </w:p>
    <w:p>
      <w:pPr>
        <w:spacing w:after="0" w:line="17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utilize foreign currency contracts to reduce the exchange rate impact on the net revenue and operating expenses of certain anticipated transactions. A sensitivity analysis performed on our hedging portfolio as of October 31, 2012 indicated that a hypothetical 10% appreciation of the U.S. dollar from its value at October 31, 2012 and January 31, 2012 would increase the fair value of our foreign currency contracts by $33.9 million and $45.3 million, respectively. A hypothetical 10% depreciation of the dollar from its value at October 31, 2012 and January 31, 2012 would decrease the fair value of our foreign currency contracts by $26.1 million and $24.3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Interest rate movements affect both the interest income we earn on our short term investments and, to a lesser extent, the market value of certain longer term securities. At October 31, 2012, we had $1,399.2 million of cash equivalents and marketable securities. With an average cash equivalent investment balance for the quarter of approximately $501.3 million, if interest rates were to change by 10%, this would result in a $0.1 million change in annual interest income. Further, at October 31, 2012, we had approximately $910.4 million invested in a longer term portfolio (with remaining maturities that may be less than one year) which, with 50 and 100 basis point moves, would result in market value changes (gains or losses) of $4.5 million and $9.0 million respectively, over a twelve month period.</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Quarterly Report on Form 10-Q.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84" w:right="259" w:bottom="1440" w:gutter="0" w:footer="0" w:header="0"/>
        </w:sectPr>
      </w:pPr>
    </w:p>
    <w:bookmarkStart w:id="43" w:name="page44"/>
    <w:bookmarkEnd w:id="43"/>
    <w:p>
      <w:pPr>
        <w:spacing w:after="0" w:line="312" w:lineRule="auto"/>
        <w:rPr>
          <w:sz w:val="20"/>
          <w:szCs w:val="20"/>
          <w:color w:val="auto"/>
        </w:rPr>
      </w:pPr>
      <w:r>
        <w:rPr>
          <w:rFonts w:ascii="Arial" w:cs="Arial" w:eastAsia="Arial" w:hAnsi="Arial"/>
          <w:sz w:val="16"/>
          <w:szCs w:val="16"/>
          <w:color w:val="auto"/>
        </w:rPr>
        <w:t>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4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October 31, 2012 that have materially affected, or are reasonably likely to materially affect, our internal controls over financial reporting.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584" w:right="27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conditions may further impact our business, financial results and financial condition.</w:t>
      </w:r>
    </w:p>
    <w:p>
      <w:pPr>
        <w:spacing w:after="0" w:line="225"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As our business has expanded globally, we have increasingly become subject to risks arising from adverse changes in global economic and political conditions. The past several years have been characterized by weak global economic conditions, a tightening in the credit markets, high unemployment, a low level of liquidity in many financial markets, increased government deficit spending and debt levels, uncertainty about certain governments' abilities to repay such debt or to address certain fiscal issues (such as the so called “fiscal cliff” in the United States), and extreme volatility in many financial instrument markets. While there have been a number of mixed indicators, a weakening demand environment, the continuing sovereign debt crisis, financial market volatility and other factors in Europe and emerging markets seem to indicate a broad, renewed slow-down is taking place.</w:t>
      </w:r>
    </w:p>
    <w:p>
      <w:pPr>
        <w:spacing w:after="0" w:line="16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has caused many countries to reduce spending and in some cases has forced those countries to restructure their debt in an effort to avoid defaulting under those obligations. This has not only impacted those countries but others that are holders of such debt and those assisting in such restructuring.</w:t>
      </w:r>
    </w:p>
    <w:p>
      <w:pPr>
        <w:spacing w:after="0" w:line="193"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In addition, these factors are causing, and over the past several years have caused, us to restructure our business and in turn we have and will incur restructuring charges. Moreover, our financial performance may be negatively impacted by:</w:t>
      </w:r>
    </w:p>
    <w:p>
      <w:pPr>
        <w:spacing w:after="0" w:line="18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impairing our distribution channels and cash flows;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96" w:right="239" w:bottom="1440" w:gutter="0" w:footer="0" w:header="0"/>
        </w:sectPr>
      </w:pPr>
    </w:p>
    <w:bookmarkStart w:id="45" w:name="page46"/>
    <w:bookmarkEnd w:id="45"/>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decreased borrowing and spending by our end users on small and large projects in the industries we serve, thereby reducing demand for our products.</w:t>
      </w:r>
    </w:p>
    <w:p>
      <w:pPr>
        <w:spacing w:after="0" w:line="2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The actions that we are taking to reorganize our business in alignment with our current operating strategy and in response to our related business slowdown may be costly and may not be as effective as anticipated.</w:t>
      </w:r>
    </w:p>
    <w:p>
      <w:pPr>
        <w:spacing w:after="0" w:line="116"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We recently implemented a number of important organizational changes relating to our operating plan and new business initiatives. These changes were made in order to address major business initiatives including our desire to accelerate the business' move to the cloud, transform our customers' experience, increase industry focus to meet customer demands, and develop more effective marketing. In order to achieve these organizational changes and to further our strategy, including our continuing shift to cloud, social and mobile computing, we recently implemented a company-wide restructuring plan. While these reorganization efforts are intended to better align our product development and marketing teams and our sales teams, we encountered challenges in the execution of these efforts which have negatively affected our financial results, at least in the short term. If we are unable to successfully complete our reorganizational efforts we may need to undertake additional restructuring efforts, and our business and operating results may be harmed. In taking any future restructuring actions, we may incur, and over the past several years have incurred, additional costs that negatively impact our operating margins.</w:t>
      </w:r>
    </w:p>
    <w:p>
      <w:pPr>
        <w:spacing w:after="0" w:line="31"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We are taking actions to reduce our cost structure to more closely align our costs with our revenue levels. In taking these actions, we have attempted to balance the cost of such initiatives against their longer term benefits. As a result of these actions, we will incur additional costs in the short term that may have the effect of reducing our operating margins. If we do not achieve the proper balance of these cost reduction initiatives, we may eliminate critical elements of our operations, the loss of which could negatively impact our ability to benefit from an economic recovery. We cannot assure that our cost cutting efforts will achieve appropriate levels of expenses and we may take additional actions in the future.</w:t>
      </w:r>
    </w:p>
    <w:p>
      <w:pPr>
        <w:spacing w:after="0" w:line="119"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In addition, we are taking actions to stimulate demand through a number of programs. Although we are attempting to balance the cost of these programs against their longer term benefits, it is possible that we will make such investments without a corresponding increase in demand for our products. This would further reduce our operating margins and have a negative impact on our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The software industry has limited barriers to entry, and the availability of computing devices with continually expanding performance at progressively lower prices contributes to the ease of market entry.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7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believe that our future results largely depend upon our ability to offer products that compete favorably with respect to reliability, performance, ease of use, range of useful features, continuing product enhancements, reputation and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quarterly financial results have fluctuated in the past and likely will continue to do so in the future. These fluctuations could cause our stock price to change significantly or experience declines. In addition to the other factors described in this Part II, Item 1A, some of the factors that could cause our financial results to fluctuate include:</w:t>
      </w:r>
    </w:p>
    <w:p>
      <w:pPr>
        <w:spacing w:after="0" w:line="18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market, economic, business and political conditions in particular geographies, including Europe and emerging economies,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growth or contraction of our upgrade or maintenance programs,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achieve and maintain planned cost reductions and productivity increases,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our internal business reorganization,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expand our AutoCAD and AutoCAD LT products customer base to related design products,</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and new computing platforms,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 (“suites”),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maintain our revenue growth and profitability,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328" w:right="500" w:hanging="328"/>
        <w:spacing w:after="0" w:line="277"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weak or negative growth in the industries we serve, including architecture, engineering and construction, manufacturing and digital media and entertainment markets,</w:t>
      </w:r>
    </w:p>
    <w:p>
      <w:pPr>
        <w:spacing w:after="0" w:line="170" w:lineRule="exact"/>
        <w:rPr>
          <w:rFonts w:ascii="Arial" w:cs="Arial" w:eastAsia="Arial" w:hAnsi="Arial"/>
          <w:sz w:val="18"/>
          <w:szCs w:val="18"/>
          <w:color w:val="auto"/>
        </w:rPr>
      </w:pPr>
    </w:p>
    <w:p>
      <w:pPr>
        <w:ind w:left="328" w:right="400" w:hanging="328"/>
        <w:spacing w:after="0" w:line="277"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key new applications,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pressure or changes in product pricing or product mix,</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platform changes,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328" w:right="320" w:hanging="328"/>
        <w:spacing w:after="0" w:line="277"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continue momentum of frequent release cycles or to move a significant number of customers from prior product versions in connection with our programs to retire major products,</w:t>
      </w:r>
    </w:p>
    <w:p>
      <w:pPr>
        <w:spacing w:after="0" w:line="170" w:lineRule="exact"/>
        <w:rPr>
          <w:rFonts w:ascii="Arial" w:cs="Arial" w:eastAsia="Arial" w:hAnsi="Arial"/>
          <w:sz w:val="18"/>
          <w:szCs w:val="18"/>
          <w:color w:val="auto"/>
        </w:rPr>
      </w:pPr>
    </w:p>
    <w:p>
      <w:pPr>
        <w:jc w:val="both"/>
        <w:ind w:left="328" w:right="40" w:hanging="328"/>
        <w:spacing w:after="0" w:line="342" w:lineRule="auto"/>
        <w:tabs>
          <w:tab w:leader="none" w:pos="328"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 and the potential requirement that U.S. registrants prepare financial statements in accordance with International Financial Reporting Standards (“IFRS”),</w:t>
      </w:r>
    </w:p>
    <w:p>
      <w:pPr>
        <w:spacing w:after="0" w:line="123" w:lineRule="exact"/>
        <w:rPr>
          <w:rFonts w:ascii="Arial" w:cs="Arial" w:eastAsia="Arial" w:hAnsi="Arial"/>
          <w:sz w:val="16"/>
          <w:szCs w:val="16"/>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 party developers,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52"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68"/>
          </w:cols>
          <w:pgMar w:left="572" w:top="584" w:right="259" w:bottom="1440" w:gutter="0" w:footer="0" w:header="0"/>
        </w:sectPr>
      </w:pPr>
    </w:p>
    <w:bookmarkStart w:id="47" w:name="page48"/>
    <w:bookmarkEnd w:id="47"/>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catastrophic events or natural disasters, such as the earthquakes and tsunami in Japan in March 2011 and Superstorm Sandy in October 2012.</w:t>
      </w:r>
    </w:p>
    <w:p>
      <w:pPr>
        <w:spacing w:after="0" w:line="248" w:lineRule="exact"/>
        <w:rPr>
          <w:sz w:val="20"/>
          <w:szCs w:val="20"/>
          <w:color w:val="auto"/>
        </w:rPr>
      </w:pPr>
    </w:p>
    <w:p>
      <w:pPr>
        <w:ind w:right="500" w:firstLine="405"/>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conditions. In particular, our financial results in Europe during our third quarter are usually affected by a slower summer period, and our Asia Pacific operations typically experience seasonal slowing in our third and fourth quarters.</w:t>
      </w:r>
    </w:p>
    <w:p>
      <w:pPr>
        <w:spacing w:after="0" w:line="19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have had, and in the future could have, an immediate and significant adverse effect on our profitability. Greater than anticipated expenses or a failure to maintain rigorous cost controls would also negatively affect profitability. Further, gross margins may be adversely affected if our sales of Creative Finishing products and consulting services, which historically have had lower margins, grow at a faster rate than sales of our higher-margin products and services.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is negatively impacted by the recent consolidation between two important distributors, or is not provided the right mix of incentives to sell our products, our ability to generate revenue will be adversely affected.</w:t>
      </w:r>
    </w:p>
    <w:p>
      <w:pPr>
        <w:spacing w:after="0" w:line="18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the three and nine months ended October 31, 2012, approximately 84% and 85%, respectively,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2"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rely significantly upon major distributors and resellers in both the U.S. and international regions, including the distributor Tech Data Corporation and its global affiliates (“Tech Data”). Tech Data accounted for 24% and 23%, of our total net revenue for the three and nine months ended October 31, 2012, respectively, as compared to 16% of our total net revenue for both the three and nine months ended October 31, 2011. In October 2011, Tech Data purchased certain assets of Mensch and Maschine Software (“MuM”), which has been a distributor of our products in Europe. The acquisition concentrates additional sales through Tech Data, which on a consolidated basis would have accounted for 20% and 22% of our total net revenue for the three and nine months ended October 31, 2011, respectively, if the acquisition had taken place at the beginning of fiscal 2012. Although we believe that we are not substantially dependent on Tech Data, including following the acquisition of certain assets of MuM,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82"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0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rates or a decrease in the number of new licenses we sell negatively impacts our future revenue and financial results.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the overall global economy, the health of their businesses, and the perceived value of the maintenance program. If our customers do not attach maintenance to their initial license or renew their maintenance contract for our products, our maintenance revenue will decline and our financial results will suffer.</w:t>
      </w:r>
    </w:p>
    <w:p>
      <w:pPr>
        <w:spacing w:after="0" w:line="18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18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net maintenance billings will negatively impact future maintenance revenue, however future maintenance revenue will also be impacted by other factors such as the amount, timing and mix of contract terms of future billings.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are dependent on our international operations for a significant portion of our revenue.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These factors have recently adversely impacted and may in the future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 Our intent is that amounts related to foreign earnings permanently reinvested outside the U.S. will remain outside the U.S. and we will meet our U.S. liquidity needs through ongoing cash flows, external borrowings, or both. However, if, in the future, amounts held by foreign subsidiaries are needed to fund the our operations in the U.S., the repatriation of such amounts to the U.S. could result in a significant incremental tax liability in the period in which the decision to repatriate occurs and payment of any such tax liability would reduce the cash available to fund our operations.</w:t>
      </w:r>
    </w:p>
    <w:p>
      <w:pPr>
        <w:spacing w:after="0" w:line="183"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and practices, delays resulting from difficulty in obtaining export licenses for certain technology, tariffs, quotas and other trade barriers and restrictions, transportation delays, operating in locations with a higher incidence of corruption and fraudulent business practices, particularly in emerging economies, increasing enforcement by the U.S. under the Foreign Corrupt Practices Act, adoption of stricter anti-corruption laws in certain countries, including the United Kingdom, difficulties in staffing and managing foreign sales and development operations, longer collection cycles for accounts receivable, potential changes in tax laws, including possible U.S. tax law changes that, if enacted, could significantly impact how U.S. multinational companies are taxed on foreign subsidiary earnings, tax arrangements with foreign governments, including our ability to meet and review the terms of those tax arrangements, and laws regarding the management of and access to data and public networks, possible future limitations upon foreign owned businesses, increased financial accounting and reporting burdens and complexities, inadequate local infrastructure, greater difficulty in protecting intellectual property, and other factors beyond our control, including popular uprisings, terrorism, war, natural disasters and diseases.</w:t>
      </w:r>
    </w:p>
    <w:p>
      <w:pPr>
        <w:spacing w:after="0" w:line="169"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Some of our business partners also have international operations and are subject to the risks described above. Even if we are able to successfully</w:t>
      </w:r>
    </w:p>
    <w:p>
      <w:pPr>
        <w:spacing w:after="0" w:line="3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manage the risks of international operations, our business may be adversely affected if our business partners are not able to successfully manage these risks.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584" w:right="279" w:bottom="1440" w:gutter="0" w:footer="0" w:header="0"/>
        </w:sectPr>
      </w:pPr>
    </w:p>
    <w:bookmarkStart w:id="49" w:name="page50"/>
    <w:bookmarkEnd w:id="49"/>
    <w:p>
      <w:pPr>
        <w:ind w:right="60" w:firstLine="432"/>
        <w:spacing w:after="0" w:line="297" w:lineRule="auto"/>
        <w:rPr>
          <w:sz w:val="20"/>
          <w:szCs w:val="20"/>
          <w:color w:val="auto"/>
        </w:rPr>
      </w:pPr>
      <w:r>
        <w:rPr>
          <w:rFonts w:ascii="Arial" w:cs="Arial" w:eastAsia="Arial" w:hAnsi="Arial"/>
          <w:sz w:val="16"/>
          <w:szCs w:val="16"/>
          <w:color w:val="auto"/>
        </w:rPr>
        <w:t>We regularly acquire or invest in businesses, software products and technologies that are complementary to our business through acquisitions, strategic alliances or equity or debt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 Our recent increase in the number of acquisitions further exacerbates these risks.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retain customers, vendors, distributors, business partners, and other entities associated with the acquired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any one or multiple of the investments become impaired in a given reporting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for incompatible business cultures;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transaction or integration-related costs.</w:t>
      </w:r>
    </w:p>
    <w:p>
      <w:pPr>
        <w:spacing w:after="0" w:line="2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2540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225"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earnings or key performance metrics;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800" w:right="27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Historically, after periods of volatility in the market price of a company's securities, a company becomes more susceptible to securities class action litigation.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type of litigation is often expensive and diverts management's attention and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4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use derivative instruments to manage a portion of our earnings exposure and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1 to 12 months in the future, and provide us with some protection against currency exposures. However, our attempts to hedge against these risks may not be successful, resulting in an adverse impact on our financial results.</w:t>
      </w:r>
    </w:p>
    <w:p>
      <w:pPr>
        <w:spacing w:after="0" w:line="188"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Our strategy to develop and introduce new products, including new product features, and service offering exposes us to risks such as limited customer acceptance, costs related to product defects and large expenditures that may not result in additional net revenue.</w:t>
      </w:r>
    </w:p>
    <w:p>
      <w:pPr>
        <w:spacing w:after="0" w:line="170"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Just as the transition from mainframes to personal computers transformed the industry thirty years ago, we believe our industry is undergoing a similar transition from the personal computer to cloud, mobile and social computing. In response, we are focused on providing cloud-based services and delivery of our solutions on mobile devices and new hardware platforms to enable our customers to be more agile and collaborative on their projects. We devote significant resources to the development of new technologies, such as our cloud-based and mobile services, design and entertainment products and our digital prototyping and collaboration products. In addition, we frequently introduce new business models or methods that require a considerable investment of technical and financial resources such as an increase in our portfolio of, and focus on, suites. We are making such investments through our internal reorganization efforts and further development and enhancement of our existing products, as well as through acquisitions of new product lines. Such investments may not result in sufficient revenue generation to justify their costs. Customer adoption of our cloud, mobile, and social computing services may not occur as rapidly as anticipated, or competitors may introduce new products and services that achieve acceptance among our current customers, adversely affecting our competitive position.</w:t>
      </w:r>
    </w:p>
    <w:p>
      <w:pPr>
        <w:spacing w:after="0" w:line="183" w:lineRule="exact"/>
        <w:rPr>
          <w:sz w:val="20"/>
          <w:szCs w:val="20"/>
          <w:color w:val="auto"/>
        </w:rPr>
      </w:pPr>
    </w:p>
    <w:p>
      <w:pPr>
        <w:ind w:firstLine="432"/>
        <w:spacing w:after="0" w:line="288" w:lineRule="auto"/>
        <w:rPr>
          <w:sz w:val="20"/>
          <w:szCs w:val="20"/>
          <w:color w:val="auto"/>
        </w:rPr>
      </w:pPr>
      <w:r>
        <w:rPr>
          <w:rFonts w:ascii="Arial" w:cs="Arial" w:eastAsia="Arial" w:hAnsi="Arial"/>
          <w:sz w:val="17"/>
          <w:szCs w:val="17"/>
          <w:color w:val="auto"/>
        </w:rPr>
        <w:t>In particular, a critical component of our growth strategy is to have customers of our AutoCAD and AutoCAD LT products expand their portfolios to include our suites. Over time, we aim to migrate customers using standalone Autodesk products to expand their portfolio with our suites offerings. Should sales of licenses of our AutoCAD and AutoCAD LT or standalone Autodesk flagship products decrease without a corresponding increase in suites product revenue or without purchases of customer seats to our suites, our results of operations will be adversely affected. Also, changes in the delivery of our software and services to our customers may change the way in which we recognize revenue relating to the software and services, with a potential negative impact on financial performance. 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163"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Further, given the rapid speed of changing customer expectations and advancement of technology inherent in the software industry, the extensive and complex efforts required to create useful and widely accepted products and the rapid evolution of cloud computing, mobile devices, new computing platforms and other technologies, our executive management team must act quickly, continuously and with vision. Although we have articulated a strategy that we believe will fulfill these challenges, if we fail to execute properly on that strategy, adapt that strategy as market conditions evolve, or fail to internalize and execute on that strategy, we may fail to meet our customers' expectations, fail to compete with our competitors' products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4" w:right="25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and technology and lose the confidence of our channel partners and employees. This in turn could adversely affect our business and financial performance.</w:t>
      </w:r>
    </w:p>
    <w:p>
      <w:pPr>
        <w:spacing w:after="0" w:line="24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As part of our effort to accommodate our customers' needs and demands and the rapid evolution of technology, we from time to time evolve our business and sales initiatives such as realigning our development and marketing organizations, and expanding our portfolio of suites and our offering of software as a service, and realigning our internal resources in an effort to improve efficiency. Specifically, we recently undertook organizational changes in order to address major business initiatives including our desire to accelerate our move to the cloud, transform our customers' experience, increase industry focus to meet customer demands, and develop more effective marketing. These reorganizational efforts included changes to the structure and alignment of our product development and marketing teams and re-organizing our sales teams by industry. We may take such actions without clear indications that they will prove successful and at times have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8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including suites, if these products are not successful, our revenue will be adversely affected.</w:t>
      </w:r>
    </w:p>
    <w:p>
      <w:pPr>
        <w:spacing w:after="0" w:line="17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derive a substantial portion of our net revenue from sales of licenses of a limited number of our products, including AutoCAD software, products based on AutoCAD, which include our suites that serve specific markets, upgrades to those products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three and nine months ended October 31, 2012, combined revenue from our AutoCAD and AutoCAD LT products, not including Suites having AutoCAD or AutoCAD LT as a component, represented 33% and 34%, respectively, of our total net revenue.</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A breach of security in our products or computer systems may compromise the integrity of our products, harm our reputation, create additional liability and adversely impact our financial results.</w:t>
      </w:r>
    </w:p>
    <w:p>
      <w:pPr>
        <w:spacing w:after="0" w:line="184" w:lineRule="exact"/>
        <w:rPr>
          <w:sz w:val="20"/>
          <w:szCs w:val="20"/>
          <w:color w:val="auto"/>
        </w:rPr>
      </w:pPr>
    </w:p>
    <w:p>
      <w:pPr>
        <w:ind w:firstLine="432"/>
        <w:spacing w:after="0" w:line="304" w:lineRule="auto"/>
        <w:rPr>
          <w:sz w:val="20"/>
          <w:szCs w:val="20"/>
          <w:color w:val="auto"/>
        </w:rPr>
      </w:pPr>
      <w:r>
        <w:rPr>
          <w:rFonts w:ascii="Arial" w:cs="Arial" w:eastAsia="Arial" w:hAnsi="Arial"/>
          <w:sz w:val="16"/>
          <w:szCs w:val="16"/>
          <w:color w:val="auto"/>
        </w:rPr>
        <w:t xml:space="preserve">We make significant efforts to maintain the security and integrity of our product source code and computer systems. There appears to be an increasing number of computer “hackers” developing and deploying a variety of destructive software programs (such as viruses, worms, and the like) that could attack our products and computer systems. Despite significant efforts to create security barriers to such programs, it is virtually impossible for us to entirely eliminate this risk. Like all software products, our software is vulnerable to such attacks. In the past, hackers have targeted our software and they may do so in the future. The impact of such an attack could disrupt the proper functioning of our software products, cause errors in the output of our customers' work, allow unauthorized access to sensitive, proprietary or confidential information of ours or our customers and other destructive outcomes. </w:t>
      </w:r>
      <w:r>
        <w:rPr>
          <w:rFonts w:ascii="Arial" w:cs="Arial" w:eastAsia="Arial" w:hAnsi="Arial"/>
          <w:sz w:val="17"/>
          <w:szCs w:val="17"/>
          <w:color w:val="auto"/>
        </w:rPr>
        <w:t>M</w:t>
      </w:r>
      <w:r>
        <w:rPr>
          <w:rFonts w:ascii="Arial" w:cs="Arial" w:eastAsia="Arial" w:hAnsi="Arial"/>
          <w:sz w:val="16"/>
          <w:szCs w:val="16"/>
          <w:color w:val="auto"/>
        </w:rPr>
        <w:t>oreover, as we continue to invest in new lines of consumer products and services we are exposed to increased security risks and the potential for unauthorized access to, or improper use of, the information of our consumer users. If any of the foregoing were to occur, our reputation may suffer, customers may stop buying our products, we could face lawsuits and potential liability and our financial performance could be negatively impacted.</w:t>
      </w:r>
    </w:p>
    <w:p>
      <w:pPr>
        <w:spacing w:after="0" w:line="15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certain of our customer services and other operations; any interruption or delay in service from these third parties, breaches of security or privacy, or failures in data collection could expose us to liability, harm our reputation and adversely impact our financial performance.</w:t>
      </w: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584" w:right="259" w:bottom="1440" w:gutter="0" w:footer="0" w:header="0"/>
        </w:sectPr>
      </w:pPr>
    </w:p>
    <w:bookmarkStart w:id="52" w:name="page53"/>
    <w:bookmarkEnd w:id="52"/>
    <w:p>
      <w:pPr>
        <w:ind w:right="20" w:firstLine="432"/>
        <w:spacing w:after="0" w:line="272" w:lineRule="auto"/>
        <w:rPr>
          <w:sz w:val="20"/>
          <w:szCs w:val="20"/>
          <w:color w:val="auto"/>
        </w:rPr>
      </w:pPr>
      <w:r>
        <w:rPr>
          <w:rFonts w:ascii="Arial" w:cs="Arial" w:eastAsia="Arial" w:hAnsi="Arial"/>
          <w:sz w:val="17"/>
          <w:szCs w:val="17"/>
          <w:color w:val="auto"/>
        </w:rPr>
        <w:t>Unauthorized access to this data may be obtained through break-ins, breach of our secure network by an unauthorized party, employee theft or misuse, or other misconduct. We rely on a number of third party suppliers in the operation of our business for the provision of various services and materials that we use in the operation of our business and production of our products. Although we seek to diversify our third 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we expect that software piracy will remain a persistent problem. Furthermore, our means of protecting our proprietary rights may not be adequate.</w:t>
      </w:r>
    </w:p>
    <w:p>
      <w:pPr>
        <w:spacing w:after="0" w:line="193"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our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further cause interest rates to decline, credit ratings of our investments to deteriorate, or illiquidity in the financial marketplace, we may continue to experience a decline in interest income, an inability to sell our investments, or impairment in the value of our investments.</w:t>
      </w:r>
    </w:p>
    <w:p>
      <w:pPr>
        <w:spacing w:after="0" w:line="18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interest income, or result in material charges, which in turn could impact our overall net income and earnings per share.</w:t>
      </w:r>
    </w:p>
    <w:p>
      <w:pPr>
        <w:spacing w:after="0" w:line="178"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If we were to experience a loss on any of our investments that loss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3" w:name="page54"/>
    <w:bookmarkEnd w:id="53"/>
    <w:p>
      <w:pPr>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 for our securities.</w:t>
      </w:r>
    </w:p>
    <w:p>
      <w:pPr>
        <w:spacing w:after="0" w:line="18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While outcomes of such actions vary,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While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8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60" w:firstLine="432"/>
        <w:spacing w:after="0" w:line="218" w:lineRule="exact"/>
        <w:rPr>
          <w:sz w:val="20"/>
          <w:szCs w:val="20"/>
          <w:color w:val="auto"/>
        </w:rPr>
      </w:pPr>
      <w:r>
        <w:rPr>
          <w:rFonts w:ascii="Arial" w:cs="Arial" w:eastAsia="Arial" w:hAnsi="Arial"/>
          <w:sz w:val="16"/>
          <w:szCs w:val="16"/>
          <w:color w:val="auto"/>
        </w:rPr>
        <w:t>While we have determined that our internal control over financial reporting was effective as of January 31, 2012, as indicated in our Management Report on Internal Control over Financial Reporting,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we must continue to monitor and assess our internal control over financial reporting. If our management identifies one or more material weaknesses in our internal control over financial reporting and such weakness remains uncorrected at fiscal year-end, we will be unable to assert such internal control is effective at fiscal year-end.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2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66"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84" w:right="259" w:bottom="1440" w:gutter="0" w:footer="0" w:header="0"/>
        </w:sectPr>
      </w:pPr>
    </w:p>
    <w:bookmarkStart w:id="54" w:name="page55"/>
    <w:bookmarkEnd w:id="54"/>
    <w:p>
      <w:pPr>
        <w:jc w:val="both"/>
        <w:ind w:right="180"/>
        <w:spacing w:after="0" w:line="264" w:lineRule="auto"/>
        <w:rPr>
          <w:sz w:val="20"/>
          <w:szCs w:val="20"/>
          <w:color w:val="auto"/>
        </w:rPr>
      </w:pPr>
      <w:r>
        <w:rPr>
          <w:rFonts w:ascii="Arial" w:cs="Arial" w:eastAsia="Arial" w:hAnsi="Arial"/>
          <w:sz w:val="18"/>
          <w:szCs w:val="18"/>
          <w:color w:val="auto"/>
        </w:rPr>
        <w:t>Principles (“GAAP”) under SEC regulations and those who are required to follow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the SEC has not yet made a determination regarding how or if IFRS will be incorporated into the financial reporting system for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companies. A change in accounting principles from GAAP to IFRS may have a material impact on the way in which we report financial results.</w:t>
      </w:r>
    </w:p>
    <w:p>
      <w:pPr>
        <w:spacing w:after="0" w:line="21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 sales models, we are currently unable to determine how these potential changes may impact our new models, particularly in the area of revenue recognition.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successfully challenged by tax authorities.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6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5" w:name="page56"/>
    <w:bookmarkEnd w:id="55"/>
    <w:p>
      <w:pPr>
        <w:ind w:right="42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17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rely on our network and data center infrastructure, internal technology systems and our websites for our development, marketing, operational, support, sales, accounting and financial reporting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October 31, 2012.</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84" w:right="259" w:bottom="1440" w:gutter="0" w:footer="0" w:header="0"/>
        </w:sectPr>
      </w:pPr>
    </w:p>
    <w:bookmarkStart w:id="56" w:name="page57"/>
    <w:bookmarkEnd w:id="56"/>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as part of this Form 10-Q.</w:t>
      </w:r>
    </w:p>
    <w:p>
      <w:pPr>
        <w:spacing w:after="0" w:line="200" w:lineRule="exact"/>
        <w:rPr>
          <w:sz w:val="20"/>
          <w:szCs w:val="20"/>
          <w:color w:val="auto"/>
        </w:rPr>
      </w:pPr>
    </w:p>
    <w:p>
      <w:pPr>
        <w:spacing w:after="0" w:line="219"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3"/>
          <w:szCs w:val="13"/>
          <w:b w:val="1"/>
          <w:bCs w:val="1"/>
          <w:u w:val="single" w:color="auto"/>
          <w:color w:val="auto"/>
        </w:rPr>
        <w:t>Description</w:t>
      </w:r>
    </w:p>
    <w:p>
      <w:pPr>
        <w:sectPr>
          <w:pgSz w:w="11900" w:h="16838" w:orient="portrait"/>
          <w:cols w:equalWidth="0" w:num="1">
            <w:col w:w="11380"/>
          </w:cols>
          <w:pgMar w:left="240" w:top="580" w:right="27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31.1</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Certification of Chief Executive Officer pursuant to Rule 13a-14(a) of the Securities Exchange Act of 1934</w:t>
      </w:r>
    </w:p>
    <w:p>
      <w:pPr>
        <w:spacing w:after="0" w:line="200" w:lineRule="exact"/>
        <w:rPr>
          <w:sz w:val="20"/>
          <w:szCs w:val="20"/>
          <w:color w:val="auto"/>
        </w:rPr>
      </w:pPr>
    </w:p>
    <w:p>
      <w:pPr>
        <w:sectPr>
          <w:pgSz w:w="11900" w:h="16838" w:orient="portrait"/>
          <w:cols w:equalWidth="0" w:num="2">
            <w:col w:w="580" w:space="720"/>
            <w:col w:w="10080"/>
          </w:cols>
          <w:pgMar w:left="240" w:top="580" w:right="279" w:bottom="144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31.2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Certification of Chief Financial Officer pursuant to Rule 13a-14(a) of the Securities Exchange Act of 1934</w:t>
      </w:r>
    </w:p>
    <w:p>
      <w:pPr>
        <w:spacing w:after="0" w:line="200" w:lineRule="exact"/>
        <w:rPr>
          <w:sz w:val="20"/>
          <w:szCs w:val="20"/>
          <w:color w:val="auto"/>
        </w:rPr>
      </w:pPr>
    </w:p>
    <w:p>
      <w:pPr>
        <w:sectPr>
          <w:pgSz w:w="11900" w:h="16838" w:orient="portrait"/>
          <w:cols w:equalWidth="0" w:num="2">
            <w:col w:w="580" w:space="720"/>
            <w:col w:w="10080"/>
          </w:cols>
          <w:pgMar w:left="240" w:top="580" w:right="279" w:bottom="144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32.1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Certification of Chief Executive Officer and Chief Financial Officer pursuant to 18 U.S.C. Section 1350, as adopted pursuant to Section 906 of the Sarbanes-Oxley Act of 2002</w:t>
      </w:r>
    </w:p>
    <w:p>
      <w:pPr>
        <w:spacing w:after="0" w:line="131" w:lineRule="exact"/>
        <w:rPr>
          <w:sz w:val="20"/>
          <w:szCs w:val="20"/>
          <w:color w:val="auto"/>
        </w:rPr>
      </w:pPr>
    </w:p>
    <w:p>
      <w:pPr>
        <w:sectPr>
          <w:pgSz w:w="11900" w:h="16838" w:orient="portrait"/>
          <w:cols w:equalWidth="0" w:num="2">
            <w:col w:w="580" w:space="720"/>
            <w:col w:w="1008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101.INS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XBRL Instance Document</w:t>
      </w:r>
    </w:p>
    <w:p>
      <w:pPr>
        <w:spacing w:after="0" w:line="200" w:lineRule="exact"/>
        <w:rPr>
          <w:sz w:val="20"/>
          <w:szCs w:val="20"/>
          <w:color w:val="auto"/>
        </w:rPr>
      </w:pPr>
    </w:p>
    <w:p>
      <w:pPr>
        <w:sectPr>
          <w:pgSz w:w="11900" w:h="16838" w:orient="portrait"/>
          <w:cols w:equalWidth="0" w:num="2">
            <w:col w:w="780" w:space="520"/>
            <w:col w:w="10080"/>
          </w:cols>
          <w:pgMar w:left="240" w:top="580" w:right="279" w:bottom="144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101.SCH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Schema</w:t>
      </w:r>
    </w:p>
    <w:p>
      <w:pPr>
        <w:spacing w:after="0" w:line="200" w:lineRule="exact"/>
        <w:rPr>
          <w:sz w:val="20"/>
          <w:szCs w:val="20"/>
          <w:color w:val="auto"/>
        </w:rPr>
      </w:pPr>
    </w:p>
    <w:p>
      <w:pPr>
        <w:sectPr>
          <w:pgSz w:w="11900" w:h="16838" w:orient="portrait"/>
          <w:cols w:equalWidth="0" w:num="2">
            <w:col w:w="840" w:space="460"/>
            <w:col w:w="10080"/>
          </w:cols>
          <w:pgMar w:left="240" w:top="580" w:right="279" w:bottom="144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101.CAL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Calculation Linkbase</w:t>
      </w:r>
    </w:p>
    <w:p>
      <w:pPr>
        <w:spacing w:after="0" w:line="211" w:lineRule="exact"/>
        <w:rPr>
          <w:sz w:val="20"/>
          <w:szCs w:val="20"/>
          <w:color w:val="auto"/>
        </w:rPr>
      </w:pPr>
    </w:p>
    <w:p>
      <w:pPr>
        <w:sectPr>
          <w:pgSz w:w="11900" w:h="16838" w:orient="portrait"/>
          <w:cols w:equalWidth="0" w:num="2">
            <w:col w:w="840" w:space="460"/>
            <w:col w:w="10080"/>
          </w:cols>
          <w:pgMar w:left="240" w:top="580" w:right="279" w:bottom="1440" w:gutter="0" w:footer="0" w:header="0"/>
          <w:type w:val="continuous"/>
        </w:sectPr>
      </w:pP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101.DEF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XBRL Taxonomy Definition Linkbase</w:t>
      </w:r>
    </w:p>
    <w:p>
      <w:pPr>
        <w:spacing w:after="0" w:line="200" w:lineRule="exact"/>
        <w:rPr>
          <w:sz w:val="20"/>
          <w:szCs w:val="20"/>
          <w:color w:val="auto"/>
        </w:rPr>
      </w:pPr>
    </w:p>
    <w:p>
      <w:pPr>
        <w:sectPr>
          <w:pgSz w:w="11900" w:h="16838" w:orient="portrait"/>
          <w:cols w:equalWidth="0" w:num="2">
            <w:col w:w="820" w:space="480"/>
            <w:col w:w="10080"/>
          </w:cols>
          <w:pgMar w:left="240" w:top="580" w:right="279" w:bottom="1440" w:gutter="0" w:footer="0" w:header="0"/>
          <w:type w:val="continuous"/>
        </w:sectPr>
      </w:pPr>
    </w:p>
    <w:p>
      <w:pPr>
        <w:spacing w:after="0" w:line="19"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101.LAB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XBRL Taxonomy Extension Label Linkbase</w:t>
      </w:r>
    </w:p>
    <w:p>
      <w:pPr>
        <w:spacing w:after="0" w:line="211" w:lineRule="exact"/>
        <w:rPr>
          <w:sz w:val="20"/>
          <w:szCs w:val="20"/>
          <w:color w:val="auto"/>
        </w:rPr>
      </w:pPr>
    </w:p>
    <w:p>
      <w:pPr>
        <w:sectPr>
          <w:pgSz w:w="11900" w:h="16838" w:orient="portrait"/>
          <w:cols w:equalWidth="0" w:num="2">
            <w:col w:w="840" w:space="460"/>
            <w:col w:w="10080"/>
          </w:cols>
          <w:pgMar w:left="240" w:top="580" w:right="279" w:bottom="1440" w:gutter="0" w:footer="0" w:header="0"/>
          <w:type w:val="continuous"/>
        </w:sectPr>
      </w:pP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101.PRE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XBRL Taxonomy Extension Presentation Linkbase</w:t>
      </w:r>
    </w:p>
    <w:p>
      <w:pPr>
        <w:spacing w:after="0" w:line="200" w:lineRule="exact"/>
        <w:rPr>
          <w:sz w:val="20"/>
          <w:szCs w:val="20"/>
          <w:color w:val="auto"/>
        </w:rPr>
      </w:pPr>
    </w:p>
    <w:p>
      <w:pPr>
        <w:sectPr>
          <w:pgSz w:w="11900" w:h="16838" w:orient="portrait"/>
          <w:cols w:equalWidth="0" w:num="2">
            <w:col w:w="820" w:space="480"/>
            <w:col w:w="10080"/>
          </w:cols>
          <w:pgMar w:left="240" w:top="580" w:right="279" w:bottom="1440" w:gutter="0" w:footer="0" w:header="0"/>
          <w:type w:val="continuous"/>
        </w:sectPr>
      </w:pPr>
    </w:p>
    <w:p>
      <w:pPr>
        <w:spacing w:after="0" w:line="44" w:lineRule="exact"/>
        <w:rPr>
          <w:sz w:val="20"/>
          <w:szCs w:val="20"/>
          <w:color w:val="auto"/>
        </w:rPr>
      </w:pPr>
    </w:p>
    <w:p>
      <w:pPr>
        <w:ind w:left="720" w:hanging="685"/>
        <w:spacing w:after="0" w:line="335" w:lineRule="auto"/>
        <w:tabs>
          <w:tab w:leader="none" w:pos="7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8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57</w:t>
      </w:r>
    </w:p>
    <w:p>
      <w:pPr>
        <w:sectPr>
          <w:pgSz w:w="11900" w:h="16838" w:orient="portrait"/>
          <w:cols w:equalWidth="0" w:num="1">
            <w:col w:w="11380"/>
          </w:cols>
          <w:pgMar w:left="240" w:top="580" w:right="279" w:bottom="1440" w:gutter="0" w:footer="0" w:header="0"/>
          <w:type w:val="continuous"/>
        </w:sectPr>
      </w:pPr>
    </w:p>
    <w:bookmarkStart w:id="57" w:name="page58"/>
    <w:bookmarkEnd w:id="57"/>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4, 2012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7500"/>
        <w:spacing w:after="0"/>
        <w:tabs>
          <w:tab w:leader="none" w:pos="78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MARK J.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Mark J. Hawkins</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720"/>
          </w:cols>
          <w:pgMar w:left="240" w:top="580" w:right="9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17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2012</w:t>
      </w:r>
    </w:p>
    <w:p>
      <w:pPr>
        <w:spacing w:after="0" w:line="25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918"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17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2012</w:t>
      </w:r>
    </w:p>
    <w:p>
      <w:pPr>
        <w:spacing w:after="0" w:line="252"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31750</wp:posOffset>
            </wp:positionV>
            <wp:extent cx="39535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6"/>
          <w:szCs w:val="16"/>
          <w:b w:val="1"/>
          <w:bCs w:val="1"/>
          <w:color w:val="auto"/>
        </w:rPr>
        <w:t>Mark J. Hawkins</w:t>
      </w:r>
    </w:p>
    <w:p>
      <w:pPr>
        <w:spacing w:after="0" w:line="73" w:lineRule="exact"/>
        <w:rPr>
          <w:sz w:val="20"/>
          <w:szCs w:val="20"/>
          <w:color w:val="auto"/>
        </w:rPr>
      </w:pPr>
    </w:p>
    <w:p>
      <w:pPr>
        <w:ind w:left="648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26" w:lineRule="exact"/>
        <w:rPr>
          <w:sz w:val="20"/>
          <w:szCs w:val="20"/>
          <w:color w:val="auto"/>
        </w:rPr>
      </w:pPr>
    </w:p>
    <w:p>
      <w:pPr>
        <w:ind w:left="6140"/>
        <w:spacing w:after="0"/>
        <w:rPr>
          <w:sz w:val="20"/>
          <w:szCs w:val="20"/>
          <w:color w:val="auto"/>
        </w:rPr>
      </w:pPr>
      <w:r>
        <w:rPr>
          <w:rFonts w:ascii="Arial" w:cs="Arial" w:eastAsia="Arial" w:hAnsi="Arial"/>
          <w:sz w:val="16"/>
          <w:szCs w:val="16"/>
          <w:b w:val="1"/>
          <w:bCs w:val="1"/>
          <w:color w:val="auto"/>
        </w:rPr>
        <w:t>(Principal Financial Officer and Principal Accounting Officer)</w:t>
      </w:r>
    </w:p>
    <w:p>
      <w:pPr>
        <w:sectPr>
          <w:pgSz w:w="11900" w:h="16838" w:orient="portrait"/>
          <w:cols w:equalWidth="0" w:num="1">
            <w:col w:w="11420"/>
          </w:cols>
          <w:pgMar w:left="240" w:top="66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October 31, 2012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4, 2012</w:t>
      </w:r>
    </w:p>
    <w:p>
      <w:pPr>
        <w:spacing w:after="0" w:line="25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Based on my knowledge, I, Mark J. Hawkins, certify, pursuant to 18 U.S.C. Section 1350, as adopted pursuant to Section 906 of the Sarbanes-Oxley Act of 2002, that the Quarterly Report of Autodesk, Inc. on Form 10-Q for the quarterly period ended October 31, 2012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4, 2012</w:t>
      </w:r>
    </w:p>
    <w:p>
      <w:pPr>
        <w:spacing w:after="0" w:line="252" w:lineRule="exact"/>
        <w:rPr>
          <w:sz w:val="20"/>
          <w:szCs w:val="20"/>
          <w:color w:val="auto"/>
        </w:rPr>
      </w:pPr>
    </w:p>
    <w:p>
      <w:pPr>
        <w:jc w:val="center"/>
        <w:ind w:left="508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31750</wp:posOffset>
            </wp:positionV>
            <wp:extent cx="40220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57" w:lineRule="exact"/>
        <w:rPr>
          <w:sz w:val="20"/>
          <w:szCs w:val="20"/>
          <w:color w:val="auto"/>
        </w:rPr>
      </w:pPr>
    </w:p>
    <w:p>
      <w:pPr>
        <w:jc w:val="center"/>
        <w:ind w:left="5080"/>
        <w:spacing w:after="0"/>
        <w:rPr>
          <w:sz w:val="20"/>
          <w:szCs w:val="20"/>
          <w:color w:val="auto"/>
        </w:rPr>
      </w:pPr>
      <w:r>
        <w:rPr>
          <w:rFonts w:ascii="Arial" w:cs="Arial" w:eastAsia="Arial" w:hAnsi="Arial"/>
          <w:sz w:val="16"/>
          <w:szCs w:val="16"/>
          <w:b w:val="1"/>
          <w:bCs w:val="1"/>
          <w:color w:val="auto"/>
        </w:rPr>
        <w:t>Mark J. Hawkins</w:t>
      </w:r>
    </w:p>
    <w:p>
      <w:pPr>
        <w:spacing w:after="0" w:line="86" w:lineRule="exact"/>
        <w:rPr>
          <w:sz w:val="20"/>
          <w:szCs w:val="20"/>
          <w:color w:val="auto"/>
        </w:rPr>
      </w:pPr>
    </w:p>
    <w:p>
      <w:pPr>
        <w:jc w:val="center"/>
        <w:ind w:left="508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86" w:lineRule="exact"/>
        <w:rPr>
          <w:sz w:val="20"/>
          <w:szCs w:val="20"/>
          <w:color w:val="auto"/>
        </w:rPr>
      </w:pPr>
    </w:p>
    <w:p>
      <w:pPr>
        <w:jc w:val="center"/>
        <w:ind w:left="5080"/>
        <w:spacing w:after="0"/>
        <w:rPr>
          <w:sz w:val="20"/>
          <w:szCs w:val="20"/>
          <w:color w:val="auto"/>
        </w:rPr>
      </w:pPr>
      <w:r>
        <w:rPr>
          <w:rFonts w:ascii="Arial" w:cs="Arial" w:eastAsia="Arial" w:hAnsi="Arial"/>
          <w:sz w:val="16"/>
          <w:szCs w:val="16"/>
          <w:b w:val="1"/>
          <w:bCs w:val="1"/>
          <w:color w:val="auto"/>
        </w:rPr>
        <w:t>(Principal Financial Officer and Principal Accounting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5"/>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lowerRoman"/>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5"/>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2019-12-09T07:55:26Z</dcterms:created>
  <dcterms:modified xsi:type="dcterms:W3CDTF">2019-12-09T07:55:26Z</dcterms:modified>
</cp:coreProperties>
</file>