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July 31, 2018</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-1715770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jc w:val="both"/>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740" w:type="dxa"/>
            <w:vAlign w:val="bottom"/>
          </w:tcPr>
          <w:p>
            <w:pPr>
              <w:ind w:left="340"/>
              <w:spacing w:after="0"/>
              <w:rPr>
                <w:sz w:val="20"/>
                <w:szCs w:val="20"/>
                <w:color w:val="auto"/>
              </w:rPr>
            </w:pPr>
            <w:r>
              <w:rPr>
                <w:rFonts w:ascii="Arial" w:cs="Arial" w:eastAsia="Arial" w:hAnsi="Arial"/>
                <w:sz w:val="18"/>
                <w:szCs w:val="18"/>
                <w:color w:val="auto"/>
              </w:rPr>
              <w:t>x</w:t>
            </w:r>
          </w:p>
        </w:tc>
        <w:tc>
          <w:tcPr>
            <w:tcW w:w="528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9"/>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Arial" w:cs="Arial" w:eastAsia="Arial" w:hAnsi="Arial"/>
                <w:sz w:val="18"/>
                <w:szCs w:val="18"/>
                <w:color w:val="auto"/>
              </w:rPr>
              <w:t>Emerging growth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ind w:right="220" w:firstLine="432"/>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40" w:right="1800"/>
        <w:spacing w:after="0" w:line="238"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Arial" w:cs="Arial" w:eastAsia="Arial" w:hAnsi="Arial"/>
          <w:sz w:val="21"/>
          <w:szCs w:val="21"/>
          <w:color w:val="auto"/>
        </w:rPr>
        <w:t>x</w:t>
      </w:r>
      <w:r>
        <w:rPr>
          <w:rFonts w:ascii="Arial" w:cs="Arial" w:eastAsia="Arial" w:hAnsi="Arial"/>
          <w:sz w:val="18"/>
          <w:szCs w:val="18"/>
          <w:color w:val="auto"/>
        </w:rPr>
        <w:t xml:space="preserve"> As of August 24, 2018, registrant had outstanding 218,616,633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80" w:type="dxa"/>
            <w:vAlign w:val="bottom"/>
            <w:tcBorders>
              <w:bottom w:val="single" w:sz="8" w:color="0000FF"/>
            </w:tcBorders>
            <w:gridSpan w:val="6"/>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2960" w:type="dxa"/>
            <w:vAlign w:val="bottom"/>
            <w:gridSpan w:val="5"/>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980" w:type="dxa"/>
            <w:vAlign w:val="bottom"/>
            <w:gridSpan w:val="21"/>
          </w:tcPr>
          <w:p>
            <w:pPr>
              <w:spacing w:after="0"/>
              <w:rPr>
                <w:rFonts w:ascii="Arial" w:cs="Arial" w:eastAsia="Arial" w:hAnsi="Arial"/>
                <w:sz w:val="18"/>
                <w:szCs w:val="18"/>
                <w:b w:val="1"/>
                <w:bCs w:val="1"/>
                <w:color w:val="0000FF"/>
              </w:rPr>
            </w:pPr>
            <w:r>
              <w:rPr>
                <w:rFonts w:ascii="Arial" w:cs="Arial" w:eastAsia="Arial" w:hAnsi="Arial"/>
                <w:sz w:val="18"/>
                <w:szCs w:val="18"/>
                <w:b w:val="1"/>
                <w:bCs w:val="1"/>
                <w:color w:val="0000FF"/>
              </w:rPr>
              <w:t xml:space="preserve">Unaudited </w:t>
            </w: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0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and Six Months Ended July 31, 2018 and 2017</w:t>
              </w:r>
            </w:hyperlink>
          </w:p>
        </w:tc>
        <w:tc>
          <w:tcPr>
            <w:tcW w:w="92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8980" w:type="dxa"/>
            <w:vAlign w:val="bottom"/>
            <w:gridSpan w:val="21"/>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Comprehensive Loss for the Three and Six Months Ended July 31, 2018 and 2017</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372"/>
        </w:trPr>
        <w:tc>
          <w:tcPr>
            <w:tcW w:w="920" w:type="dxa"/>
            <w:vAlign w:val="bottom"/>
          </w:tcPr>
          <w:p>
            <w:pPr>
              <w:spacing w:after="0"/>
              <w:rPr>
                <w:sz w:val="24"/>
                <w:szCs w:val="24"/>
                <w:color w:val="auto"/>
              </w:rPr>
            </w:pPr>
          </w:p>
        </w:tc>
        <w:tc>
          <w:tcPr>
            <w:tcW w:w="8780" w:type="dxa"/>
            <w:vAlign w:val="bottom"/>
            <w:tcBorders>
              <w:top w:val="single" w:sz="8" w:color="0000EE"/>
            </w:tcBorders>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July 31, 2018 and January 31, 2018</w:t>
              </w:r>
            </w:hyperlink>
          </w:p>
        </w:tc>
        <w:tc>
          <w:tcPr>
            <w:tcW w:w="2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July 31, 2018 and 2017</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372"/>
        </w:trPr>
        <w:tc>
          <w:tcPr>
            <w:tcW w:w="920" w:type="dxa"/>
            <w:vAlign w:val="bottom"/>
          </w:tcPr>
          <w:p>
            <w:pPr>
              <w:spacing w:after="0"/>
              <w:rPr>
                <w:sz w:val="24"/>
                <w:szCs w:val="24"/>
                <w:color w:val="auto"/>
              </w:rPr>
            </w:pPr>
          </w:p>
        </w:tc>
        <w:tc>
          <w:tcPr>
            <w:tcW w:w="7340" w:type="dxa"/>
            <w:vAlign w:val="bottom"/>
            <w:tcBorders>
              <w:top w:val="single" w:sz="8" w:color="0000EE"/>
            </w:tcBorders>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64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1"/>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7"/>
          </w:tcPr>
          <w:p>
            <w:pPr>
              <w:spacing w:after="0"/>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Quantitative and Qualitative Disclosures About Market Risk</w:t>
              </w:r>
            </w:hyperlink>
          </w:p>
        </w:tc>
        <w:tc>
          <w:tcPr>
            <w:tcW w:w="21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4"/>
          </w:tcPr>
          <w:p>
            <w:pPr>
              <w:spacing w:after="0"/>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Controls and Procedures</w:t>
              </w:r>
            </w:hyperlink>
          </w:p>
        </w:tc>
        <w:tc>
          <w:tcPr>
            <w:tcW w:w="43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372"/>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40" w:type="dxa"/>
            <w:vAlign w:val="bottom"/>
            <w:gridSpan w:val="11"/>
          </w:tcPr>
          <w:p>
            <w:pPr>
              <w:jc w:val="center"/>
              <w:ind w:right="2960"/>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4"/>
          </w:tcPr>
          <w:p>
            <w:pPr>
              <w:spacing w:after="0"/>
              <w:rPr>
                <w:rFonts w:ascii="Arial" w:cs="Arial" w:eastAsia="Arial" w:hAnsi="Arial"/>
                <w:sz w:val="18"/>
                <w:szCs w:val="18"/>
                <w:b w:val="1"/>
                <w:bCs w:val="1"/>
                <w:color w:val="0000FF"/>
                <w:w w:val="86"/>
              </w:rPr>
            </w:pPr>
            <w:hyperlink w:anchor="page57">
              <w:r>
                <w:rPr>
                  <w:rFonts w:ascii="Arial" w:cs="Arial" w:eastAsia="Arial" w:hAnsi="Arial"/>
                  <w:sz w:val="18"/>
                  <w:szCs w:val="18"/>
                  <w:b w:val="1"/>
                  <w:bCs w:val="1"/>
                  <w:color w:val="0000FF"/>
                  <w:w w:val="86"/>
                </w:rPr>
                <w:t>Legal Proceedings</w:t>
              </w:r>
            </w:hyperlink>
          </w:p>
        </w:tc>
        <w:tc>
          <w:tcPr>
            <w:tcW w:w="1700" w:type="dxa"/>
            <w:vAlign w:val="bottom"/>
            <w:gridSpan w:val="7"/>
          </w:tcPr>
          <w:p>
            <w:pPr>
              <w:spacing w:after="0"/>
              <w:rPr>
                <w:sz w:val="24"/>
                <w:szCs w:val="24"/>
                <w:color w:val="auto"/>
              </w:rPr>
            </w:pPr>
          </w:p>
        </w:tc>
        <w:tc>
          <w:tcPr>
            <w:tcW w:w="2820" w:type="dxa"/>
            <w:vAlign w:val="bottom"/>
            <w:tcBorders>
              <w:top w:val="single" w:sz="8" w:color="0000FF"/>
            </w:tcBorders>
            <w:gridSpan w:val="4"/>
          </w:tcPr>
          <w:p>
            <w:pPr>
              <w:spacing w:after="0"/>
              <w:rPr>
                <w:sz w:val="24"/>
                <w:szCs w:val="24"/>
                <w:color w:val="auto"/>
              </w:rPr>
            </w:pPr>
          </w:p>
        </w:tc>
        <w:tc>
          <w:tcPr>
            <w:tcW w:w="306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4"/>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Risk Factors</w:t>
              </w:r>
            </w:hyperlink>
          </w:p>
        </w:tc>
        <w:tc>
          <w:tcPr>
            <w:tcW w:w="758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1"/>
          </w:tcPr>
          <w:p>
            <w:pPr>
              <w:spacing w:after="0"/>
              <w:rPr>
                <w:rFonts w:ascii="Arial" w:cs="Arial" w:eastAsia="Arial" w:hAnsi="Arial"/>
                <w:sz w:val="18"/>
                <w:szCs w:val="18"/>
                <w:b w:val="1"/>
                <w:bCs w:val="1"/>
                <w:color w:val="0000FF"/>
              </w:rPr>
            </w:pPr>
            <w:hyperlink w:anchor="page72">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72">
              <w:r>
                <w:rPr>
                  <w:rFonts w:ascii="Arial" w:cs="Arial" w:eastAsia="Arial" w:hAnsi="Arial"/>
                  <w:sz w:val="18"/>
                  <w:szCs w:val="18"/>
                  <w:color w:val="0000FF"/>
                </w:rPr>
                <w:t>72</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8"/>
          </w:tcPr>
          <w:p>
            <w:pPr>
              <w:spacing w:after="0"/>
              <w:rPr>
                <w:rFonts w:ascii="Arial" w:cs="Arial" w:eastAsia="Arial" w:hAnsi="Arial"/>
                <w:sz w:val="18"/>
                <w:szCs w:val="18"/>
                <w:b w:val="1"/>
                <w:bCs w:val="1"/>
                <w:color w:val="0000FF"/>
                <w:w w:val="88"/>
              </w:rPr>
            </w:pPr>
            <w:hyperlink w:anchor="page73">
              <w:r>
                <w:rPr>
                  <w:rFonts w:ascii="Arial" w:cs="Arial" w:eastAsia="Arial" w:hAnsi="Arial"/>
                  <w:sz w:val="18"/>
                  <w:szCs w:val="18"/>
                  <w:b w:val="1"/>
                  <w:bCs w:val="1"/>
                  <w:color w:val="0000FF"/>
                  <w:w w:val="88"/>
                </w:rPr>
                <w:t>Defaults Upon Senior Securities</w:t>
              </w:r>
            </w:hyperlink>
          </w:p>
        </w:tc>
        <w:tc>
          <w:tcPr>
            <w:tcW w:w="2120" w:type="dxa"/>
            <w:vAlign w:val="bottom"/>
            <w:gridSpan w:val="5"/>
          </w:tcPr>
          <w:p>
            <w:pPr>
              <w:spacing w:after="0"/>
              <w:rPr>
                <w:sz w:val="24"/>
                <w:szCs w:val="24"/>
                <w:color w:val="auto"/>
              </w:rPr>
            </w:pPr>
          </w:p>
        </w:tc>
        <w:tc>
          <w:tcPr>
            <w:tcW w:w="442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73">
              <w:r>
                <w:rPr>
                  <w:rFonts w:ascii="Arial" w:cs="Arial" w:eastAsia="Arial" w:hAnsi="Arial"/>
                  <w:sz w:val="18"/>
                  <w:szCs w:val="18"/>
                  <w:color w:val="0000FF"/>
                </w:rPr>
                <w:t>73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40" w:type="dxa"/>
            <w:vAlign w:val="bottom"/>
            <w:gridSpan w:val="8"/>
          </w:tcPr>
          <w:p>
            <w:pPr>
              <w:spacing w:after="0"/>
              <w:rPr>
                <w:rFonts w:ascii="Arial" w:cs="Arial" w:eastAsia="Arial" w:hAnsi="Arial"/>
                <w:sz w:val="18"/>
                <w:szCs w:val="18"/>
                <w:b w:val="1"/>
                <w:bCs w:val="1"/>
                <w:color w:val="0000FF"/>
              </w:rPr>
            </w:pPr>
            <w:hyperlink w:anchor="page73">
              <w:r>
                <w:rPr>
                  <w:rFonts w:ascii="Arial" w:cs="Arial" w:eastAsia="Arial" w:hAnsi="Arial"/>
                  <w:sz w:val="18"/>
                  <w:szCs w:val="18"/>
                  <w:b w:val="1"/>
                  <w:bCs w:val="1"/>
                  <w:color w:val="0000FF"/>
                </w:rPr>
                <w:t>Mine Safety Disclosures</w:t>
              </w:r>
            </w:hyperlink>
          </w:p>
        </w:tc>
        <w:tc>
          <w:tcPr>
            <w:tcW w:w="654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73">
              <w:r>
                <w:rPr>
                  <w:rFonts w:ascii="Arial" w:cs="Arial" w:eastAsia="Arial" w:hAnsi="Arial"/>
                  <w:sz w:val="18"/>
                  <w:szCs w:val="18"/>
                  <w:color w:val="0000FF"/>
                </w:rPr>
                <w:t>73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5"/>
          </w:tcPr>
          <w:p>
            <w:pPr>
              <w:spacing w:after="0"/>
              <w:rPr>
                <w:rFonts w:ascii="Arial" w:cs="Arial" w:eastAsia="Arial" w:hAnsi="Arial"/>
                <w:sz w:val="18"/>
                <w:szCs w:val="18"/>
                <w:b w:val="1"/>
                <w:bCs w:val="1"/>
                <w:color w:val="0000FF"/>
                <w:w w:val="93"/>
              </w:rPr>
            </w:pPr>
            <w:hyperlink w:anchor="page73">
              <w:r>
                <w:rPr>
                  <w:rFonts w:ascii="Arial" w:cs="Arial" w:eastAsia="Arial" w:hAnsi="Arial"/>
                  <w:sz w:val="18"/>
                  <w:szCs w:val="18"/>
                  <w:b w:val="1"/>
                  <w:bCs w:val="1"/>
                  <w:color w:val="0000FF"/>
                  <w:w w:val="93"/>
                </w:rPr>
                <w:t>Other Information</w:t>
              </w:r>
            </w:hyperlink>
          </w:p>
        </w:tc>
        <w:tc>
          <w:tcPr>
            <w:tcW w:w="380" w:type="dxa"/>
            <w:vAlign w:val="bottom"/>
          </w:tcPr>
          <w:p>
            <w:pPr>
              <w:spacing w:after="0"/>
              <w:rPr>
                <w:sz w:val="24"/>
                <w:szCs w:val="24"/>
                <w:color w:val="auto"/>
              </w:rPr>
            </w:pPr>
          </w:p>
        </w:tc>
        <w:tc>
          <w:tcPr>
            <w:tcW w:w="716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73">
              <w:r>
                <w:rPr>
                  <w:rFonts w:ascii="Arial" w:cs="Arial" w:eastAsia="Arial" w:hAnsi="Arial"/>
                  <w:sz w:val="18"/>
                  <w:szCs w:val="18"/>
                  <w:color w:val="0000FF"/>
                </w:rPr>
                <w:t>73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540" w:type="dxa"/>
            <w:vAlign w:val="bottom"/>
            <w:gridSpan w:val="1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74">
              <w:r>
                <w:rPr>
                  <w:rFonts w:ascii="Arial" w:cs="Arial" w:eastAsia="Arial" w:hAnsi="Arial"/>
                  <w:sz w:val="18"/>
                  <w:szCs w:val="18"/>
                  <w:b w:val="1"/>
                  <w:bCs w:val="1"/>
                  <w:color w:val="0000FF"/>
                  <w:w w:val="88"/>
                </w:rPr>
                <w:t>Exhibits</w:t>
              </w:r>
            </w:hyperlink>
          </w:p>
        </w:tc>
        <w:tc>
          <w:tcPr>
            <w:tcW w:w="800" w:type="dxa"/>
            <w:vAlign w:val="bottom"/>
            <w:gridSpan w:val="4"/>
          </w:tcPr>
          <w:p>
            <w:pPr>
              <w:spacing w:after="0"/>
              <w:rPr>
                <w:sz w:val="24"/>
                <w:szCs w:val="24"/>
                <w:color w:val="auto"/>
              </w:rPr>
            </w:pPr>
          </w:p>
        </w:tc>
        <w:tc>
          <w:tcPr>
            <w:tcW w:w="7540" w:type="dxa"/>
            <w:vAlign w:val="bottom"/>
            <w:gridSpan w:val="1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60" w:type="dxa"/>
            <w:vAlign w:val="bottom"/>
            <w:gridSpan w:val="1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0" w:type="dxa"/>
            <w:vAlign w:val="bottom"/>
            <w:gridSpan w:val="2"/>
          </w:tcPr>
          <w:p>
            <w:pPr>
              <w:spacing w:after="0"/>
              <w:rPr>
                <w:rFonts w:ascii="Arial" w:cs="Arial" w:eastAsia="Arial" w:hAnsi="Arial"/>
                <w:sz w:val="18"/>
                <w:szCs w:val="18"/>
                <w:b w:val="1"/>
                <w:bCs w:val="1"/>
                <w:color w:val="0000FF"/>
                <w:w w:val="85"/>
              </w:rPr>
            </w:pPr>
            <w:hyperlink w:anchor="page75">
              <w:r>
                <w:rPr>
                  <w:rFonts w:ascii="Arial" w:cs="Arial" w:eastAsia="Arial" w:hAnsi="Arial"/>
                  <w:sz w:val="18"/>
                  <w:szCs w:val="18"/>
                  <w:b w:val="1"/>
                  <w:bCs w:val="1"/>
                  <w:color w:val="0000FF"/>
                  <w:w w:val="85"/>
                </w:rPr>
                <w:t>Signatures</w:t>
              </w:r>
            </w:hyperlink>
          </w:p>
        </w:tc>
        <w:tc>
          <w:tcPr>
            <w:tcW w:w="8160" w:type="dxa"/>
            <w:vAlign w:val="bottom"/>
            <w:gridSpan w:val="1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76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16"/>
                <w:szCs w:val="16"/>
                <w:color w:val="auto"/>
              </w:rPr>
            </w:pPr>
          </w:p>
        </w:tc>
        <w:tc>
          <w:tcPr>
            <w:tcW w:w="230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0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420.6</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196.1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771.0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166.4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525.4</w:t>
            </w:r>
          </w:p>
        </w:tc>
        <w:tc>
          <w:tcPr>
            <w:tcW w:w="0" w:type="dxa"/>
            <w:vAlign w:val="bottom"/>
          </w:tcPr>
          <w:p>
            <w:pPr>
              <w:spacing w:after="0"/>
              <w:rPr>
                <w:sz w:val="1"/>
                <w:szCs w:val="1"/>
                <w:color w:val="auto"/>
              </w:rPr>
            </w:pPr>
          </w:p>
        </w:tc>
      </w:tr>
      <w:tr>
        <w:trPr>
          <w:trHeight w:val="217"/>
        </w:trPr>
        <w:tc>
          <w:tcPr>
            <w:tcW w:w="6060" w:type="dxa"/>
            <w:vAlign w:val="bottom"/>
          </w:tcPr>
          <w:p>
            <w:pPr>
              <w:ind w:left="540"/>
              <w:spacing w:after="0"/>
              <w:rPr>
                <w:sz w:val="20"/>
                <w:szCs w:val="20"/>
                <w:color w:val="auto"/>
              </w:rPr>
            </w:pPr>
            <w:r>
              <w:rPr>
                <w:rFonts w:ascii="Arial" w:cs="Arial" w:eastAsia="Arial" w:hAnsi="Arial"/>
                <w:sz w:val="16"/>
                <w:szCs w:val="16"/>
                <w:color w:val="auto"/>
              </w:rPr>
              <w:t>Total subscription and maintenance revenue</w:t>
            </w:r>
          </w:p>
        </w:tc>
        <w:tc>
          <w:tcPr>
            <w:tcW w:w="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587.0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457.9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1,118.6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894.9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(1)</w:t>
            </w:r>
          </w:p>
        </w:tc>
        <w:tc>
          <w:tcPr>
            <w:tcW w:w="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611.7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501.8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1,171.6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987.5</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7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Cost of subscription and maintenance revenue</w:t>
            </w:r>
          </w:p>
        </w:tc>
        <w:tc>
          <w:tcPr>
            <w:tcW w:w="7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other revenue (2)</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Amortization of developed technology</w:t>
            </w:r>
          </w:p>
        </w:tc>
        <w:tc>
          <w:tcPr>
            <w:tcW w:w="7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541.9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427.2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1,035.0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834.7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7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289.1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565.5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513.3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180.8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381.5</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7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156.3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7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566.6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1,061.9</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 net</w:t>
            </w:r>
          </w:p>
        </w:tc>
        <w:tc>
          <w:tcPr>
            <w:tcW w:w="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Net loss</w:t>
            </w:r>
          </w:p>
        </w:tc>
        <w:tc>
          <w:tcPr>
            <w:tcW w:w="780" w:type="dxa"/>
            <w:vAlign w:val="bottom"/>
            <w:tcBorders>
              <w:top w:val="single" w:sz="8" w:color="auto"/>
            </w:tcBorders>
          </w:tcPr>
          <w:p>
            <w:pPr>
              <w:jc w:val="right"/>
              <w:ind w:right="60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(121.8)</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(273.6)</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per share</w:t>
            </w:r>
          </w:p>
        </w:tc>
        <w:tc>
          <w:tcPr>
            <w:tcW w:w="78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per share</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loss per share</w:t>
            </w:r>
          </w:p>
        </w:tc>
        <w:tc>
          <w:tcPr>
            <w:tcW w:w="7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219.0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loss per share</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219.0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219.5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218.8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33"/>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Previously labeled as "License and other" in prior periods.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Previously labeled as "Cost of license and other revenue" in prior periods.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76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16"/>
                <w:szCs w:val="16"/>
                <w:color w:val="auto"/>
              </w:rPr>
            </w:pPr>
          </w:p>
        </w:tc>
        <w:tc>
          <w:tcPr>
            <w:tcW w:w="23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606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800" w:type="dxa"/>
            <w:vAlign w:val="bottom"/>
            <w:tcBorders>
              <w:bottom w:val="single" w:sz="8" w:color="CCEEFF"/>
            </w:tcBorders>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comprehensive (loss) income, net of reclassifications:</w:t>
            </w: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6"/>
              </w:rPr>
              <w:t>Net gain (loss) on derivative instruments (net of tax effect of ($1.1), $0.9, ($1.8), and</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$1.4, respectively)</w:t>
            </w: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20"/>
        </w:trPr>
        <w:tc>
          <w:tcPr>
            <w:tcW w:w="6060" w:type="dxa"/>
            <w:vAlign w:val="bottom"/>
          </w:tcPr>
          <w:p>
            <w:pPr>
              <w:ind w:left="280"/>
              <w:spacing w:after="0"/>
              <w:rPr>
                <w:sz w:val="20"/>
                <w:szCs w:val="20"/>
                <w:color w:val="auto"/>
              </w:rPr>
            </w:pPr>
            <w:r>
              <w:rPr>
                <w:rFonts w:ascii="Arial" w:cs="Arial" w:eastAsia="Arial" w:hAnsi="Arial"/>
                <w:sz w:val="16"/>
                <w:szCs w:val="16"/>
                <w:color w:val="auto"/>
                <w:w w:val="97"/>
              </w:rPr>
              <w:t>Change in net unrealized (loss) gain on available-for-sale debt securities (net of tax</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6060" w:type="dxa"/>
            <w:vAlign w:val="bottom"/>
          </w:tcPr>
          <w:p>
            <w:pPr>
              <w:ind w:left="600"/>
              <w:spacing w:after="0"/>
              <w:rPr>
                <w:sz w:val="20"/>
                <w:szCs w:val="20"/>
                <w:color w:val="auto"/>
              </w:rPr>
            </w:pPr>
            <w:r>
              <w:rPr>
                <w:rFonts w:ascii="Arial" w:cs="Arial" w:eastAsia="Arial" w:hAnsi="Arial"/>
                <w:sz w:val="16"/>
                <w:szCs w:val="16"/>
                <w:color w:val="auto"/>
              </w:rPr>
              <w:t>effect of $(0.1), $0.4, $0.0 and $0.1, respectively)</w:t>
            </w: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0.2</w:t>
            </w:r>
          </w:p>
        </w:tc>
      </w:tr>
      <w:tr>
        <w:trPr>
          <w:trHeight w:val="33"/>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7"/>
              </w:rPr>
              <w:t>Change in defined benefit pension items (net of tax effect of ($0.1), $0.0, ($1.5) and</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$0.0, respectively)</w:t>
            </w: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20"/>
        </w:trPr>
        <w:tc>
          <w:tcPr>
            <w:tcW w:w="6060" w:type="dxa"/>
            <w:vAlign w:val="bottom"/>
          </w:tcPr>
          <w:p>
            <w:pPr>
              <w:ind w:left="280"/>
              <w:spacing w:after="0"/>
              <w:rPr>
                <w:sz w:val="20"/>
                <w:szCs w:val="20"/>
                <w:color w:val="auto"/>
              </w:rPr>
            </w:pPr>
            <w:r>
              <w:rPr>
                <w:rFonts w:ascii="Arial" w:cs="Arial" w:eastAsia="Arial" w:hAnsi="Arial"/>
                <w:sz w:val="16"/>
                <w:szCs w:val="16"/>
                <w:color w:val="auto"/>
                <w:w w:val="97"/>
              </w:rPr>
              <w:t>Net change in cumulative foreign currency translation (loss) gain (net of tax effect of</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6060" w:type="dxa"/>
            <w:vAlign w:val="bottom"/>
          </w:tcPr>
          <w:p>
            <w:pPr>
              <w:ind w:left="600"/>
              <w:spacing w:after="0"/>
              <w:rPr>
                <w:sz w:val="20"/>
                <w:szCs w:val="20"/>
                <w:color w:val="auto"/>
              </w:rPr>
            </w:pPr>
            <w:r>
              <w:rPr>
                <w:rFonts w:ascii="Arial" w:cs="Arial" w:eastAsia="Arial" w:hAnsi="Arial"/>
                <w:sz w:val="16"/>
                <w:szCs w:val="16"/>
                <w:color w:val="auto"/>
              </w:rPr>
              <w:t>$0.2, ($0.6), $0.5 and ($0.9), respectively)</w:t>
            </w: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5"/>
              </w:rPr>
              <w:t>(29.7)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38.6</w:t>
            </w:r>
          </w:p>
        </w:tc>
      </w:tr>
      <w:tr>
        <w:trPr>
          <w:trHeight w:val="33"/>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income</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Total comprehensive loss</w:t>
            </w:r>
          </w:p>
        </w:tc>
        <w:tc>
          <w:tcPr>
            <w:tcW w:w="80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(56.5)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(148.9)</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(248.0)</w:t>
            </w:r>
          </w:p>
        </w:tc>
      </w:tr>
      <w:tr>
        <w:trPr>
          <w:trHeight w:val="20"/>
        </w:trPr>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31, 2018</w:t>
            </w: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w w:val="99"/>
              </w:rPr>
              <w:t>January 31, 2018</w:t>
            </w:r>
          </w:p>
        </w:tc>
      </w:tr>
      <w:tr>
        <w:trPr>
          <w:trHeight w:val="210"/>
        </w:trPr>
        <w:tc>
          <w:tcPr>
            <w:tcW w:w="8120" w:type="dxa"/>
            <w:vAlign w:val="bottom"/>
            <w:tcBorders>
              <w:top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1,078.0</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274.4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245.2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438.2</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116.5</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1,877.9</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Developed technologies,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27.1</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1,620.2</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81.7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170.9</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3,833.0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4,113.6</w:t>
            </w:r>
          </w:p>
        </w:tc>
      </w:tr>
      <w:tr>
        <w:trPr>
          <w:trHeight w:val="73"/>
        </w:trPr>
        <w:tc>
          <w:tcPr>
            <w:tcW w:w="8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2280"/>
              <w:spacing w:after="0" w:line="177" w:lineRule="exact"/>
              <w:rPr>
                <w:sz w:val="20"/>
                <w:szCs w:val="20"/>
                <w:color w:val="auto"/>
              </w:rPr>
            </w:pPr>
            <w:r>
              <w:rPr>
                <w:rFonts w:ascii="Arial" w:cs="Arial" w:eastAsia="Arial" w:hAnsi="Arial"/>
                <w:sz w:val="16"/>
                <w:szCs w:val="16"/>
                <w:b w:val="1"/>
                <w:bCs w:val="1"/>
                <w:color w:val="auto"/>
              </w:rPr>
              <w:t>LIABILITIES AND STOCKHOLDERS’ DEFICIT</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250.9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1,491.5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1,551.6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198.0</w:t>
            </w: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1,915.1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2,123.2</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deferred revenue</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403.5</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Long-term income taxes payable</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41.6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Long-term notes payable, net</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1,587.2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1,586.0</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148.7</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Stockholders’ deficit: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1,952.7</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(2,084.9)</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stockholders’ deficit</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(256.0)</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deficit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4,113.6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4"/>
                <w:szCs w:val="14"/>
                <w:b w:val="1"/>
                <w:bCs w:val="1"/>
                <w:color w:val="auto"/>
              </w:rPr>
              <w:t>Six Months Ended July 31,</w:t>
            </w:r>
          </w:p>
        </w:tc>
        <w:tc>
          <w:tcPr>
            <w:tcW w:w="62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r>
      <w:tr>
        <w:trPr>
          <w:trHeight w:val="23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(121.8)</w:t>
            </w:r>
          </w:p>
        </w:tc>
        <w:tc>
          <w:tcPr>
            <w:tcW w:w="120" w:type="dxa"/>
            <w:vAlign w:val="bottom"/>
          </w:tcPr>
          <w:p>
            <w:pPr>
              <w:spacing w:after="0"/>
              <w:rPr>
                <w:sz w:val="19"/>
                <w:szCs w:val="19"/>
                <w:color w:val="auto"/>
              </w:rPr>
            </w:pP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(273.6)</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56.8</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134.4</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8.6</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operating activities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7.7</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204.2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185.5</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(98.6)</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(used in)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04"/>
        </w:trPr>
        <w:tc>
          <w:tcPr>
            <w:tcW w:w="81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47"/>
        </w:trPr>
        <w:tc>
          <w:tcPr>
            <w:tcW w:w="8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(299.7)</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Sales of marketable securities</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110.8</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marketable securities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119.6</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420.3</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net of cash acquired</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investing activities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provided by investing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200.7</w:t>
            </w:r>
          </w:p>
        </w:tc>
      </w:tr>
      <w:tr>
        <w:trPr>
          <w:trHeight w:val="204"/>
        </w:trPr>
        <w:tc>
          <w:tcPr>
            <w:tcW w:w="81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47"/>
        </w:trPr>
        <w:tc>
          <w:tcPr>
            <w:tcW w:w="8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(49.8)</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Repurchases of common stock</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(315.2)</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Proceeds from debt, net of discount</w:t>
            </w:r>
          </w:p>
        </w:tc>
        <w:tc>
          <w:tcPr>
            <w:tcW w:w="9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496.9</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 of debt</w:t>
            </w:r>
          </w:p>
        </w:tc>
        <w:tc>
          <w:tcPr>
            <w:tcW w:w="9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financing activities</w:t>
            </w:r>
          </w:p>
        </w:tc>
        <w:tc>
          <w:tcPr>
            <w:tcW w:w="9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(218.0)</w:t>
            </w: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3"/>
              </w:rPr>
              <w:t>1,078.0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89"/>
              </w:rPr>
              <w:t>1,213.1</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1,174.1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Non-cash investing activities: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7"/>
        </w:trPr>
        <w:tc>
          <w:tcPr>
            <w:tcW w:w="8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Fair value of common stock issued as consideration for business combination (See Note 8)</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44.8</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580"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83" w:lineRule="auto"/>
        <w:rPr>
          <w:sz w:val="20"/>
          <w:szCs w:val="20"/>
          <w:color w:val="auto"/>
        </w:rPr>
      </w:pPr>
      <w:r>
        <w:rPr>
          <w:rFonts w:ascii="Arial" w:cs="Arial" w:eastAsia="Arial" w:hAnsi="Arial"/>
          <w:sz w:val="16"/>
          <w:szCs w:val="16"/>
          <w:color w:val="auto"/>
        </w:rPr>
        <w:t>The accompanying unaudited Condensed Consolidated Financial Statements of Autodesk, Inc. (“Autodesk,” “we,” “us,” “our,” or the “Company”) as of July 31, 2018, and for the three and six months ended July 31, 2018 and 2017,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six months ended July 31, 2018 are not necessarily indicative of the results for the entire fiscal year ending January 31, 2019, or for any other period. Further, the balance sheet as of January 31,</w:t>
      </w:r>
    </w:p>
    <w:p>
      <w:pPr>
        <w:spacing w:after="0" w:line="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2018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2018.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2018, filed on March 22,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six months ended July 31, 2018, that are of significance, or potential significance,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225"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Effective in the first quarter of fiscal 2019, Autodesk adopted FASB Accounting Standards Update ("ASU") No. 2017-05, "Other Income– Gains and Losses from the Derecognition of Nonfinancial Assets (Subtopic 610-20): Clarifying the Scope of Asset Derecognition Guidance and Accounting for Partial Sales of Nonfinancial Assets." The ASU, among other things, clarifies the scope of the derecognition of nonfinancial assets, the definition of in-substance financial assets, and impacts the accounting for partial sales of nonfinancial assets by requiring full gain recognition upon the sale. The new guidance was adopted prospectively as there was no impact on the Company's prior periods consolidated statements of financial position and results of operations which would be reflected in either the full or modified retrospective transition approach. The future effect of the adoption will depend upon the nature of the Company's future dispositions, if any.</w:t>
      </w:r>
    </w:p>
    <w:p>
      <w:pPr>
        <w:spacing w:after="0" w:line="18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Effective in the first quarter of fiscal 2019, Autodesk adopted FASB ASU No. 2017-01, "Business Combinations: Clarifying the Definition of a Business" which provides a more robust framework to use in determining when a set of assets and activities is considered a business. The new guidance was applied on a prospective basis and the adoption did not have any impact on Autodesk's consolidated financial statements. Any future effect of the adoption will depend upon the nature of the Company's future acquisitions, if any.</w:t>
      </w:r>
    </w:p>
    <w:p>
      <w:pPr>
        <w:spacing w:after="0" w:line="187"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Effective in the first quarter of fiscal 2019, Autodesk adopted FASB ASU No. 2016-16, “Income Taxes: Intra-Entity Transfers of Assets Other than Inventory” which requires that entities recognize the income tax consequences of an intra-entity transfer of an asset, other than inventory, when the transfer occurs. The new guidance was applied on a modified retrospective basis with a cumulative increase of $1.9 million to the opening balance of "Accumulated deficit" at February 1, 2018. The ASU did not have any other material impacts on Autodesk's Condensed Consolidated Financial Statements.</w:t>
      </w:r>
    </w:p>
    <w:p>
      <w:pPr>
        <w:spacing w:after="0" w:line="154" w:lineRule="exact"/>
        <w:rPr>
          <w:sz w:val="20"/>
          <w:szCs w:val="20"/>
          <w:color w:val="auto"/>
        </w:rPr>
      </w:pPr>
    </w:p>
    <w:p>
      <w:pPr>
        <w:jc w:val="both"/>
        <w:ind w:right="300" w:firstLine="405"/>
        <w:spacing w:after="0" w:line="297" w:lineRule="auto"/>
        <w:rPr>
          <w:sz w:val="20"/>
          <w:szCs w:val="20"/>
          <w:color w:val="auto"/>
        </w:rPr>
      </w:pPr>
      <w:r>
        <w:rPr>
          <w:rFonts w:ascii="Arial" w:cs="Arial" w:eastAsia="Arial" w:hAnsi="Arial"/>
          <w:sz w:val="16"/>
          <w:szCs w:val="16"/>
          <w:color w:val="auto"/>
        </w:rPr>
        <w:t>Effective in the first quarter of fiscal 2019, Autodesk adopted FASB ASU No. 2016-01 regarding Accounting Standards Codification ("ASC") Topic 825-10, "Financial Instruments - Overall." The amendments address certain aspects of recognition, measurement, presentation, and disclosure of financial instruments, and require equity securities to be measured at fair value, unless the measurement alternative method has been elected for equity investments without readily determinable fair values ("non-marketable equity securities"), with changes in fair value recognized through net income. The amendments also simplify the impairment assessment of equity investments without readily determinable fair values by requiring a qualitative assessment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right="60"/>
        <w:spacing w:after="0" w:line="297" w:lineRule="auto"/>
        <w:rPr>
          <w:sz w:val="20"/>
          <w:szCs w:val="20"/>
          <w:color w:val="auto"/>
        </w:rPr>
      </w:pPr>
      <w:r>
        <w:rPr>
          <w:rFonts w:ascii="Arial" w:cs="Arial" w:eastAsia="Arial" w:hAnsi="Arial"/>
          <w:sz w:val="16"/>
          <w:szCs w:val="16"/>
          <w:color w:val="auto"/>
        </w:rPr>
        <w:t>for impairment quarterly at each reporting period. Under the measurement alternative method, the non-marketable equity securities will be measured at cost, less any impairment, plus or minus adjustments resulting from observable price changes in orderly transactions for the identical or a similar investment of the same issuer, which will be recorded within the Condensed Consolidated Statement of Operations. The determination of whether a transaction is for a similar investment will require significant management judgment including consideration of the rights and obligations between the investments and the extent to which those differences would affect the fair values of those investments with additional consideration for the stage of development of the investee company.</w:t>
      </w:r>
    </w:p>
    <w:p>
      <w:pPr>
        <w:spacing w:after="0" w:line="158"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Autodesk prospectively adopted the amendments related to non-marketable equity securities existing as of the date of adoption. The new standard may add volatility to the Company's statements of operations in future periods, due to changes in market prices of the Company's investments in publicly held equity investments and the valuation and timing of observable price changes and impairments of its investments in non-marketable securities. See Note 5, "Financial Instruments" for more information.</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Effective in the first quarter of fiscal 2019, Autodesk adopted ASU No. 2014-09, “Revenue from Contracts with Customers (Topic 606)” and the subsequent and related ASU No. 2015-14, ASU No. 2016-08, ASU No. 2016-10, ASU No. 2016-12, and ASU No. 2016-20.</w:t>
      </w:r>
    </w:p>
    <w:p>
      <w:pPr>
        <w:spacing w:after="0" w:line="14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Under ASC Topic 606, the Company has concluded that the desktop software and related substantial cloud functionality that are included in the majority of its product subscription offerings and enterprise arrangements are not distinct in the context of the contract as they are considered highly interrelated and represent a single combined performance obligation that should be recognized over time. Therefore, the adoption of ASC Topic 606 has not resulted in a material change in the timing and amount of the recognition of revenue for the majority of the Company's product subscription offerings and enterprise arrangements.</w:t>
      </w:r>
    </w:p>
    <w:p>
      <w:pPr>
        <w:spacing w:after="0" w:line="188"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One impact of the new standard relates to product subscriptions that do not incorporate substantial cloud functionality. A limited number of Autodesk's product subscriptions do not incorporate substantial cloud functionality, and therefore are not considered highly interrelated. Under ASU 2014-09, these limited number of product subscriptions are recognized as separate and distinct license and service performance obligations. Under ASC Topic 605, licenses sold with undelivered elements without vendor-specific objective evidence ("VSOE") are recognized ratably over the term of the undelivered elements. Under ASC Topic 606, Autodesk is no longer required to establish VSOE to recognize software license revenue separately from the other elements and recognizes software licenses once the customer obtains control of the license, which is generally upon delivery of the license. Therefore, revenue allocated to the licenses in these offerings under ASC Topic 606 is recognized at a point in time instead of over the contract term.</w:t>
      </w:r>
    </w:p>
    <w:p>
      <w:pPr>
        <w:spacing w:after="0" w:line="167"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Autodesk adopted ASC Topic 606 using the modified retrospective method, with a cumulative decrease of $89.0 million to the opening balance of "Accumulated deficit" at February 1, 2018. Autodesk applied the standard only to contracts that are not completed as of the date of initial application. The comparative information has not been adjusted and continues to be reported under ASC Topic 605. The details of the quantitative impact of the adoption on the three and six months ended July 31, 2018, are shown below. See Note 3, "Revenue Recognition" for disclosures under the new standard.</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Costs to acquire a contract from a customer</w:t>
      </w:r>
    </w:p>
    <w:p>
      <w:pPr>
        <w:spacing w:after="0" w:line="225"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With the adoption of ASC Topic 606, Autodesk also adopted ASC Topic 340-40, "Other Assets and Deferred Costs—Contracts with Customers." Prior to the adoption of ASC Topic 340-40, Autodesk previously recognized compensation paid to sales employees and certain resellers related to obtaining customer contracts in marketing and sales expense in the Consolidated Statements of Operations when incurred. Under ASC Topic 340-40, Autodesk capitalizes this sales compensation as contract costs when they are incremental, directly incurred to obtain a contract with a customer and expected to be recoverable. The contract costs are amortized based on the transfer of goods or services to which the contract costs relate.</w:t>
      </w:r>
    </w:p>
    <w:p>
      <w:pPr>
        <w:spacing w:after="0" w:line="173" w:lineRule="exact"/>
        <w:rPr>
          <w:sz w:val="20"/>
          <w:szCs w:val="20"/>
          <w:color w:val="auto"/>
        </w:rPr>
      </w:pPr>
    </w:p>
    <w:p>
      <w:pPr>
        <w:jc w:val="both"/>
        <w:ind w:right="140" w:firstLine="405"/>
        <w:spacing w:after="0" w:line="312" w:lineRule="auto"/>
        <w:rPr>
          <w:sz w:val="20"/>
          <w:szCs w:val="20"/>
          <w:color w:val="auto"/>
        </w:rPr>
      </w:pPr>
      <w:r>
        <w:rPr>
          <w:rFonts w:ascii="Arial" w:cs="Arial" w:eastAsia="Arial" w:hAnsi="Arial"/>
          <w:sz w:val="16"/>
          <w:szCs w:val="16"/>
          <w:color w:val="auto"/>
        </w:rPr>
        <w:t>Under the modified retrospective method, Autodesk booked a cumulative decrease of $90.4 million to the opening balance of "Accumulated deficit" at February 1, 2018. The comparative information has not been adjusted and continues to be reported as incurred. The details of the quantitative impact of the adoption on the three and six months ended July 31, 2018, are shown below. See Note 11, "Deferred Compensation" for disclosures under the new standard.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ind w:left="220"/>
        <w:spacing w:after="0"/>
        <w:rPr>
          <w:sz w:val="20"/>
          <w:szCs w:val="20"/>
          <w:color w:val="auto"/>
        </w:rPr>
      </w:pPr>
      <w:r>
        <w:rPr>
          <w:rFonts w:ascii="Arial" w:cs="Arial" w:eastAsia="Arial" w:hAnsi="Arial"/>
          <w:sz w:val="18"/>
          <w:szCs w:val="18"/>
          <w:i w:val="1"/>
          <w:iCs w:val="1"/>
          <w:color w:val="auto"/>
        </w:rPr>
        <w:t>Quantitative effect of ASC Topic 606 and 340-40 adoption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shows select line items that were materially impacted by the adoption of ASC Topics 606 and 340-40 on Autodesk’s unaudited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for the three and six months ended July 31, 2018:</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80" w:type="dxa"/>
            <w:vAlign w:val="bottom"/>
            <w:tcBorders>
              <w:top w:val="single" w:sz="8" w:color="auto"/>
              <w:left w:val="single" w:sz="8" w:color="auto"/>
              <w:bottom w:val="single" w:sz="8" w:color="auto"/>
            </w:tcBorders>
          </w:tcPr>
          <w:p>
            <w:pPr>
              <w:spacing w:after="0"/>
              <w:rPr>
                <w:sz w:val="22"/>
                <w:szCs w:val="22"/>
                <w:color w:val="auto"/>
              </w:rPr>
            </w:pPr>
          </w:p>
        </w:tc>
        <w:tc>
          <w:tcPr>
            <w:tcW w:w="3860" w:type="dxa"/>
            <w:vAlign w:val="bottom"/>
            <w:tcBorders>
              <w:top w:val="single" w:sz="8" w:color="auto"/>
              <w:bottom w:val="single" w:sz="8" w:color="auto"/>
              <w:right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3"/>
              </w:rPr>
              <w:t>For the Three Months Ended July 31, 2018</w:t>
            </w:r>
          </w:p>
        </w:tc>
        <w:tc>
          <w:tcPr>
            <w:tcW w:w="140" w:type="dxa"/>
            <w:vAlign w:val="bottom"/>
            <w:tcBorders>
              <w:right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3760" w:type="dxa"/>
            <w:vAlign w:val="bottom"/>
            <w:tcBorders>
              <w:top w:val="single" w:sz="8" w:color="auto"/>
              <w:bottom w:val="single" w:sz="8" w:color="auto"/>
              <w:right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3"/>
              </w:rPr>
              <w:t>For the Six Months Ended July 31, 2018</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80" w:type="dxa"/>
            <w:vAlign w:val="bottom"/>
            <w:tcBorders>
              <w:left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Impact from the</w:t>
            </w:r>
          </w:p>
        </w:tc>
        <w:tc>
          <w:tcPr>
            <w:tcW w:w="16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Impact from the</w:t>
            </w:r>
          </w:p>
        </w:tc>
        <w:tc>
          <w:tcPr>
            <w:tcW w:w="16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80" w:type="dxa"/>
            <w:vAlign w:val="bottom"/>
            <w:tcBorders>
              <w:left w:val="single" w:sz="8" w:color="auto"/>
            </w:tcBorders>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adoption of ASC</w:t>
            </w:r>
          </w:p>
        </w:tc>
        <w:tc>
          <w:tcPr>
            <w:tcW w:w="160" w:type="dxa"/>
            <w:vAlign w:val="bottom"/>
          </w:tcPr>
          <w:p>
            <w:pPr>
              <w:spacing w:after="0"/>
              <w:rPr>
                <w:sz w:val="12"/>
                <w:szCs w:val="12"/>
                <w:color w:val="auto"/>
              </w:rPr>
            </w:pPr>
          </w:p>
        </w:tc>
        <w:tc>
          <w:tcPr>
            <w:tcW w:w="1080" w:type="dxa"/>
            <w:vAlign w:val="bottom"/>
            <w:tcBorders>
              <w:right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w w:val="97"/>
              </w:rPr>
              <w:t>As Adjusted</w:t>
            </w:r>
          </w:p>
        </w:tc>
        <w:tc>
          <w:tcPr>
            <w:tcW w:w="1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3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adoption of ASC</w:t>
            </w:r>
          </w:p>
        </w:tc>
        <w:tc>
          <w:tcPr>
            <w:tcW w:w="160" w:type="dxa"/>
            <w:vAlign w:val="bottom"/>
          </w:tcPr>
          <w:p>
            <w:pPr>
              <w:spacing w:after="0"/>
              <w:rPr>
                <w:sz w:val="12"/>
                <w:szCs w:val="12"/>
                <w:color w:val="auto"/>
              </w:rPr>
            </w:pPr>
          </w:p>
        </w:tc>
        <w:tc>
          <w:tcPr>
            <w:tcW w:w="1080" w:type="dxa"/>
            <w:vAlign w:val="bottom"/>
            <w:tcBorders>
              <w:right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606 and 340-40</w:t>
            </w:r>
          </w:p>
        </w:tc>
        <w:tc>
          <w:tcPr>
            <w:tcW w:w="160" w:type="dxa"/>
            <w:vAlign w:val="bottom"/>
          </w:tcPr>
          <w:p>
            <w:pPr>
              <w:spacing w:after="0"/>
              <w:rPr>
                <w:sz w:val="16"/>
                <w:szCs w:val="16"/>
                <w:color w:val="auto"/>
              </w:rPr>
            </w:pPr>
          </w:p>
        </w:tc>
        <w:tc>
          <w:tcPr>
            <w:tcW w:w="1080" w:type="dxa"/>
            <w:vAlign w:val="bottom"/>
            <w:tcBorders>
              <w:right w:val="single" w:sz="8" w:color="auto"/>
            </w:tcBorders>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606 and 340-40</w:t>
            </w:r>
          </w:p>
        </w:tc>
        <w:tc>
          <w:tcPr>
            <w:tcW w:w="160" w:type="dxa"/>
            <w:vAlign w:val="bottom"/>
          </w:tcPr>
          <w:p>
            <w:pPr>
              <w:spacing w:after="0"/>
              <w:rPr>
                <w:sz w:val="16"/>
                <w:szCs w:val="16"/>
                <w:color w:val="auto"/>
              </w:rPr>
            </w:pPr>
          </w:p>
        </w:tc>
        <w:tc>
          <w:tcPr>
            <w:tcW w:w="10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 (1)</w:t>
            </w:r>
          </w:p>
        </w:tc>
        <w:tc>
          <w:tcPr>
            <w:tcW w:w="180" w:type="dxa"/>
            <w:vAlign w:val="bottom"/>
            <w:tcBorders>
              <w:top w:val="single" w:sz="8" w:color="auto"/>
              <w:left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300" w:type="dxa"/>
            <w:vAlign w:val="bottom"/>
            <w:shd w:val="clear" w:color="auto" w:fill="CCEEFF"/>
          </w:tcPr>
          <w:p>
            <w:pPr>
              <w:spacing w:after="0"/>
              <w:rPr>
                <w:sz w:val="5"/>
                <w:szCs w:val="5"/>
                <w:color w:val="auto"/>
              </w:rPr>
            </w:pPr>
          </w:p>
        </w:tc>
        <w:tc>
          <w:tcPr>
            <w:tcW w:w="180" w:type="dxa"/>
            <w:vAlign w:val="bottom"/>
            <w:tcBorders>
              <w:left w:val="single" w:sz="8" w:color="auto"/>
            </w:tcBorders>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tcBorders>
              <w:right w:val="single" w:sz="8" w:color="auto"/>
            </w:tcBorders>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Pr>
          <w:p>
            <w:pPr>
              <w:ind w:left="360"/>
              <w:spacing w:after="0"/>
              <w:rPr>
                <w:sz w:val="20"/>
                <w:szCs w:val="20"/>
                <w:color w:val="auto"/>
              </w:rPr>
            </w:pPr>
            <w:r>
              <w:rPr>
                <w:rFonts w:ascii="Arial" w:cs="Arial" w:eastAsia="Arial" w:hAnsi="Arial"/>
                <w:sz w:val="16"/>
                <w:szCs w:val="16"/>
                <w:color w:val="auto"/>
              </w:rPr>
              <w:t>Subscription</w:t>
            </w:r>
          </w:p>
        </w:tc>
        <w:tc>
          <w:tcPr>
            <w:tcW w:w="180" w:type="dxa"/>
            <w:vAlign w:val="bottom"/>
            <w:tcBorders>
              <w:lef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420.6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416.0</w:t>
            </w:r>
          </w:p>
        </w:tc>
        <w:tc>
          <w:tcPr>
            <w:tcW w:w="140" w:type="dxa"/>
            <w:vAlign w:val="bottom"/>
            <w:tcBorders>
              <w:right w:val="single" w:sz="8" w:color="auto"/>
            </w:tcBorders>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771.0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772.7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Maintenance</w:t>
            </w:r>
          </w:p>
        </w:tc>
        <w:tc>
          <w:tcPr>
            <w:tcW w:w="180" w:type="dxa"/>
            <w:vAlign w:val="bottom"/>
            <w:tcBorders>
              <w:left w:val="single" w:sz="8" w:color="auto"/>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165.3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351.9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Pr>
          <w:p>
            <w:pPr>
              <w:ind w:left="360"/>
              <w:spacing w:after="0"/>
              <w:rPr>
                <w:sz w:val="20"/>
                <w:szCs w:val="20"/>
                <w:color w:val="auto"/>
              </w:rPr>
            </w:pPr>
            <w:r>
              <w:rPr>
                <w:rFonts w:ascii="Arial" w:cs="Arial" w:eastAsia="Arial" w:hAnsi="Arial"/>
                <w:sz w:val="16"/>
                <w:szCs w:val="16"/>
                <w:color w:val="auto"/>
              </w:rPr>
              <w:t>Other</w:t>
            </w:r>
          </w:p>
        </w:tc>
        <w:tc>
          <w:tcPr>
            <w:tcW w:w="180" w:type="dxa"/>
            <w:vAlign w:val="bottom"/>
            <w:tcBorders>
              <w:left w:val="single" w:sz="8" w:color="auto"/>
            </w:tcBorders>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29.2</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 (1)</w:t>
            </w:r>
          </w:p>
        </w:tc>
        <w:tc>
          <w:tcPr>
            <w:tcW w:w="180" w:type="dxa"/>
            <w:vAlign w:val="bottom"/>
            <w:tcBorders>
              <w:left w:val="single" w:sz="8" w:color="auto"/>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300" w:type="dxa"/>
            <w:vAlign w:val="bottom"/>
          </w:tcPr>
          <w:p>
            <w:pPr>
              <w:ind w:left="360"/>
              <w:spacing w:after="0"/>
              <w:rPr>
                <w:sz w:val="20"/>
                <w:szCs w:val="20"/>
                <w:color w:val="auto"/>
              </w:rPr>
            </w:pPr>
            <w:r>
              <w:rPr>
                <w:rFonts w:ascii="Arial" w:cs="Arial" w:eastAsia="Arial" w:hAnsi="Arial"/>
                <w:sz w:val="16"/>
                <w:szCs w:val="16"/>
                <w:color w:val="auto"/>
              </w:rPr>
              <w:t>Cost of subscription and maintenance</w:t>
            </w:r>
          </w:p>
        </w:tc>
        <w:tc>
          <w:tcPr>
            <w:tcW w:w="180" w:type="dxa"/>
            <w:vAlign w:val="bottom"/>
            <w:tcBorders>
              <w:left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300" w:type="dxa"/>
            <w:vAlign w:val="bottom"/>
          </w:tcPr>
          <w:p>
            <w:pPr>
              <w:ind w:left="360"/>
              <w:spacing w:after="0"/>
              <w:rPr>
                <w:sz w:val="20"/>
                <w:szCs w:val="20"/>
                <w:color w:val="auto"/>
              </w:rPr>
            </w:pPr>
            <w:r>
              <w:rPr>
                <w:rFonts w:ascii="Arial" w:cs="Arial" w:eastAsia="Arial" w:hAnsi="Arial"/>
                <w:sz w:val="16"/>
                <w:szCs w:val="16"/>
                <w:color w:val="auto"/>
              </w:rPr>
              <w:t>revenue</w:t>
            </w:r>
          </w:p>
        </w:tc>
        <w:tc>
          <w:tcPr>
            <w:tcW w:w="180" w:type="dxa"/>
            <w:vAlign w:val="bottom"/>
            <w:tcBorders>
              <w:left w:val="single" w:sz="8" w:color="auto"/>
            </w:tcBorders>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54.1</w:t>
            </w:r>
          </w:p>
        </w:tc>
        <w:tc>
          <w:tcPr>
            <w:tcW w:w="1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Cost of other revenue</w:t>
            </w:r>
          </w:p>
        </w:tc>
        <w:tc>
          <w:tcPr>
            <w:tcW w:w="180" w:type="dxa"/>
            <w:vAlign w:val="bottom"/>
            <w:tcBorders>
              <w:left w:val="single" w:sz="8" w:color="auto"/>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Operating expenses (1):</w:t>
            </w:r>
          </w:p>
        </w:tc>
        <w:tc>
          <w:tcPr>
            <w:tcW w:w="180" w:type="dxa"/>
            <w:vAlign w:val="bottom"/>
            <w:tcBorders>
              <w:left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80" w:type="dxa"/>
            <w:vAlign w:val="bottom"/>
            <w:tcBorders>
              <w:left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Marketing and sales</w:t>
            </w:r>
          </w:p>
        </w:tc>
        <w:tc>
          <w:tcPr>
            <w:tcW w:w="180" w:type="dxa"/>
            <w:vAlign w:val="bottom"/>
            <w:tcBorders>
              <w:left w:val="single" w:sz="8" w:color="auto"/>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278.3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541.1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left w:val="single" w:sz="8" w:color="auto"/>
            </w:tcBorders>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8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(2)</w:t>
            </w:r>
          </w:p>
        </w:tc>
        <w:tc>
          <w:tcPr>
            <w:tcW w:w="18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net loss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3300" w:type="dxa"/>
            <w:vAlign w:val="bottom"/>
            <w:vMerge w:val="continue"/>
          </w:tcPr>
          <w:p>
            <w:pPr>
              <w:spacing w:after="0"/>
              <w:rPr>
                <w:sz w:val="17"/>
                <w:szCs w:val="17"/>
                <w:color w:val="auto"/>
              </w:rPr>
            </w:pPr>
          </w:p>
        </w:tc>
        <w:tc>
          <w:tcPr>
            <w:tcW w:w="180" w:type="dxa"/>
            <w:vAlign w:val="bottom"/>
            <w:tcBorders>
              <w:lef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40" w:type="dxa"/>
            <w:vAlign w:val="bottom"/>
            <w:tcBorders>
              <w:right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loss per share</w:t>
            </w:r>
          </w:p>
        </w:tc>
        <w:tc>
          <w:tcPr>
            <w:tcW w:w="18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187"/>
        </w:trPr>
        <w:tc>
          <w:tcPr>
            <w:tcW w:w="3340" w:type="dxa"/>
            <w:vAlign w:val="bottom"/>
            <w:gridSpan w:val="2"/>
          </w:tcPr>
          <w:p>
            <w:pPr>
              <w:jc w:val="right"/>
              <w:ind w:right="1639"/>
              <w:spacing w:after="0"/>
              <w:rPr>
                <w:sz w:val="20"/>
                <w:szCs w:val="20"/>
                <w:color w:val="auto"/>
              </w:rPr>
            </w:pPr>
            <w:r>
              <w:rPr>
                <w:rFonts w:ascii="Arial" w:cs="Arial" w:eastAsia="Arial" w:hAnsi="Arial"/>
                <w:sz w:val="16"/>
                <w:szCs w:val="16"/>
                <w:color w:val="auto"/>
                <w:w w:val="89"/>
              </w:rPr>
              <w:t>____________________</w:t>
            </w: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ind w:left="420" w:right="180" w:hanging="412"/>
        <w:spacing w:after="0" w:line="246"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While not shown here, gross margin, loss from operations, and loss before income taxes have consequently been affected as a result of the net effect of the adjustments noted above.</w:t>
      </w:r>
    </w:p>
    <w:p>
      <w:pPr>
        <w:ind w:left="420" w:right="420" w:hanging="412"/>
        <w:spacing w:after="0" w:line="257"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on the unaudited Condensed Consolidated Statements of Comprehensive Loss is limited to the net effects of the impacts noted above on the Condensed Consolidated Statements of Operations, specifically on the line item "Net loss."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shows select line items that were materially impacted by the adoption of ASC Topics 606 and 340-40 on Autodesk’s unaudited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 as of July 31,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tbl>
      <w:tblPr>
        <w:tblLayout w:type="fixed"/>
        <w:tblInd w:w="798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Impact from the</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As reported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adoption of ASC</w:t>
            </w: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86"/>
        </w:trPr>
        <w:tc>
          <w:tcPr>
            <w:tcW w:w="940" w:type="dxa"/>
            <w:vAlign w:val="bottom"/>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606 and 340-40</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00"/>
          </w:cols>
          <w:pgMar w:left="240" w:top="726" w:right="259" w:bottom="1440" w:gutter="0" w:footer="0" w:header="0"/>
        </w:sectPr>
      </w:pPr>
    </w:p>
    <w:p>
      <w:pPr>
        <w:spacing w:after="0" w:line="2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ASSETS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Prepaid expenses and other current assets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taxes,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LIABILITIES AND STOCKHOLDERS’ DEFICIT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Accrued income taxes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accrued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income taxes payable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deficit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234.4</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53.0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287.4</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194.6</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(70.1)</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124.5</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81.5</w:t>
            </w:r>
          </w:p>
        </w:tc>
        <w:tc>
          <w:tcPr>
            <w:tcW w:w="44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11.0</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92.5</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195.4</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177.4</w:t>
            </w:r>
          </w:p>
        </w:tc>
      </w:tr>
      <w:tr>
        <w:trPr>
          <w:trHeight w:val="810"/>
        </w:trPr>
        <w:tc>
          <w:tcPr>
            <w:tcW w:w="28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38.8</w:t>
            </w:r>
          </w:p>
        </w:tc>
        <w:tc>
          <w:tcPr>
            <w:tcW w:w="44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1,491.5</w:t>
            </w:r>
          </w:p>
        </w:tc>
        <w:tc>
          <w:tcPr>
            <w:tcW w:w="44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99.1</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1,590.6</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139.4</w:t>
            </w:r>
          </w:p>
        </w:tc>
        <w:tc>
          <w:tcPr>
            <w:tcW w:w="44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141.8</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308.0</w:t>
            </w:r>
          </w:p>
        </w:tc>
        <w:tc>
          <w:tcPr>
            <w:tcW w:w="44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25.3</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333.3</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41.5</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41.3</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88.2</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(2,103.2)</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(144.7)</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(2,247.9)</w:t>
            </w:r>
          </w:p>
        </w:tc>
      </w:tr>
    </w:tbl>
    <w:p>
      <w:pPr>
        <w:spacing w:after="0" w:line="19" w:lineRule="exact"/>
        <w:rPr>
          <w:sz w:val="20"/>
          <w:szCs w:val="20"/>
          <w:color w:val="auto"/>
        </w:rPr>
      </w:pPr>
    </w:p>
    <w:p>
      <w:pPr>
        <w:sectPr>
          <w:pgSz w:w="11900" w:h="16838" w:orient="portrait"/>
          <w:cols w:equalWidth="0" w:num="2">
            <w:col w:w="7080" w:space="720"/>
            <w:col w:w="3600"/>
          </w:cols>
          <w:pgMar w:left="240" w:top="726" w:right="25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60" w:hanging="412"/>
        <w:spacing w:after="0" w:line="249"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Short term and long term "contract assets" under ASC Topic 606 are included within "Prepaid expenses and other current assets" and "Other assets", respectively, on the unaudited Condensed Consolidated Balance Sheet.</w:t>
      </w:r>
    </w:p>
    <w:p>
      <w:pPr>
        <w:ind w:left="420" w:right="100" w:hanging="412"/>
        <w:spacing w:after="0" w:line="257"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the "Accumulated deficit" adjustment is $179.4 million for the cumulative effect adjustment of adopting ASC Topic 606 and 340-40 on the opening balance as of February 1, 2018.</w:t>
      </w:r>
    </w:p>
    <w:p>
      <w:pPr>
        <w:spacing w:after="0" w:line="18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Adoption of the standard had no impact to net cash provided by or (used in) operating, financing, or investing activities on the Company’s unaudited Condensed Consolidated Statements of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 not yet adopted</w:t>
      </w:r>
    </w:p>
    <w:p>
      <w:pPr>
        <w:spacing w:after="0" w:line="22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In February 2018, FASB issued ASU No. 2018-02, “Income Statement-Reporting Comprehensive Income (Topic 220): Reclassification of Certain Tax Effects from Accumulated Other Comprehensive Income.” The amendment allows entities to reclassify stranded tax effects resulting from the Tax Cuts and Jobs Act from accumulated other comprehensive income to retained earnings. The amendment only impacts the income tax effect of the passage of the Tax Cuts and Jobs Act but does not affect the underlying guidance that requires that the effect of a change in tax laws or rates be included in income from continuing operations. The amendment is effective for Autodesk's fiscal year beginning February 1, 2019, unless Autodesk elects early adoption, which Autodesk is still evaluating. Autodesk is currently evaluating the accounting, transition, and disclosure requirements of the standard and cannot currently estimate the financial statement impact of adoption.</w:t>
      </w:r>
    </w:p>
    <w:p>
      <w:pPr>
        <w:spacing w:after="0" w:line="18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August 2017, FASB issued ASU No. 2017-12, "Derivatives and Hedging (Topic 815): Targeted Improvements to Accounting for Hedging Activities." The targeted amendments help simplify certain aspects of hedge accounting and result in a more accurate portrayal of the economics of an entity’s risk management activities in its financial statements. For cash flow and net investment hedges as of the adoption date, the guidance requires a modified retrospective approach. The amended presentation and disclosure guidance is required only prospectively. The amendments are effective for Autodesk's fiscal year beginning February 1, 2019. Autodesk will not early adopt. Autodesk is currently evaluating the accounting, transition, and disclosure requirements of the standard and cannot currently estimate the financial statement impact of adoption.</w:t>
      </w:r>
    </w:p>
    <w:p>
      <w:pPr>
        <w:spacing w:after="0" w:line="178"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In June 2016, FASB issued ASU No. 2016-13 regarding ASC Topic 326, "Financial Instruments - Credit Losses," which modifies the measurement of expected credit losses of certain financial instruments. Autodesk plans to adopt ASU 2016-13 as of the effective date which represents Autodesk’s fiscal year beginning February 1, 2020. Autodesk does not believe the ASU will have a material impact on its consolidated financial statements.</w:t>
      </w:r>
    </w:p>
    <w:p>
      <w:pPr>
        <w:spacing w:after="0" w:line="14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February 2016, FASB issued ASU No. 2016-02, Leases (ASC Topic 842) to increase transparency and comparability among organizations by recognizing lease assets and lease liabilities on the balance sheet and disclosing key information about leasing transactions. The new standard requires entities to reflect the net present value of all future fixed lease payments for both operating and finance leases. It also requires entities to disclose fixed and variable lease payments separately and by lease type (operating vs. finance leases). ASU 2016-02 requires a modified retrospective approach with optional practical expedients.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726" w:right="259" w:bottom="1440" w:gutter="0" w:footer="0" w:header="0"/>
          <w:type w:val="continuous"/>
        </w:sectPr>
      </w:pPr>
    </w:p>
    <w:bookmarkStart w:id="10" w:name="page11"/>
    <w:bookmarkEnd w:id="10"/>
    <w:p>
      <w:pPr>
        <w:jc w:val="both"/>
        <w:ind w:right="180"/>
        <w:spacing w:after="0" w:line="255" w:lineRule="auto"/>
        <w:rPr>
          <w:sz w:val="20"/>
          <w:szCs w:val="20"/>
          <w:color w:val="auto"/>
        </w:rPr>
      </w:pPr>
      <w:r>
        <w:rPr>
          <w:rFonts w:ascii="Arial" w:cs="Arial" w:eastAsia="Arial" w:hAnsi="Arial"/>
          <w:sz w:val="18"/>
          <w:szCs w:val="18"/>
          <w:color w:val="auto"/>
        </w:rPr>
        <w:t>Autodesk has elected to not reassess the lease classification of existing leases and to combine lease and non-lease components for new leases post adoption. Autodesk is currently in the process of evaluating if it will elect any of the other remaining practical expedient options. In addition, FASB issued ASU No. 2018-10 and 2018-11 in July 2018, to help provide interpretive clarifications on various issues raised by stakeholders. ASU 2018-10 clarifies ambiguous or potentially conflicting guidance in ASU 2016-02 but is not expected to have a material impact on Autodesk. ASU 2018-11 provides an additional transition option to apply ASU 2016-02 upon adoption of the new standard. Autodesk will use this option and apply ASU 2016-02 to leases active as of the adoption date of the new standard, February 1, 2019.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Autodesk has made and will continue to make investments in systems and processes to enable timely and accurate reporting under ASC Topic 842.</w:t>
      </w:r>
    </w:p>
    <w:p>
      <w:pPr>
        <w:spacing w:after="0" w:line="35" w:lineRule="exact"/>
        <w:rPr>
          <w:sz w:val="20"/>
          <w:szCs w:val="20"/>
          <w:color w:val="auto"/>
        </w:rPr>
      </w:pPr>
    </w:p>
    <w:p>
      <w:pPr>
        <w:ind w:right="20" w:firstLine="35"/>
        <w:spacing w:after="0" w:line="254" w:lineRule="auto"/>
        <w:rPr>
          <w:sz w:val="20"/>
          <w:szCs w:val="20"/>
          <w:color w:val="auto"/>
        </w:rPr>
      </w:pPr>
      <w:r>
        <w:rPr>
          <w:rFonts w:ascii="Arial" w:cs="Arial" w:eastAsia="Arial" w:hAnsi="Arial"/>
          <w:sz w:val="18"/>
          <w:szCs w:val="18"/>
          <w:color w:val="auto"/>
        </w:rPr>
        <w:t>Autodesk currently expects that necessary operational changes will be implemented prior to the adoption date and expects that most of its lease commitments will be subject to the updated standard and recognized as lease liabilities and right-of-use assets upon adoption. Autodesk is currently evaluating the effect that the updated standard will have on its consolidated financial statements and related disclosures and cannot currently estimate the financial statement impact of adoption.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Revenue Recognition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Autodesk’s revenue is divided into three categories: subscription revenue, maintenance revenue, and other revenue. Revenue is recognized when control for these offerings is transferred to our customers, in an amount that reflects the consideration we expect to be entitled to in exchange for products and services.</w:t>
      </w:r>
    </w:p>
    <w:p>
      <w:pPr>
        <w:spacing w:after="0" w:line="181"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Our contracts with customers may include promises to transfer multiple products and services to a customer. Determining whether the products and services are considered distinct performance obligations that should be accounted for separately or as one combined performance obligation may require significant judgment. Judgment is required to determine the level of integration and interdependency between individual components of software and cloud functionality. This determination influences whether the software is considered distinct and accounted for separately as a license performance obligation, or not distinct and accounted for together with the cloud functionality as a single subscription performance obligation recognized over time.</w:t>
      </w:r>
    </w:p>
    <w:p>
      <w:pPr>
        <w:spacing w:after="0" w:line="158"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For product subscriptions, industry collections, and enterprise business agreement ("EBA") subscriptions in which the desktop software and related cloud functionality are highly interrelated, the combined performance obligation is recognized ratably over the contract term as the obligation is delivered. For contracts involving distinct software licenses, the license performance obligation is satisfied at a point in time when control is transferred to the customer. For standalone maintenance subscriptions, cloud subscriptions, and technical support services, the performance obligation is satisfied ratably over the contract term as those services are delivered. For consulting services, the performance obligation is satisfied over a period of time as those services are delivered.</w:t>
      </w:r>
    </w:p>
    <w:p>
      <w:pPr>
        <w:spacing w:after="0" w:line="158"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When an arrangement includes multiple performance obligations which are concurrently delivered and have the same pattern of transfer to the customer (the services transfer to the customer over the contract period), we account for those performance obligations as a single performance obligation.</w:t>
      </w:r>
    </w:p>
    <w:p>
      <w:pPr>
        <w:spacing w:after="0" w:line="12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For contracts with more than one performance obligation, the transaction price is allocated among the performance obligations in an amount that depicts the relative standalone selling price ("SSP") of each obligation. Judgment is required to determine the SSP for each distinct performance obligation. We use a range of amounts to estimate SSP when we sell each of the products and services separately and need to determine whether there is a discount that should be allocated based on the relative SSP of the various products and services.</w:t>
      </w:r>
    </w:p>
    <w:p>
      <w:pPr>
        <w:spacing w:after="0" w:line="18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includes market conditions and other observable inputs. We typically have more than one SSP for individual products and services due to the stratification of those products and services by customer and circumstance. In these instances, we use relevant information such as the sales channel and geographic region to determine the SSP.</w:t>
      </w:r>
    </w:p>
    <w:p>
      <w:pPr>
        <w:spacing w:after="0" w:line="18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indirect channel model includes both a two-tiered distribution structure, where Autodesk sells to distributors that subsequently sell to resellers, and a one-tiered structure where Autodesk sells directly to resellers. For these arrangements, transfer of control begins at the time access to our subscriptions is made available electronically to our customer, provided all other criteria for revenue recognition are met. Judgment is required to determine whether our distributors and resellers have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1" w:name="page12"/>
    <w:bookmarkEnd w:id="11"/>
    <w:p>
      <w:pPr>
        <w:ind w:right="360"/>
        <w:spacing w:after="0" w:line="277" w:lineRule="auto"/>
        <w:rPr>
          <w:sz w:val="20"/>
          <w:szCs w:val="20"/>
          <w:color w:val="auto"/>
        </w:rPr>
      </w:pPr>
      <w:r>
        <w:rPr>
          <w:rFonts w:ascii="Arial" w:cs="Arial" w:eastAsia="Arial" w:hAnsi="Arial"/>
          <w:sz w:val="18"/>
          <w:szCs w:val="18"/>
          <w:color w:val="auto"/>
        </w:rPr>
        <w:t>ability to honor their commitment to pay, regardless of whether they collect payment from their customers. If we were to change this assessment, it could cause a material increase or decrease in the amount of revenue that we report in a particular period.</w:t>
      </w:r>
    </w:p>
    <w:p>
      <w:pPr>
        <w:spacing w:after="0" w:line="17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As part of the indirect channel model, we have a partner incentive program that uses quarterly attainment of monetary rewards to motivate distributors and resellers to achieve mutually agreed upon business goals in a specified time period. Incentives related to our subscription program are recorded as a reduction to deferred revenue in the period the subscription transaction is billed, and are subsequently recognized as a reduction to subscription revenue over the contract period. A small portion of partner incentives reduce other revenue in the current period. These incentive balances do not require significant assumptions or judgments. Depending on how the payments are made, the reserves associated with the partner incentive program are recorded on the balance sheet as either contra accounts receivable or accounts payable.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Disaggregation</w:t>
      </w:r>
    </w:p>
    <w:p>
      <w:pPr>
        <w:spacing w:after="0" w:line="225" w:lineRule="exact"/>
        <w:rPr>
          <w:sz w:val="20"/>
          <w:szCs w:val="20"/>
          <w:color w:val="auto"/>
        </w:rPr>
      </w:pPr>
    </w:p>
    <w:p>
      <w:pPr>
        <w:ind w:right="460" w:firstLine="432"/>
        <w:spacing w:after="0" w:line="259" w:lineRule="auto"/>
        <w:rPr>
          <w:sz w:val="20"/>
          <w:szCs w:val="20"/>
          <w:color w:val="auto"/>
        </w:rPr>
      </w:pPr>
      <w:r>
        <w:rPr>
          <w:rFonts w:ascii="Arial" w:cs="Arial" w:eastAsia="Arial" w:hAnsi="Arial"/>
          <w:sz w:val="18"/>
          <w:szCs w:val="18"/>
          <w:color w:val="auto"/>
        </w:rPr>
        <w:t>Autodesk recognizes revenue from the sale of (1) product subscriptions, cloud service offerings, and flexible enterprise business arrangements ("EBAs"), (2) renewal fees for existing maintenance plan agreements that were initially purchased with a perpetual software license, and (3) consulting, training and other goods and services. The three categories are presented as line items on Autodesk's unaudited Condensed Consolidated Statements of Operations.</w:t>
      </w:r>
    </w:p>
    <w:p>
      <w:pPr>
        <w:spacing w:after="0" w:line="18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Information regarding the components of Autodesk's net revenue from contracts with customers by geographic location, product family, and sales channel is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July 31,</w:t>
            </w:r>
          </w:p>
        </w:tc>
        <w:tc>
          <w:tcPr>
            <w:tcW w:w="240" w:type="dxa"/>
            <w:vAlign w:val="bottom"/>
          </w:tcPr>
          <w:p>
            <w:pPr>
              <w:spacing w:after="0"/>
              <w:rPr>
                <w:sz w:val="16"/>
                <w:szCs w:val="16"/>
                <w:color w:val="auto"/>
              </w:rPr>
            </w:pPr>
          </w:p>
        </w:tc>
        <w:tc>
          <w:tcPr>
            <w:tcW w:w="21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9"/>
              </w:rPr>
              <w:t>Six Months Ended July 31,</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product family (1):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5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243.1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189.6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464.9</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375.5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260.6</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AutoCAD and AutoCAD LT</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332.2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264.6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987.5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5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364.4</w:t>
            </w:r>
          </w:p>
        </w:tc>
        <w:tc>
          <w:tcPr>
            <w:tcW w:w="0" w:type="dxa"/>
            <w:vAlign w:val="bottom"/>
          </w:tcPr>
          <w:p>
            <w:pPr>
              <w:spacing w:after="0"/>
              <w:rPr>
                <w:sz w:val="1"/>
                <w:szCs w:val="1"/>
                <w:color w:val="auto"/>
              </w:rPr>
            </w:pPr>
          </w:p>
        </w:tc>
      </w:tr>
      <w:tr>
        <w:trPr>
          <w:trHeight w:val="237"/>
        </w:trPr>
        <w:tc>
          <w:tcPr>
            <w:tcW w:w="652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247.5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424.1</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248.3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469.2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389.0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174.4</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Total net revenue</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611.7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501.8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1,171.6</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987.5</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Net revenue by sales channel:</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Indirect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694.8</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Direct</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147.1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333.1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292.7</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987.5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Due to changes in the go-to-market offerings of our AutoCAD product subscription, prior period balances have been adjusted to conform to current period presentation.</w:t>
      </w:r>
    </w:p>
    <w:p>
      <w:pPr>
        <w:spacing w:after="0" w:line="203"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Payments for product subscriptions, industry collections, cloud subscriptions, and maintenance subscriptions are typically due up front with payment terms of 30 to 45 days. Payments on EBAs are typically due in annual installments over the contract term, with payment terms of 30 to 45 days. Autodesk does not have any material variable consideration, such as obligations for returns, refunds, warranties or amounts due to customers for which significant estimation or judgment is required as of the reporting date.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4" w:right="259" w:bottom="1440" w:gutter="0" w:footer="0" w:header="0"/>
        </w:sectPr>
      </w:pPr>
    </w:p>
    <w:bookmarkStart w:id="12" w:name="page13"/>
    <w:bookmarkEnd w:id="12"/>
    <w:p>
      <w:pPr>
        <w:ind w:right="260" w:firstLine="405"/>
        <w:spacing w:after="0" w:line="286" w:lineRule="auto"/>
        <w:rPr>
          <w:sz w:val="20"/>
          <w:szCs w:val="20"/>
          <w:color w:val="auto"/>
        </w:rPr>
      </w:pPr>
      <w:r>
        <w:rPr>
          <w:rFonts w:ascii="Arial" w:cs="Arial" w:eastAsia="Arial" w:hAnsi="Arial"/>
          <w:sz w:val="17"/>
          <w:szCs w:val="17"/>
          <w:color w:val="auto"/>
        </w:rPr>
        <w:t>As of July 31, 2018, Autodesk had total billed and unbilled deferred revenue of $2.2 billion, which represents the total contract price allocated to undelivered performance obligations, which are generally recognized over the next three years. We expect to recognize $1.6 billion or 74% of this revenue during the next 12 months. We expect to recognize the remaining $0.6 billion or 26% of this revenue thereafter.</w:t>
      </w:r>
    </w:p>
    <w:p>
      <w:pPr>
        <w:spacing w:after="0" w:line="166"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We expect that the amount of billed and unbilled deferred revenue will change from quarter to quarter for several reasons, including the specific timing, duration and size of customer subscription and support agreements, varying billing cycles of such agreements, the specific timing of customer renewals, and foreign currency fluctuations.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We receive payments from customers based on a billing schedule as established in our contracts. Contract assets relate to performance completed in advance of scheduled billings. Contract assets were not material as of July 31, 2018. Deferred revenue relates to payments received in advance of performance under the contract. The primary changes in our contract assets and deferred revenues are due to our performance under the contracts and billings.</w:t>
      </w:r>
    </w:p>
    <w:p>
      <w:pPr>
        <w:spacing w:after="0" w:line="14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Revenue recognized during the six months ended July 31, 2018, that was included in the deferred revenue balances at January 31, 2018, was $922.5 million. The satisfaction of performance obligations typically lags behind payments received under revenue contracts from customers, which may lead to an increase in our deferred revenue balance over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$400.0 million line of credit facility.</w:t>
      </w:r>
    </w:p>
    <w:p>
      <w:pPr>
        <w:spacing w:after="0" w:line="187"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Total sales to the distributor Tech Data Corporation and its global affiliates (“Tech Data”) accounted for 35% of Autodesk’s total net revenue for both the three and six months ended July 31, 2018 and 31% and 30% for the three and six months ended July 31, 2017, respectively. The majority of the net revenue from sales to Tech Data is for sales made outside of the United States. In addition, Tech Data accounted for 32% and 31% of trade accounts receivable at July 31, 2018 and January 31, 2018, respectively. No other customer accounted for more than 10% of Autodesk's total net revenue or trade accounts receivable for each of the respective periods.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80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5</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July 31, 2018 and January 31, 2018:</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July 31, 2018</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60" w:type="dxa"/>
            <w:vAlign w:val="bottom"/>
          </w:tcPr>
          <w:p>
            <w:pPr>
              <w:jc w:val="center"/>
              <w:ind w:right="6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Agency bonds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Custody cash deposit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Sovereign debt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Agency bonds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Asset 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Certificates of deposit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Sovereign debt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Mutual funds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Long-term</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Agency bonds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Asset backed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Sovereign debt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(2)</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Derivative contract assets (3)</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liabilities (4)</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080" w:type="dxa"/>
            <w:vAlign w:val="bottom"/>
          </w:tcPr>
          <w:p>
            <w:pPr>
              <w:ind w:left="3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837.0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847.2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186.6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653.1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January 31, 2018</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5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Agency bonds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Custody cash deposit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Sovereign debt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Asset backed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(2)</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Agency bonds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Asset 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Sovereign debt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Convertible debt securities (3)</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assets (4)</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Derivative contract liabilities (5)</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667.1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agency bonds, certificates of deposit, sovereign debt, and municipal bonds.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16" w:lineRule="exact"/>
        <w:rPr>
          <w:rFonts w:ascii="Arial" w:cs="Arial" w:eastAsia="Arial" w:hAnsi="Arial"/>
          <w:sz w:val="15"/>
          <w:szCs w:val="15"/>
          <w:color w:val="auto"/>
        </w:rPr>
      </w:pPr>
    </w:p>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203"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up to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022" w:right="259" w:bottom="1440" w:gutter="0" w:footer="0" w:header="0"/>
        </w:sectPr>
      </w:pPr>
    </w:p>
    <w:bookmarkStart w:id="15" w:name="page16"/>
    <w:bookmarkEnd w:id="15"/>
    <w:p>
      <w:pPr>
        <w:ind w:right="40"/>
        <w:spacing w:after="0" w:line="272" w:lineRule="auto"/>
        <w:rPr>
          <w:sz w:val="20"/>
          <w:szCs w:val="20"/>
          <w:color w:val="auto"/>
        </w:rPr>
      </w:pPr>
      <w:r>
        <w:rPr>
          <w:rFonts w:ascii="Arial" w:cs="Arial" w:eastAsia="Arial" w:hAnsi="Arial"/>
          <w:sz w:val="17"/>
          <w:szCs w:val="17"/>
          <w:color w:val="auto"/>
        </w:rPr>
        <w:t>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Autodesk reviews its leveling classifications for any potential changes on a quarterly basis, in conjunction with our fiscal quarter-end close. As part of this assessment, Autodesk transferred the fair value measurement of $245.2 million between Level 1 to Level 2 and $122.9 million between Level 2 to Level 1 during the six months ended July 31, 2018. It is Autodesk's assessment that the leveling best reflects current market activity when observing the pricing information for these assets.</w:t>
      </w:r>
    </w:p>
    <w:p>
      <w:pPr>
        <w:spacing w:after="0" w:line="17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convertible debt securities and derivative contracts which are valued using probability weighted discounted cash flow models as some of the inputs to the models are unobservable in the market.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six months ended July 31, 2018 follows:</w:t>
      </w:r>
    </w:p>
    <w:p>
      <w:pPr>
        <w:spacing w:after="0" w:line="379"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13335</wp:posOffset>
            </wp:positionV>
            <wp:extent cx="28213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tcPr>
          <w:p>
            <w:pPr>
              <w:spacing w:after="0"/>
              <w:rPr>
                <w:sz w:val="13"/>
                <w:szCs w:val="13"/>
                <w:color w:val="auto"/>
              </w:rPr>
            </w:pPr>
          </w:p>
        </w:tc>
        <w:tc>
          <w:tcPr>
            <w:tcW w:w="16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Derivative Contracts</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Convertible Debt</w:t>
            </w:r>
          </w:p>
        </w:tc>
        <w:tc>
          <w:tcPr>
            <w:tcW w:w="320" w:type="dxa"/>
            <w:vAlign w:val="bottom"/>
          </w:tcPr>
          <w:p>
            <w:pPr>
              <w:spacing w:after="0"/>
              <w:rPr>
                <w:sz w:val="13"/>
                <w:szCs w:val="13"/>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2018</w:t>
            </w:r>
          </w:p>
        </w:tc>
        <w:tc>
          <w:tcPr>
            <w:tcW w:w="680" w:type="dxa"/>
            <w:vAlign w:val="bottom"/>
            <w:tcBorders>
              <w:top w:val="single" w:sz="8" w:color="auto"/>
              <w:bottom w:val="single" w:sz="8" w:color="CCEEFF"/>
            </w:tcBorders>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6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included in earnings</w:t>
            </w:r>
          </w:p>
        </w:tc>
        <w:tc>
          <w:tcPr>
            <w:tcW w:w="6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Loss included in OCI</w:t>
            </w:r>
          </w:p>
        </w:tc>
        <w:tc>
          <w:tcPr>
            <w:tcW w:w="6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July 31, 2018</w:t>
            </w:r>
          </w:p>
        </w:tc>
        <w:tc>
          <w:tcPr>
            <w:tcW w:w="68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estimated fair value of Autodesk's securities classified by the contractual maturity date of the security: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 2018</w:t>
            </w:r>
          </w:p>
        </w:tc>
        <w:tc>
          <w:tcPr>
            <w:tcW w:w="10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within 1 year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220.3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124.3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123.4</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5 years through 10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after 10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349.3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347.1</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As of July 31, 2018, and January 31, 2018, Autodesk had no material securities, individually and in the aggregate, in a continuous unrealized loss position for greater than twelve months.</w:t>
      </w:r>
    </w:p>
    <w:p>
      <w:pPr>
        <w:spacing w:after="0" w:line="170" w:lineRule="exact"/>
        <w:rPr>
          <w:sz w:val="20"/>
          <w:szCs w:val="20"/>
          <w:color w:val="auto"/>
        </w:rPr>
      </w:pPr>
    </w:p>
    <w:p>
      <w:pPr>
        <w:jc w:val="both"/>
        <w:ind w:right="140" w:firstLine="405"/>
        <w:spacing w:after="0" w:line="342" w:lineRule="auto"/>
        <w:rPr>
          <w:sz w:val="20"/>
          <w:szCs w:val="20"/>
          <w:color w:val="auto"/>
        </w:rPr>
      </w:pPr>
      <w:r>
        <w:rPr>
          <w:rFonts w:ascii="Arial" w:cs="Arial" w:eastAsia="Arial" w:hAnsi="Arial"/>
          <w:sz w:val="16"/>
          <w:szCs w:val="16"/>
          <w:color w:val="auto"/>
        </w:rPr>
        <w:t>There was no loss or gain for the sales or redemptions of securities during the six months ended July 31, 2018. Gains and losses resulting from the sale or redemption of securities are recorded in “Interest and other income (expense), net” on the Company's Condensed Consolidated Statements of Operations.</w:t>
      </w:r>
    </w:p>
    <w:p>
      <w:pPr>
        <w:spacing w:after="0" w:line="12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six months ended July 31, 2018 and 2017, were $146.6 million and $531.1 million,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Non-marketable equity securities</w:t>
      </w:r>
    </w:p>
    <w:p>
      <w:pPr>
        <w:spacing w:after="0" w:line="225"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As of July 31, 2018, and January 31, 2018, Autodesk had $113.1 million and $112.3 million, respectively, in direct investments in privately held companies. These non-marketable equity securities investments do not have readily determined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ind w:right="220"/>
        <w:spacing w:after="0" w:line="342" w:lineRule="auto"/>
        <w:rPr>
          <w:sz w:val="20"/>
          <w:szCs w:val="20"/>
          <w:color w:val="auto"/>
        </w:rPr>
      </w:pPr>
      <w:r>
        <w:rPr>
          <w:rFonts w:ascii="Arial" w:cs="Arial" w:eastAsia="Arial" w:hAnsi="Arial"/>
          <w:sz w:val="16"/>
          <w:szCs w:val="16"/>
          <w:color w:val="auto"/>
        </w:rPr>
        <w:t>fair value and with the adoption of ASU 2016-01 during the first quarter of fiscal 2019, Autodesk elected to use the measurement alternative to account for the adjustment to these investments in a given quarter. See "Note 2. Recently Issued Accounting Standards" for more details on the adoption.</w:t>
      </w:r>
    </w:p>
    <w:p>
      <w:pPr>
        <w:spacing w:after="0" w:line="12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Under the measurement alternative method, these investments are measured at cost, less any impairments, plus or minus changes resulting from observable price changes in orderly transactions for the identical or similar investment of the same issuer in the current period. To determine if a transaction is for a similar investment, Autodesk considers the rights and obligations between the investments and the extent to which those differences would affect the fair values of those investments with additional consideration for the stage of development of the investee company. The fair value would then be adjusted positively or negatively based on available information such as pricing in recent rounds of financing. During the six months ended July 31, 2018 and cumulative since the adoption of ASU 2016-01 in the first quarter of fiscal 2019, Autodesk recorded $6.2 million as a positive adjustment on certain of its privately held investments, reflected as a gain in "Interest and other income (expense), net" on the Company's Condensed Consolidated Statement of Operations.</w:t>
      </w:r>
    </w:p>
    <w:p>
      <w:pPr>
        <w:spacing w:after="0" w:line="192"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Non-marketable equity securities investments are periodically assessed for impairment based on available information such as current cash positions, earnings and cash flow positions, earnings and cash flow forecasts, recent operational performance and any other readily available market data. Autodesk does not intend to sell these investments and it is not more likely than not that Autodesk will be required to sell the investment before recovery of the amortized cost basis. If Autodesk determines that an impairment has occurred, Autodesk writes down the investment to its fair value. During the three and six months ended July 31, 2018, Autodesk recorded $2.8 million and $4.8 million, respectively, in impairments on its privately held investments. Therefore, Autodesk does not consider the remaining investments to be impaired at July 31, 2018. During the three and six months ended July 31, 2017, Autodesk recorded $3.6 million and $4.1 million, respectively, in impairments on its privately held investments.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primarily denominated in euros, Japanese yen, Swiss francs, British pounds, Canadian dollars, and Australian dollars. These instruments have maturities between one and twelve months in the future. Autodesk does not enter into derivative instrument transactions for trading or speculative purposes.</w:t>
      </w:r>
    </w:p>
    <w:p>
      <w:pPr>
        <w:spacing w:after="0" w:line="154"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income (expense), net” in the Company's Condensed Consolidated Financial Statements at that time.</w:t>
      </w:r>
    </w:p>
    <w:p>
      <w:pPr>
        <w:spacing w:after="0" w:line="179"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The net notional amounts of these contracts are presented net settled and were $639.3 million at July 31, 2018, and $619.9 million at January 31, 2018. Outstanding contracts are recognized as either assets or liabilities on the balance sheet at fair value. The majority of the net gain of $1.0 million remaining in “Accumulated other comprehensive loss” as of July 31, 2018, is expected to be recognized into earnings within the next twelve months.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Autodesk uses foreign currency contracts that are not designated as hedging instruments to reduce the exchange rate risk associated primarily with foreign currency denominated receivables and payables. These forward contracts are marked-to-market at the end of each fiscal quarter with gains and losses recognized in “Interest and other income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$339.0 million at July 31, 2018, and $329.6 million at January 31, 2018.</w:t>
      </w:r>
    </w:p>
    <w:p>
      <w:pPr>
        <w:spacing w:after="0" w:line="178"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“Interest and other income (expense), net.”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fair values of derivative instruments in Autodesk’s Condensed Consolidated Balance Sheets were as follows as of July 31, 2018 and January 31, 2018:</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5620" w:type="dxa"/>
            <w:vAlign w:val="bottom"/>
          </w:tcPr>
          <w:p>
            <w:pPr>
              <w:spacing w:after="0"/>
              <w:rPr>
                <w:sz w:val="22"/>
                <w:szCs w:val="22"/>
                <w:color w:val="auto"/>
              </w:rPr>
            </w:pPr>
          </w:p>
        </w:tc>
        <w:tc>
          <w:tcPr>
            <w:tcW w:w="2740" w:type="dxa"/>
            <w:vAlign w:val="bottom"/>
            <w:gridSpan w:val="2"/>
          </w:tcPr>
          <w:p>
            <w:pPr>
              <w:ind w:left="580"/>
              <w:spacing w:after="0"/>
              <w:rPr>
                <w:sz w:val="20"/>
                <w:szCs w:val="20"/>
                <w:color w:val="auto"/>
              </w:rPr>
            </w:pPr>
            <w:r>
              <w:rPr>
                <w:rFonts w:ascii="Arial" w:cs="Arial" w:eastAsia="Arial" w:hAnsi="Arial"/>
                <w:sz w:val="14"/>
                <w:szCs w:val="14"/>
                <w:b w:val="1"/>
                <w:bCs w:val="1"/>
                <w:color w:val="auto"/>
              </w:rPr>
              <w:t>Balance Sheet Location</w:t>
            </w:r>
          </w:p>
        </w:tc>
        <w:tc>
          <w:tcPr>
            <w:tcW w:w="24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31, 2018</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2018</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0"/>
        </w:trPr>
        <w:tc>
          <w:tcPr>
            <w:tcW w:w="562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Prepaid expenses and other current</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5620" w:type="dxa"/>
            <w:vAlign w:val="bottom"/>
          </w:tcPr>
          <w:p>
            <w:pPr>
              <w:spacing w:after="0"/>
              <w:rPr>
                <w:sz w:val="17"/>
                <w:szCs w:val="17"/>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6.2</w:t>
            </w: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9"/>
        </w:trPr>
        <w:tc>
          <w:tcPr>
            <w:tcW w:w="56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and Other assets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r>
      <w:tr>
        <w:trPr>
          <w:trHeight w:val="284"/>
        </w:trPr>
        <w:tc>
          <w:tcPr>
            <w:tcW w:w="56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6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8.2</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18.7</w:t>
            </w: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r>
      <w:tr>
        <w:trPr>
          <w:trHeight w:val="244"/>
        </w:trPr>
        <w:tc>
          <w:tcPr>
            <w:tcW w:w="5620" w:type="dxa"/>
            <w:vAlign w:val="bottom"/>
          </w:tcPr>
          <w:p>
            <w:pPr>
              <w:ind w:left="720"/>
              <w:spacing w:after="0"/>
              <w:rPr>
                <w:sz w:val="20"/>
                <w:szCs w:val="20"/>
                <w:color w:val="auto"/>
              </w:rPr>
            </w:pPr>
            <w:r>
              <w:rPr>
                <w:rFonts w:ascii="Arial" w:cs="Arial" w:eastAsia="Arial" w:hAnsi="Arial"/>
                <w:sz w:val="16"/>
                <w:szCs w:val="16"/>
                <w:color w:val="auto"/>
              </w:rPr>
              <w:t>Total derivative liabilities</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26.6</w:t>
            </w:r>
          </w:p>
        </w:tc>
      </w:tr>
      <w:tr>
        <w:trPr>
          <w:trHeight w:val="20"/>
        </w:trPr>
        <w:tc>
          <w:tcPr>
            <w:tcW w:w="5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and six months ended July 31, 2018 and 2017 (amounts presented include any income tax effects):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Foreign Currency Contracts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22"/>
                <w:szCs w:val="22"/>
                <w:color w:val="auto"/>
              </w:rPr>
            </w:pPr>
          </w:p>
        </w:tc>
        <w:tc>
          <w:tcPr>
            <w:tcW w:w="24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9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1"/>
                <w:shd w:val="clear" w:color="auto" w:fill="CCEEFF"/>
              </w:rPr>
              <w:t xml:space="preserve">Amount </w:t>
            </w:r>
            <w:r>
              <w:rPr>
                <w:rFonts w:ascii="Arial" w:cs="Arial" w:eastAsia="Arial" w:hAnsi="Arial"/>
                <w:sz w:val="16"/>
                <w:szCs w:val="16"/>
                <w:i w:val="1"/>
                <w:iCs w:val="1"/>
                <w:color w:val="auto"/>
                <w:w w:val="91"/>
              </w:rPr>
              <w:t>of gain (loss) recognized in accumulated other comprehensive loss</w:t>
            </w:r>
          </w:p>
        </w:tc>
        <w:tc>
          <w:tcPr>
            <w:tcW w:w="1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78"/>
                <w:shd w:val="clear" w:color="auto" w:fill="CCEEFF"/>
              </w:rPr>
              <w:t>on</w:t>
            </w:r>
          </w:p>
        </w:tc>
        <w:tc>
          <w:tcPr>
            <w:tcW w:w="5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shd w:val="clear" w:color="auto" w:fill="CCEEFF"/>
              </w:rPr>
              <w:t>derivatives (effective portion)</w:t>
            </w:r>
          </w:p>
        </w:tc>
        <w:tc>
          <w:tcPr>
            <w:tcW w:w="660" w:type="dxa"/>
            <w:vAlign w:val="bottom"/>
            <w:tcBorders>
              <w:bottom w:val="single" w:sz="8" w:color="CCEEFF"/>
            </w:tcBorders>
            <w:gridSpan w:val="2"/>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4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6"/>
                <w:szCs w:val="16"/>
                <w:i w:val="1"/>
                <w:iCs w:val="1"/>
                <w:color w:val="auto"/>
              </w:rPr>
              <w:t>Amount and location of (loss) gain reclassified from accumulated other</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600" w:type="dxa"/>
            <w:vAlign w:val="bottom"/>
            <w:gridSpan w:val="4"/>
            <w:vMerge w:val="continue"/>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560" w:type="dxa"/>
            <w:vAlign w:val="bottom"/>
            <w:gridSpan w:val="3"/>
          </w:tcPr>
          <w:p>
            <w:pPr>
              <w:ind w:left="160"/>
              <w:spacing w:after="0"/>
              <w:rPr>
                <w:sz w:val="20"/>
                <w:szCs w:val="20"/>
                <w:color w:val="auto"/>
              </w:rPr>
            </w:pPr>
            <w:r>
              <w:rPr>
                <w:rFonts w:ascii="Arial" w:cs="Arial" w:eastAsia="Arial" w:hAnsi="Arial"/>
                <w:sz w:val="16"/>
                <w:szCs w:val="16"/>
                <w:i w:val="1"/>
                <w:iCs w:val="1"/>
                <w:color w:val="auto"/>
              </w:rPr>
              <w:t>comprehensive loss into (loss) income (effective portion)</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Net revenue</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60" w:type="dxa"/>
            <w:vAlign w:val="bottom"/>
            <w:gridSpan w:val="3"/>
          </w:tcPr>
          <w:p>
            <w:pPr>
              <w:ind w:left="340"/>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5600" w:type="dxa"/>
            <w:vAlign w:val="bottom"/>
            <w:gridSpan w:val="4"/>
            <w:vMerge w:val="restart"/>
          </w:tcPr>
          <w:p>
            <w:pPr>
              <w:ind w:left="40"/>
              <w:spacing w:after="0"/>
              <w:rPr>
                <w:sz w:val="20"/>
                <w:szCs w:val="20"/>
                <w:color w:val="auto"/>
              </w:rPr>
            </w:pPr>
            <w:r>
              <w:rPr>
                <w:rFonts w:ascii="Arial" w:cs="Arial" w:eastAsia="Arial" w:hAnsi="Arial"/>
                <w:sz w:val="16"/>
                <w:szCs w:val="16"/>
                <w:i w:val="1"/>
                <w:iCs w:val="1"/>
                <w:color w:val="auto"/>
              </w:rPr>
              <w:t>Amount and location of gain (loss) recognized in (loss) income on derivatives</w:t>
            </w: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00" w:type="dxa"/>
            <w:vAlign w:val="bottom"/>
            <w:gridSpan w:val="4"/>
            <w:vMerge w:val="continue"/>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560" w:type="dxa"/>
            <w:vAlign w:val="bottom"/>
            <w:gridSpan w:val="3"/>
          </w:tcPr>
          <w:p>
            <w:pPr>
              <w:ind w:left="160"/>
              <w:spacing w:after="0"/>
              <w:rPr>
                <w:sz w:val="20"/>
                <w:szCs w:val="20"/>
                <w:color w:val="auto"/>
              </w:rPr>
            </w:pPr>
            <w:r>
              <w:rPr>
                <w:rFonts w:ascii="Arial" w:cs="Arial" w:eastAsia="Arial" w:hAnsi="Arial"/>
                <w:sz w:val="16"/>
                <w:szCs w:val="16"/>
                <w:i w:val="1"/>
                <w:iCs w:val="1"/>
                <w:color w:val="auto"/>
              </w:rPr>
              <w:t>(ineffective portion and amount excluded from effectiveness testing)</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Interest and other income (expense), net</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ind w:right="12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and six months ended July 31, 2018 and 2017 (amounts presented include any income tax effects):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7"/>
              </w:rPr>
              <w:t>Three Months Ended July 31,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gridSpan w:val="5"/>
          </w:tcPr>
          <w:p>
            <w:pPr>
              <w:jc w:val="right"/>
              <w:ind w:right="243"/>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60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Amount and location of gain (loss) recognized on derivatives in net (loss)</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Interest and other income (expense), net</w:t>
            </w:r>
          </w:p>
        </w:tc>
        <w:tc>
          <w:tcPr>
            <w:tcW w:w="960" w:type="dxa"/>
            <w:vAlign w:val="bottom"/>
          </w:tcPr>
          <w:p>
            <w:pPr>
              <w:jc w:val="right"/>
              <w:ind w:right="785"/>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20"/>
                <w:szCs w:val="20"/>
                <w:color w:val="auto"/>
              </w:rPr>
            </w:pP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98"/>
              </w:rPr>
              <w:t>6.0</w:t>
            </w:r>
          </w:p>
        </w:tc>
        <w:tc>
          <w:tcPr>
            <w:tcW w:w="10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(8.3)</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4" w:right="259" w:bottom="1440" w:gutter="0" w:footer="0" w:header="0"/>
        </w:sectPr>
      </w:pPr>
    </w:p>
    <w:bookmarkStart w:id="19" w:name="page20"/>
    <w:bookmarkEnd w:id="19"/>
    <w:p>
      <w:pPr>
        <w:ind w:left="220" w:right="4760" w:hanging="212"/>
        <w:spacing w:after="0" w:line="501" w:lineRule="auto"/>
        <w:tabs>
          <w:tab w:leader="none" w:pos="184"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i w:val="1"/>
          <w:iCs w:val="1"/>
          <w:color w:val="auto"/>
        </w:rPr>
        <w:t>Restricted Stock Units:</w:t>
      </w:r>
    </w:p>
    <w:p>
      <w:pPr>
        <w:ind w:left="4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A summary of restricted stock activity for the six months ended July 31,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January 31, 2018</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July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date fair value</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4"/>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5,670.7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82.94</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476.7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142.47</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(989.6)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79.10</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(411.0)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85.49</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96.04</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4,776.7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90.34</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584" w:right="239" w:bottom="1440" w:gutter="0" w:footer="0" w:header="0"/>
        </w:sectPr>
      </w:pP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right="340" w:hanging="412"/>
        <w:spacing w:after="0" w:line="263"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2018 performance period. The performance stock units were attained at rates ranging from 90.0% to 117.6% of the target award.</w:t>
      </w:r>
    </w:p>
    <w:p>
      <w:pPr>
        <w:spacing w:after="0" w:line="17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7"/>
          <w:szCs w:val="17"/>
          <w:color w:val="auto"/>
        </w:rPr>
        <w:t>The fair value of the shares vested during the six months ended July 31, 2018 and 2017 was $133.7 million and $116.9 million, respectively.</w:t>
      </w:r>
    </w:p>
    <w:p>
      <w:pPr>
        <w:spacing w:after="0" w:line="23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During the six months ended July 31, 2018, Autodesk granted 0.3 million restricted stock units. Autodesk recorded stock-based compensation expense related to restricted stock units of $44.1 million and $52.0 million during the three months ended July 31, 2018 and 2017, respectively. Autodesk recorded stock-based compensation expense related to restricted stock units of $85.8 million and $102.0 million during the six months ended July 31, 2018 and 2017, respectively. The $52.0 million and $102.0 million of stock-based compensation expense for the three and six months ended July 31, 2017, respectively, includes $5.9 million and $9.1 million, respectively, related to the acceleration of eligible restricted stock awards in conjunction with the Company's former CEO's transition agreement.</w:t>
      </w:r>
    </w:p>
    <w:p>
      <w:pPr>
        <w:spacing w:after="0" w:line="193"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During the six months ended July 31, 2018, Autodesk granted 0.2 million performance stock units for which the ultimate number of shares earned is determined based on the achievement of performance criteria at the end of the stated service and performance period. The performance criteria for the performance stock units are based on Annualized Recurring Revenue ("ARR") and free cash flow per share goals adopted by the Compensation and Human Resource Committee, as well as total stockholder return compared against companies in the S&amp;P Computer Software Select Index or the S&amp;P North American Technology Software Index (“Relative TSR”). These performance stock units vest over a three-year period and have the following vesting schedule:</w:t>
      </w:r>
    </w:p>
    <w:p>
      <w:pPr>
        <w:spacing w:after="0" w:line="193" w:lineRule="exact"/>
        <w:rPr>
          <w:sz w:val="20"/>
          <w:szCs w:val="20"/>
          <w:color w:val="auto"/>
        </w:rPr>
      </w:pPr>
    </w:p>
    <w:p>
      <w:pPr>
        <w:ind w:left="660" w:right="2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one, depending upon the achievement of the performance criteria for fiscal 2019 as well as 1-year Relative TSR (covering year one).</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84"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Performance stock units are not considered outstanding stock at the time of grant, as the holders of these units are not entitled to any of the rights of a stockholder, including voting rights. Autodesk has determined the grant date fair value for these awards using the stock price on the date of grant or if the awards are also subject to a market condition, a Monte Carlo simulation model. The fair value of the performance stock units is expensed using the accelerated attribution over the vesting period. Autodesk recorded stock-based compensation expense related to performance stock units of $5.9 million and $9.7 million for the three months ended July 31, 2018 and 2017, respectively. Autodesk recorded stock-based compensation expense related to performance stock units of $12.4 million and $20.6 million for the six months ended July 31, 2018 and 2017, respectively. The $9.7 million and $20.6 million of stock-based compensation expense for the three and six months ended July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type w:val="continuous"/>
        </w:sectPr>
      </w:pPr>
    </w:p>
    <w:bookmarkStart w:id="20" w:name="page21"/>
    <w:bookmarkEnd w:id="20"/>
    <w:p>
      <w:pPr>
        <w:ind w:right="300"/>
        <w:spacing w:after="0" w:line="277" w:lineRule="auto"/>
        <w:rPr>
          <w:sz w:val="20"/>
          <w:szCs w:val="20"/>
          <w:color w:val="auto"/>
        </w:rPr>
      </w:pPr>
      <w:r>
        <w:rPr>
          <w:rFonts w:ascii="Arial" w:cs="Arial" w:eastAsia="Arial" w:hAnsi="Arial"/>
          <w:sz w:val="18"/>
          <w:szCs w:val="18"/>
          <w:color w:val="auto"/>
        </w:rPr>
        <w:t>31, 2017, respectively, includes $2.8 million and $7.5 million, respectively, related to the acceleration of eligible performance stock awards in conjunction with the Company's former CEO's transition agreement.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(“ESPP”)</w:t>
      </w:r>
    </w:p>
    <w:p>
      <w:pPr>
        <w:spacing w:after="0" w:line="22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ESPP activity for the six months ended July 31, 2018 and 2017,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4"/>
                <w:szCs w:val="14"/>
                <w:b w:val="1"/>
                <w:bCs w:val="1"/>
                <w:color w:val="auto"/>
              </w:rPr>
              <w:t>Six Months Ended July 31,</w:t>
            </w:r>
          </w:p>
        </w:tc>
        <w:tc>
          <w:tcPr>
            <w:tcW w:w="5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Issued shares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Average price of issued shares</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88.45</w:t>
            </w:r>
          </w:p>
        </w:tc>
        <w:tc>
          <w:tcPr>
            <w:tcW w:w="120" w:type="dxa"/>
            <w:vAlign w:val="bottom"/>
          </w:tcPr>
          <w:p>
            <w:pPr>
              <w:spacing w:after="0"/>
              <w:rPr>
                <w:sz w:val="20"/>
                <w:szCs w:val="20"/>
                <w:color w:val="auto"/>
              </w:rPr>
            </w:pP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38.34</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 of awards granted under the ESPP (1)</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37.64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25.13</w:t>
            </w:r>
          </w:p>
        </w:tc>
      </w:tr>
      <w:tr>
        <w:trPr>
          <w:trHeight w:val="220"/>
        </w:trPr>
        <w:tc>
          <w:tcPr>
            <w:tcW w:w="834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ind w:left="420" w:hanging="412"/>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as of the award grant date using the Black-Scholes Merton (“BSM") option pricing model.</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stock-based compensation expense for the three and six months ended July 31, 2018 and 2017, respectively,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rPr>
              <w:t>Three Months Ended July 31,</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subscription and maintenance revenue</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Cost of other revenue</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0"/>
        </w:trPr>
        <w:tc>
          <w:tcPr>
            <w:tcW w:w="51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200"/>
              <w:spacing w:after="0"/>
              <w:rPr>
                <w:sz w:val="20"/>
                <w:szCs w:val="20"/>
                <w:color w:val="auto"/>
              </w:rPr>
            </w:pPr>
            <w:r>
              <w:rPr>
                <w:rFonts w:ascii="Arial" w:cs="Arial" w:eastAsia="Arial" w:hAnsi="Arial"/>
                <w:sz w:val="16"/>
                <w:szCs w:val="16"/>
                <w:color w:val="auto"/>
              </w:rPr>
              <w:t>purchases</w:t>
            </w:r>
          </w:p>
        </w:tc>
        <w:tc>
          <w:tcPr>
            <w:tcW w:w="98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134.4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0"/>
        </w:trPr>
        <w:tc>
          <w:tcPr>
            <w:tcW w:w="51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w:t>
            </w:r>
          </w:p>
        </w:tc>
        <w:tc>
          <w:tcPr>
            <w:tcW w:w="980" w:type="dxa"/>
            <w:vAlign w:val="bottom"/>
            <w:tcBorders>
              <w:top w:val="single" w:sz="8" w:color="auto"/>
            </w:tcBorders>
            <w:vMerge w:val="restart"/>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17"/>
                <w:szCs w:val="17"/>
                <w:color w:val="auto"/>
              </w:rPr>
            </w:pPr>
          </w:p>
        </w:tc>
        <w:tc>
          <w:tcPr>
            <w:tcW w:w="980" w:type="dxa"/>
            <w:vAlign w:val="bottom"/>
            <w:tcBorders>
              <w:top w:val="single" w:sz="8" w:color="auto"/>
            </w:tcBorders>
            <w:vMerge w:val="restart"/>
          </w:tcPr>
          <w:p>
            <w:pPr>
              <w:jc w:val="right"/>
              <w:ind w:right="80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110.7</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134.1</w:t>
            </w:r>
          </w:p>
        </w:tc>
        <w:tc>
          <w:tcPr>
            <w:tcW w:w="0" w:type="dxa"/>
            <w:vAlign w:val="bottom"/>
          </w:tcPr>
          <w:p>
            <w:pPr>
              <w:spacing w:after="0"/>
              <w:rPr>
                <w:sz w:val="1"/>
                <w:szCs w:val="1"/>
                <w:color w:val="auto"/>
              </w:rPr>
            </w:pPr>
          </w:p>
        </w:tc>
      </w:tr>
      <w:tr>
        <w:trPr>
          <w:trHeight w:val="224"/>
        </w:trPr>
        <w:tc>
          <w:tcPr>
            <w:tcW w:w="5160" w:type="dxa"/>
            <w:vAlign w:val="bottom"/>
          </w:tcPr>
          <w:p>
            <w:pPr>
              <w:ind w:left="200"/>
              <w:spacing w:after="0"/>
              <w:rPr>
                <w:sz w:val="20"/>
                <w:szCs w:val="20"/>
                <w:color w:val="auto"/>
              </w:rPr>
            </w:pPr>
            <w:r>
              <w:rPr>
                <w:rFonts w:ascii="Arial" w:cs="Arial" w:eastAsia="Arial" w:hAnsi="Arial"/>
                <w:sz w:val="16"/>
                <w:szCs w:val="16"/>
                <w:color w:val="auto"/>
              </w:rPr>
              <w:t>purchases, net of tax</w:t>
            </w:r>
          </w:p>
        </w:tc>
        <w:tc>
          <w:tcPr>
            <w:tcW w:w="98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determines the grant 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uses multiple input variables to estimate the probability that market conditions will be achieved. Autodesk uses the following assumptions to estimate the fair value of stock-based awards: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July 31, 2018</w:t>
            </w:r>
          </w:p>
        </w:tc>
        <w:tc>
          <w:tcPr>
            <w:tcW w:w="100" w:type="dxa"/>
            <w:vAlign w:val="bottom"/>
          </w:tcPr>
          <w:p>
            <w:pPr>
              <w:spacing w:after="0"/>
              <w:rPr>
                <w:sz w:val="16"/>
                <w:szCs w:val="16"/>
                <w:color w:val="auto"/>
              </w:rPr>
            </w:pPr>
          </w:p>
        </w:tc>
        <w:tc>
          <w:tcPr>
            <w:tcW w:w="3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July 31, 2017</w:t>
            </w: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ESPP</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Performance Stock Unit</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ESPP</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7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N/A</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4"/>
        </w:trPr>
        <w:tc>
          <w:tcPr>
            <w:tcW w:w="480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720" w:type="dxa"/>
            <w:vAlign w:val="bottom"/>
            <w:gridSpan w:val="2"/>
          </w:tcPr>
          <w:p>
            <w:pPr>
              <w:jc w:val="center"/>
              <w:ind w:right="80"/>
              <w:spacing w:after="0"/>
              <w:rPr>
                <w:sz w:val="20"/>
                <w:szCs w:val="20"/>
                <w:color w:val="auto"/>
              </w:rPr>
            </w:pPr>
            <w:r>
              <w:rPr>
                <w:rFonts w:ascii="Arial" w:cs="Arial" w:eastAsia="Arial" w:hAnsi="Arial"/>
                <w:sz w:val="16"/>
                <w:szCs w:val="16"/>
                <w:color w:val="auto"/>
              </w:rPr>
              <w:t>N/A</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60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7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N/A</w:t>
            </w: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4"/>
        </w:trPr>
        <w:tc>
          <w:tcPr>
            <w:tcW w:w="480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720" w:type="dxa"/>
            <w:vAlign w:val="bottom"/>
            <w:gridSpan w:val="2"/>
          </w:tcPr>
          <w:p>
            <w:pPr>
              <w:jc w:val="center"/>
              <w:ind w:right="80"/>
              <w:spacing w:after="0"/>
              <w:rPr>
                <w:sz w:val="20"/>
                <w:szCs w:val="20"/>
                <w:color w:val="auto"/>
              </w:rPr>
            </w:pPr>
            <w:r>
              <w:rPr>
                <w:rFonts w:ascii="Arial" w:cs="Arial" w:eastAsia="Arial" w:hAnsi="Arial"/>
                <w:sz w:val="16"/>
                <w:szCs w:val="16"/>
                <w:color w:val="auto"/>
              </w:rPr>
              <w:t>N/A</w:t>
            </w: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1.2%</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3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Six Months Ended July 31, 2018</w:t>
            </w:r>
          </w:p>
        </w:tc>
        <w:tc>
          <w:tcPr>
            <w:tcW w:w="100" w:type="dxa"/>
            <w:vAlign w:val="bottom"/>
          </w:tcPr>
          <w:p>
            <w:pPr>
              <w:spacing w:after="0"/>
              <w:rPr>
                <w:sz w:val="19"/>
                <w:szCs w:val="19"/>
                <w:color w:val="auto"/>
              </w:rPr>
            </w:pPr>
          </w:p>
        </w:tc>
        <w:tc>
          <w:tcPr>
            <w:tcW w:w="3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Six Months Ended July 31, 2017</w:t>
            </w: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ESPP</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Performance Stock Unit</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ESPP</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Unit</w:t>
            </w:r>
          </w:p>
        </w:tc>
        <w:tc>
          <w:tcPr>
            <w:tcW w:w="172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33.5 - 37.5%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31.4 - 33.7%</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62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3"/>
              </w:rPr>
              <w:t>1.9 - 2.3%</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1.0 - 1.2%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0.9 - 1.3%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 subject to market conditions includes the expected volatility of Autodesk's peer companies within the S&amp;P Computer Software Select Index or S&amp;P North American Technology Software Index with a market capitalization over $2.0 billion, depending on the award type.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range of expected lives of ESPP awards are based upon the four, six-month exercise periods within a 24-month offering period.</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recognizes expense only for the stock-based awards that ultimately vest. Autodesk accounts for forfeitures of our stock-based awards as those forfeitures occur.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w:t>
      </w:r>
    </w:p>
    <w:p>
      <w:pPr>
        <w:spacing w:after="0" w:line="225" w:lineRule="exact"/>
        <w:rPr>
          <w:sz w:val="20"/>
          <w:szCs w:val="20"/>
          <w:color w:val="auto"/>
        </w:rPr>
      </w:pPr>
    </w:p>
    <w:p>
      <w:pPr>
        <w:ind w:right="40" w:firstLine="467"/>
        <w:spacing w:after="0" w:line="272" w:lineRule="auto"/>
        <w:rPr>
          <w:sz w:val="20"/>
          <w:szCs w:val="20"/>
          <w:color w:val="auto"/>
        </w:rPr>
      </w:pPr>
      <w:r>
        <w:rPr>
          <w:rFonts w:ascii="Arial" w:cs="Arial" w:eastAsia="Arial" w:hAnsi="Arial"/>
          <w:sz w:val="17"/>
          <w:szCs w:val="17"/>
          <w:color w:val="auto"/>
        </w:rPr>
        <w:t>Autodesk had income tax expense of $16.0 million, relative to pre-tax losses of $23.4 million for the three months ended July 31, 2018, and income tax expense of $17.6 million, relative to pre-tax losses of $126.4 million for the three months ended July 31, 2017. Autodesk had income tax expense of $34.6 million, relative to pre-tax losses of $87.2 million for the six months ended July 31, 2018, and income tax expense of $25.8 million, relative to pre-tax losses of $247.8 million for the six months ended July 31, 2017. The variance between the three months ended July 31, 2017 and July 31, 2018 was mainly due to a net tax benefit from an internal structure realignment in connection with the closure of our Switzerland operations. The tax benefit was partially offset with income taxes in profitable jurisdictions and withholdings taxes. Income tax expense for the six months ended July 31, 2018 increased primarily due to increased worldwide earnings, foreign taxes, and withholding taxes.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2" w:name="page23"/>
    <w:bookmarkEnd w:id="22"/>
    <w:p>
      <w:pPr>
        <w:ind w:right="260" w:firstLine="432"/>
        <w:spacing w:after="0" w:line="293" w:lineRule="auto"/>
        <w:rPr>
          <w:sz w:val="20"/>
          <w:szCs w:val="20"/>
          <w:color w:val="auto"/>
        </w:rPr>
      </w:pPr>
      <w:r>
        <w:rPr>
          <w:rFonts w:ascii="Arial" w:cs="Arial" w:eastAsia="Arial" w:hAnsi="Arial"/>
          <w:sz w:val="16"/>
          <w:szCs w:val="16"/>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In evaluating the need for a valuation allowance, Autodesk considered cumulative losses in the United States arising from the Company's business model transition as a significant piece of negative evidence and established a valuation allowance against the Company’s U.S. deferred tax assets in fiscal 2016. Based on the positive and negative evidence as of July 31, 2018, the Company continues to maintain a valuation allowance for the U.S. deferred tax assets.</w:t>
      </w:r>
    </w:p>
    <w:p>
      <w:pPr>
        <w:spacing w:after="0" w:line="165"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As of July 31, 2018, the Company had $343.1 million of gross unrecognized tax benefits, of which $310.0 million would reduce our valuation allowance, if recognized. The remaining $33.1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4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Internal Revenue Service is examining the Company's U.S. consolidated federal income tax returns for fiscal years 2014 and 2015. While it is possible that the Company's tax positions may be challenged, the Company believes its positions are consistent with the tax law, and the balance sheet reflects appropriate liabilities for uncertain federal tax positions for the years being examined.</w:t>
      </w:r>
    </w:p>
    <w:p>
      <w:pPr>
        <w:spacing w:after="0" w:line="181"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The U.S. Tax Cuts and Jobs Act (the “Tax Act”) was signed into law on December 22, 2017, and provides broad and significant changes to the U.S. corporate income tax regime. As of July 31, 2018, Autodesk has not completed its determination of the accounting implications of the Tax Act. The provisional amounts recorded are based on Autodesk’s current interpretation and understanding of the Tax Act and may change as the Company receives additional clarification and implementation guidance and finalizes the analysis of all impacts and positions with regard to the Tax Act. As of July 31, 2018, there have been no material adjustments to provision amounts as were determined at January 31, 2018. As additional regulatory guidance is issued, Autodesk will continue to collect and analyze necessary data and may adjust provisional amounts previously recorded in the period in which the adjustments are made. Pursuant to Staff Accounting Bulletin 118 (“SAB 118”), Autodesk will complete the accounting for the tax effects of all provisions of the Tax Act within the required measurement period not to extend beyond one year from the enactment date.</w:t>
      </w:r>
    </w:p>
    <w:p>
      <w:pPr>
        <w:spacing w:after="0" w:line="395"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During the six months ended July 31, 2018, Autodesk completed one business combination as described below. The results of operations for the following acquisition is included in the accompanying Condensed Consolidated Statement of Operations. Pro forma results of operations have not been presented because the effects of the following acquisition were not material to Autodesk's Condensed Consolidated Financial Statements. The adoption of ASU 2017-01 in the first quarter of fiscal 2019 did not impact the accounting for this acquisition.</w:t>
      </w:r>
    </w:p>
    <w:p>
      <w:pPr>
        <w:spacing w:after="0" w:line="17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July 3, 2018, Autodesk acquired Assemble Systems, Inc. ("Assemble"). Assemble is a provider of software solutions that enable construction professionals to influence, query and connect BIM data to key workflows across bid management, estimating, scheduling, site management and finance. Over time, Assemble's software solution will be integrated with Autodesk's BIM 360 project management platform.</w:t>
      </w:r>
    </w:p>
    <w:p>
      <w:pPr>
        <w:spacing w:after="0" w:line="181" w:lineRule="exact"/>
        <w:rPr>
          <w:sz w:val="20"/>
          <w:szCs w:val="20"/>
          <w:color w:val="auto"/>
        </w:rPr>
      </w:pPr>
    </w:p>
    <w:p>
      <w:pPr>
        <w:ind w:right="680" w:firstLine="405"/>
        <w:spacing w:after="0" w:line="308" w:lineRule="auto"/>
        <w:rPr>
          <w:sz w:val="20"/>
          <w:szCs w:val="20"/>
          <w:color w:val="auto"/>
        </w:rPr>
      </w:pPr>
      <w:r>
        <w:rPr>
          <w:rFonts w:ascii="Arial" w:cs="Arial" w:eastAsia="Arial" w:hAnsi="Arial"/>
          <w:sz w:val="17"/>
          <w:szCs w:val="17"/>
          <w:color w:val="auto"/>
        </w:rPr>
        <w:t>The acquisition-date fair value of the consideration transferred totaled $93.6 million, which consisted of $38.2 million of cash, $44.8 million of Autodesk common stock (340,769 shares) and ascribed a value of $10.6 million to Autodesk's existing equity interest in Assemble.</w:t>
      </w:r>
    </w:p>
    <w:p>
      <w:pPr>
        <w:spacing w:after="0" w:line="14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Prior to the acquisition date, Autodesk accounted for its approximate 14% equity interest in Assemble as a cost-method investment. The acquisition-date fair value of Autodesk's existing equity interest was $10.6 million and is included in the measurement of the consideration transferred. Autodesk recognized a gain of $4.6 million as a result of remeasuring its prior equity interest in Assemble held before the business combination using a control premium to calculate a discount for lack of control. The gain is included in “Interest and other expense, net” in the Condensed Consolidated Statements of Operations.</w:t>
      </w:r>
    </w:p>
    <w:p>
      <w:pPr>
        <w:spacing w:after="0" w:line="15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For the Assemble acquisition that was accounted for as business combination,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is primarily attributable to synergies expected to arise after the acquisition. There is no amount of goodwill that is deductible for U.S. income tax purposes.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right="14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Assemble business combination that was completed during the six months ended July 31,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2"/>
              </w:rPr>
              <w:t>July 31, 2018</w:t>
            </w:r>
          </w:p>
        </w:tc>
      </w:tr>
      <w:tr>
        <w:trPr>
          <w:trHeight w:val="236"/>
        </w:trPr>
        <w:tc>
          <w:tcPr>
            <w:tcW w:w="10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r>
      <w:tr>
        <w:trPr>
          <w:trHeight w:val="237"/>
        </w:trPr>
        <w:tc>
          <w:tcPr>
            <w:tcW w:w="10300" w:type="dxa"/>
            <w:vAlign w:val="bottom"/>
          </w:tcPr>
          <w:p>
            <w:pPr>
              <w:ind w:left="40"/>
              <w:spacing w:after="0"/>
              <w:rPr>
                <w:sz w:val="20"/>
                <w:szCs w:val="20"/>
                <w:color w:val="auto"/>
              </w:rPr>
            </w:pPr>
            <w:r>
              <w:rPr>
                <w:rFonts w:ascii="Arial" w:cs="Arial" w:eastAsia="Arial" w:hAnsi="Arial"/>
                <w:sz w:val="16"/>
                <w:szCs w:val="16"/>
                <w:color w:val="auto"/>
              </w:rPr>
              <w:t>Customer relationships and other non-current intangible assets</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12.0</w:t>
            </w:r>
          </w:p>
        </w:tc>
      </w:tr>
      <w:tr>
        <w:trPr>
          <w:trHeight w:val="33"/>
        </w:trPr>
        <w:tc>
          <w:tcPr>
            <w:tcW w:w="10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r>
      <w:tr>
        <w:trPr>
          <w:trHeight w:val="237"/>
        </w:trPr>
        <w:tc>
          <w:tcPr>
            <w:tcW w:w="103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71.9</w:t>
            </w:r>
          </w:p>
        </w:tc>
      </w:tr>
      <w:tr>
        <w:trPr>
          <w:trHeight w:val="33"/>
        </w:trPr>
        <w:tc>
          <w:tcPr>
            <w:tcW w:w="10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 and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10300" w:type="dxa"/>
            <w:vAlign w:val="bottom"/>
          </w:tcPr>
          <w:p>
            <w:pPr>
              <w:ind w:left="40"/>
              <w:spacing w:after="0"/>
              <w:rPr>
                <w:sz w:val="20"/>
                <w:szCs w:val="20"/>
                <w:color w:val="auto"/>
              </w:rPr>
            </w:pPr>
            <w:r>
              <w:rPr>
                <w:rFonts w:ascii="Arial" w:cs="Arial" w:eastAsia="Arial" w:hAnsi="Arial"/>
                <w:sz w:val="16"/>
                <w:szCs w:val="16"/>
                <w:color w:val="auto"/>
              </w:rPr>
              <w:t>Net tangible assets</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4.2</w:t>
            </w:r>
          </w:p>
        </w:tc>
      </w:tr>
      <w:tr>
        <w:trPr>
          <w:trHeight w:val="33"/>
        </w:trPr>
        <w:tc>
          <w:tcPr>
            <w:tcW w:w="10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0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93.6</w:t>
            </w:r>
          </w:p>
        </w:tc>
      </w:tr>
      <w:tr>
        <w:trPr>
          <w:trHeight w:val="20"/>
        </w:trPr>
        <w:tc>
          <w:tcPr>
            <w:tcW w:w="10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firstLine="405"/>
        <w:spacing w:after="0" w:line="302" w:lineRule="auto"/>
        <w:rPr>
          <w:sz w:val="20"/>
          <w:szCs w:val="20"/>
          <w:color w:val="auto"/>
        </w:rPr>
      </w:pPr>
      <w:r>
        <w:rPr>
          <w:rFonts w:ascii="Arial" w:cs="Arial" w:eastAsia="Arial" w:hAnsi="Arial"/>
          <w:sz w:val="16"/>
          <w:szCs w:val="16"/>
          <w:color w:val="auto"/>
        </w:rPr>
        <w:t>For the Assemble business combination, the allocation of purchase price consideration to certain assets and liabilities is not yet finalized. For the items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pending finalization of estimates and assumptions in respect of certain tax aspects of the transaction and residual goodwill, and the valuation of certain intangible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Other intangible assets including developed technologies, customer relationships, trade names, patents, user lists and the related accumulated amortization were as follows:</w:t>
      </w:r>
    </w:p>
    <w:p>
      <w:pPr>
        <w:sectPr>
          <w:pgSz w:w="11900" w:h="16838" w:orient="portrait"/>
          <w:cols w:equalWidth="0" w:num="1">
            <w:col w:w="11420"/>
          </w:cols>
          <w:pgMar w:left="240" w:top="1017"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Developed technologies,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Customer relationships, trade names, patents, and user lists, at 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at cost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2018</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2018</w:t>
            </w:r>
          </w:p>
        </w:tc>
      </w:tr>
      <w:tr>
        <w:trPr>
          <w:trHeight w:val="223"/>
        </w:trPr>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580.0</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578.5</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381.7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372.5</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961.7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951.0</w:t>
            </w:r>
          </w:p>
        </w:tc>
      </w:tr>
      <w:tr>
        <w:trPr>
          <w:trHeight w:val="270"/>
        </w:trPr>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(895.8)</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55.2</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7620" w:space="720"/>
            <w:col w:w="3080"/>
          </w:cols>
          <w:pgMar w:left="240" w:top="1017" w:right="239" w:bottom="1440" w:gutter="0" w:footer="0" w:header="0"/>
          <w:type w:val="continuous"/>
        </w:sectPr>
      </w:pPr>
    </w:p>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Goodwill consists of the excess of consideration transferred over the fair value of net assets acquired in business combinations. The following table summarizes the changes in the carrying amount of goodwill for the six months ended July 31,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31, 2018</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1,769.4</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Less: accumulated impairment losses as of January 31, 2018</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balance as of January 31, 2018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1,620.2</w:t>
            </w:r>
          </w:p>
        </w:tc>
      </w:tr>
      <w:tr>
        <w:trPr>
          <w:trHeight w:val="217"/>
        </w:trPr>
        <w:tc>
          <w:tcPr>
            <w:tcW w:w="9940" w:type="dxa"/>
            <w:vAlign w:val="bottom"/>
          </w:tcPr>
          <w:p>
            <w:pPr>
              <w:ind w:left="40"/>
              <w:spacing w:after="0"/>
              <w:rPr>
                <w:sz w:val="20"/>
                <w:szCs w:val="20"/>
                <w:color w:val="auto"/>
              </w:rPr>
            </w:pPr>
            <w:r>
              <w:rPr>
                <w:rFonts w:ascii="Arial" w:cs="Arial" w:eastAsia="Arial" w:hAnsi="Arial"/>
                <w:sz w:val="16"/>
                <w:szCs w:val="16"/>
                <w:color w:val="auto"/>
              </w:rPr>
              <w:t>Additions arising from acquisitions during the period</w:t>
            </w: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71.9</w:t>
            </w:r>
          </w:p>
        </w:tc>
      </w:tr>
      <w:tr>
        <w:trPr>
          <w:trHeight w:val="33"/>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foreign currency translation</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r>
      <w:tr>
        <w:trPr>
          <w:trHeight w:val="217"/>
        </w:trPr>
        <w:tc>
          <w:tcPr>
            <w:tcW w:w="9940" w:type="dxa"/>
            <w:vAlign w:val="bottom"/>
          </w:tcPr>
          <w:p>
            <w:pPr>
              <w:ind w:left="40"/>
              <w:spacing w:after="0"/>
              <w:rPr>
                <w:sz w:val="20"/>
                <w:szCs w:val="20"/>
                <w:color w:val="auto"/>
              </w:rPr>
            </w:pPr>
            <w:r>
              <w:rPr>
                <w:rFonts w:ascii="Arial" w:cs="Arial" w:eastAsia="Arial" w:hAnsi="Arial"/>
                <w:sz w:val="16"/>
                <w:szCs w:val="16"/>
                <w:color w:val="auto"/>
              </w:rPr>
              <w:t>Balance as of July 31, 2018</w:t>
            </w: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1,658.7</w:t>
            </w:r>
          </w:p>
        </w:tc>
      </w:tr>
      <w:tr>
        <w:trPr>
          <w:trHeight w:val="33"/>
        </w:trPr>
        <w:tc>
          <w:tcPr>
            <w:tcW w:w="99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Autodesk operates as a single operating segment and single reporting unit. As such, when Autodesk tests goodwill for impairment annually in its fourth fiscal quarter, it is performed on the Company's single reporting unit. Autodesk performs impairment testing more often if circumstances indicate a potential impairment may exist, or if events have affected the composition of reporting units.</w:t>
      </w:r>
    </w:p>
    <w:p>
      <w:pPr>
        <w:sectPr>
          <w:pgSz w:w="11900" w:h="16838" w:orient="portrait"/>
          <w:cols w:equalWidth="0" w:num="1">
            <w:col w:w="11420"/>
          </w:cols>
          <w:pgMar w:left="240" w:top="1017" w:right="239" w:bottom="144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017" w:right="239" w:bottom="1440" w:gutter="0" w:footer="0" w:header="0"/>
          <w:type w:val="continuous"/>
        </w:sectPr>
      </w:pPr>
    </w:p>
    <w:bookmarkStart w:id="24" w:name="page25"/>
    <w:bookmarkEnd w:id="24"/>
    <w:p>
      <w:pPr>
        <w:ind w:firstLine="405"/>
        <w:spacing w:after="0" w:line="255"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193"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The quantitative impairment test is necessary when either Autodesk does not use the optional assessment or, as a result of the optional assessment, it is not more likely than not that the fair value of the reporting unit is greater than its carrying value. In situations in which an entity's reporting unit is publicly traded, the fair value of the Company may be approximated by its market capitalization, in performing the quantitative impairment test.</w:t>
      </w:r>
    </w:p>
    <w:p>
      <w:pPr>
        <w:spacing w:after="0" w:line="14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Goodwill impairment exists when the estimated fair value of goodwill is less than its carrying value. If impairment exists, the carrying value of the goodwill is reduced to fair value through an impairment charge recorded in our Condensed Consolidated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goodwill impairment during the three and six months ended July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Deferred Compensation</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At July 31, 2018, Autodesk had marketable securities totaling $402.5 million, of which $62.0 million related to investments in debt and equity securities that are held in a rabbi trust under non-qualified deferred compensation plans. The total related deferred compensation liability was $62.0 million at July 31, 2018, of which $3.0 million was classified as current and $59.0 million was classified as non-current liabilities. The total related deferred compensation liability at January 31, 2018, was $59.0 million, of which $3.4 million was classified as current and $55.6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right="320" w:firstLine="405"/>
        <w:spacing w:after="0" w:line="290" w:lineRule="auto"/>
        <w:rPr>
          <w:sz w:val="20"/>
          <w:szCs w:val="20"/>
          <w:color w:val="auto"/>
        </w:rPr>
      </w:pPr>
      <w:r>
        <w:rPr>
          <w:rFonts w:ascii="Arial" w:cs="Arial" w:eastAsia="Arial" w:hAnsi="Arial"/>
          <w:sz w:val="16"/>
          <w:szCs w:val="16"/>
          <w:color w:val="auto"/>
        </w:rPr>
        <w:t>Sales commissions earned by our internal sales personnel and our reseller partners are considered incremental and recoverable costs of obtaining a contract with a customer. The commission costs are capitalized and included in prepaid expenses and other current assets on our Condensed Consolidated Balance Sheets. The deferred costs are then amortized over the period of benefit. Autodesk determined that sales commissions earned by internal sales personnel that are related to contract renewals are commensurate with sales commissions earned on the initial contracts, and we determined the period of benefit to be the term of the respective customer contract. Commissions paid to our reseller partners that are related to contract renewals are not commensurate with commissions earned on the initial contract, and we determined the estimated period of benefit by taking into consideration customer retention data, customer contracts, our technology and other factors. Deferred costs are periodically reviewed for impairment. Amortization expense is included in sales and marketing expenses in the Condensed Consolidated Statements of Operations.</w:t>
      </w:r>
    </w:p>
    <w:p>
      <w:pPr>
        <w:spacing w:after="0" w:line="166"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The ending balance of assets recognized from costs to obtain a contract with a customer was $82.5 million as of July 31, 2018. Amortization expense related to assets recognized from costs to obtain a contract with a customer was $26.9 million and $53.1 million during the three and six months ended July 31, 2018, respectively. Autodesk did not recognize any contract cost impairment losses during the six months ended July 31, 2018.</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0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12.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2018</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2018</w:t>
            </w:r>
          </w:p>
        </w:tc>
      </w:tr>
      <w:tr>
        <w:trPr>
          <w:trHeight w:val="23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hardware, at cost</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Computer software,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72.6</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 land and buildings, at cost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Furniture and equipment,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63.4</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588.4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582.0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(437.0)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145.0</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Borrowing Arrangements</w:t>
      </w:r>
    </w:p>
    <w:p>
      <w:pPr>
        <w:spacing w:after="0" w:line="22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In June 2017, Autodesk issued $500.0 million aggregate principal amount of 3.5% notes due June 15, 2027 (collectively, the “2017 Notes”). Net of a discount of $3.1 million and issuance costs of $4.9 million, Autodesk received net proceeds of $492.0 million from issuance of the 2017 Notes. Both the discount and issuance costs are being amortized to interest expense over the term of the 2017 Notes using the effective interest method. The proceeds of the 2017 Notes have been used for the repayment of $400.0 million of debt due December 15, 2017, and the remainder is available for general corporate purposes. Autodesk may redeem the 2017 Notes at any time, subject to a make whole premium. In addition, upon the occurrence of certain change of control triggering events, Autodesk may be required to repurchase the 2017 Notes at a price equal to 101% of their principal amount, plus accrued and unpaid interest to the date of repurchase. The 2017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2017 Notes was approximately $467.5 million as of July 31, 2018.</w:t>
      </w:r>
    </w:p>
    <w:p>
      <w:pPr>
        <w:spacing w:after="0" w:line="167"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6"/>
          <w:szCs w:val="16"/>
          <w:color w:val="auto"/>
        </w:rPr>
        <w:t>In June 2015, Autodesk issued $450.0 million aggregate principal amount of 3.125% notes due June 15, 2020 and $300.0 million aggregate principal amount of 4.375% notes due June 15, 2025 (collectively, the “2015 Notes”). Net of a discount of $1.7 million and issuance costs of $6.3 million, Autodesk received net proceeds of $742.0 million from issuance of the 2015 Notes. Both the discount and issuance costs are being amortized to interest expense over the respective terms of the 2015 Notes using the effective interest method. The proceeds of the 2015 Notes are available for general corporate purposes.</w:t>
      </w:r>
    </w:p>
    <w:p>
      <w:pPr>
        <w:spacing w:after="0" w:line="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Autodesk may redeem the 2015 Notes at any time, subject to a make whole premium. In addition, upon the occurrence of certain change of control triggering events, Autodesk may be required to repurchase the 2015 Notes at a price equal to 101% of their principal amount, plus accrued and unpaid interest to the date of repurchase. The 2015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2015 Notes was approximately $754.1 million as of July 31, 2018.</w:t>
      </w:r>
    </w:p>
    <w:p>
      <w:pPr>
        <w:spacing w:after="0" w:line="179"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December 2012, Autodesk issued $400.0 million aggregate principal amount of 1.95% notes due December 15, 2017 ("$400.0 million 2012 Notes") and $350.0 million aggregate principal amount of 3.6% notes due December 15, 2022 ("$350.0 million 2012 Notes" and collectively with the $400.0 million 2012 Notes, the “2012 Notes”). Autodesk received net proceeds of $739.3 million from issuance of the 2012 Notes, net of a discount of $4.5 million and issuance costs of $6.1 million. Both the discount and issuance costs are being amortized to interest expense over the respective terms of the 2012 Notes using the effective interest method. The proceeds of the 2012 Notes are available for general corporate purposes. On July 27, 2017, Autodesk redeemed in full the $400.0 million 2012 Notes. The redemption was completed pursuant to the optional redemption provisions of the first supplemental indenture dated December 13, 2012. To redeem the notes, Autodesk used the proceeds of the 2017 Notes to pay a redemption price of approximately $400.9 million, plus accrued and unpaid interest. Total cash repayment was $401.8 million. The Company did not incur any additional early termination penalties in connection with such redemption. Based on the quoted market price, the fair value of the $350.0 million 2012 Notes was approximately $347.8 million as of July 31, 2018.</w:t>
      </w:r>
    </w:p>
    <w:p>
      <w:pPr>
        <w:spacing w:after="0" w:line="178"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our assets, and restrict the Company’s ability to incur additional indebtedness or make dispositions of assets if we fail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ind w:right="200"/>
        <w:spacing w:after="0" w:line="259" w:lineRule="auto"/>
        <w:rPr>
          <w:sz w:val="20"/>
          <w:szCs w:val="20"/>
          <w:color w:val="auto"/>
        </w:rPr>
      </w:pPr>
      <w:r>
        <w:rPr>
          <w:rFonts w:ascii="Arial" w:cs="Arial" w:eastAsia="Arial" w:hAnsi="Arial"/>
          <w:sz w:val="18"/>
          <w:szCs w:val="18"/>
          <w:color w:val="auto"/>
        </w:rPr>
        <w:t>maintain the financial covenants. As the result of a forecasted inability to comply with the credit agreement's minimum interest coverage ratio in the second quarter of fiscal 2019, the Company renegotiated the credit agreement financial covenants in June 2018. The amended financial covenants now consist of a maximum debt to total cash ratio, a fixed charge coverage ratio extending through October 31, 2018, and after October 31, 2018, a minimum interest coverage ratio.</w:t>
      </w:r>
    </w:p>
    <w:p>
      <w:pPr>
        <w:spacing w:after="0" w:line="18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line of credit is syndicated with various financial institutions, including Citibank, N.A., an affiliate of Citigroup, which is one of the lead lenders and an agent. The maturity date on the line of credit is May 2020. At July 31, 2018, Autodesk was in compliance with the credit facility's covenants and had no outstanding borrowings on this line of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Restructuring and other exit costs, net</w:t>
      </w:r>
    </w:p>
    <w:p>
      <w:pPr>
        <w:spacing w:after="0" w:line="22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During the fourth quarter of fiscal 2018, the Board of Directors approved a world-wide restructuring plan (“Fiscal 2018 Plan”) to support the Company's strategic priorities of completing the subscription transition, digitizing the Company, and re-imagining manufacturing, construction, and production. Through the restructuring, Autodesk seeks to reduce its investments in areas not aligned with its strategic priorities, including in areas related to research and development and go-to-market activities. At the same time, Autodesk plans to further invest in strategic priority areas related to digital infrastructure, customer success, and construction. By re-balancing resources to better align with the Company’s strategic priorities, Autodesk is positioning itself to meet its long-term goals. This world-wide restructuring plan includes a reduction in force that will result in the termination of approximately 13% of the Company’s workforce, or approximately 1,150 employees, and the consolidation of certain leased facilities. The Company expects to substantially complete the reduction in force and the facilities consolidation by the end of fiscal 2019.</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restructuring charges and other lease termination exit costs during the six months ended July 31,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322"/>
              <w:spacing w:after="0"/>
              <w:rPr>
                <w:sz w:val="20"/>
                <w:szCs w:val="20"/>
                <w:color w:val="auto"/>
              </w:rPr>
            </w:pPr>
            <w:r>
              <w:rPr>
                <w:rFonts w:ascii="Arial" w:cs="Arial" w:eastAsia="Arial" w:hAnsi="Arial"/>
                <w:sz w:val="14"/>
                <w:szCs w:val="14"/>
                <w:b w:val="1"/>
                <w:bCs w:val="1"/>
                <w:color w:val="auto"/>
              </w:rPr>
              <w:t>Balances,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Adjustments (1)</w:t>
            </w:r>
          </w:p>
        </w:tc>
        <w:tc>
          <w:tcPr>
            <w:tcW w:w="12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Arial" w:cs="Arial" w:eastAsia="Arial" w:hAnsi="Arial"/>
                <w:sz w:val="14"/>
                <w:szCs w:val="14"/>
                <w:b w:val="1"/>
                <w:bCs w:val="1"/>
                <w:color w:val="auto"/>
                <w:w w:val="91"/>
              </w:rPr>
              <w:t>Balances, July 31,</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102"/>
              <w:spacing w:after="0"/>
              <w:rPr>
                <w:sz w:val="20"/>
                <w:szCs w:val="20"/>
                <w:color w:val="auto"/>
              </w:rPr>
            </w:pPr>
            <w:r>
              <w:rPr>
                <w:rFonts w:ascii="Arial" w:cs="Arial" w:eastAsia="Arial" w:hAnsi="Arial"/>
                <w:sz w:val="14"/>
                <w:szCs w:val="14"/>
                <w:b w:val="1"/>
                <w:bCs w:val="1"/>
                <w:color w:val="auto"/>
                <w:w w:val="94"/>
              </w:rPr>
              <w:t>January 31, 2018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2018 Plan</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53.0</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other exit costs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73"/>
        </w:trPr>
        <w:tc>
          <w:tcPr>
            <w:tcW w:w="4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Current portion (2)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24"/>
        </w:trPr>
        <w:tc>
          <w:tcPr>
            <w:tcW w:w="4120" w:type="dxa"/>
            <w:vAlign w:val="bottom"/>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Adjustments primarily relate to the impact of foreign exchange rate changes and certain write offs related to fixed assets.</w:t>
      </w:r>
    </w:p>
    <w:p>
      <w:pPr>
        <w:spacing w:after="0" w:line="9" w:lineRule="exact"/>
        <w:rPr>
          <w:rFonts w:ascii="Arial" w:cs="Arial" w:eastAsia="Arial" w:hAnsi="Arial"/>
          <w:sz w:val="16"/>
          <w:szCs w:val="16"/>
          <w:color w:val="auto"/>
        </w:rPr>
      </w:pPr>
    </w:p>
    <w:p>
      <w:pPr>
        <w:ind w:left="420" w:right="140" w:hanging="412"/>
        <w:spacing w:after="0" w:line="257"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current portion of the reserve are recorded in the Condensed Consolidated Balance Sheets under “Other accrued liabilities." There was no non-current portion as of July 31, 2018.</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15.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Common Stock Repurchase Program</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Autodesk has a stock repurchase program that is used to offset dilution from the issuance of stock under the Company’s employee stock plans and for such other purposes as may be in the interests of Autodesk and its stockholders. Stock repurchases have the effect of returning excess cash generated from the Company’s business to stockholders. During the three and six months ended July 31, 2018, Autodesk repurchased and retired 1.1 million shares and 1.3 million shares at an average repurchase price of $131.52 and $128.92 per share, respectively. Common stock and additional paid-in capital and accumulated deficit were reduced by $77.3 million and $69.4 million, respectively, during the three months ended July 31, 2018. Common stock and additional paid-in capital and accumulated deficit were reduced by $93.7 million and $74.0 million, respectively, during the six months ended July 31, 2018.</w:t>
      </w:r>
    </w:p>
    <w:p>
      <w:pPr>
        <w:spacing w:after="0" w:line="16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At July 31, 2018, 18.4 million shares remained available for repurchase under the repurchase program approved by the Board of Directors. During the six months ended July 31, 2018,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584"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17.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July 31,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Debt 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2018</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losses reclassified from 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44"/>
        </w:trPr>
        <w:tc>
          <w:tcPr>
            <w:tcW w:w="5260" w:type="dxa"/>
            <w:vAlign w:val="bottom"/>
          </w:tcPr>
          <w:p>
            <w:pPr>
              <w:ind w:left="40"/>
              <w:spacing w:after="0"/>
              <w:rPr>
                <w:sz w:val="20"/>
                <w:szCs w:val="20"/>
                <w:color w:val="auto"/>
              </w:rPr>
            </w:pPr>
            <w:r>
              <w:rPr>
                <w:rFonts w:ascii="Arial" w:cs="Arial" w:eastAsia="Arial" w:hAnsi="Arial"/>
                <w:sz w:val="16"/>
                <w:szCs w:val="16"/>
                <w:color w:val="auto"/>
              </w:rPr>
              <w:t>Balances, July 31,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Reclassifications related to gains and losses on available-for-sale debt securities are included in "Interest and other income (expense), net." Refer to Note 5, "Financial Instruments," for the amount and location of reclassifications related to derivative instruments. Reclassifications of the defined benefit pension components are included in the computation of net periodic benefit cost. For further information, see the "Retirement Benefit Plans" note in Part II, Item 8 of our Annual Report on Form 10-K for the fiscal year ended January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Loss Per Share</w:t>
      </w:r>
    </w:p>
    <w:p>
      <w:pPr>
        <w:spacing w:after="0" w:line="225"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Basic net loss per share is computed using the weighted average number of shares of common stock outstanding for the period, excluding stock options and restricted stock units. Diluted net loss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loss per share amounts: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02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July 31,</w:t>
            </w:r>
          </w:p>
        </w:tc>
        <w:tc>
          <w:tcPr>
            <w:tcW w:w="220" w:type="dxa"/>
            <w:vAlign w:val="bottom"/>
          </w:tcPr>
          <w:p>
            <w:pPr>
              <w:spacing w:after="0"/>
              <w:rPr>
                <w:sz w:val="16"/>
                <w:szCs w:val="16"/>
                <w:color w:val="auto"/>
              </w:rPr>
            </w:pPr>
          </w:p>
        </w:tc>
        <w:tc>
          <w:tcPr>
            <w:tcW w:w="21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9"/>
              </w:rPr>
              <w:t>Six Months Ended July 31,</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b w:val="1"/>
                <w:bCs w:val="1"/>
                <w:color w:val="auto"/>
                <w:w w:val="96"/>
              </w:rPr>
              <w:t>2018</w:t>
            </w:r>
          </w:p>
        </w:tc>
        <w:tc>
          <w:tcPr>
            <w:tcW w:w="5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0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Net loss</w:t>
            </w:r>
          </w:p>
        </w:tc>
        <w:tc>
          <w:tcPr>
            <w:tcW w:w="880" w:type="dxa"/>
            <w:vAlign w:val="bottom"/>
          </w:tcPr>
          <w:p>
            <w:pPr>
              <w:jc w:val="right"/>
              <w:ind w:right="70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(39.4)</w:t>
            </w:r>
          </w:p>
        </w:tc>
        <w:tc>
          <w:tcPr>
            <w:tcW w:w="14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(144.0)</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(121.8)</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(273.6)</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0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Denominator for basic net loss per share—weighted average shares</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219.0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219.5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218.8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8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060" w:type="dxa"/>
            <w:vAlign w:val="bottom"/>
          </w:tcPr>
          <w:p>
            <w:pPr>
              <w:ind w:left="380"/>
              <w:spacing w:after="0"/>
              <w:rPr>
                <w:sz w:val="20"/>
                <w:szCs w:val="20"/>
                <w:color w:val="auto"/>
              </w:rPr>
            </w:pPr>
            <w:r>
              <w:rPr>
                <w:rFonts w:ascii="Arial" w:cs="Arial" w:eastAsia="Arial" w:hAnsi="Arial"/>
                <w:sz w:val="16"/>
                <w:szCs w:val="16"/>
                <w:color w:val="auto"/>
              </w:rPr>
              <w:t>Denominator for dilutive net loss per share</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219.0</w:t>
            </w: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219.5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218.8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per share</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per share</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880" w:type="dxa"/>
            <w:vAlign w:val="bottom"/>
          </w:tcPr>
          <w:p>
            <w:pPr>
              <w:jc w:val="right"/>
              <w:ind w:right="70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(0.18)</w:t>
            </w:r>
          </w:p>
        </w:tc>
        <w:tc>
          <w:tcPr>
            <w:tcW w:w="14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60" w:hanging="412"/>
        <w:spacing w:after="0" w:line="252"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 of dilutive securities of 3.2 million and 4.8 million shares in the three months ended July 31, 2018 and 2017, respectively, have been excluded from the calculation of diluted net loss per share as those shares would have been anti-dilutive due to the net loss incurred during those periods. The effect of dilutive securities of 3.3 million and 4.7 million shares in the six months ended July 31, 2018 and 2017, respectively, has been excluded from the calculation of diluted net loss per share as those shares would have been anti-dilutive due to the net loss incurred during those periods.</w:t>
      </w:r>
    </w:p>
    <w:p>
      <w:pPr>
        <w:spacing w:after="0" w:line="185"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computation of diluted net loss per share does not include shares that are anti-dilutive under the treasury stock method because their exercise prices are higher than the average market value of Autodesk’s stock during the period. For the three months ended July 31, 2018 and 2017, zero potentially anti-dilutive shares were excluded from the computation of diluted net loss per share, respectively. For the six months ended July 31, 2018 and 2017, zero and 0.1 million potentially anti-dilutive shares were excluded from the computation of diluted net loss per share, respectively.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19. Segments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allocating resources and assessing performance as the source of the Company’s reportable segments. The Company's chief operating decision maker ("CODM") allocates resources and assesses the operating performance of the Company as a whole. As such, Autodesk has one segment manager (the CODM), and one operating segment.</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0" w:name="page31"/>
    <w:bookmarkEnd w:id="30"/>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Three and Six Months Ended July 31, 2018 and 2017” below, future net revenue, operating expenses, recurring revenue, annualized recurring revenue, annualized revenue per subscription, other future financial results (by product type and geography) and subscriptions, the effectiveness of our restructuring efforts, the effectiveness of our efforts to successfully manage transitions to new business models and markets, our expectations regarding the continued transition of our business model, expectations for our maintenance plan and subscription plan subscriptions, our ability to increase our subscription base, expected market trends, including the growth of cloud and mobile computing, the effect of unemployment, the availability of credit, our expectations for our restructuring, the effects of global economic conditions, the effects of revenue recognition, the effects of recently issued accounting standards, expected trends in certain financial metrics, including expenses, the impact of acquisitions and investment activities,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acquisitions,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remediation to our controls environment,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Autodesk makes software for people who make things. If you have ever driven a high-performance car, admired a towering skyscraper, used a smartphone, or watched a great film, chances are you have experienced what millions of Autodesk customers are doing with our software. Autodesk gives you the power to make anything.</w:t>
      </w:r>
    </w:p>
    <w:p>
      <w:pPr>
        <w:spacing w:after="0" w:line="18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Autodesk was founded during the platform transition from mainframe computers and engineering workstations to personal computers. We developed and sustained a compelling value proposition based upon desktop software for the personal computer. Just as the transition from mainframes to personal computers transformed the industry over 30 years ago, we believe our industry is undergoing a similar transition from the personal computer to cloud, mobile, and social computing. To address this transition, we have accelerated our move to the cloud and mobile devices and are offering more flexible licensing. Our product subscriptions currently represent a hybrid of desktop software and cloud functionality, which provides a device-independent, collaborative design workflow for designers and their stakeholders. Our SaaS offerings, for example, BIM 360, Shotgun, Fusion, and AutoCAD 360 Pro, provide tools, including mobile and social capabilities, to streamline design, collaboration, building and manufacturing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82" w:lineRule="exact"/>
        <w:rPr>
          <w:sz w:val="20"/>
          <w:szCs w:val="20"/>
          <w:color w:val="auto"/>
        </w:rPr>
      </w:pPr>
    </w:p>
    <w:p>
      <w:pPr>
        <w:ind w:right="340" w:firstLine="405"/>
        <w:spacing w:after="0" w:line="273" w:lineRule="auto"/>
        <w:rPr>
          <w:sz w:val="20"/>
          <w:szCs w:val="20"/>
          <w:color w:val="auto"/>
        </w:rPr>
      </w:pPr>
      <w:r>
        <w:rPr>
          <w:rFonts w:ascii="Arial" w:cs="Arial" w:eastAsia="Arial" w:hAnsi="Arial"/>
          <w:sz w:val="17"/>
          <w:szCs w:val="17"/>
          <w:color w:val="auto"/>
        </w:rPr>
        <w:t>Our strategy is to build an enduring relationship with our customers, delivering valuable automation and insight to their design and make processes. Industry collections provide our customers with increased access to a broader selection of Autodesk products and services that exceeds those previously available in suites - simplifying the customers ability to get access to a complete set of tools for their industry. We now offer subscriptions for individual products and industry collections, flexible enterprise business agreements ("EBAs"), and cloud service offerings (collectively referred to as "subscription plan"). These subscription plan offerings are designed to give our customers more flexibility with how they use our products and service offerings and to attract a broader range of customers, such as project-based users and small businesses.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0" w:right="259" w:bottom="1440" w:gutter="0" w:footer="0" w:header="0"/>
        </w:sectPr>
      </w:pPr>
    </w:p>
    <w:bookmarkStart w:id="31" w:name="page32"/>
    <w:bookmarkEnd w:id="31"/>
    <w:p>
      <w:pPr>
        <w:ind w:right="120" w:firstLine="405"/>
        <w:spacing w:after="0" w:line="257" w:lineRule="auto"/>
        <w:rPr>
          <w:sz w:val="20"/>
          <w:szCs w:val="20"/>
          <w:color w:val="auto"/>
        </w:rPr>
      </w:pPr>
      <w:r>
        <w:rPr>
          <w:rFonts w:ascii="Arial" w:cs="Arial" w:eastAsia="Arial" w:hAnsi="Arial"/>
          <w:sz w:val="18"/>
          <w:szCs w:val="18"/>
          <w:color w:val="auto"/>
        </w:rPr>
        <w:t>With the discontinuation of the sale of most perpetual licenses, we have transitioned away from selling a mix of perpetual licenses and term-based product subscriptions toward a single subscription model. This change in strategy is referred to as our "business model transition." On June 15, 2017, we commenced a program to incentivize maintenance plan customers to move to subscription plan offerings. Through this program we offer discounts to those maintenance customers that move to a subscription plan, while at the same time increasing maintenance plan pricing over time for customers that remain on maintenance.</w:t>
      </w:r>
    </w:p>
    <w:p>
      <w:pPr>
        <w:spacing w:after="0" w:line="188"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As we progress through the current stage of the business model transition, annualized recurring revenue ("ARR"), growth of billings, and total subscriptions better reflect business momentum. To analyze progress, we disaggregate our growth between the original maintenance model ("maintenance plan") and the subscription plan model. Maintenance plan subscriptions peaked in the fourth quarter of our fiscal 2016 as we discontinued selling new maintenance plan subscriptions in fiscal 2017, and we expect them to decline slowly over time as maintenance plan customers continue to convert to our subscription plans.</w:t>
      </w:r>
    </w:p>
    <w:p>
      <w:pPr>
        <w:spacing w:after="0" w:line="18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sell our products and services globally, through a combination of indirect and direct channels. Our indirect channels include value added resellers, direct market resellers, distributors, computer manufacturers, and other software developers. Our direct channels include internal sales resources dedicated to selling in our largest accounts, our highly specialized products, and business transacted through our online Autodesk branded store. See Note 3, "Revenue Recognition" in the Notes to the unaudited Condensed Consolidated Financial Statements for further detail on the results of our indirect and direct channel sales for the three and six months ended July 31, 2018 and 2017.</w:t>
      </w:r>
    </w:p>
    <w:p>
      <w:pPr>
        <w:spacing w:after="0" w:line="188"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We anticipate that our channel mix will continue to change as we scale our online Autodesk branded store business and our largest accounts shift towards direct-only business models. However, we expect our indirect channel will continue to transact and support the majority of our customers and revenue as we move beyond the business model transition.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8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program to support innovators that build solutions to facilitate the development of a single connected ecosystem for the future of how things are designed, made, and used as well as support ideas that push the boundaries of 3D printing.</w:t>
      </w:r>
    </w:p>
    <w:p>
      <w:pPr>
        <w:spacing w:after="0" w:line="193"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In addition to the competitive advantages afforded by our technology, our large global network of distributors, resellers, third-party developers, customers, educational institutions, educators, and students is a key competitive advantage which has been cultivated over an extensive period of time. This network of partners and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5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Autodesk is committed to helping fuel a lifelong passion for making with students of all ages. We offer free educational licenses of Autodesk software worldwide to students, educators, and accredited educational institutions. We inspire and support beginners with Tinkercad, a simple online 3D design and 3D printing tool. Through Autodesk Design Academy, we provide 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We also have made Autodesk Design Academy curricula available on Udemy and Coursera. Our intention is to make Autodesk software ubiquitous and the design and making software of choice for those poised to become the next generation of professional users.</w:t>
      </w:r>
    </w:p>
    <w:p>
      <w:pPr>
        <w:spacing w:after="0" w:line="189"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584" w:right="299" w:bottom="1440" w:gutter="0" w:footer="0" w:header="0"/>
        </w:sectPr>
      </w:pPr>
    </w:p>
    <w:bookmarkStart w:id="32" w:name="page33"/>
    <w:bookmarkEnd w:id="32"/>
    <w:p>
      <w:pPr>
        <w:ind w:right="100" w:firstLine="432"/>
        <w:spacing w:after="0" w:line="297" w:lineRule="auto"/>
        <w:rPr>
          <w:sz w:val="20"/>
          <w:szCs w:val="20"/>
          <w:color w:val="auto"/>
        </w:rPr>
      </w:pPr>
      <w:r>
        <w:rPr>
          <w:rFonts w:ascii="Arial" w:cs="Arial" w:eastAsia="Arial" w:hAnsi="Arial"/>
          <w:sz w:val="16"/>
          <w:szCs w:val="16"/>
          <w:color w:val="auto"/>
        </w:rPr>
        <w:t>Our strategy depends upon a number of assumptions to successfully make the transition toward new cloud and mobile platforms, including: the related technology and business model shifts;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2018. In addition, we highlighted those policies that involve a higher degree of judgment and complexity with further discussion in Item 7, “Management’s Discussion and Analysis of Financial Condition and Results of Operations” in our Form 10-K. There have been no material changes to our critical accounting policies and estimates during the three months ended July 31, 2018 as compared to those disclosed in our Form 10-K for the fiscal year ended January 31, 2018, except for the adoption of Accounting Standard Codification ("ASC") Topics 606 and 340-40. For changes made to our revenue recognition policy as a result of the adoption of ASC Topics 606 and 340-40, refer to Note 3, "Revenue Recognition" and Note 11, "Deferred Compensation," in the Notes to the unaudited Condensed Consolidated Financial Statements of this Quarterly Report on Form 10-Q. We believe these policies are the most critical to aid in fully understanding and evaluating our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and Six Months Ended July 31, 2018 and 2017</w:t>
      </w:r>
    </w:p>
    <w:p>
      <w:pPr>
        <w:spacing w:after="0" w:line="202" w:lineRule="exact"/>
        <w:rPr>
          <w:sz w:val="20"/>
          <w:szCs w:val="20"/>
          <w:color w:val="auto"/>
        </w:rPr>
      </w:pPr>
    </w:p>
    <w:p>
      <w:pPr>
        <w:ind w:left="660" w:right="1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net revenue was $611.7 million and $1.17 billion for the three and six months ended July 31, 2018, respectively, an increase of 22% and 19% compared to the same periods in the prior year.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ARR was $2.35 billion, an increase of 28% compared to the same period in the prior year.</w:t>
      </w:r>
    </w:p>
    <w:p>
      <w:pPr>
        <w:spacing w:after="0" w:line="63"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Core business ARR, which represents ARR from the combination of maintenance, product, and enterprise business agreement (EBA) subscriptions, was $2.27 billion and increased 29% compared to the second quarter last year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subscriptions increased 0.1 million from the first quarter of fiscal 2019 to 3.9 million.</w:t>
      </w:r>
    </w:p>
    <w:p>
      <w:pPr>
        <w:spacing w:after="0" w:line="63"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adopted ASC Topic 606 and ASC Topic 340-40 during the first quarter of fiscal 2019. See discussion below for additional information regarding certain metrics that were affected by the new standards under the heading “Impact of New Revenue Accounting Standard."</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revenue increased during the three and six months ended July 31, 2018, as compared to the same periods in the prior fiscal year, primarily due to the respective 114% and 109% increase in subscription revenue, partially offset by a 36% and 34% decrease in maintenance revenue as a result of the program to migrate customers from a maintenance plan to a subscription plan.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Further discussion of the drivers of these results are discussed below under the heading “Results of Operations.”</w:t>
      </w:r>
    </w:p>
    <w:p>
      <w:pPr>
        <w:spacing w:after="0" w:line="225"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Tech Data Corporation and its global affiliates (collectively, “Tech Data”). Total sales to Tech Data accounted for 35% of Autodesk’s total net revenue for both the three and six months ended July 31, 2018 and 31% and 30% for the three and six months ended July 31, 2017, respectively. Our customers through Tech Data are the resellers and end users who purchase our software licenses and services. Should any of our agreements with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 Consequently, we believe our business is not substantially dependent on Tech Data.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3" w:name="page34"/>
    <w:bookmarkEnd w:id="33"/>
    <w:p>
      <w:pPr>
        <w:ind w:left="260"/>
        <w:spacing w:after="0"/>
        <w:rPr>
          <w:sz w:val="20"/>
          <w:szCs w:val="20"/>
          <w:color w:val="auto"/>
        </w:rPr>
      </w:pPr>
      <w:r>
        <w:rPr>
          <w:rFonts w:ascii="Arial" w:cs="Arial" w:eastAsia="Arial" w:hAnsi="Arial"/>
          <w:sz w:val="18"/>
          <w:szCs w:val="18"/>
          <w:i w:val="1"/>
          <w:iCs w:val="1"/>
          <w:color w:val="auto"/>
        </w:rPr>
        <w:t>Recurring Revenue and Subscriptions</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order to help better understand our financial performance during and after the business model transition, we use several metrics including recurring revenue, total subscriptions, ARR, and annualized revenue per subscription ("ARPS"). ARR, ARPS, total subscriptions, and recurring revenue are performance metrics and should be viewed independently of revenue and deferred revenue as ARR, ARPS, total subscriptions, and recurring revenue are not intended to be combined with those items. Our determination and presentation may differ from that of other companies. Please refer to the Glossary of Terms for the definitions of these metrics.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recurring revenue metric for the three and six months ended July 31, 2018 and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0"/>
              </w:rPr>
              <w:t>Change compared to</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3"/>
              </w:rPr>
              <w:t>prior fiscal year</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71"/>
        </w:trPr>
        <w:tc>
          <w:tcPr>
            <w:tcW w:w="554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percentage data)</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2"/>
              </w:rPr>
              <w:t>July 31, 2018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2"/>
              </w:rPr>
              <w:t>July 31, 2017</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Recurring Revenue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586.8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129.4</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457.4</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3"/>
          </w:tcPr>
          <w:p>
            <w:pPr>
              <w:jc w:val="right"/>
              <w:ind w:right="988"/>
              <w:spacing w:after="0"/>
              <w:rPr>
                <w:sz w:val="20"/>
                <w:szCs w:val="20"/>
                <w:color w:val="auto"/>
              </w:rPr>
            </w:pPr>
            <w:r>
              <w:rPr>
                <w:rFonts w:ascii="Arial" w:cs="Arial" w:eastAsia="Arial" w:hAnsi="Arial"/>
                <w:sz w:val="16"/>
                <w:szCs w:val="16"/>
                <w:color w:val="auto"/>
              </w:rPr>
              <w:t>N/A</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483"/>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0"/>
              </w:rPr>
              <w:t>Change compared to</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3"/>
              </w:rPr>
              <w:t>prior fiscal year</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71"/>
        </w:trPr>
        <w:tc>
          <w:tcPr>
            <w:tcW w:w="5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2"/>
              </w:rPr>
              <w:t>July 31, 2018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2"/>
              </w:rPr>
              <w:t>July 31, 2017</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Recurring Revenue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1,118.4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225.1</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893.3</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3"/>
          </w:tcPr>
          <w:p>
            <w:pPr>
              <w:jc w:val="right"/>
              <w:ind w:right="988"/>
              <w:spacing w:after="0"/>
              <w:rPr>
                <w:sz w:val="20"/>
                <w:szCs w:val="20"/>
                <w:color w:val="auto"/>
              </w:rPr>
            </w:pPr>
            <w:r>
              <w:rPr>
                <w:rFonts w:ascii="Arial" w:cs="Arial" w:eastAsia="Arial" w:hAnsi="Arial"/>
                <w:sz w:val="16"/>
                <w:szCs w:val="16"/>
                <w:color w:val="auto"/>
              </w:rPr>
              <w:t>N/A</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49"/>
        </w:trPr>
        <w:tc>
          <w:tcPr>
            <w:tcW w:w="554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right="20" w:hanging="412"/>
        <w:spacing w:after="0" w:line="263"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recurring revenue in this table above and recurring revenue derived from the revenue reported in the unaudited Condensed Consolidated Statements of Operations.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4" w:name="page35"/>
    <w:bookmarkEnd w:id="34"/>
    <w:p>
      <w:pPr>
        <w:jc w:val="both"/>
        <w:ind w:right="300" w:firstLine="405"/>
        <w:spacing w:after="0" w:line="312" w:lineRule="auto"/>
        <w:rPr>
          <w:sz w:val="20"/>
          <w:szCs w:val="20"/>
          <w:color w:val="auto"/>
        </w:rPr>
      </w:pPr>
      <w:r>
        <w:rPr>
          <w:rFonts w:ascii="Arial" w:cs="Arial" w:eastAsia="Arial" w:hAnsi="Arial"/>
          <w:sz w:val="16"/>
          <w:szCs w:val="16"/>
          <w:color w:val="auto"/>
        </w:rPr>
        <w:t>The following table outlines our ARR, subscriptions and ARPS metrics as of July 31, 2018 and January 31, 2018. For purposes of clarifications, the ARR and ARPS balances in the following table as of July 31, 2018 are calculated under ASC Topic 606. For comparison of ARR and ARPS as of July 31, 2018 under the old revenue standard, ASC 605, refer to the table under the title "Impact of New Revenue Accounting Standard" further below.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0" w:type="dxa"/>
            <w:vAlign w:val="bottom"/>
          </w:tcPr>
          <w:p>
            <w:pPr>
              <w:spacing w:after="0"/>
              <w:rPr>
                <w:sz w:val="14"/>
                <w:szCs w:val="14"/>
                <w:color w:val="auto"/>
              </w:rPr>
            </w:pPr>
          </w:p>
        </w:tc>
        <w:tc>
          <w:tcPr>
            <w:tcW w:w="140" w:type="dxa"/>
            <w:vAlign w:val="bottom"/>
            <w:tcBorders>
              <w:top w:val="single" w:sz="8" w:color="auto"/>
              <w:left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right w:val="single" w:sz="8" w:color="auto"/>
            </w:tcBorders>
            <w:vMerge w:val="restart"/>
          </w:tcPr>
          <w:p>
            <w:pPr>
              <w:jc w:val="center"/>
              <w:ind w:right="81"/>
              <w:spacing w:after="0"/>
              <w:rPr>
                <w:sz w:val="20"/>
                <w:szCs w:val="20"/>
                <w:color w:val="auto"/>
              </w:rPr>
            </w:pPr>
            <w:r>
              <w:rPr>
                <w:rFonts w:ascii="Arial" w:cs="Arial" w:eastAsia="Arial" w:hAnsi="Arial"/>
                <w:sz w:val="14"/>
                <w:szCs w:val="14"/>
                <w:b w:val="1"/>
                <w:bCs w:val="1"/>
                <w:color w:val="auto"/>
                <w:w w:val="88"/>
              </w:rPr>
              <w:t>Balances,</w:t>
            </w:r>
          </w:p>
        </w:tc>
        <w:tc>
          <w:tcPr>
            <w:tcW w:w="120" w:type="dxa"/>
            <w:vAlign w:val="bottom"/>
            <w:tcBorders>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right w:val="single" w:sz="8" w:color="auto"/>
            </w:tcBorders>
            <w:vMerge w:val="restart"/>
          </w:tcPr>
          <w:p>
            <w:pPr>
              <w:jc w:val="center"/>
              <w:ind w:right="81"/>
              <w:spacing w:after="0"/>
              <w:rPr>
                <w:sz w:val="20"/>
                <w:szCs w:val="20"/>
                <w:color w:val="auto"/>
              </w:rPr>
            </w:pPr>
            <w:r>
              <w:rPr>
                <w:rFonts w:ascii="Arial" w:cs="Arial" w:eastAsia="Arial" w:hAnsi="Arial"/>
                <w:sz w:val="14"/>
                <w:szCs w:val="14"/>
                <w:b w:val="1"/>
                <w:bCs w:val="1"/>
                <w:color w:val="auto"/>
                <w:w w:val="88"/>
              </w:rPr>
              <w:t>Balances,</w:t>
            </w: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40" w:type="dxa"/>
            <w:vAlign w:val="bottom"/>
            <w:tcBorders>
              <w:lef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3"/>
          </w:tcPr>
          <w:p>
            <w:pPr>
              <w:ind w:left="180"/>
              <w:spacing w:after="0" w:line="145" w:lineRule="exact"/>
              <w:rPr>
                <w:sz w:val="20"/>
                <w:szCs w:val="20"/>
                <w:color w:val="auto"/>
              </w:rPr>
            </w:pPr>
            <w:r>
              <w:rPr>
                <w:rFonts w:ascii="Arial" w:cs="Arial" w:eastAsia="Arial" w:hAnsi="Arial"/>
                <w:sz w:val="14"/>
                <w:szCs w:val="14"/>
                <w:b w:val="1"/>
                <w:bCs w:val="1"/>
                <w:color w:val="auto"/>
              </w:rPr>
              <w:t>prior quarter end</w:t>
            </w:r>
          </w:p>
        </w:tc>
        <w:tc>
          <w:tcPr>
            <w:tcW w:w="140" w:type="dxa"/>
            <w:vAlign w:val="bottom"/>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4"/>
          </w:tcPr>
          <w:p>
            <w:pPr>
              <w:ind w:left="120"/>
              <w:spacing w:after="0" w:line="145" w:lineRule="exact"/>
              <w:rPr>
                <w:sz w:val="20"/>
                <w:szCs w:val="20"/>
                <w:color w:val="auto"/>
              </w:rPr>
            </w:pPr>
            <w:r>
              <w:rPr>
                <w:rFonts w:ascii="Arial" w:cs="Arial" w:eastAsia="Arial" w:hAnsi="Arial"/>
                <w:sz w:val="14"/>
                <w:szCs w:val="14"/>
                <w:b w:val="1"/>
                <w:bCs w:val="1"/>
                <w:color w:val="auto"/>
              </w:rPr>
              <w:t>prior fiscal year end</w:t>
            </w:r>
          </w:p>
        </w:tc>
        <w:tc>
          <w:tcPr>
            <w:tcW w:w="140" w:type="dxa"/>
            <w:vAlign w:val="bottom"/>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140" w:type="dxa"/>
            <w:vAlign w:val="bottom"/>
            <w:tcBorders>
              <w:left w:val="single" w:sz="8" w:color="auto"/>
            </w:tcBorders>
          </w:tcPr>
          <w:p>
            <w:pPr>
              <w:spacing w:after="0"/>
              <w:rPr>
                <w:sz w:val="4"/>
                <w:szCs w:val="4"/>
                <w:color w:val="auto"/>
              </w:rPr>
            </w:pPr>
          </w:p>
        </w:tc>
        <w:tc>
          <w:tcPr>
            <w:tcW w:w="88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Balances,</w:t>
            </w: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Borders>
              <w:right w:val="single" w:sz="8" w:color="auto"/>
            </w:tcBorders>
            <w:vMerge w:val="restart"/>
          </w:tcPr>
          <w:p>
            <w:pPr>
              <w:jc w:val="center"/>
              <w:ind w:right="81"/>
              <w:spacing w:after="0" w:line="139" w:lineRule="exact"/>
              <w:rPr>
                <w:sz w:val="20"/>
                <w:szCs w:val="20"/>
                <w:color w:val="auto"/>
              </w:rPr>
            </w:pPr>
            <w:r>
              <w:rPr>
                <w:rFonts w:ascii="Arial" w:cs="Arial" w:eastAsia="Arial" w:hAnsi="Arial"/>
                <w:sz w:val="14"/>
                <w:szCs w:val="14"/>
                <w:b w:val="1"/>
                <w:bCs w:val="1"/>
                <w:color w:val="auto"/>
                <w:w w:val="97"/>
              </w:rPr>
              <w:t>April 30,</w:t>
            </w:r>
          </w:p>
        </w:tc>
        <w:tc>
          <w:tcPr>
            <w:tcW w:w="120" w:type="dxa"/>
            <w:vAlign w:val="bottom"/>
            <w:tcBorders>
              <w:right w:val="single" w:sz="8" w:color="auto"/>
            </w:tcBorders>
            <w:vMerge w:val="restart"/>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Balances,</w:t>
            </w: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right w:val="single" w:sz="8" w:color="auto"/>
            </w:tcBorders>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65"/>
        </w:trPr>
        <w:tc>
          <w:tcPr>
            <w:tcW w:w="3600" w:type="dxa"/>
            <w:vAlign w:val="bottom"/>
          </w:tcPr>
          <w:p>
            <w:pPr>
              <w:spacing w:after="0"/>
              <w:rPr>
                <w:sz w:val="5"/>
                <w:szCs w:val="5"/>
                <w:color w:val="auto"/>
              </w:rPr>
            </w:pPr>
          </w:p>
        </w:tc>
        <w:tc>
          <w:tcPr>
            <w:tcW w:w="140" w:type="dxa"/>
            <w:vAlign w:val="bottom"/>
            <w:tcBorders>
              <w:left w:val="single" w:sz="8" w:color="auto"/>
            </w:tcBorders>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120" w:type="dxa"/>
            <w:vAlign w:val="bottom"/>
            <w:tcBorders>
              <w:right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9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020" w:type="dxa"/>
            <w:vAlign w:val="bottom"/>
            <w:tcBorders>
              <w:lef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July 31, 2018</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right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right w:val="single" w:sz="8" w:color="auto"/>
            </w:tcBorders>
          </w:tcPr>
          <w:p>
            <w:pPr>
              <w:spacing w:after="0"/>
              <w:rPr>
                <w:sz w:val="16"/>
                <w:szCs w:val="16"/>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July 31, 2018</w:t>
            </w: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right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3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ARR </w:t>
            </w:r>
            <w:r>
              <w:rPr>
                <w:rFonts w:ascii="Arial" w:cs="Arial" w:eastAsia="Arial" w:hAnsi="Arial"/>
                <w:sz w:val="14"/>
                <w:szCs w:val="14"/>
                <w:i w:val="1"/>
                <w:iCs w:val="1"/>
                <w:color w:val="auto"/>
              </w:rPr>
              <w:t>(in millions)</w:t>
            </w:r>
          </w:p>
        </w:tc>
        <w:tc>
          <w:tcPr>
            <w:tcW w:w="140" w:type="dxa"/>
            <w:vAlign w:val="bottom"/>
            <w:tcBorders>
              <w:top w:val="single" w:sz="8" w:color="auto"/>
              <w:left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6"/>
                <w:szCs w:val="16"/>
                <w:color w:val="auto"/>
              </w:rPr>
              <w:t>Subscription plan ARR</w:t>
            </w:r>
          </w:p>
        </w:tc>
        <w:tc>
          <w:tcPr>
            <w:tcW w:w="1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1,681.8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280.3</w:t>
            </w:r>
          </w:p>
        </w:tc>
        <w:tc>
          <w:tcPr>
            <w:tcW w:w="100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1,401.5</w:t>
            </w:r>
          </w:p>
        </w:tc>
        <w:tc>
          <w:tcPr>
            <w:tcW w:w="120" w:type="dxa"/>
            <w:vAlign w:val="bottom"/>
            <w:tcBorders>
              <w:right w:val="single" w:sz="8" w:color="auto"/>
            </w:tcBorders>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1,681.8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506.8</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1,175.0</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plan ARR</w:t>
            </w:r>
          </w:p>
        </w:tc>
        <w:tc>
          <w:tcPr>
            <w:tcW w:w="140" w:type="dxa"/>
            <w:vAlign w:val="bottom"/>
            <w:tcBorders>
              <w:left w:val="single" w:sz="8" w:color="auto"/>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724.9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879.1</w:t>
            </w:r>
          </w:p>
        </w:tc>
        <w:tc>
          <w:tcPr>
            <w:tcW w:w="0" w:type="dxa"/>
            <w:vAlign w:val="bottom"/>
          </w:tcPr>
          <w:p>
            <w:pPr>
              <w:spacing w:after="0"/>
              <w:rPr>
                <w:sz w:val="1"/>
                <w:szCs w:val="1"/>
                <w:color w:val="auto"/>
              </w:rPr>
            </w:pPr>
          </w:p>
        </w:tc>
      </w:tr>
      <w:tr>
        <w:trPr>
          <w:trHeight w:val="284"/>
        </w:trPr>
        <w:tc>
          <w:tcPr>
            <w:tcW w:w="3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ARR (1)</w:t>
            </w:r>
          </w:p>
        </w:tc>
        <w:tc>
          <w:tcPr>
            <w:tcW w:w="14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2,347.4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221.0</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right w:val="single" w:sz="8" w:color="auto"/>
            </w:tcBorders>
          </w:tcPr>
          <w:p>
            <w:pPr>
              <w:jc w:val="right"/>
              <w:ind w:right="61"/>
              <w:spacing w:after="0"/>
              <w:rPr>
                <w:sz w:val="20"/>
                <w:szCs w:val="20"/>
                <w:color w:val="auto"/>
              </w:rPr>
            </w:pPr>
            <w:r>
              <w:rPr>
                <w:rFonts w:ascii="Arial" w:cs="Arial" w:eastAsia="Arial" w:hAnsi="Arial"/>
                <w:sz w:val="16"/>
                <w:szCs w:val="16"/>
                <w:color w:val="auto"/>
              </w:rPr>
              <w:t>2,126.4</w:t>
            </w:r>
          </w:p>
        </w:tc>
        <w:tc>
          <w:tcPr>
            <w:tcW w:w="12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2,347.4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293.3</w:t>
            </w:r>
          </w:p>
        </w:tc>
        <w:tc>
          <w:tcPr>
            <w:tcW w:w="10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2,054.1</w:t>
            </w:r>
          </w:p>
        </w:tc>
        <w:tc>
          <w:tcPr>
            <w:tcW w:w="0" w:type="dxa"/>
            <w:vAlign w:val="bottom"/>
          </w:tcPr>
          <w:p>
            <w:pPr>
              <w:spacing w:after="0"/>
              <w:rPr>
                <w:sz w:val="1"/>
                <w:szCs w:val="1"/>
                <w:color w:val="auto"/>
              </w:rPr>
            </w:pPr>
          </w:p>
        </w:tc>
      </w:tr>
      <w:tr>
        <w:trPr>
          <w:trHeight w:val="271"/>
        </w:trPr>
        <w:tc>
          <w:tcPr>
            <w:tcW w:w="3600" w:type="dxa"/>
            <w:vAlign w:val="bottom"/>
            <w:shd w:val="clear" w:color="auto" w:fill="CCEEFF"/>
          </w:tcPr>
          <w:p>
            <w:pPr>
              <w:spacing w:after="0"/>
              <w:rPr>
                <w:sz w:val="23"/>
                <w:szCs w:val="23"/>
                <w:color w:val="auto"/>
              </w:rPr>
            </w:pPr>
          </w:p>
        </w:tc>
        <w:tc>
          <w:tcPr>
            <w:tcW w:w="140" w:type="dxa"/>
            <w:vAlign w:val="bottom"/>
            <w:tcBorders>
              <w:left w:val="single" w:sz="8" w:color="auto"/>
            </w:tcBorders>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tcBorders>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 xml:space="preserve">Number of Subscriptions </w:t>
            </w:r>
            <w:r>
              <w:rPr>
                <w:rFonts w:ascii="Arial" w:cs="Arial" w:eastAsia="Arial" w:hAnsi="Arial"/>
                <w:sz w:val="14"/>
                <w:szCs w:val="14"/>
                <w:i w:val="1"/>
                <w:iCs w:val="1"/>
                <w:color w:val="auto"/>
              </w:rPr>
              <w:t>(in thousands)</w:t>
            </w:r>
          </w:p>
        </w:tc>
        <w:tc>
          <w:tcPr>
            <w:tcW w:w="140" w:type="dxa"/>
            <w:vAlign w:val="bottom"/>
            <w:tcBorders>
              <w:lef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Subscription plan</w:t>
            </w:r>
          </w:p>
        </w:tc>
        <w:tc>
          <w:tcPr>
            <w:tcW w:w="14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290.1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right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2,574.3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597.6</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right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2,266.8</w:t>
            </w:r>
          </w:p>
        </w:tc>
        <w:tc>
          <w:tcPr>
            <w:tcW w:w="0" w:type="dxa"/>
            <w:vAlign w:val="bottom"/>
          </w:tcPr>
          <w:p>
            <w:pPr>
              <w:spacing w:after="0"/>
              <w:rPr>
                <w:sz w:val="1"/>
                <w:szCs w:val="1"/>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6"/>
                <w:szCs w:val="16"/>
                <w:color w:val="auto"/>
              </w:rPr>
              <w:t>Maintenance plan</w:t>
            </w:r>
          </w:p>
        </w:tc>
        <w:tc>
          <w:tcPr>
            <w:tcW w:w="140" w:type="dxa"/>
            <w:vAlign w:val="bottom"/>
            <w:tcBorders>
              <w:left w:val="single" w:sz="8" w:color="auto"/>
            </w:tcBorders>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1,071.1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(171.5)</w:t>
            </w: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1,242.6</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1,071.1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(377.8)</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1,448.9</w:t>
            </w:r>
          </w:p>
        </w:tc>
        <w:tc>
          <w:tcPr>
            <w:tcW w:w="0" w:type="dxa"/>
            <w:vAlign w:val="bottom"/>
          </w:tcPr>
          <w:p>
            <w:pPr>
              <w:spacing w:after="0"/>
              <w:rPr>
                <w:sz w:val="1"/>
                <w:szCs w:val="1"/>
                <w:color w:val="auto"/>
              </w:rPr>
            </w:pPr>
          </w:p>
        </w:tc>
      </w:tr>
      <w:tr>
        <w:trPr>
          <w:trHeight w:val="33"/>
        </w:trPr>
        <w:tc>
          <w:tcPr>
            <w:tcW w:w="3600" w:type="dxa"/>
            <w:vAlign w:val="bottom"/>
            <w:tcBorders>
              <w:bottom w:val="single" w:sz="8" w:color="CCEEFF"/>
            </w:tcBorders>
          </w:tcPr>
          <w:p>
            <w:pPr>
              <w:spacing w:after="0"/>
              <w:rPr>
                <w:sz w:val="2"/>
                <w:szCs w:val="2"/>
                <w:color w:val="auto"/>
              </w:rPr>
            </w:pPr>
          </w:p>
        </w:tc>
        <w:tc>
          <w:tcPr>
            <w:tcW w:w="1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subscriptions</w:t>
            </w:r>
          </w:p>
        </w:tc>
        <w:tc>
          <w:tcPr>
            <w:tcW w:w="1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118.6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right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3,816.9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219.8</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right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3,715.7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600" w:type="dxa"/>
            <w:vAlign w:val="bottom"/>
          </w:tcPr>
          <w:p>
            <w:pPr>
              <w:spacing w:after="0"/>
              <w:rPr>
                <w:sz w:val="23"/>
                <w:szCs w:val="23"/>
                <w:color w:val="auto"/>
              </w:rPr>
            </w:pPr>
          </w:p>
        </w:tc>
        <w:tc>
          <w:tcPr>
            <w:tcW w:w="140" w:type="dxa"/>
            <w:vAlign w:val="bottom"/>
            <w:tcBorders>
              <w:lef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ARPS </w:t>
            </w:r>
            <w:r>
              <w:rPr>
                <w:rFonts w:ascii="Arial" w:cs="Arial" w:eastAsia="Arial" w:hAnsi="Arial"/>
                <w:sz w:val="14"/>
                <w:szCs w:val="14"/>
                <w:i w:val="1"/>
                <w:iCs w:val="1"/>
                <w:color w:val="auto"/>
              </w:rPr>
              <w:t>(ARR divided by number of Subscriptions)</w:t>
            </w:r>
          </w:p>
        </w:tc>
        <w:tc>
          <w:tcPr>
            <w:tcW w:w="140" w:type="dxa"/>
            <w:vAlign w:val="bottom"/>
            <w:tcBorders>
              <w:left w:val="single" w:sz="8" w:color="auto"/>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6"/>
                <w:szCs w:val="16"/>
                <w:color w:val="auto"/>
              </w:rPr>
              <w:t>Subscription plan ARPS</w:t>
            </w:r>
          </w:p>
        </w:tc>
        <w:tc>
          <w:tcPr>
            <w:tcW w:w="1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43</w:t>
            </w:r>
          </w:p>
        </w:tc>
        <w:tc>
          <w:tcPr>
            <w:tcW w:w="100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544</w:t>
            </w:r>
          </w:p>
        </w:tc>
        <w:tc>
          <w:tcPr>
            <w:tcW w:w="120" w:type="dxa"/>
            <w:vAlign w:val="bottom"/>
            <w:tcBorders>
              <w:right w:val="single" w:sz="8" w:color="auto"/>
            </w:tcBorders>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69</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plan ARPS</w:t>
            </w:r>
          </w:p>
        </w:tc>
        <w:tc>
          <w:tcPr>
            <w:tcW w:w="140" w:type="dxa"/>
            <w:vAlign w:val="bottom"/>
            <w:tcBorders>
              <w:left w:val="single" w:sz="8" w:color="auto"/>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583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6"/>
                <w:szCs w:val="16"/>
                <w:color w:val="auto"/>
              </w:rPr>
              <w:t>Total ARPS (2)</w:t>
            </w:r>
          </w:p>
        </w:tc>
        <w:tc>
          <w:tcPr>
            <w:tcW w:w="1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39</w:t>
            </w:r>
          </w:p>
        </w:tc>
        <w:tc>
          <w:tcPr>
            <w:tcW w:w="100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557</w:t>
            </w:r>
          </w:p>
        </w:tc>
        <w:tc>
          <w:tcPr>
            <w:tcW w:w="120" w:type="dxa"/>
            <w:vAlign w:val="bottom"/>
            <w:tcBorders>
              <w:right w:val="single" w:sz="8" w:color="auto"/>
            </w:tcBorders>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43</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33"/>
        </w:trPr>
        <w:tc>
          <w:tcPr>
            <w:tcW w:w="360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20" w:right="100" w:hanging="412"/>
        <w:spacing w:after="0" w:line="249"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ARR reported in this table above and ARR derived from the revenue reported in the Condensed Consolidated Statement of Operations.</w:t>
      </w:r>
    </w:p>
    <w:p>
      <w:pPr>
        <w:ind w:left="420" w:right="60" w:hanging="412"/>
        <w:spacing w:after="0" w:line="252"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are small variances between ARR and total subscriptions due in part to the inherent limitation with collecting all subscriptions information. For example, Buzzsaw and Constructware are included with ARR but not in total subscriptions due to these inherent limitations. We do not view these variances as meaningful to amounts or quarterly comparisons presented here for ARPS.</w:t>
      </w:r>
    </w:p>
    <w:p>
      <w:pPr>
        <w:spacing w:after="0" w:line="158"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Total ARR increased 10% as of July 31, 2018 as compared to the three months ended April 30, 2018, and 14% as compared to the end of fiscal 2018, primarily due to a 20% and 43% increase, in the respective periods, in subscription plan ARR driven by the maintenance-to-subscription ("M2S") program and growth in new product subscriptions. The increase was partially offset by an 8% and 24% decrease, in the respective periods, in maintenance plan ARR driven by the migration from maintenance plan subscriptions to subscription plan subscriptions. Under ASC 605, total ARR increased 7% as of July 31, 2018 as compared to the three months ended April 30, 2018, and 13%, as compared to the end of fiscal 2018 primarily due to a 42% increase in subscription plan ARR, partially offset by a 25% decrease in maintenance plan ARR.</w:t>
      </w:r>
    </w:p>
    <w:p>
      <w:pPr>
        <w:spacing w:after="0" w:line="17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Subscription plan subscriptions increased 11% or approximately 0.3 million as compared to the previous quarter and 26% or approximately 0.6 million as compared to the end of fiscal 2018, driven by growth in all subscription plan types, led by new product subscriptions. Subscription plan subscriptions benefited from approximately 0.1 million and 0.3 million maintenance subscribers that were converted to product subscription under the M2S program during the three and six months ended July 31, 2018, respectively.</w:t>
      </w:r>
    </w:p>
    <w:p>
      <w:pPr>
        <w:spacing w:after="0" w:line="16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Maintenance plan subscriptions decreased 14% or approximately 0.2 million from the previous quarter and 26% or approximately 0.4 million from the end of fiscal 2018, primarily as a result of the strong performance of the M2S program in which approximately 0.1 million and 0.3 million maintenance plan subscriptions converted to product subscription during the three and six months ended July 31, 2018, respectively. The net decrease is expected and we expect to see ongoing declines in maintenance plan subscriptions going forward as part of the business model transition. The rate of decline will vary based on the number of subscriptions subject to renewal, the renewal rate, and our ability to incentivize customers to switch over to EBAs or product subscriptions.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When adjusted for the impact of the M2S program, subscription plan ARPS and maintenance plan ARPS would have been $595 and $598, respectively.</w:t>
      </w: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40"/>
          </w:cols>
          <w:pgMar w:left="240" w:top="800" w:right="219" w:bottom="1440" w:gutter="0" w:footer="0" w:header="0"/>
        </w:sectPr>
      </w:pPr>
    </w:p>
    <w:bookmarkStart w:id="35" w:name="page36"/>
    <w:bookmarkEnd w:id="35"/>
    <w:p>
      <w:pPr>
        <w:ind w:firstLine="405"/>
        <w:spacing w:after="0" w:line="264" w:lineRule="auto"/>
        <w:rPr>
          <w:sz w:val="20"/>
          <w:szCs w:val="20"/>
          <w:color w:val="auto"/>
        </w:rPr>
      </w:pPr>
      <w:r>
        <w:rPr>
          <w:rFonts w:ascii="Arial" w:cs="Arial" w:eastAsia="Arial" w:hAnsi="Arial"/>
          <w:sz w:val="18"/>
          <w:szCs w:val="18"/>
          <w:color w:val="auto"/>
        </w:rPr>
        <w:t>ARPS as of July 31, 2018 was $596 under ASC 606, an increase of 7% compared to the previous quarter primarily due to an increase in subscription plan ARPS. The increase in subscription plan ARPS was driven by growth in all subscription plan types, led by product subscription ARPS. Under ASC 605, ARPS was $591.</w:t>
      </w:r>
    </w:p>
    <w:p>
      <w:pPr>
        <w:spacing w:after="0" w:line="18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ARPS increased 8% compared to the end of fiscal 2018 due to an increase in subscription plan ARPS primarily driven an increase in product subscription ARPS as a result of the business model transition and other pricing changes. ARPS was partially offset by a decreases in both EBAs and cloud service offerings ARPS.</w:t>
      </w:r>
    </w:p>
    <w:p>
      <w:pPr>
        <w:spacing w:after="0" w:line="18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Our ARPS is currently, and will continue to be, affected by various factors including the M2S program, geography and product mix, promotions, sales linearity within a quarter, pricing changes, and foreign currency. We expect to see ARPS fluctuate up or down on a quarterly basis. As we progress on our business model transition, we expect all of the impacts of these factors to stabilize.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584" w:right="31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i w:val="1"/>
          <w:iCs w:val="1"/>
          <w:color w:val="auto"/>
        </w:rPr>
        <w:t>Impact of New Revenue Accounting Standard</w:t>
      </w:r>
    </w:p>
    <w:p>
      <w:pPr>
        <w:spacing w:after="0" w:line="22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adopted Accounting Standard Update No. 2014-09, which codified new revenue recognition guidance under ASC Topic 606. Previously, we followed revenue accounting guidance under ASC Topic 605. The table below shows what some of our key metrics would have been under ASC Topic 605 (see Note 2, “Recently Issued Accounting Standards” for more details on our adoption and impacts):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4"/>
            <w:vMerge w:val="restart"/>
          </w:tcPr>
          <w:p>
            <w:pPr>
              <w:jc w:val="right"/>
              <w:ind w:right="39"/>
              <w:spacing w:after="0"/>
              <w:rPr>
                <w:sz w:val="20"/>
                <w:szCs w:val="20"/>
                <w:color w:val="auto"/>
              </w:rPr>
            </w:pPr>
            <w:r>
              <w:rPr>
                <w:rFonts w:ascii="Arial" w:cs="Arial" w:eastAsia="Arial" w:hAnsi="Arial"/>
                <w:sz w:val="14"/>
                <w:szCs w:val="14"/>
                <w:b w:val="1"/>
                <w:bCs w:val="1"/>
                <w:color w:val="auto"/>
                <w:w w:val="94"/>
              </w:rPr>
              <w:t>Three Months Ended July 31, 2018</w:t>
            </w:r>
          </w:p>
        </w:tc>
        <w:tc>
          <w:tcPr>
            <w:tcW w:w="100" w:type="dxa"/>
            <w:vAlign w:val="bottom"/>
            <w:vMerge w:val="restart"/>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4"/>
              </w:rPr>
              <w:t>July 31, 2017</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i w:val="1"/>
                <w:iCs w:val="1"/>
                <w:color w:val="auto"/>
              </w:rPr>
              <w:t>(in millions except ARPS)</w:t>
            </w:r>
          </w:p>
        </w:tc>
        <w:tc>
          <w:tcPr>
            <w:tcW w:w="120" w:type="dxa"/>
            <w:vAlign w:val="bottom"/>
          </w:tcPr>
          <w:p>
            <w:pPr>
              <w:spacing w:after="0"/>
              <w:rPr>
                <w:sz w:val="22"/>
                <w:szCs w:val="22"/>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ASC 606</w:t>
            </w:r>
          </w:p>
        </w:tc>
        <w:tc>
          <w:tcPr>
            <w:tcW w:w="20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ASC 605</w:t>
            </w:r>
          </w:p>
        </w:tc>
        <w:tc>
          <w:tcPr>
            <w:tcW w:w="220" w:type="dxa"/>
            <w:vAlign w:val="bottom"/>
          </w:tcPr>
          <w:p>
            <w:pPr>
              <w:spacing w:after="0"/>
              <w:rPr>
                <w:sz w:val="22"/>
                <w:szCs w:val="22"/>
                <w:color w:val="auto"/>
              </w:rPr>
            </w:pPr>
          </w:p>
        </w:tc>
        <w:tc>
          <w:tcPr>
            <w:tcW w:w="1240" w:type="dxa"/>
            <w:vAlign w:val="bottom"/>
          </w:tcPr>
          <w:p>
            <w:pPr>
              <w:jc w:val="center"/>
              <w:ind w:right="140"/>
              <w:spacing w:after="0"/>
              <w:rPr>
                <w:sz w:val="20"/>
                <w:szCs w:val="20"/>
                <w:color w:val="auto"/>
              </w:rPr>
            </w:pPr>
            <w:r>
              <w:rPr>
                <w:rFonts w:ascii="Arial" w:cs="Arial" w:eastAsia="Arial" w:hAnsi="Arial"/>
                <w:sz w:val="14"/>
                <w:szCs w:val="14"/>
                <w:b w:val="1"/>
                <w:bCs w:val="1"/>
                <w:color w:val="auto"/>
                <w:w w:val="94"/>
              </w:rPr>
              <w:t>ASC 605</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Key Income Statement Metrics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Subscription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420.6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416.0</w:t>
            </w:r>
          </w:p>
        </w:tc>
        <w:tc>
          <w:tcPr>
            <w:tcW w:w="100" w:type="dxa"/>
            <w:vAlign w:val="bottom"/>
          </w:tcPr>
          <w:p>
            <w:pPr>
              <w:spacing w:after="0"/>
              <w:rPr>
                <w:sz w:val="20"/>
                <w:szCs w:val="20"/>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196.1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Maintenance revenue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261.8</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Other revenue</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501.8</w:t>
            </w:r>
          </w:p>
        </w:tc>
        <w:tc>
          <w:tcPr>
            <w:tcW w:w="0" w:type="dxa"/>
            <w:vAlign w:val="bottom"/>
          </w:tcPr>
          <w:p>
            <w:pPr>
              <w:spacing w:after="0"/>
              <w:rPr>
                <w:sz w:val="1"/>
                <w:szCs w:val="1"/>
                <w:color w:val="auto"/>
              </w:rPr>
            </w:pP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541.9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540.3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427.2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Spend</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609.4</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22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and diluted net loss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ARR</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Subscription plan ARR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783.7</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Maintenance plan ARR</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665.6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661.4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1,046.0</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ARR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2,347.4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1,829.7</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ARPS</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Subscription plan ARPS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Maintenance plan ARPS</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ARPS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 Revenue by Product Family (1)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Architecture, Engineering and Construction ("AEC")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AutoCAD and AutoCAD LT ("ACAD")</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135.6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Manufacturing ("MFG")</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Media and Entertainment ("M&amp;E")</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Net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611.7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610.5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501.8</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 by Geography</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Americas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247.5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248.9</w:t>
            </w:r>
          </w:p>
        </w:tc>
        <w:tc>
          <w:tcPr>
            <w:tcW w:w="100" w:type="dxa"/>
            <w:vAlign w:val="bottom"/>
          </w:tcPr>
          <w:p>
            <w:pPr>
              <w:spacing w:after="0"/>
              <w:rPr>
                <w:sz w:val="20"/>
                <w:szCs w:val="20"/>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214.0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Europe, Middle East and Africa ("EMEA")</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199.3</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Asia Pacific ("APAC")</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Net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501.8</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Due to changes in the go-to-market offerings of our AutoCAD product subscription, prior period balances have been adjusted to conform to current period presentation.</w:t>
      </w:r>
    </w:p>
    <w:p>
      <w:pPr>
        <w:spacing w:after="0" w:line="230"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adoption of ASC Topic 606 required a change to our reporting around deferred revenue. See discussions below under the heading "Unbilled Deferred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a significant amount of our revenue in the United States, Germany, Japan, the United Kingdom, and Canada.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ind w:left="420"/>
        <w:spacing w:after="0"/>
        <w:rPr>
          <w:sz w:val="20"/>
          <w:szCs w:val="20"/>
          <w:color w:val="auto"/>
        </w:rPr>
      </w:pPr>
      <w:r>
        <w:rPr>
          <w:rFonts w:ascii="Arial" w:cs="Arial" w:eastAsia="Arial" w:hAnsi="Arial"/>
          <w:sz w:val="18"/>
          <w:szCs w:val="18"/>
          <w:color w:val="auto"/>
        </w:rPr>
        <w:t>The following table shows the impact of foreign exchange rate changes on our net revenue and total spend: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80" w:type="dxa"/>
            <w:vAlign w:val="bottom"/>
          </w:tcPr>
          <w:p>
            <w:pPr>
              <w:spacing w:after="0"/>
              <w:rPr>
                <w:sz w:val="16"/>
                <w:szCs w:val="16"/>
                <w:color w:val="auto"/>
              </w:rPr>
            </w:pPr>
          </w:p>
        </w:tc>
        <w:tc>
          <w:tcPr>
            <w:tcW w:w="5060" w:type="dxa"/>
            <w:vAlign w:val="bottom"/>
            <w:tcBorders>
              <w:bottom w:val="single" w:sz="8" w:color="auto"/>
            </w:tcBorders>
            <w:gridSpan w:val="5"/>
          </w:tcPr>
          <w:p>
            <w:pPr>
              <w:ind w:left="1480"/>
              <w:spacing w:after="0"/>
              <w:rPr>
                <w:sz w:val="20"/>
                <w:szCs w:val="20"/>
                <w:color w:val="auto"/>
              </w:rPr>
            </w:pPr>
            <w:r>
              <w:rPr>
                <w:rFonts w:ascii="Arial" w:cs="Arial" w:eastAsia="Arial" w:hAnsi="Arial"/>
                <w:sz w:val="14"/>
                <w:szCs w:val="14"/>
                <w:b w:val="1"/>
                <w:bCs w:val="1"/>
                <w:color w:val="auto"/>
              </w:rPr>
              <w:t>Three Months Ended July 31, 2018</w:t>
            </w:r>
          </w:p>
        </w:tc>
        <w:tc>
          <w:tcPr>
            <w:tcW w:w="120" w:type="dxa"/>
            <w:vAlign w:val="bottom"/>
          </w:tcPr>
          <w:p>
            <w:pPr>
              <w:spacing w:after="0"/>
              <w:rPr>
                <w:sz w:val="16"/>
                <w:szCs w:val="16"/>
                <w:color w:val="auto"/>
              </w:rPr>
            </w:pPr>
          </w:p>
        </w:tc>
        <w:tc>
          <w:tcPr>
            <w:tcW w:w="5060" w:type="dxa"/>
            <w:vAlign w:val="bottom"/>
            <w:tcBorders>
              <w:bottom w:val="single" w:sz="8" w:color="auto"/>
            </w:tcBorders>
            <w:gridSpan w:val="5"/>
          </w:tcPr>
          <w:p>
            <w:pPr>
              <w:ind w:left="1560"/>
              <w:spacing w:after="0"/>
              <w:rPr>
                <w:sz w:val="20"/>
                <w:szCs w:val="20"/>
                <w:color w:val="auto"/>
              </w:rPr>
            </w:pPr>
            <w:r>
              <w:rPr>
                <w:rFonts w:ascii="Arial" w:cs="Arial" w:eastAsia="Arial" w:hAnsi="Arial"/>
                <w:sz w:val="14"/>
                <w:szCs w:val="14"/>
                <w:b w:val="1"/>
                <w:bCs w:val="1"/>
                <w:color w:val="auto"/>
              </w:rPr>
              <w:t>Six Months Ended July 31, 2018</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Percent</w:t>
            </w: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Constant Currency</w:t>
            </w: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Positive/Negative/Neutral</w:t>
            </w: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17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Constant Currency</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Positive/Negative/Neutral</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percent</w:t>
            </w:r>
          </w:p>
        </w:tc>
        <w:tc>
          <w:tcPr>
            <w:tcW w:w="174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percent</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impact from foreign</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impact from foreign</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prior fiscal year (2)</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exchange rate changes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prior fiscal year</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prior fiscal year (2)</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exchange rate changes</w:t>
            </w:r>
          </w:p>
        </w:tc>
        <w:tc>
          <w:tcPr>
            <w:tcW w:w="0" w:type="dxa"/>
            <w:vAlign w:val="bottom"/>
          </w:tcPr>
          <w:p>
            <w:pPr>
              <w:spacing w:after="0"/>
              <w:rPr>
                <w:sz w:val="1"/>
                <w:szCs w:val="1"/>
                <w:color w:val="auto"/>
              </w:rPr>
            </w:pPr>
          </w:p>
        </w:tc>
      </w:tr>
      <w:tr>
        <w:trPr>
          <w:trHeight w:val="236"/>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Positive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Positive</w:t>
            </w:r>
          </w:p>
        </w:tc>
        <w:tc>
          <w:tcPr>
            <w:tcW w:w="0" w:type="dxa"/>
            <w:vAlign w:val="bottom"/>
          </w:tcPr>
          <w:p>
            <w:pPr>
              <w:spacing w:after="0"/>
              <w:rPr>
                <w:sz w:val="1"/>
                <w:szCs w:val="1"/>
                <w:color w:val="auto"/>
              </w:rPr>
            </w:pPr>
          </w:p>
        </w:tc>
      </w:tr>
      <w:tr>
        <w:trPr>
          <w:trHeight w:val="237"/>
        </w:trPr>
        <w:tc>
          <w:tcPr>
            <w:tcW w:w="1180" w:type="dxa"/>
            <w:vAlign w:val="bottom"/>
          </w:tcPr>
          <w:p>
            <w:pPr>
              <w:ind w:left="40"/>
              <w:spacing w:after="0"/>
              <w:rPr>
                <w:sz w:val="20"/>
                <w:szCs w:val="20"/>
                <w:color w:val="auto"/>
              </w:rPr>
            </w:pPr>
            <w:r>
              <w:rPr>
                <w:rFonts w:ascii="Arial" w:cs="Arial" w:eastAsia="Arial" w:hAnsi="Arial"/>
                <w:sz w:val="16"/>
                <w:szCs w:val="16"/>
                <w:color w:val="auto"/>
              </w:rPr>
              <w:t>Spend (1)</w:t>
            </w:r>
          </w:p>
        </w:tc>
        <w:tc>
          <w:tcPr>
            <w:tcW w:w="16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Negative</w:t>
            </w: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1"/>
              </w:rPr>
              <w:t>Negative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total spend is defined as cost of revenue plus operating expenses.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Please refer to the Glossary of Terms for the definitions of our constant currency growth rates.</w:t>
      </w:r>
    </w:p>
    <w:p>
      <w:pPr>
        <w:spacing w:after="0" w:line="203"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Unbilled Deferred Revenue</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adoption of ASC Topic 606 required a change to the definition of unbilled deferred revenue and new qualitative and quantitative disclosures around our performance obligations. Unbilled deferred revenue represents contractually stated or committed orders under early renewal and multi-year billing plans for subscription, services, license and maintenance for which the associated deferred revenue has not been recognized. Under ASC Topic 606, unbilled deferred revenue is not included as a receivable or deferred revenue on our Condensed Consolidated Balance Sheet. See Note 3, “Revenue Recognition” for more details on Autodesk's performance obligations.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July 31, 2018</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w w:val="99"/>
              </w:rPr>
              <w:t>January 31, 2018</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22"/>
                <w:szCs w:val="22"/>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ASC 606</w:t>
            </w:r>
          </w:p>
        </w:tc>
        <w:tc>
          <w:tcPr>
            <w:tcW w:w="16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ASC 605</w:t>
            </w:r>
          </w:p>
        </w:tc>
        <w:tc>
          <w:tcPr>
            <w:tcW w:w="220" w:type="dxa"/>
            <w:vAlign w:val="bottom"/>
          </w:tcPr>
          <w:p>
            <w:pPr>
              <w:spacing w:after="0"/>
              <w:rPr>
                <w:sz w:val="22"/>
                <w:szCs w:val="22"/>
                <w:color w:val="auto"/>
              </w:rPr>
            </w:pPr>
          </w:p>
        </w:tc>
        <w:tc>
          <w:tcPr>
            <w:tcW w:w="1020" w:type="dxa"/>
            <w:vAlign w:val="bottom"/>
          </w:tcPr>
          <w:p>
            <w:pPr>
              <w:jc w:val="right"/>
              <w:ind w:right="281"/>
              <w:spacing w:after="0"/>
              <w:rPr>
                <w:sz w:val="20"/>
                <w:szCs w:val="20"/>
                <w:color w:val="auto"/>
              </w:rPr>
            </w:pPr>
            <w:r>
              <w:rPr>
                <w:rFonts w:ascii="Arial" w:cs="Arial" w:eastAsia="Arial" w:hAnsi="Arial"/>
                <w:sz w:val="14"/>
                <w:szCs w:val="14"/>
                <w:b w:val="1"/>
                <w:bCs w:val="1"/>
                <w:color w:val="auto"/>
              </w:rPr>
              <w:t>ASC 605</w:t>
            </w:r>
          </w:p>
        </w:tc>
      </w:tr>
      <w:tr>
        <w:trPr>
          <w:trHeight w:val="250"/>
        </w:trPr>
        <w:tc>
          <w:tcPr>
            <w:tcW w:w="7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1,799.5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1,923.9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1,955.1</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Unbilled deferred revenue</w:t>
            </w:r>
          </w:p>
        </w:tc>
        <w:tc>
          <w:tcPr>
            <w:tcW w:w="30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405.8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352.1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326.4</w:t>
            </w:r>
          </w:p>
        </w:tc>
      </w:tr>
      <w:tr>
        <w:trPr>
          <w:trHeight w:val="33"/>
        </w:trPr>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deferred revenue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2,205.3</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2,276.0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2,281.5</w:t>
            </w:r>
          </w:p>
        </w:tc>
      </w:tr>
      <w:tr>
        <w:trPr>
          <w:trHeight w:val="20"/>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We expect that the amount of billed and unbilled deferred revenue will change from quarter to quarter for several reasons, including the specific timing, duration and size of customer subscription and support agreements, varying billing cycles of such agreements, the specific timing of customer renewals, and foreign currency fluctuations.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At July 31, 2018, we had $1.3 billion in cash and marketable securities. Our cash flow from operations increased 197% to $26.4 million for the six months ended July 31, 2018, compared to $(27.3) million for the six months ended July 31, 2017. We repurchased 1.3 million shares of our common stock for $167.7 million during the six months ended July 31, 2018. Comparatively, we repurchased 3.4 million shares of our common stock for $310.6 million during the six months ended July 31, 2017. Further discussion regarding the balance sheet and cash flow activities are discussed below under the heading “Liquidity and Capital Resources.”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revenue and spend balances included in the tables below during the three months ended July 31, 2018 are calculated under ASC Topic 606. For comparison of subscription revenue, maintenance revenue, other revenue and total spend during the three months ended July 31, 2018 under ASC Topic 605, refer to the table within Item 2, "Overview" under the title "Impact of New Revenue Accounting Standard."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Statement Presentation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Subscription revenue consists of our term-based product subscriptions, cloud service offerings, and flexible enterprise</w:t>
      </w:r>
    </w:p>
    <w:p>
      <w:pPr>
        <w:spacing w:after="0" w:line="2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business arrangements. Revenue from these arrangements is recognized ratably over the contract term commencing with the date our service is made available to customers and when all other revenue recognition criteria have been satisfied.</w:t>
      </w:r>
    </w:p>
    <w:p>
      <w:pPr>
        <w:spacing w:after="0" w:line="184"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18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Other revenue consists of revenue from consulting, training and other services, and is recognized over time as the services are performed. Other revenue also includes software license revenue from the sale of products which do not incorporate substantial cloud services and is recognized up front.</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580" w:right="27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Three</w:t>
            </w:r>
          </w:p>
        </w:tc>
        <w:tc>
          <w:tcPr>
            <w:tcW w:w="200" w:type="dxa"/>
            <w:vAlign w:val="bottom"/>
          </w:tcPr>
          <w:p>
            <w:pPr>
              <w:spacing w:after="0"/>
              <w:rPr>
                <w:sz w:val="14"/>
                <w:szCs w:val="14"/>
                <w:color w:val="auto"/>
              </w:rPr>
            </w:pPr>
          </w:p>
        </w:tc>
        <w:tc>
          <w:tcPr>
            <w:tcW w:w="18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160" w:type="dxa"/>
            <w:vAlign w:val="bottom"/>
          </w:tcPr>
          <w:p>
            <w:pPr>
              <w:spacing w:after="0"/>
              <w:rPr>
                <w:sz w:val="14"/>
                <w:szCs w:val="14"/>
                <w:color w:val="auto"/>
              </w:rPr>
            </w:pPr>
          </w:p>
        </w:tc>
        <w:tc>
          <w:tcPr>
            <w:tcW w:w="72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Months</w:t>
            </w:r>
          </w:p>
        </w:tc>
        <w:tc>
          <w:tcPr>
            <w:tcW w:w="20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July 31, 2018</w:t>
            </w:r>
          </w:p>
        </w:tc>
        <w:tc>
          <w:tcPr>
            <w:tcW w:w="200" w:type="dxa"/>
            <w:vAlign w:val="bottom"/>
          </w:tcPr>
          <w:p>
            <w:pPr>
              <w:spacing w:after="0"/>
              <w:rPr>
                <w:sz w:val="22"/>
                <w:szCs w:val="22"/>
                <w:color w:val="auto"/>
              </w:rPr>
            </w:pPr>
          </w:p>
        </w:tc>
        <w:tc>
          <w:tcPr>
            <w:tcW w:w="68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July 31, 2017</w:t>
            </w:r>
          </w:p>
        </w:tc>
        <w:tc>
          <w:tcPr>
            <w:tcW w:w="120" w:type="dxa"/>
            <w:vAlign w:val="bottom"/>
          </w:tcPr>
          <w:p>
            <w:pPr>
              <w:spacing w:after="0"/>
              <w:rPr>
                <w:sz w:val="22"/>
                <w:szCs w:val="22"/>
                <w:color w:val="auto"/>
              </w:rPr>
            </w:pPr>
          </w:p>
        </w:tc>
        <w:tc>
          <w:tcPr>
            <w:tcW w:w="3300" w:type="dxa"/>
            <w:vAlign w:val="bottom"/>
          </w:tcPr>
          <w:p>
            <w:pPr>
              <w:ind w:left="9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420.6</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224.5</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114 %</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196.1</w:t>
            </w:r>
          </w:p>
        </w:tc>
        <w:tc>
          <w:tcPr>
            <w:tcW w:w="1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Up due to growth across all subscription plan</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types, led by new product subscriptions and</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EBAs. Also contributing to the growth is the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success of our business model transition as</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maintenance plan subscriptions migrate to</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product subscriptions with the M2S program.</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Maintenance (1)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261.8</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due to migration of maintenance plan</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subscriptions to product subscriptions with the</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M2S program as well as the discontinuation of</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new maintenance agreements.</w:t>
            </w:r>
          </w:p>
        </w:tc>
        <w:tc>
          <w:tcPr>
            <w:tcW w:w="0" w:type="dxa"/>
            <w:vAlign w:val="bottom"/>
          </w:tcPr>
          <w:p>
            <w:pPr>
              <w:spacing w:after="0"/>
              <w:rPr>
                <w:sz w:val="1"/>
                <w:szCs w:val="1"/>
                <w:color w:val="auto"/>
              </w:rPr>
            </w:pPr>
          </w:p>
        </w:tc>
      </w:tr>
      <w:tr>
        <w:trPr>
          <w:trHeight w:val="217"/>
        </w:trPr>
        <w:tc>
          <w:tcPr>
            <w:tcW w:w="4120" w:type="dxa"/>
            <w:vAlign w:val="bottom"/>
          </w:tcPr>
          <w:p>
            <w:pPr>
              <w:ind w:left="560"/>
              <w:spacing w:after="0"/>
              <w:rPr>
                <w:sz w:val="20"/>
                <w:szCs w:val="20"/>
                <w:color w:val="auto"/>
              </w:rPr>
            </w:pPr>
            <w:r>
              <w:rPr>
                <w:rFonts w:ascii="Arial" w:cs="Arial" w:eastAsia="Arial" w:hAnsi="Arial"/>
                <w:sz w:val="16"/>
                <w:szCs w:val="16"/>
                <w:color w:val="auto"/>
              </w:rPr>
              <w:t>Total subscription and maintenance revenue</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587.0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129.1</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457.9</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(2)</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Down as a result of the business model transition</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2"/>
              </w:rPr>
              <w:t>and the discontinuation of perpetual license sales.</w:t>
            </w: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611.7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109.9</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501.8</w:t>
            </w: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120" w:type="dxa"/>
            <w:vAlign w:val="bottom"/>
          </w:tcPr>
          <w:p>
            <w:pPr>
              <w:spacing w:after="0"/>
              <w:rPr>
                <w:sz w:val="24"/>
                <w:szCs w:val="2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Six Months</w:t>
            </w:r>
          </w:p>
        </w:tc>
        <w:tc>
          <w:tcPr>
            <w:tcW w:w="200" w:type="dxa"/>
            <w:vAlign w:val="bottom"/>
          </w:tcPr>
          <w:p>
            <w:pPr>
              <w:spacing w:after="0"/>
              <w:rPr>
                <w:sz w:val="24"/>
                <w:szCs w:val="24"/>
                <w:color w:val="auto"/>
              </w:rPr>
            </w:pPr>
          </w:p>
        </w:tc>
        <w:tc>
          <w:tcPr>
            <w:tcW w:w="1800" w:type="dxa"/>
            <w:vAlign w:val="bottom"/>
            <w:gridSpan w:val="4"/>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July 31, 2018</w:t>
            </w:r>
          </w:p>
        </w:tc>
        <w:tc>
          <w:tcPr>
            <w:tcW w:w="200" w:type="dxa"/>
            <w:vAlign w:val="bottom"/>
          </w:tcPr>
          <w:p>
            <w:pPr>
              <w:spacing w:after="0"/>
              <w:rPr>
                <w:sz w:val="22"/>
                <w:szCs w:val="22"/>
                <w:color w:val="auto"/>
              </w:rPr>
            </w:pPr>
          </w:p>
        </w:tc>
        <w:tc>
          <w:tcPr>
            <w:tcW w:w="680" w:type="dxa"/>
            <w:vAlign w:val="bottom"/>
          </w:tcPr>
          <w:p>
            <w:pPr>
              <w:jc w:val="right"/>
              <w:ind w:right="322"/>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July 31, 2017</w:t>
            </w:r>
          </w:p>
        </w:tc>
        <w:tc>
          <w:tcPr>
            <w:tcW w:w="120" w:type="dxa"/>
            <w:vAlign w:val="bottom"/>
          </w:tcPr>
          <w:p>
            <w:pPr>
              <w:spacing w:after="0"/>
              <w:rPr>
                <w:sz w:val="22"/>
                <w:szCs w:val="22"/>
                <w:color w:val="auto"/>
              </w:rPr>
            </w:pPr>
          </w:p>
        </w:tc>
        <w:tc>
          <w:tcPr>
            <w:tcW w:w="3300" w:type="dxa"/>
            <w:vAlign w:val="bottom"/>
          </w:tcPr>
          <w:p>
            <w:pPr>
              <w:ind w:left="9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771.0</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401.5</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109 %</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369.5</w:t>
            </w:r>
          </w:p>
        </w:tc>
        <w:tc>
          <w:tcPr>
            <w:tcW w:w="1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Up due to growth across all subscription plan</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types, led by new product subscriptions and</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EBAs. Also contributing to the growth is the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success of our business model transition as</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maintenance plan subscriptions migrate to</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product subscriptions with the M2S program.</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Maintenance (1)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525.4</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due to migration of maintenance plan</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subscriptions to product subscriptions with the</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M2S program as well as the discontinuation of</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new maintenance agreements.</w:t>
            </w:r>
          </w:p>
        </w:tc>
        <w:tc>
          <w:tcPr>
            <w:tcW w:w="0" w:type="dxa"/>
            <w:vAlign w:val="bottom"/>
          </w:tcPr>
          <w:p>
            <w:pPr>
              <w:spacing w:after="0"/>
              <w:rPr>
                <w:sz w:val="1"/>
                <w:szCs w:val="1"/>
                <w:color w:val="auto"/>
              </w:rPr>
            </w:pPr>
          </w:p>
        </w:tc>
      </w:tr>
      <w:tr>
        <w:trPr>
          <w:trHeight w:val="217"/>
        </w:trPr>
        <w:tc>
          <w:tcPr>
            <w:tcW w:w="4120" w:type="dxa"/>
            <w:vAlign w:val="bottom"/>
          </w:tcPr>
          <w:p>
            <w:pPr>
              <w:ind w:left="560"/>
              <w:spacing w:after="0"/>
              <w:rPr>
                <w:sz w:val="20"/>
                <w:szCs w:val="20"/>
                <w:color w:val="auto"/>
              </w:rPr>
            </w:pPr>
            <w:r>
              <w:rPr>
                <w:rFonts w:ascii="Arial" w:cs="Arial" w:eastAsia="Arial" w:hAnsi="Arial"/>
                <w:sz w:val="16"/>
                <w:szCs w:val="16"/>
                <w:color w:val="auto"/>
              </w:rPr>
              <w:t>Total subscription and maintenance revenue</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1,118.6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223.7</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894.9</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(2)</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92.6</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Down as a result of the business model transition</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2"/>
              </w:rPr>
              <w:t>and the discontinuation of perpetual license sales.</w:t>
            </w: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1,171.6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184.1</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987.5</w:t>
            </w: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660" w:hanging="412"/>
        <w:spacing w:after="0" w:line="251"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expect maintenance revenue will slowly decline; however, the rate of decline will vary based on the number of renewals, the renewal rate, and our ability to incentivize maintenance plan customers to switch over to subscription plan offerings.</w:t>
      </w:r>
    </w:p>
    <w:p>
      <w:pPr>
        <w:ind w:left="420" w:hanging="412"/>
        <w:spacing w:after="0" w:line="234"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6"/>
          <w:szCs w:val="16"/>
          <w:color w:val="auto"/>
        </w:rPr>
        <w:t>Previously labeled as "License and other" in prior periods.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26" w:right="239" w:bottom="1440" w:gutter="0" w:footer="0" w:header="0"/>
        </w:sectPr>
      </w:pPr>
    </w:p>
    <w:bookmarkStart w:id="40" w:name="page41"/>
    <w:bookmarkEnd w:id="40"/>
    <w:p>
      <w:pPr>
        <w:ind w:left="260"/>
        <w:spacing w:after="0"/>
        <w:rPr>
          <w:sz w:val="20"/>
          <w:szCs w:val="20"/>
          <w:color w:val="auto"/>
        </w:rPr>
      </w:pPr>
      <w:r>
        <w:rPr>
          <w:rFonts w:ascii="Arial" w:cs="Arial" w:eastAsia="Arial" w:hAnsi="Arial"/>
          <w:sz w:val="18"/>
          <w:szCs w:val="18"/>
          <w:i w:val="1"/>
          <w:iCs w:val="1"/>
          <w:color w:val="auto"/>
        </w:rPr>
        <w:t>Net Revenue by Product Family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product offerings are focused in four primary product families: AEC, MFG, ACAD, and M&amp;E.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220" w:type="dxa"/>
            <w:vAlign w:val="bottom"/>
          </w:tcPr>
          <w:p>
            <w:pPr>
              <w:spacing w:after="0"/>
              <w:rPr>
                <w:sz w:val="14"/>
                <w:szCs w:val="14"/>
                <w:color w:val="auto"/>
              </w:rPr>
            </w:pPr>
          </w:p>
        </w:tc>
        <w:tc>
          <w:tcPr>
            <w:tcW w:w="19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Change compared to</w:t>
            </w:r>
          </w:p>
        </w:tc>
        <w:tc>
          <w:tcPr>
            <w:tcW w:w="160" w:type="dxa"/>
            <w:vAlign w:val="bottom"/>
          </w:tcPr>
          <w:p>
            <w:pPr>
              <w:spacing w:after="0"/>
              <w:rPr>
                <w:sz w:val="14"/>
                <w:szCs w:val="14"/>
                <w:color w:val="auto"/>
              </w:rPr>
            </w:pPr>
          </w:p>
        </w:tc>
        <w:tc>
          <w:tcPr>
            <w:tcW w:w="74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Months</w:t>
            </w:r>
          </w:p>
        </w:tc>
        <w:tc>
          <w:tcPr>
            <w:tcW w:w="22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July 31,</w:t>
            </w:r>
          </w:p>
        </w:tc>
        <w:tc>
          <w:tcPr>
            <w:tcW w:w="220" w:type="dxa"/>
            <w:vAlign w:val="bottom"/>
          </w:tcPr>
          <w:p>
            <w:pPr>
              <w:spacing w:after="0"/>
              <w:rPr>
                <w:sz w:val="13"/>
                <w:szCs w:val="13"/>
                <w:color w:val="auto"/>
              </w:rPr>
            </w:pPr>
          </w:p>
        </w:tc>
        <w:tc>
          <w:tcPr>
            <w:tcW w:w="68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July 31, 2017</w:t>
            </w:r>
          </w:p>
        </w:tc>
        <w:tc>
          <w:tcPr>
            <w:tcW w:w="100" w:type="dxa"/>
            <w:vAlign w:val="bottom"/>
          </w:tcPr>
          <w:p>
            <w:pPr>
              <w:spacing w:after="0"/>
              <w:rPr>
                <w:sz w:val="13"/>
                <w:szCs w:val="13"/>
                <w:color w:val="auto"/>
              </w:rPr>
            </w:pPr>
          </w:p>
        </w:tc>
        <w:tc>
          <w:tcPr>
            <w:tcW w:w="376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66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Product Family (1):</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660" w:type="dxa"/>
            <w:vAlign w:val="bottom"/>
          </w:tcPr>
          <w:p>
            <w:pPr>
              <w:ind w:left="360"/>
              <w:spacing w:after="0"/>
              <w:rPr>
                <w:sz w:val="20"/>
                <w:szCs w:val="20"/>
                <w:color w:val="auto"/>
              </w:rPr>
            </w:pPr>
            <w:r>
              <w:rPr>
                <w:rFonts w:ascii="Arial" w:cs="Arial" w:eastAsia="Arial" w:hAnsi="Arial"/>
                <w:sz w:val="16"/>
                <w:szCs w:val="16"/>
                <w:color w:val="auto"/>
              </w:rPr>
              <w:t>AEC</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243.1</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53.5</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19"/>
                <w:szCs w:val="19"/>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189.6</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9"/>
              </w:rPr>
              <w:t>Up due to an increase in AEC collections and legacy</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2"/>
              </w:rPr>
              <w:t>suites driven by the discontinuation of perpetual licenses</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3"/>
              </w:rPr>
              <w:t>and the strong results of our M2S program. Contributing</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1"/>
              </w:rPr>
              <w:t>to the growth was an increase in revenue from EBAs and</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our Revit individual product offering driven by the</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increase in subscription additions.</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ACAD</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135.6</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Up due to increases in both AutoCAD LT and AutoCAD</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subscription additions.</w:t>
            </w:r>
          </w:p>
        </w:tc>
        <w:tc>
          <w:tcPr>
            <w:tcW w:w="0" w:type="dxa"/>
            <w:vAlign w:val="bottom"/>
          </w:tcPr>
          <w:p>
            <w:pPr>
              <w:spacing w:after="0"/>
              <w:rPr>
                <w:sz w:val="1"/>
                <w:szCs w:val="1"/>
                <w:color w:val="auto"/>
              </w:rPr>
            </w:pPr>
          </w:p>
        </w:tc>
      </w:tr>
      <w:tr>
        <w:trPr>
          <w:trHeight w:val="220"/>
        </w:trPr>
        <w:tc>
          <w:tcPr>
            <w:tcW w:w="3660" w:type="dxa"/>
            <w:vAlign w:val="bottom"/>
          </w:tcPr>
          <w:p>
            <w:pPr>
              <w:ind w:left="380"/>
              <w:spacing w:after="0"/>
              <w:rPr>
                <w:sz w:val="20"/>
                <w:szCs w:val="20"/>
                <w:color w:val="auto"/>
              </w:rPr>
            </w:pPr>
            <w:r>
              <w:rPr>
                <w:rFonts w:ascii="Arial" w:cs="Arial" w:eastAsia="Arial" w:hAnsi="Arial"/>
                <w:sz w:val="16"/>
                <w:szCs w:val="16"/>
                <w:color w:val="auto"/>
              </w:rPr>
              <w:t>MFG</w:t>
            </w:r>
          </w:p>
        </w:tc>
        <w:tc>
          <w:tcPr>
            <w:tcW w:w="120" w:type="dxa"/>
            <w:vAlign w:val="bottom"/>
          </w:tcPr>
          <w:p>
            <w:pPr>
              <w:spacing w:after="0"/>
              <w:rPr>
                <w:sz w:val="19"/>
                <w:szCs w:val="19"/>
                <w:color w:val="auto"/>
              </w:rPr>
            </w:pP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146.1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13.8</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132.3</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8"/>
              </w:rPr>
              <w:t>Up due to an increase in MFG collections and legacy</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2"/>
              </w:rPr>
              <w:t>suites driven by the discontinuation of perpetual licenses</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3"/>
              </w:rPr>
              <w:t>and the strong results of our M2S program. Contributing</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9"/>
              </w:rPr>
              <w:t>to the growth was an increase in revenue from EBAs</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driven by an increase in subscription additions.</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M&amp;E</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Up due to an increase in revenue from our 3DS Max and</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Maya individual product offerings driven by an increase</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 subscription additions.</w:t>
            </w:r>
          </w:p>
        </w:tc>
        <w:tc>
          <w:tcPr>
            <w:tcW w:w="0" w:type="dxa"/>
            <w:vAlign w:val="bottom"/>
          </w:tcPr>
          <w:p>
            <w:pPr>
              <w:spacing w:after="0"/>
              <w:rPr>
                <w:sz w:val="1"/>
                <w:szCs w:val="1"/>
                <w:color w:val="auto"/>
              </w:rPr>
            </w:pPr>
          </w:p>
        </w:tc>
      </w:tr>
      <w:tr>
        <w:trPr>
          <w:trHeight w:val="224"/>
        </w:trPr>
        <w:tc>
          <w:tcPr>
            <w:tcW w:w="3660" w:type="dxa"/>
            <w:vAlign w:val="bottom"/>
          </w:tcPr>
          <w:p>
            <w:pPr>
              <w:ind w:left="3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611.7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109.9</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501.8</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660" w:type="dxa"/>
            <w:vAlign w:val="bottom"/>
          </w:tcPr>
          <w:p>
            <w:pPr>
              <w:spacing w:after="0"/>
              <w:rPr>
                <w:sz w:val="24"/>
                <w:szCs w:val="2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w:t>
            </w:r>
          </w:p>
        </w:tc>
        <w:tc>
          <w:tcPr>
            <w:tcW w:w="220" w:type="dxa"/>
            <w:vAlign w:val="bottom"/>
          </w:tcPr>
          <w:p>
            <w:pPr>
              <w:spacing w:after="0"/>
              <w:rPr>
                <w:sz w:val="24"/>
                <w:szCs w:val="24"/>
                <w:color w:val="auto"/>
              </w:rPr>
            </w:pPr>
          </w:p>
        </w:tc>
        <w:tc>
          <w:tcPr>
            <w:tcW w:w="1900" w:type="dxa"/>
            <w:vAlign w:val="bottom"/>
            <w:gridSpan w:val="4"/>
          </w:tcPr>
          <w:p>
            <w:pPr>
              <w:ind w:left="160"/>
              <w:spacing w:after="0"/>
              <w:rPr>
                <w:sz w:val="20"/>
                <w:szCs w:val="20"/>
                <w:color w:val="auto"/>
              </w:rPr>
            </w:pPr>
            <w:r>
              <w:rPr>
                <w:rFonts w:ascii="Arial" w:cs="Arial" w:eastAsia="Arial" w:hAnsi="Arial"/>
                <w:sz w:val="14"/>
                <w:szCs w:val="14"/>
                <w:b w:val="1"/>
                <w:bCs w:val="1"/>
                <w:color w:val="auto"/>
              </w:rPr>
              <w:t>Change compared to</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July 31,</w:t>
            </w:r>
          </w:p>
        </w:tc>
        <w:tc>
          <w:tcPr>
            <w:tcW w:w="220" w:type="dxa"/>
            <w:vAlign w:val="bottom"/>
          </w:tcPr>
          <w:p>
            <w:pPr>
              <w:spacing w:after="0"/>
              <w:rPr>
                <w:sz w:val="13"/>
                <w:szCs w:val="13"/>
                <w:color w:val="auto"/>
              </w:rPr>
            </w:pPr>
          </w:p>
        </w:tc>
        <w:tc>
          <w:tcPr>
            <w:tcW w:w="68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July 31, 2017</w:t>
            </w:r>
          </w:p>
        </w:tc>
        <w:tc>
          <w:tcPr>
            <w:tcW w:w="1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Product Family (1):</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660" w:type="dxa"/>
            <w:vAlign w:val="bottom"/>
          </w:tcPr>
          <w:p>
            <w:pPr>
              <w:ind w:left="360"/>
              <w:spacing w:after="0"/>
              <w:rPr>
                <w:sz w:val="20"/>
                <w:szCs w:val="20"/>
                <w:color w:val="auto"/>
              </w:rPr>
            </w:pPr>
            <w:r>
              <w:rPr>
                <w:rFonts w:ascii="Arial" w:cs="Arial" w:eastAsia="Arial" w:hAnsi="Arial"/>
                <w:sz w:val="16"/>
                <w:szCs w:val="16"/>
                <w:color w:val="auto"/>
              </w:rPr>
              <w:t>AEC</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464.9</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89.4</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9"/>
                <w:szCs w:val="19"/>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375.5</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9"/>
              </w:rPr>
              <w:t>Up due to an increase in AEC collections and legacy</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2"/>
              </w:rPr>
              <w:t>suites driven by the discontinuation of perpetual licenses</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3"/>
              </w:rPr>
              <w:t>and the strong results of our M2S program. Contributing</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1"/>
              </w:rPr>
              <w:t>to the growth was an increase in revenue from EBAs and</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our Revit individual product offering driven by the</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increase in subscription additions.</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ACAD</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332.2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67.6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264.6</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Up due to increases in both AutoCAD LT and AutoCAD</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subscription additions.</w:t>
            </w:r>
          </w:p>
        </w:tc>
        <w:tc>
          <w:tcPr>
            <w:tcW w:w="0" w:type="dxa"/>
            <w:vAlign w:val="bottom"/>
          </w:tcPr>
          <w:p>
            <w:pPr>
              <w:spacing w:after="0"/>
              <w:rPr>
                <w:sz w:val="1"/>
                <w:szCs w:val="1"/>
                <w:color w:val="auto"/>
              </w:rPr>
            </w:pPr>
          </w:p>
        </w:tc>
      </w:tr>
      <w:tr>
        <w:trPr>
          <w:trHeight w:val="220"/>
        </w:trPr>
        <w:tc>
          <w:tcPr>
            <w:tcW w:w="3660" w:type="dxa"/>
            <w:vAlign w:val="bottom"/>
          </w:tcPr>
          <w:p>
            <w:pPr>
              <w:ind w:left="380"/>
              <w:spacing w:after="0"/>
              <w:rPr>
                <w:sz w:val="20"/>
                <w:szCs w:val="20"/>
                <w:color w:val="auto"/>
              </w:rPr>
            </w:pPr>
            <w:r>
              <w:rPr>
                <w:rFonts w:ascii="Arial" w:cs="Arial" w:eastAsia="Arial" w:hAnsi="Arial"/>
                <w:sz w:val="16"/>
                <w:szCs w:val="16"/>
                <w:color w:val="auto"/>
              </w:rPr>
              <w:t>MFG</w:t>
            </w:r>
          </w:p>
        </w:tc>
        <w:tc>
          <w:tcPr>
            <w:tcW w:w="120" w:type="dxa"/>
            <w:vAlign w:val="bottom"/>
          </w:tcPr>
          <w:p>
            <w:pPr>
              <w:spacing w:after="0"/>
              <w:rPr>
                <w:sz w:val="19"/>
                <w:szCs w:val="19"/>
                <w:color w:val="auto"/>
              </w:rPr>
            </w:pP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281.5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20.9</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260.6</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Up due to growth in EBAs driven by an increase in</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7"/>
              </w:rPr>
              <w:t>subscription additions. Also contributing to the growth</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7"/>
              </w:rPr>
              <w:t>was an increase in MFG collections and legacy suites</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driven by the discontinuation of perpetual licenses</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and the strong results of our M2S program.</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M&amp;E</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Up due to an increase in revenue from our 3DS Max and</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Maya individual product offerings driven by an increase</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 subscription additions.</w:t>
            </w:r>
          </w:p>
        </w:tc>
        <w:tc>
          <w:tcPr>
            <w:tcW w:w="0" w:type="dxa"/>
            <w:vAlign w:val="bottom"/>
          </w:tcPr>
          <w:p>
            <w:pPr>
              <w:spacing w:after="0"/>
              <w:rPr>
                <w:sz w:val="1"/>
                <w:szCs w:val="1"/>
                <w:color w:val="auto"/>
              </w:rPr>
            </w:pPr>
          </w:p>
        </w:tc>
      </w:tr>
      <w:tr>
        <w:trPr>
          <w:trHeight w:val="224"/>
        </w:trPr>
        <w:tc>
          <w:tcPr>
            <w:tcW w:w="3660" w:type="dxa"/>
            <w:vAlign w:val="bottom"/>
          </w:tcPr>
          <w:p>
            <w:pPr>
              <w:ind w:left="3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ind w:right="43"/>
              <w:spacing w:after="0"/>
              <w:rPr>
                <w:sz w:val="20"/>
                <w:szCs w:val="20"/>
                <w:color w:val="auto"/>
              </w:rPr>
            </w:pPr>
            <w:r>
              <w:rPr>
                <w:rFonts w:ascii="Arial" w:cs="Arial" w:eastAsia="Arial" w:hAnsi="Arial"/>
                <w:sz w:val="16"/>
                <w:szCs w:val="16"/>
                <w:color w:val="auto"/>
                <w:w w:val="95"/>
              </w:rPr>
              <w:t>$ 1,171.6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184.1</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987.5</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Due to changes in the go-to-market offerings of our AutoCAD product subscription, prior period balances have been adjusted to conform to current period presentation.</w:t>
      </w:r>
    </w:p>
    <w:p>
      <w:pPr>
        <w:spacing w:after="0" w:line="256"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ind w:left="220"/>
        <w:spacing w:after="0"/>
        <w:rPr>
          <w:sz w:val="20"/>
          <w:szCs w:val="20"/>
          <w:color w:val="auto"/>
        </w:rPr>
      </w:pPr>
      <w:r>
        <w:rPr>
          <w:rFonts w:ascii="Arial" w:cs="Arial" w:eastAsia="Arial" w:hAnsi="Arial"/>
          <w:sz w:val="16"/>
          <w:szCs w:val="16"/>
          <w:i w:val="1"/>
          <w:iCs w:val="1"/>
          <w:color w:val="auto"/>
        </w:rPr>
        <w:t>Net Revenue by Geographic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50" w:lineRule="exact"/>
        <w:rPr>
          <w:sz w:val="20"/>
          <w:szCs w:val="20"/>
          <w:color w:val="auto"/>
        </w:rPr>
      </w:pPr>
    </w:p>
    <w:p>
      <w:pPr>
        <w:jc w:val="center"/>
        <w:ind w:right="3140"/>
        <w:spacing w:after="0"/>
        <w:rPr>
          <w:sz w:val="20"/>
          <w:szCs w:val="20"/>
          <w:color w:val="auto"/>
        </w:rPr>
      </w:pPr>
      <w:r>
        <w:rPr>
          <w:rFonts w:ascii="Arial" w:cs="Arial" w:eastAsia="Arial" w:hAnsi="Arial"/>
          <w:sz w:val="15"/>
          <w:szCs w:val="15"/>
          <w:color w:val="auto"/>
        </w:rPr>
        <w:t>Net Revenue:</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Americas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EMEA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APAC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 (1)</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Emerging Economies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77" w:lineRule="exact"/>
        <w:rPr>
          <w:sz w:val="20"/>
          <w:szCs w:val="20"/>
          <w:color w:val="auto"/>
        </w:rPr>
      </w:pPr>
    </w:p>
    <w:p>
      <w:pPr>
        <w:jc w:val="center"/>
        <w:ind w:right="3140"/>
        <w:spacing w:after="0"/>
        <w:rPr>
          <w:sz w:val="20"/>
          <w:szCs w:val="20"/>
          <w:color w:val="auto"/>
        </w:rPr>
      </w:pPr>
      <w:r>
        <w:rPr>
          <w:rFonts w:ascii="Arial" w:cs="Arial" w:eastAsia="Arial" w:hAnsi="Arial"/>
          <w:sz w:val="15"/>
          <w:szCs w:val="15"/>
          <w:color w:val="auto"/>
        </w:rPr>
        <w:t>Net Revenue:</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Americas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EMEA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APAC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 (1)</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Emerging Economies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Change compared to</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Constant Currency</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Change compared to</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6"/>
                <w:szCs w:val="16"/>
                <w:color w:val="auto"/>
              </w:rPr>
            </w:pPr>
          </w:p>
        </w:tc>
        <w:tc>
          <w:tcPr>
            <w:tcW w:w="1540" w:type="dxa"/>
            <w:vAlign w:val="bottom"/>
            <w:gridSpan w:val="4"/>
          </w:tcPr>
          <w:p>
            <w:pPr>
              <w:ind w:left="40"/>
              <w:spacing w:after="0"/>
              <w:rPr>
                <w:sz w:val="20"/>
                <w:szCs w:val="20"/>
                <w:color w:val="auto"/>
              </w:rPr>
            </w:pPr>
            <w:r>
              <w:rPr>
                <w:rFonts w:ascii="Arial" w:cs="Arial" w:eastAsia="Arial" w:hAnsi="Arial"/>
                <w:sz w:val="14"/>
                <w:szCs w:val="14"/>
                <w:b w:val="1"/>
                <w:bCs w:val="1"/>
                <w:color w:val="auto"/>
              </w:rPr>
              <w:t>prior fiscal year</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71"/>
        </w:trPr>
        <w:tc>
          <w:tcPr>
            <w:tcW w:w="1560" w:type="dxa"/>
            <w:vAlign w:val="bottom"/>
            <w:gridSpan w:val="2"/>
            <w:vMerge w:val="continue"/>
          </w:tcPr>
          <w:p>
            <w:pPr>
              <w:spacing w:after="0"/>
              <w:rPr>
                <w:sz w:val="6"/>
                <w:szCs w:val="6"/>
                <w:color w:val="auto"/>
              </w:rPr>
            </w:pPr>
          </w:p>
        </w:tc>
        <w:tc>
          <w:tcPr>
            <w:tcW w:w="42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vMerge w:val="restart"/>
          </w:tcPr>
          <w:p>
            <w:pPr>
              <w:spacing w:after="0"/>
              <w:rPr>
                <w:sz w:val="6"/>
                <w:szCs w:val="6"/>
                <w:color w:val="auto"/>
              </w:rPr>
            </w:pPr>
          </w:p>
        </w:tc>
        <w:tc>
          <w:tcPr>
            <w:tcW w:w="100" w:type="dxa"/>
            <w:vAlign w:val="bottom"/>
            <w:tcBorders>
              <w:top w:val="single" w:sz="8" w:color="auto"/>
            </w:tcBorders>
            <w:vMerge w:val="restart"/>
          </w:tcPr>
          <w:p>
            <w:pPr>
              <w:spacing w:after="0"/>
              <w:rPr>
                <w:sz w:val="6"/>
                <w:szCs w:val="6"/>
                <w:color w:val="auto"/>
              </w:rPr>
            </w:pPr>
          </w:p>
        </w:tc>
        <w:tc>
          <w:tcPr>
            <w:tcW w:w="96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40" w:type="dxa"/>
            <w:vAlign w:val="bottom"/>
            <w:tcBorders>
              <w:top w:val="single" w:sz="8" w:color="auto"/>
            </w:tcBorders>
            <w:vMerge w:val="restart"/>
          </w:tcPr>
          <w:p>
            <w:pPr>
              <w:jc w:val="right"/>
              <w:ind w:right="7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July 31, 2018</w:t>
            </w: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Ended July 31, 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-8255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342900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205.2</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20.6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184.6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12.9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3"/>
                <w:szCs w:val="23"/>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247.5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33.5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214.0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248.3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49.0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199.3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115.9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27.4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611.7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109.9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501.8</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20.4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483"/>
        </w:trPr>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1"/>
              </w:rPr>
              <w:t>Change compared to</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Constant currency</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6"/>
                <w:szCs w:val="16"/>
                <w:color w:val="auto"/>
              </w:rPr>
            </w:pPr>
          </w:p>
        </w:tc>
        <w:tc>
          <w:tcPr>
            <w:tcW w:w="17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prior fiscal year</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6"/>
                <w:szCs w:val="16"/>
                <w:color w:val="auto"/>
              </w:rPr>
            </w:pPr>
          </w:p>
        </w:tc>
        <w:tc>
          <w:tcPr>
            <w:tcW w:w="124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71"/>
        </w:trPr>
        <w:tc>
          <w:tcPr>
            <w:tcW w:w="1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vMerge w:val="restart"/>
          </w:tcPr>
          <w:p>
            <w:pPr>
              <w:jc w:val="right"/>
              <w:ind w:right="361"/>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vMerge w:val="restart"/>
          </w:tcPr>
          <w:p>
            <w:pPr>
              <w:spacing w:after="0"/>
              <w:rPr>
                <w:sz w:val="6"/>
                <w:szCs w:val="6"/>
                <w:color w:val="auto"/>
              </w:rPr>
            </w:pPr>
          </w:p>
        </w:tc>
        <w:tc>
          <w:tcPr>
            <w:tcW w:w="96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40" w:type="dxa"/>
            <w:vAlign w:val="bottom"/>
            <w:tcBorders>
              <w:top w:val="single" w:sz="8" w:color="auto"/>
            </w:tcBorders>
            <w:vMerge w:val="restart"/>
          </w:tcPr>
          <w:p>
            <w:pPr>
              <w:jc w:val="right"/>
              <w:ind w:right="74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July 31,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July 31, 2017</w:t>
            </w:r>
          </w:p>
        </w:tc>
        <w:tc>
          <w:tcPr>
            <w:tcW w:w="0" w:type="dxa"/>
            <w:vAlign w:val="bottom"/>
          </w:tcPr>
          <w:p>
            <w:pPr>
              <w:spacing w:after="0"/>
              <w:rPr>
                <w:sz w:val="1"/>
                <w:szCs w:val="1"/>
                <w:color w:val="auto"/>
              </w:rPr>
            </w:pPr>
          </w:p>
        </w:tc>
      </w:tr>
      <w:tr>
        <w:trPr>
          <w:trHeight w:val="777"/>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401.1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36.7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364.4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20.2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3"/>
                <w:szCs w:val="23"/>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481.0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56.9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424.1</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469.2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80.2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389.0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221.4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47.0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174.4</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1,171.6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184.1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987.5</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139.4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34.7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-3503295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-3159760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-2808605</wp:posOffset>
            </wp:positionV>
            <wp:extent cx="724662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-1744980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-1393190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-1050290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-707390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-355600</wp:posOffset>
            </wp:positionV>
            <wp:extent cx="724662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4080" w:space="720"/>
            <w:col w:w="6620"/>
          </w:cols>
          <w:pgMar w:left="240" w:top="800" w:right="239" w:bottom="1440" w:gutter="0" w:footer="0" w:header="0"/>
        </w:sectPr>
      </w:pPr>
    </w:p>
    <w:p>
      <w:pPr>
        <w:ind w:left="420" w:hanging="412"/>
        <w:spacing w:after="0"/>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 Constant currency data not provided at this level.</w:t>
      </w:r>
    </w:p>
    <w:p>
      <w:pPr>
        <w:spacing w:after="0" w:line="203"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in the global market may impact our future financial results.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0" w:right="239" w:bottom="1440" w:gutter="0" w:footer="0" w:header="0"/>
          <w:type w:val="continuous"/>
        </w:sectPr>
      </w:pPr>
    </w:p>
    <w:bookmarkStart w:id="42" w:name="page43"/>
    <w:bookmarkEnd w:id="42"/>
    <w:p>
      <w:pPr>
        <w:ind w:left="260"/>
        <w:spacing w:after="0"/>
        <w:rPr>
          <w:sz w:val="20"/>
          <w:szCs w:val="20"/>
          <w:color w:val="auto"/>
        </w:rPr>
      </w:pPr>
      <w:r>
        <w:rPr>
          <w:rFonts w:ascii="Arial" w:cs="Arial" w:eastAsia="Arial" w:hAnsi="Arial"/>
          <w:sz w:val="18"/>
          <w:szCs w:val="18"/>
          <w:i w:val="1"/>
          <w:iCs w:val="1"/>
          <w:color w:val="auto"/>
        </w:rPr>
        <w:t>Net Revenue by Sales Channel</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220" w:type="dxa"/>
            <w:vAlign w:val="bottom"/>
          </w:tcPr>
          <w:p>
            <w:pPr>
              <w:spacing w:after="0"/>
              <w:rPr>
                <w:sz w:val="14"/>
                <w:szCs w:val="14"/>
                <w:color w:val="auto"/>
              </w:rPr>
            </w:pPr>
          </w:p>
        </w:tc>
        <w:tc>
          <w:tcPr>
            <w:tcW w:w="14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0"/>
              </w:rPr>
              <w:t>Change compared to</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83"/>
              <w:spacing w:after="0"/>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Months</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prior fiscal year</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July 31,</w:t>
            </w:r>
          </w:p>
        </w:tc>
        <w:tc>
          <w:tcPr>
            <w:tcW w:w="220" w:type="dxa"/>
            <w:vAlign w:val="bottom"/>
          </w:tcPr>
          <w:p>
            <w:pPr>
              <w:spacing w:after="0"/>
              <w:rPr>
                <w:sz w:val="13"/>
                <w:szCs w:val="13"/>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July 31, 2017</w:t>
            </w:r>
          </w:p>
        </w:tc>
        <w:tc>
          <w:tcPr>
            <w:tcW w:w="100" w:type="dxa"/>
            <w:vAlign w:val="bottom"/>
          </w:tcPr>
          <w:p>
            <w:pPr>
              <w:spacing w:after="0"/>
              <w:rPr>
                <w:sz w:val="13"/>
                <w:szCs w:val="13"/>
                <w:color w:val="auto"/>
              </w:rPr>
            </w:pPr>
          </w:p>
        </w:tc>
        <w:tc>
          <w:tcPr>
            <w:tcW w:w="376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70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Sales Channel:</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360"/>
              <w:spacing w:after="0"/>
              <w:rPr>
                <w:sz w:val="20"/>
                <w:szCs w:val="20"/>
                <w:color w:val="auto"/>
              </w:rPr>
            </w:pPr>
            <w:r>
              <w:rPr>
                <w:rFonts w:ascii="Arial" w:cs="Arial" w:eastAsia="Arial" w:hAnsi="Arial"/>
                <w:sz w:val="16"/>
                <w:szCs w:val="16"/>
                <w:color w:val="auto"/>
              </w:rPr>
              <w:t>Indirect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4"/>
              <w:spacing w:after="0"/>
              <w:rPr>
                <w:sz w:val="20"/>
                <w:szCs w:val="20"/>
                <w:color w:val="auto"/>
              </w:rPr>
            </w:pPr>
            <w:r>
              <w:rPr>
                <w:rFonts w:ascii="Arial" w:cs="Arial" w:eastAsia="Arial" w:hAnsi="Arial"/>
                <w:sz w:val="16"/>
                <w:szCs w:val="16"/>
                <w:color w:val="auto"/>
              </w:rPr>
              <w:t>440.2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24%</w:t>
            </w:r>
          </w:p>
        </w:tc>
        <w:tc>
          <w:tcPr>
            <w:tcW w:w="100" w:type="dxa"/>
            <w:vAlign w:val="bottom"/>
          </w:tcPr>
          <w:p>
            <w:pPr>
              <w:spacing w:after="0"/>
              <w:rPr>
                <w:sz w:val="19"/>
                <w:szCs w:val="19"/>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354.7</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Up due to an increase in subscription revenue.</w:t>
            </w: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Direct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171.5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147.1</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Up due to an increase in revenue from EBAs and our</w:t>
            </w:r>
          </w:p>
        </w:tc>
        <w:tc>
          <w:tcPr>
            <w:tcW w:w="0" w:type="dxa"/>
            <w:vAlign w:val="bottom"/>
          </w:tcPr>
          <w:p>
            <w:pPr>
              <w:spacing w:after="0"/>
              <w:rPr>
                <w:sz w:val="1"/>
                <w:szCs w:val="1"/>
                <w:color w:val="auto"/>
              </w:rPr>
            </w:pPr>
          </w:p>
        </w:tc>
      </w:tr>
      <w:tr>
        <w:trPr>
          <w:trHeight w:val="239"/>
        </w:trPr>
        <w:tc>
          <w:tcPr>
            <w:tcW w:w="3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online Autodesk branded store.</w:t>
            </w:r>
          </w:p>
        </w:tc>
        <w:tc>
          <w:tcPr>
            <w:tcW w:w="0" w:type="dxa"/>
            <w:vAlign w:val="bottom"/>
          </w:tcPr>
          <w:p>
            <w:pPr>
              <w:spacing w:after="0"/>
              <w:rPr>
                <w:sz w:val="1"/>
                <w:szCs w:val="1"/>
                <w:color w:val="auto"/>
              </w:rPr>
            </w:pPr>
          </w:p>
        </w:tc>
      </w:tr>
      <w:tr>
        <w:trPr>
          <w:trHeight w:val="244"/>
        </w:trPr>
        <w:tc>
          <w:tcPr>
            <w:tcW w:w="3660" w:type="dxa"/>
            <w:vAlign w:val="bottom"/>
          </w:tcPr>
          <w:p>
            <w:pPr>
              <w:ind w:left="40"/>
              <w:spacing w:after="0"/>
              <w:rPr>
                <w:sz w:val="20"/>
                <w:szCs w:val="20"/>
                <w:color w:val="auto"/>
              </w:rPr>
            </w:pPr>
            <w:r>
              <w:rPr>
                <w:rFonts w:ascii="Arial" w:cs="Arial" w:eastAsia="Arial" w:hAnsi="Arial"/>
                <w:sz w:val="16"/>
                <w:szCs w:val="16"/>
                <w:color w:val="auto"/>
              </w:rPr>
              <w:t>Total Net Revenue (1)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611.7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22%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501.8</w:t>
            </w:r>
          </w:p>
        </w:tc>
        <w:tc>
          <w:tcPr>
            <w:tcW w:w="1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66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Six Months</w:t>
            </w:r>
          </w:p>
        </w:tc>
        <w:tc>
          <w:tcPr>
            <w:tcW w:w="220" w:type="dxa"/>
            <w:vAlign w:val="bottom"/>
          </w:tcPr>
          <w:p>
            <w:pPr>
              <w:spacing w:after="0"/>
              <w:rPr>
                <w:sz w:val="24"/>
                <w:szCs w:val="24"/>
                <w:color w:val="auto"/>
              </w:rPr>
            </w:pPr>
          </w:p>
        </w:tc>
        <w:tc>
          <w:tcPr>
            <w:tcW w:w="1420" w:type="dxa"/>
            <w:vAlign w:val="bottom"/>
            <w:gridSpan w:val="3"/>
          </w:tcPr>
          <w:p>
            <w:pPr>
              <w:ind w:left="140"/>
              <w:spacing w:after="0"/>
              <w:rPr>
                <w:sz w:val="20"/>
                <w:szCs w:val="20"/>
                <w:color w:val="auto"/>
              </w:rPr>
            </w:pPr>
            <w:r>
              <w:rPr>
                <w:rFonts w:ascii="Arial" w:cs="Arial" w:eastAsia="Arial" w:hAnsi="Arial"/>
                <w:sz w:val="14"/>
                <w:szCs w:val="14"/>
                <w:b w:val="1"/>
                <w:bCs w:val="1"/>
                <w:color w:val="auto"/>
                <w:w w:val="90"/>
              </w:rPr>
              <w:t>Change compared to</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prior fiscal year</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July 31,</w:t>
            </w:r>
          </w:p>
        </w:tc>
        <w:tc>
          <w:tcPr>
            <w:tcW w:w="220" w:type="dxa"/>
            <w:vAlign w:val="bottom"/>
          </w:tcPr>
          <w:p>
            <w:pPr>
              <w:spacing w:after="0"/>
              <w:rPr>
                <w:sz w:val="13"/>
                <w:szCs w:val="13"/>
                <w:color w:val="auto"/>
              </w:rPr>
            </w:pPr>
          </w:p>
        </w:tc>
        <w:tc>
          <w:tcPr>
            <w:tcW w:w="68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July 31, 2017</w:t>
            </w:r>
          </w:p>
        </w:tc>
        <w:tc>
          <w:tcPr>
            <w:tcW w:w="100" w:type="dxa"/>
            <w:vAlign w:val="bottom"/>
          </w:tcPr>
          <w:p>
            <w:pPr>
              <w:spacing w:after="0"/>
              <w:rPr>
                <w:sz w:val="13"/>
                <w:szCs w:val="13"/>
                <w:color w:val="auto"/>
              </w:rPr>
            </w:pPr>
          </w:p>
        </w:tc>
        <w:tc>
          <w:tcPr>
            <w:tcW w:w="376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Sales Channel:</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360"/>
              <w:spacing w:after="0"/>
              <w:rPr>
                <w:sz w:val="20"/>
                <w:szCs w:val="20"/>
                <w:color w:val="auto"/>
              </w:rPr>
            </w:pPr>
            <w:r>
              <w:rPr>
                <w:rFonts w:ascii="Arial" w:cs="Arial" w:eastAsia="Arial" w:hAnsi="Arial"/>
                <w:sz w:val="16"/>
                <w:szCs w:val="16"/>
                <w:color w:val="auto"/>
              </w:rPr>
              <w:t>Indirect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4"/>
              <w:spacing w:after="0"/>
              <w:rPr>
                <w:sz w:val="20"/>
                <w:szCs w:val="20"/>
                <w:color w:val="auto"/>
              </w:rPr>
            </w:pPr>
            <w:r>
              <w:rPr>
                <w:rFonts w:ascii="Arial" w:cs="Arial" w:eastAsia="Arial" w:hAnsi="Arial"/>
                <w:sz w:val="16"/>
                <w:szCs w:val="16"/>
                <w:color w:val="auto"/>
              </w:rPr>
              <w:t>838.5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143.7</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21%</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694.8</w:t>
            </w:r>
          </w:p>
        </w:tc>
        <w:tc>
          <w:tcPr>
            <w:tcW w:w="10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Up due to an increase in subscription revenue.</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Direct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333.1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292.7</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Up due to an increase in revenue from EBAs and our</w:t>
            </w:r>
          </w:p>
        </w:tc>
        <w:tc>
          <w:tcPr>
            <w:tcW w:w="0" w:type="dxa"/>
            <w:vAlign w:val="bottom"/>
          </w:tcPr>
          <w:p>
            <w:pPr>
              <w:spacing w:after="0"/>
              <w:rPr>
                <w:sz w:val="1"/>
                <w:szCs w:val="1"/>
                <w:color w:val="auto"/>
              </w:rPr>
            </w:pPr>
          </w:p>
        </w:tc>
      </w:tr>
      <w:tr>
        <w:trPr>
          <w:trHeight w:val="239"/>
        </w:trPr>
        <w:tc>
          <w:tcPr>
            <w:tcW w:w="3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online Autodesk branded store.</w:t>
            </w:r>
          </w:p>
        </w:tc>
        <w:tc>
          <w:tcPr>
            <w:tcW w:w="0" w:type="dxa"/>
            <w:vAlign w:val="bottom"/>
          </w:tcPr>
          <w:p>
            <w:pPr>
              <w:spacing w:after="0"/>
              <w:rPr>
                <w:sz w:val="1"/>
                <w:szCs w:val="1"/>
                <w:color w:val="auto"/>
              </w:rPr>
            </w:pPr>
          </w:p>
        </w:tc>
      </w:tr>
      <w:tr>
        <w:trPr>
          <w:trHeight w:val="244"/>
        </w:trPr>
        <w:tc>
          <w:tcPr>
            <w:tcW w:w="3660" w:type="dxa"/>
            <w:vAlign w:val="bottom"/>
          </w:tcPr>
          <w:p>
            <w:pPr>
              <w:ind w:left="40"/>
              <w:spacing w:after="0"/>
              <w:rPr>
                <w:sz w:val="20"/>
                <w:szCs w:val="20"/>
                <w:color w:val="auto"/>
              </w:rPr>
            </w:pPr>
            <w:r>
              <w:rPr>
                <w:rFonts w:ascii="Arial" w:cs="Arial" w:eastAsia="Arial" w:hAnsi="Arial"/>
                <w:sz w:val="16"/>
                <w:szCs w:val="16"/>
                <w:color w:val="auto"/>
              </w:rPr>
              <w:t>Total Net Revenue (1)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1,171.6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184.1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19%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987.5</w:t>
            </w:r>
          </w:p>
        </w:tc>
        <w:tc>
          <w:tcPr>
            <w:tcW w:w="1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 and Operating Expenses</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Cost of subscription and maintenance revenue includes the labor costs of providing product support to our subscription and maintenance customers, including allocated IT and facilities costs, professional services fees related to operating our network and cloud infrastructure, royalties, depreciation expense and operating lease payments associated with computer equipment, data center costs, salaries, related expenses of network operations, and stock-based compensation expense.</w:t>
      </w:r>
    </w:p>
    <w:p>
      <w:pPr>
        <w:spacing w:after="0" w:line="18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direct material and overhead charges, allocated IT and facilities costs, professional services fees and royalties. Direct material and overhead charges include the cost associated with electronic and physical fulfillment.</w:t>
      </w:r>
    </w:p>
    <w:p>
      <w:pPr>
        <w:spacing w:after="0" w:line="187" w:lineRule="exact"/>
        <w:rPr>
          <w:sz w:val="20"/>
          <w:szCs w:val="20"/>
          <w:color w:val="auto"/>
        </w:rPr>
      </w:pPr>
    </w:p>
    <w:p>
      <w:pPr>
        <w:ind w:right="64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fluctuations in consulting costs, amortization of developed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associated with sales and order management, sales and dealer commissions, payment processing fees, the cost of supplies and equipment, gains and losses on our operating expense cash flow hedges, and allocated IT and facilities costs.</w:t>
      </w:r>
    </w:p>
    <w:p>
      <w:pPr>
        <w:spacing w:after="0" w:line="18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professional services such as fees paid to software development firms and independent contractors, gains and losses on our operating expense cash flow hedges, and allocated IT and facilities costs.</w:t>
      </w:r>
    </w:p>
    <w:p>
      <w:pPr>
        <w:spacing w:after="0" w:line="18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General and administrative expenses include salaries, bonuses, transition costs, benefits and stock-based compensation expense for our CEO, finance, human resources and legal employees, as well as professional fees for legal and accounting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ind w:right="80"/>
        <w:spacing w:after="0" w:line="277" w:lineRule="auto"/>
        <w:rPr>
          <w:sz w:val="20"/>
          <w:szCs w:val="20"/>
          <w:color w:val="auto"/>
        </w:rPr>
      </w:pPr>
      <w:r>
        <w:rPr>
          <w:rFonts w:ascii="Arial" w:cs="Arial" w:eastAsia="Arial" w:hAnsi="Arial"/>
          <w:sz w:val="18"/>
          <w:szCs w:val="18"/>
          <w:color w:val="auto"/>
        </w:rPr>
        <w:t>services, certain foreign business taxes, gains and losses on our operating expense cash flow hedges, expense of travel, entertainment and training, net IT and facilities costs, and the cost of supplies and equipment.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140" w:type="dxa"/>
            <w:vAlign w:val="bottom"/>
          </w:tcPr>
          <w:p>
            <w:pPr>
              <w:spacing w:after="0"/>
              <w:rPr>
                <w:sz w:val="14"/>
                <w:szCs w:val="14"/>
                <w:color w:val="auto"/>
              </w:rPr>
            </w:pPr>
          </w:p>
        </w:tc>
        <w:tc>
          <w:tcPr>
            <w:tcW w:w="15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1"/>
              </w:rPr>
              <w:t>Change compared to</w:t>
            </w:r>
          </w:p>
        </w:tc>
        <w:tc>
          <w:tcPr>
            <w:tcW w:w="140" w:type="dxa"/>
            <w:vAlign w:val="bottom"/>
          </w:tcPr>
          <w:p>
            <w:pPr>
              <w:spacing w:after="0"/>
              <w:rPr>
                <w:sz w:val="14"/>
                <w:szCs w:val="14"/>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Months</w:t>
            </w:r>
          </w:p>
        </w:tc>
        <w:tc>
          <w:tcPr>
            <w:tcW w:w="14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July 31,</w:t>
            </w:r>
          </w:p>
        </w:tc>
        <w:tc>
          <w:tcPr>
            <w:tcW w:w="140" w:type="dxa"/>
            <w:vAlign w:val="bottom"/>
          </w:tcPr>
          <w:p>
            <w:pPr>
              <w:spacing w:after="0"/>
              <w:rPr>
                <w:sz w:val="13"/>
                <w:szCs w:val="13"/>
                <w:color w:val="auto"/>
              </w:rPr>
            </w:pPr>
          </w:p>
        </w:tc>
        <w:tc>
          <w:tcPr>
            <w:tcW w:w="52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3"/>
              </w:rPr>
              <w:t>July 31,</w:t>
            </w:r>
          </w:p>
        </w:tc>
        <w:tc>
          <w:tcPr>
            <w:tcW w:w="120" w:type="dxa"/>
            <w:vAlign w:val="bottom"/>
          </w:tcPr>
          <w:p>
            <w:pPr>
              <w:spacing w:after="0"/>
              <w:rPr>
                <w:sz w:val="13"/>
                <w:szCs w:val="13"/>
                <w:color w:val="auto"/>
              </w:rPr>
            </w:pPr>
          </w:p>
        </w:tc>
        <w:tc>
          <w:tcPr>
            <w:tcW w:w="49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0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6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Subscription and maintenance</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2"/>
              <w:spacing w:after="0"/>
              <w:rPr>
                <w:sz w:val="20"/>
                <w:szCs w:val="20"/>
                <w:color w:val="auto"/>
              </w:rPr>
            </w:pPr>
            <w:r>
              <w:rPr>
                <w:rFonts w:ascii="Arial" w:cs="Arial" w:eastAsia="Arial" w:hAnsi="Arial"/>
                <w:sz w:val="16"/>
                <w:szCs w:val="16"/>
                <w:color w:val="auto"/>
              </w:rPr>
              <w:t>1.3</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5"/>
              </w:rPr>
              <w:t>Up primarily due to an increase in professional service fees driven by an</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increase in SaaS and hosting costs.</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Down primarily due to a decrease in employee-related costs driven by</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decreased headcount associated with the Fiscal 2018 Plan restructuring.</w:t>
            </w: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Amortization of developed technology</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(0.6)</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3"/>
              </w:rPr>
              <w:t>Down as previously acquired developed technologies continue to become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9"/>
              </w:rPr>
              <w:t>fully amortized while fewer assets are acquired compared to the prior</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year.</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289.1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2"/>
              <w:spacing w:after="0"/>
              <w:rPr>
                <w:sz w:val="20"/>
                <w:szCs w:val="20"/>
                <w:color w:val="auto"/>
              </w:rPr>
            </w:pPr>
            <w:r>
              <w:rPr>
                <w:rFonts w:ascii="Arial" w:cs="Arial" w:eastAsia="Arial" w:hAnsi="Arial"/>
                <w:sz w:val="16"/>
                <w:szCs w:val="16"/>
                <w:color w:val="auto"/>
              </w:rPr>
              <w:t>31.5</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257.6</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6"/>
              </w:rPr>
              <w:t>Up due to the adoption of ASC Topic 340-40, and increased employee-</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related costs from higher headcount.</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193.8</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Down primarily due to a decrease in employee-related costs driven by</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decreased headcount associated with the Fiscal 2018 Plan restructuring.</w:t>
            </w: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9"/>
              </w:rPr>
              <w:t>Up primarily due to an increase in employee-related costs and higher</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professional fees partially offset by a decrease in stock-based</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4"/>
              </w:rPr>
              <w:t>compensation expense from awards that were accelerated as part of the</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CEO transition during the first quarter of the prior year.</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Down as previously acquired intangible assets continue to become fully</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amortized while fewer assets are acquired compared to the prior years.</w:t>
            </w: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w w:val="99"/>
              </w:rPr>
              <w:t>Restructuring and other exit costs, net</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22"/>
              <w:spacing w:after="0"/>
              <w:rPr>
                <w:sz w:val="20"/>
                <w:szCs w:val="20"/>
                <w:color w:val="auto"/>
              </w:rPr>
            </w:pPr>
            <w:r>
              <w:rPr>
                <w:rFonts w:ascii="Arial" w:cs="Arial" w:eastAsia="Arial" w:hAnsi="Arial"/>
                <w:sz w:val="16"/>
                <w:szCs w:val="16"/>
                <w:color w:val="auto"/>
              </w:rPr>
              <w:t>13.3</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2"/>
              </w:rPr>
              <w:t>Driven by the Fiscal 2018 Plan to re-balance resources to better align with</w:t>
            </w:r>
          </w:p>
        </w:tc>
        <w:tc>
          <w:tcPr>
            <w:tcW w:w="0" w:type="dxa"/>
            <w:vAlign w:val="bottom"/>
          </w:tcPr>
          <w:p>
            <w:pPr>
              <w:spacing w:after="0"/>
              <w:rPr>
                <w:sz w:val="1"/>
                <w:szCs w:val="1"/>
                <w:color w:val="auto"/>
              </w:rPr>
            </w:pPr>
          </w:p>
        </w:tc>
      </w:tr>
      <w:tr>
        <w:trPr>
          <w:trHeight w:val="203"/>
        </w:trPr>
        <w:tc>
          <w:tcPr>
            <w:tcW w:w="3080" w:type="dxa"/>
            <w:vAlign w:val="bottom"/>
          </w:tcPr>
          <w:p>
            <w:pPr>
              <w:ind w:left="5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8"/>
              </w:rPr>
              <w:t>the Company's strategic priorities and position itself to meet long-term</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9"/>
              </w:rPr>
              <w:t>goals. Costs associated with the Fiscal 2018 Plan are principally from</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9"/>
              </w:rPr>
              <w:t>employee termination benefits, lease termination costs and other exit</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costs.</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566.6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31.8</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534.8</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3080" w:type="dxa"/>
            <w:vAlign w:val="bottom"/>
          </w:tcPr>
          <w:p>
            <w:pPr>
              <w:spacing w:after="0"/>
              <w:rPr>
                <w:sz w:val="24"/>
                <w:szCs w:val="2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w:t>
            </w:r>
          </w:p>
        </w:tc>
        <w:tc>
          <w:tcPr>
            <w:tcW w:w="140" w:type="dxa"/>
            <w:vAlign w:val="bottom"/>
          </w:tcPr>
          <w:p>
            <w:pPr>
              <w:spacing w:after="0"/>
              <w:rPr>
                <w:sz w:val="24"/>
                <w:szCs w:val="24"/>
                <w:color w:val="auto"/>
              </w:rPr>
            </w:pPr>
          </w:p>
        </w:tc>
        <w:tc>
          <w:tcPr>
            <w:tcW w:w="15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Change compared to</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Six Months</w:t>
            </w: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July 31,</w:t>
            </w:r>
          </w:p>
        </w:tc>
        <w:tc>
          <w:tcPr>
            <w:tcW w:w="140" w:type="dxa"/>
            <w:vAlign w:val="bottom"/>
          </w:tcPr>
          <w:p>
            <w:pPr>
              <w:spacing w:after="0"/>
              <w:rPr>
                <w:sz w:val="13"/>
                <w:szCs w:val="13"/>
                <w:color w:val="auto"/>
              </w:rPr>
            </w:pPr>
          </w:p>
        </w:tc>
        <w:tc>
          <w:tcPr>
            <w:tcW w:w="52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3"/>
              </w:rPr>
              <w:t>July 31,</w:t>
            </w:r>
          </w:p>
        </w:tc>
        <w:tc>
          <w:tcPr>
            <w:tcW w:w="120" w:type="dxa"/>
            <w:vAlign w:val="bottom"/>
          </w:tcPr>
          <w:p>
            <w:pPr>
              <w:spacing w:after="0"/>
              <w:rPr>
                <w:sz w:val="13"/>
                <w:szCs w:val="13"/>
                <w:color w:val="auto"/>
              </w:rPr>
            </w:pPr>
          </w:p>
        </w:tc>
        <w:tc>
          <w:tcPr>
            <w:tcW w:w="49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rPr>
              <w:t>Subscription and maintenance</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(3.2)</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9"/>
              </w:rPr>
              <w:t>Down due to a decrease in employee-related costs on lower average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8"/>
              </w:rPr>
              <w:t>headcount during the period compared to the prior period as well as a</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decrease in royalty expense.</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due to lower employee-related costs from reduced headcount</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associated with license and other revenue products and services as a result</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of the business model transition.</w:t>
            </w: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Amortization of developed technology</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6"/>
              </w:rPr>
              <w:t>Down as previously acquired intangible assets continue to become fully</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6"/>
              </w:rPr>
              <w:t>amortized while fewer assets are acquired compared to the prior years.</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152.8</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565.5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2"/>
              <w:spacing w:after="0"/>
              <w:rPr>
                <w:sz w:val="20"/>
                <w:szCs w:val="20"/>
                <w:color w:val="auto"/>
              </w:rPr>
            </w:pPr>
            <w:r>
              <w:rPr>
                <w:rFonts w:ascii="Arial" w:cs="Arial" w:eastAsia="Arial" w:hAnsi="Arial"/>
                <w:sz w:val="16"/>
                <w:szCs w:val="16"/>
                <w:color w:val="auto"/>
              </w:rPr>
              <w:t>52.2</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513.3</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7"/>
              </w:rPr>
              <w:t>Up due to the adoption of ASC Topic 340-40 and increased employee-</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related costs from higher headcount.</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353.6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381.5</w:t>
            </w:r>
          </w:p>
        </w:tc>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Down primarily due to a decrease in employee-related costs driven by</w:t>
            </w: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4"/>
              </w:rPr>
              <w:t>decreased headcount associated with the Fiscal 2018 Plan restructuring.</w:t>
            </w: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152.0</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156.3</w:t>
            </w:r>
          </w:p>
        </w:tc>
        <w:tc>
          <w:tcPr>
            <w:tcW w:w="5020" w:type="dxa"/>
            <w:vAlign w:val="bottom"/>
          </w:tcPr>
          <w:p>
            <w:pPr>
              <w:ind w:left="140"/>
              <w:spacing w:after="0"/>
              <w:rPr>
                <w:sz w:val="20"/>
                <w:szCs w:val="20"/>
                <w:color w:val="auto"/>
              </w:rPr>
            </w:pPr>
            <w:r>
              <w:rPr>
                <w:rFonts w:ascii="Arial" w:cs="Arial" w:eastAsia="Arial" w:hAnsi="Arial"/>
                <w:sz w:val="16"/>
                <w:szCs w:val="16"/>
                <w:color w:val="auto"/>
                <w:w w:val="94"/>
              </w:rPr>
              <w:t>Down primarily due to a decrease in stock-based compensation expense</w:t>
            </w:r>
          </w:p>
        </w:tc>
      </w:tr>
      <w:tr>
        <w:trPr>
          <w:trHeight w:val="203"/>
        </w:trPr>
        <w:tc>
          <w:tcPr>
            <w:tcW w:w="3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rPr>
              <w:t>driven by awards that were accelerated as part of the CEO transition</w:t>
            </w:r>
          </w:p>
        </w:tc>
      </w:tr>
      <w:tr>
        <w:trPr>
          <w:trHeight w:val="203"/>
        </w:trPr>
        <w:tc>
          <w:tcPr>
            <w:tcW w:w="3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rPr>
              <w:t>during the first quarter of the prior year partially offset by higher</w:t>
            </w:r>
          </w:p>
        </w:tc>
      </w:tr>
      <w:tr>
        <w:trPr>
          <w:trHeight w:val="206"/>
        </w:trPr>
        <w:tc>
          <w:tcPr>
            <w:tcW w:w="3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rPr>
              <w:t>professional fees and increased facilities costs.</w:t>
            </w:r>
          </w:p>
        </w:tc>
      </w:tr>
      <w:tr>
        <w:trPr>
          <w:trHeight w:val="33"/>
        </w:trPr>
        <w:tc>
          <w:tcPr>
            <w:tcW w:w="3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6"/>
              </w:rPr>
              <w:t>Down as previously acquired intangible assets continue to become fully</w:t>
            </w: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6"/>
              </w:rPr>
              <w:t>amortized while fewer assets are acquired compared to the prior years.</w:t>
            </w: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w w:val="99"/>
              </w:rPr>
              <w:t>Restructuring and other exit costs, net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9"/>
                <w:szCs w:val="19"/>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36.1</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5020" w:type="dxa"/>
            <w:vAlign w:val="bottom"/>
          </w:tcPr>
          <w:p>
            <w:pPr>
              <w:ind w:left="140"/>
              <w:spacing w:after="0"/>
              <w:rPr>
                <w:sz w:val="20"/>
                <w:szCs w:val="20"/>
                <w:color w:val="auto"/>
              </w:rPr>
            </w:pPr>
            <w:r>
              <w:rPr>
                <w:rFonts w:ascii="Arial" w:cs="Arial" w:eastAsia="Arial" w:hAnsi="Arial"/>
                <w:sz w:val="16"/>
                <w:szCs w:val="16"/>
                <w:color w:val="auto"/>
                <w:w w:val="92"/>
              </w:rPr>
              <w:t>Driven by the Fiscal 2018 Plan to re-balance resources to better align with</w:t>
            </w:r>
          </w:p>
        </w:tc>
      </w:tr>
      <w:tr>
        <w:trPr>
          <w:trHeight w:val="203"/>
        </w:trPr>
        <w:tc>
          <w:tcPr>
            <w:tcW w:w="3080" w:type="dxa"/>
            <w:vAlign w:val="bottom"/>
          </w:tcPr>
          <w:p>
            <w:pPr>
              <w:ind w:left="540"/>
              <w:spacing w:after="0"/>
              <w:rPr>
                <w:sz w:val="20"/>
                <w:szCs w:val="20"/>
                <w:color w:val="auto"/>
              </w:rPr>
            </w:pPr>
            <w:r>
              <w:rPr>
                <w:rFonts w:ascii="Arial" w:cs="Arial" w:eastAsia="Arial" w:hAnsi="Arial"/>
                <w:sz w:val="16"/>
                <w:szCs w:val="16"/>
                <w:color w:val="auto"/>
              </w:rPr>
              <w:t>(2)</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w w:val="98"/>
              </w:rPr>
              <w:t>the Company's strategic priorities and position itself to meet long-term</w:t>
            </w:r>
          </w:p>
        </w:tc>
      </w:tr>
      <w:tr>
        <w:trPr>
          <w:trHeight w:val="203"/>
        </w:trPr>
        <w:tc>
          <w:tcPr>
            <w:tcW w:w="3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w w:val="99"/>
              </w:rPr>
              <w:t>goals. Costs associated with the Fiscal 2018 Plan are principally from</w:t>
            </w:r>
          </w:p>
        </w:tc>
      </w:tr>
      <w:tr>
        <w:trPr>
          <w:trHeight w:val="203"/>
        </w:trPr>
        <w:tc>
          <w:tcPr>
            <w:tcW w:w="3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w w:val="99"/>
              </w:rPr>
              <w:t>employee termination benefits, lease termination costs and other exit</w:t>
            </w:r>
          </w:p>
        </w:tc>
      </w:tr>
      <w:tr>
        <w:trPr>
          <w:trHeight w:val="206"/>
        </w:trPr>
        <w:tc>
          <w:tcPr>
            <w:tcW w:w="3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rPr>
              <w:t>costs.</w:t>
            </w:r>
          </w:p>
        </w:tc>
      </w:tr>
      <w:tr>
        <w:trPr>
          <w:trHeight w:val="33"/>
        </w:trPr>
        <w:tc>
          <w:tcPr>
            <w:tcW w:w="30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r>
      <w:tr>
        <w:trPr>
          <w:trHeight w:val="255"/>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5"/>
              </w:rPr>
              <w:t>$ 1,115.0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53.1</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5 %</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$ 1,061.9</w:t>
            </w:r>
          </w:p>
        </w:tc>
        <w:tc>
          <w:tcPr>
            <w:tcW w:w="5020" w:type="dxa"/>
            <w:vAlign w:val="bottom"/>
            <w:tcBorders>
              <w:bottom w:val="single" w:sz="8" w:color="CCEEFF"/>
            </w:tcBorders>
            <w:shd w:val="clear" w:color="auto" w:fill="CCEEFF"/>
          </w:tcPr>
          <w:p>
            <w:pPr>
              <w:spacing w:after="0"/>
              <w:rPr>
                <w:sz w:val="21"/>
                <w:szCs w:val="2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Previously labeled as "License and other" in prior periods.</w:t>
      </w:r>
    </w:p>
    <w:p>
      <w:pPr>
        <w:spacing w:after="0" w:line="9" w:lineRule="exact"/>
        <w:rPr>
          <w:rFonts w:ascii="Arial" w:cs="Arial" w:eastAsia="Arial" w:hAnsi="Arial"/>
          <w:sz w:val="16"/>
          <w:szCs w:val="16"/>
          <w:color w:val="auto"/>
        </w:rPr>
      </w:pPr>
    </w:p>
    <w:p>
      <w:pPr>
        <w:ind w:left="60" w:right="1740" w:hanging="52"/>
        <w:spacing w:after="0" w:line="257" w:lineRule="auto"/>
        <w:tabs>
          <w:tab w:leader="none" w:pos="411"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See Note 14, "Restructuring and other exit costs, net" in the Notes to Condensed Consolidated Financial Statements for additional information. * Percentage is not meaningful.</w:t>
      </w:r>
    </w:p>
    <w:p>
      <w:pPr>
        <w:spacing w:after="0" w:line="18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highlights our expectation for the absolute dollar change and percent of revenue change between the third quarter of fiscal 2019, as compared to the third quarter of fiscal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Absolute dollar impact</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 of net revenue impact</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4"/>
              </w:rPr>
              <w:t>Decrease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Decrease</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Increase</w:t>
            </w:r>
          </w:p>
        </w:tc>
        <w:tc>
          <w:tcPr>
            <w:tcW w:w="2280" w:type="dxa"/>
            <w:vAlign w:val="bottom"/>
          </w:tcPr>
          <w:p>
            <w:pPr>
              <w:jc w:val="center"/>
              <w:spacing w:after="0"/>
              <w:rPr>
                <w:sz w:val="20"/>
                <w:szCs w:val="20"/>
                <w:color w:val="auto"/>
              </w:rPr>
            </w:pPr>
            <w:r>
              <w:rPr>
                <w:rFonts w:ascii="Arial" w:cs="Arial" w:eastAsia="Arial" w:hAnsi="Arial"/>
                <w:sz w:val="16"/>
                <w:szCs w:val="16"/>
                <w:color w:val="auto"/>
                <w:w w:val="87"/>
              </w:rPr>
              <w:t>Decrease</w:t>
            </w:r>
          </w:p>
        </w:tc>
      </w:tr>
      <w:tr>
        <w:trPr>
          <w:trHeight w:val="33"/>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4"/>
              </w:rPr>
              <w:t>Decrease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Decrease</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Increase</w:t>
            </w:r>
          </w:p>
        </w:tc>
        <w:tc>
          <w:tcPr>
            <w:tcW w:w="2280" w:type="dxa"/>
            <w:vAlign w:val="bottom"/>
          </w:tcPr>
          <w:p>
            <w:pPr>
              <w:jc w:val="center"/>
              <w:spacing w:after="0"/>
              <w:rPr>
                <w:sz w:val="20"/>
                <w:szCs w:val="20"/>
                <w:color w:val="auto"/>
              </w:rPr>
            </w:pPr>
            <w:r>
              <w:rPr>
                <w:rFonts w:ascii="Arial" w:cs="Arial" w:eastAsia="Arial" w:hAnsi="Arial"/>
                <w:sz w:val="16"/>
                <w:szCs w:val="16"/>
                <w:color w:val="auto"/>
                <w:w w:val="87"/>
              </w:rPr>
              <w:t>Decrease</w:t>
            </w:r>
          </w:p>
        </w:tc>
      </w:tr>
      <w:tr>
        <w:trPr>
          <w:trHeight w:val="33"/>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Slight Decrease</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Relatively Flat</w:t>
            </w:r>
          </w:p>
        </w:tc>
      </w:tr>
      <w:tr>
        <w:trPr>
          <w:trHeight w:val="33"/>
        </w:trPr>
        <w:tc>
          <w:tcPr>
            <w:tcW w:w="67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income (expense),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July 31,</w:t>
            </w:r>
          </w:p>
        </w:tc>
        <w:tc>
          <w:tcPr>
            <w:tcW w:w="220" w:type="dxa"/>
            <w:vAlign w:val="bottom"/>
          </w:tcPr>
          <w:p>
            <w:pPr>
              <w:spacing w:after="0"/>
              <w:rPr>
                <w:sz w:val="16"/>
                <w:szCs w:val="16"/>
                <w:color w:val="auto"/>
              </w:rPr>
            </w:pPr>
          </w:p>
        </w:tc>
        <w:tc>
          <w:tcPr>
            <w:tcW w:w="21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9"/>
              </w:rPr>
              <w:t>Six Months Ended July 31,</w:t>
            </w:r>
          </w:p>
        </w:tc>
      </w:tr>
      <w:tr>
        <w:trPr>
          <w:trHeight w:val="264"/>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r>
      <w:tr>
        <w:trPr>
          <w:trHeight w:val="23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net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Gain (loss) on foreign currency</w:t>
            </w:r>
          </w:p>
        </w:tc>
        <w:tc>
          <w:tcPr>
            <w:tcW w:w="280" w:type="dxa"/>
            <w:vAlign w:val="bottom"/>
          </w:tcPr>
          <w:p>
            <w:pPr>
              <w:spacing w:after="0"/>
              <w:rPr>
                <w:sz w:val="20"/>
                <w:szCs w:val="20"/>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strategic investments and dispositions,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Other (expense) income</w:t>
            </w:r>
          </w:p>
        </w:tc>
        <w:tc>
          <w:tcPr>
            <w:tcW w:w="280" w:type="dxa"/>
            <w:vAlign w:val="bottom"/>
          </w:tcPr>
          <w:p>
            <w:pPr>
              <w:spacing w:after="0"/>
              <w:rPr>
                <w:sz w:val="20"/>
                <w:szCs w:val="20"/>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4.8</w:t>
            </w:r>
          </w:p>
        </w:tc>
      </w:tr>
      <w:tr>
        <w:trPr>
          <w:trHeight w:val="33"/>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 net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405"/>
        <w:spacing w:after="0" w:line="342" w:lineRule="auto"/>
        <w:rPr>
          <w:sz w:val="20"/>
          <w:szCs w:val="20"/>
          <w:color w:val="auto"/>
        </w:rPr>
      </w:pPr>
      <w:r>
        <w:rPr>
          <w:rFonts w:ascii="Arial" w:cs="Arial" w:eastAsia="Arial" w:hAnsi="Arial"/>
          <w:sz w:val="16"/>
          <w:szCs w:val="16"/>
          <w:color w:val="auto"/>
        </w:rPr>
        <w:t>Interest and other income (expense), net increased $20.1 million and $13.4 million during the three and six months ended July 31, 2018, respectively, as compared to the same periods in the prior fiscal year, primarily driven by mark to market gains on certain of our privately-held strategic investments.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and investment income fluctuates based on average cash, marketable securities and debt balances, average maturities and interest rates.</w:t>
      </w:r>
    </w:p>
    <w:p>
      <w:pPr>
        <w:spacing w:after="0" w:line="248"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34" w:right="239" w:bottom="1440" w:gutter="0" w:footer="0" w:header="0"/>
        </w:sectPr>
      </w:pPr>
    </w:p>
    <w:bookmarkStart w:id="45" w:name="page46"/>
    <w:bookmarkEnd w:id="45"/>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Autodesk had an income tax expense of $16.0 million, relative to pre-tax losses of $23.4 million for the three months ended July 31, 2018, and an income tax expense of $17.6 million, relative to pre-tax losses of $126.4 million for the three months ended July 31, 2017. Autodesk had an income tax expense of $34.6 million, relative to pre-tax losses of $87.2 million for the six months ended July 31, 2018, and an income tax expense of $25.8 million, relative to pre-tax losses of $247.8 million for the six months ended July 31, 2017. The variance between the three months ended July 31, 2017, and July 31, 2018, was mainly due to a net tax benefit from an internal structure realignment in connection with the closure of our Switzerland operations. The tax benefit was partially offset with income taxes in profitable jurisdictions and withholdings taxes. Income tax expense for the six months ended increased primarily due to increased worldwide earnings, foreign taxes, and withholding taxes.</w:t>
      </w:r>
    </w:p>
    <w:p>
      <w:pPr>
        <w:spacing w:after="0" w:line="178"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a valuation allowance, we consider all available evidence including past operating results and estimates of future taxable income. Beginning in the second quarter of fiscal 2016, we considered recent cumulative losses in the United States arising from the Company's business model transition as a significant source of negative evidence. Considering this negative evidence and the absence of sufficient positive objective evidence that we would generate sufficient taxable income in our United States tax jurisdiction to realize the deferred tax assets, we determined that it was not more likely than not that the Company would realize the U.S. federal and state deferred tax assets and recorded a full valuation allowance. As we continually strive to optimize our overall business model, tax planning strategies may become feasible whereby management may determine that it is more likely than not that the federal and state deferred tax assets will be realized; as a result, we will continue to evaluate the realizability of our net deferred tax assets each quarter, both in the U.S. and in foreign jurisdictions, based on all available evidence, both positive and negative.</w:t>
      </w:r>
    </w:p>
    <w:p>
      <w:pPr>
        <w:spacing w:after="0" w:line="18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As of July 31, 2018, we had $343.1 million of gross unrecognized tax benefits, of which $310.0 million represents the amount of unrecognized tax benefits that would reduce our valuation allowance, if recognized. The remaining $33.1 million would impact the effective tax rate. It is possible that the amount of unrecognized tax benefits will change in the next twelve months; however, an estimate of the range of the possible change cannot be made at this time.</w:t>
      </w:r>
    </w:p>
    <w:p>
      <w:pPr>
        <w:spacing w:after="0" w:line="18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EMEA and APAC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7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Internal Revenue Service is examining the Company's U.S. consolidated federal income tax returns for fiscal years 2014 and 2015. While it is possible that the Company's tax positions may be challenged, the Company believes its positions are consistent with the tax law, and the balance sheet reflects appropriate liabilities for uncertain federal tax positions for the years being examined.</w:t>
      </w:r>
    </w:p>
    <w:p>
      <w:pPr>
        <w:spacing w:after="0" w:line="18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Tax Act was enacted on December 22, 2017, and provides broad and significant changes to the U.S. tax code and how the U.S. imposes income tax on multinational corporations. The Tax Act requires complex computations to be performed that were not previously provided for in the U.S. tax law. These computations require significant judgments to be made regarding the interpretation of the provisions within the Tax Act, along with preparation and analysis of information not previously required. In conjunction with the Tax Act, the SEC issued SAB 118 that allows us to record provisional amounts until a final assessment can be made within a period not to exceed one year from the date of enactment, which would be during our quarter ending October 31, 2018.</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800" w:right="259" w:bottom="1440" w:gutter="0" w:footer="0" w:header="0"/>
        </w:sectPr>
      </w:pPr>
    </w:p>
    <w:bookmarkStart w:id="46" w:name="page47"/>
    <w:bookmarkEnd w:id="46"/>
    <w:p>
      <w:pPr>
        <w:ind w:right="240" w:firstLine="405"/>
        <w:spacing w:after="0" w:line="302" w:lineRule="auto"/>
        <w:rPr>
          <w:sz w:val="20"/>
          <w:szCs w:val="20"/>
          <w:color w:val="auto"/>
        </w:rPr>
      </w:pPr>
      <w:r>
        <w:rPr>
          <w:rFonts w:ascii="Arial" w:cs="Arial" w:eastAsia="Arial" w:hAnsi="Arial"/>
          <w:sz w:val="16"/>
          <w:szCs w:val="16"/>
          <w:color w:val="auto"/>
        </w:rPr>
        <w:t>We have not completed our determination of the accounting implications of the Tax Act on our results of operations. As of July 31, 2018, there have been no material adjustments to provision amounts as were determined at January 31, 2018. As additional regulatory guidance is issued and we continue to collect and analyze necessary data, we may make adjustments to provisional amounts previously recorded. We do not anticipate these adjustments to materially impact our provision for income taxes in the period in which the adjustments are made since we are in a full valuation allowance in the 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to our results determined under GAAP discussed above, we believe the following non-GAAP measures are useful to investors in evaluating our operating performance. For the three and six months ended July 31, 2018 and 2017, our gross profit, gross margin, loss from operations, operating margin, net loss, diluted net loss per share and diluted shares used in per share calculation on a GAAP and non-GAAP basis were as follows (in millions except for gross margin, operating margin, and per share data):</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July 31,</w:t>
            </w:r>
          </w:p>
        </w:tc>
        <w:tc>
          <w:tcPr>
            <w:tcW w:w="280" w:type="dxa"/>
            <w:vAlign w:val="bottom"/>
          </w:tcPr>
          <w:p>
            <w:pPr>
              <w:spacing w:after="0"/>
              <w:rPr>
                <w:sz w:val="16"/>
                <w:szCs w:val="16"/>
                <w:color w:val="auto"/>
              </w:rPr>
            </w:pPr>
          </w:p>
        </w:tc>
        <w:tc>
          <w:tcPr>
            <w:tcW w:w="2260" w:type="dxa"/>
            <w:vAlign w:val="bottom"/>
            <w:gridSpan w:val="3"/>
          </w:tcPr>
          <w:p>
            <w:pPr>
              <w:ind w:left="180"/>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58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r>
      <w:tr>
        <w:trPr>
          <w:trHeight w:val="196"/>
        </w:trPr>
        <w:tc>
          <w:tcPr>
            <w:tcW w:w="5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541.9</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427.2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1,035.0</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834.7</w:t>
            </w:r>
          </w:p>
        </w:tc>
      </w:tr>
      <w:tr>
        <w:trPr>
          <w:trHeight w:val="237"/>
        </w:trPr>
        <w:tc>
          <w:tcPr>
            <w:tcW w:w="580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549.3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435.0</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1,049.5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851.1</w:t>
            </w:r>
          </w:p>
        </w:tc>
      </w:tr>
      <w:tr>
        <w:trPr>
          <w:trHeight w:val="33"/>
        </w:trPr>
        <w:tc>
          <w:tcPr>
            <w:tcW w:w="5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88 %</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r>
      <w:tr>
        <w:trPr>
          <w:trHeight w:val="237"/>
        </w:trPr>
        <w:tc>
          <w:tcPr>
            <w:tcW w:w="580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90 %</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90 %</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33"/>
        </w:trPr>
        <w:tc>
          <w:tcPr>
            <w:tcW w:w="5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(24.7)</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(80.0)</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(227.2)</w:t>
            </w:r>
          </w:p>
        </w:tc>
      </w:tr>
      <w:tr>
        <w:trPr>
          <w:trHeight w:val="237"/>
        </w:trPr>
        <w:tc>
          <w:tcPr>
            <w:tcW w:w="5800" w:type="dxa"/>
            <w:vAlign w:val="bottom"/>
          </w:tcPr>
          <w:p>
            <w:pPr>
              <w:ind w:left="40"/>
              <w:spacing w:after="0"/>
              <w:rPr>
                <w:sz w:val="20"/>
                <w:szCs w:val="20"/>
                <w:color w:val="auto"/>
              </w:rPr>
            </w:pPr>
            <w:r>
              <w:rPr>
                <w:rFonts w:ascii="Arial" w:cs="Arial" w:eastAsia="Arial" w:hAnsi="Arial"/>
                <w:sz w:val="16"/>
                <w:szCs w:val="16"/>
                <w:color w:val="auto"/>
              </w:rPr>
              <w:t>Non-GAAP income (loss) from 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55.6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84.6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(68.3)</w:t>
            </w:r>
          </w:p>
        </w:tc>
      </w:tr>
      <w:tr>
        <w:trPr>
          <w:trHeight w:val="33"/>
        </w:trPr>
        <w:tc>
          <w:tcPr>
            <w:tcW w:w="5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580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9 %</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7 %</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5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(39.4)</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(121.8)</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(273.6)</w:t>
            </w:r>
          </w:p>
        </w:tc>
      </w:tr>
      <w:tr>
        <w:trPr>
          <w:trHeight w:val="237"/>
        </w:trPr>
        <w:tc>
          <w:tcPr>
            <w:tcW w:w="5800" w:type="dxa"/>
            <w:vAlign w:val="bottom"/>
          </w:tcPr>
          <w:p>
            <w:pPr>
              <w:ind w:left="40"/>
              <w:spacing w:after="0"/>
              <w:rPr>
                <w:sz w:val="20"/>
                <w:szCs w:val="20"/>
                <w:color w:val="auto"/>
              </w:rPr>
            </w:pPr>
            <w:r>
              <w:rPr>
                <w:rFonts w:ascii="Arial" w:cs="Arial" w:eastAsia="Arial" w:hAnsi="Arial"/>
                <w:sz w:val="16"/>
                <w:szCs w:val="16"/>
                <w:color w:val="auto"/>
              </w:rPr>
              <w:t>Non-GAAP 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43.2</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57.6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(60.0)</w:t>
            </w:r>
          </w:p>
        </w:tc>
      </w:tr>
      <w:tr>
        <w:trPr>
          <w:trHeight w:val="33"/>
        </w:trPr>
        <w:tc>
          <w:tcPr>
            <w:tcW w:w="5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per share (1)</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(0.18)</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(0.56)</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(1.25)</w:t>
            </w:r>
          </w:p>
        </w:tc>
      </w:tr>
      <w:tr>
        <w:trPr>
          <w:trHeight w:val="237"/>
        </w:trPr>
        <w:tc>
          <w:tcPr>
            <w:tcW w:w="5800" w:type="dxa"/>
            <w:vAlign w:val="bottom"/>
          </w:tcPr>
          <w:p>
            <w:pPr>
              <w:ind w:left="40"/>
              <w:spacing w:after="0"/>
              <w:rPr>
                <w:sz w:val="20"/>
                <w:szCs w:val="20"/>
                <w:color w:val="auto"/>
              </w:rPr>
            </w:pPr>
            <w:r>
              <w:rPr>
                <w:rFonts w:ascii="Arial" w:cs="Arial" w:eastAsia="Arial" w:hAnsi="Arial"/>
                <w:sz w:val="16"/>
                <w:szCs w:val="16"/>
                <w:color w:val="auto"/>
              </w:rPr>
              <w:t>Non-GAAP diluted net income (loss) per share (1)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0.19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0.26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(0.27)</w:t>
            </w:r>
          </w:p>
        </w:tc>
      </w:tr>
      <w:tr>
        <w:trPr>
          <w:trHeight w:val="33"/>
        </w:trPr>
        <w:tc>
          <w:tcPr>
            <w:tcW w:w="5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shares used in per share calculation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219.0</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218.8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219.7</w:t>
            </w:r>
          </w:p>
        </w:tc>
      </w:tr>
      <w:tr>
        <w:trPr>
          <w:trHeight w:val="237"/>
        </w:trPr>
        <w:tc>
          <w:tcPr>
            <w:tcW w:w="580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340" w:type="dxa"/>
            <w:vAlign w:val="bottom"/>
          </w:tcPr>
          <w:p>
            <w:pPr>
              <w:spacing w:after="0"/>
              <w:rPr>
                <w:sz w:val="20"/>
                <w:szCs w:val="20"/>
                <w:color w:val="auto"/>
              </w:rPr>
            </w:pP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222.2</w:t>
            </w:r>
          </w:p>
        </w:tc>
        <w:tc>
          <w:tcPr>
            <w:tcW w:w="400" w:type="dxa"/>
            <w:vAlign w:val="bottom"/>
          </w:tcPr>
          <w:p>
            <w:pPr>
              <w:spacing w:after="0"/>
              <w:rPr>
                <w:sz w:val="20"/>
                <w:szCs w:val="20"/>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219.5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222.0</w:t>
            </w:r>
          </w:p>
        </w:tc>
        <w:tc>
          <w:tcPr>
            <w:tcW w:w="340" w:type="dxa"/>
            <w:vAlign w:val="bottom"/>
          </w:tcPr>
          <w:p>
            <w:pPr>
              <w:spacing w:after="0"/>
              <w:rPr>
                <w:sz w:val="20"/>
                <w:szCs w:val="20"/>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219.7</w:t>
            </w:r>
          </w:p>
        </w:tc>
      </w:tr>
      <w:tr>
        <w:trPr>
          <w:trHeight w:val="249"/>
        </w:trPr>
        <w:tc>
          <w:tcPr>
            <w:tcW w:w="5800" w:type="dxa"/>
            <w:vAlign w:val="bottom"/>
          </w:tcPr>
          <w:p>
            <w:pPr>
              <w:spacing w:after="0"/>
              <w:rPr>
                <w:sz w:val="20"/>
                <w:szCs w:val="20"/>
                <w:color w:val="auto"/>
              </w:rPr>
            </w:pPr>
            <w:r>
              <w:rPr>
                <w:rFonts w:ascii="Arial" w:cs="Arial" w:eastAsia="Arial" w:hAnsi="Arial"/>
                <w:sz w:val="18"/>
                <w:szCs w:val="18"/>
                <w:color w:val="auto"/>
              </w:rPr>
              <w:t>_______________</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ind w:left="420" w:right="160" w:hanging="412"/>
        <w:spacing w:after="0" w:line="263" w:lineRule="auto"/>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Net income (loss) per share was computed independently for each of the periods presented; therefore the sum of the net income (loss) per share amount for the quarters may not equal the total for the year.</w:t>
      </w:r>
    </w:p>
    <w:p>
      <w:pPr>
        <w:spacing w:after="0" w:line="17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78"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00" w:right="239" w:bottom="1440" w:gutter="0" w:footer="0" w:header="0"/>
        </w:sectPr>
      </w:pPr>
    </w:p>
    <w:bookmarkStart w:id="47" w:name="page48"/>
    <w:bookmarkEnd w:id="47"/>
    <w:p>
      <w:pPr>
        <w:spacing w:after="0" w:line="259" w:lineRule="auto"/>
        <w:rPr>
          <w:sz w:val="20"/>
          <w:szCs w:val="20"/>
          <w:color w:val="auto"/>
        </w:rPr>
      </w:pPr>
      <w:r>
        <w:rPr>
          <w:rFonts w:ascii="Arial" w:cs="Arial" w:eastAsia="Arial" w:hAnsi="Arial"/>
          <w:sz w:val="18"/>
          <w:szCs w:val="18"/>
          <w:color w:val="auto"/>
        </w:rPr>
        <w:t>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584"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July 31,</w:t>
            </w:r>
          </w:p>
        </w:tc>
        <w:tc>
          <w:tcPr>
            <w:tcW w:w="420" w:type="dxa"/>
            <w:vAlign w:val="bottom"/>
          </w:tcPr>
          <w:p>
            <w:pPr>
              <w:spacing w:after="0"/>
              <w:rPr>
                <w:sz w:val="16"/>
                <w:szCs w:val="16"/>
                <w:color w:val="auto"/>
              </w:rPr>
            </w:pPr>
          </w:p>
        </w:tc>
        <w:tc>
          <w:tcPr>
            <w:tcW w:w="234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57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196"/>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6"/>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541.9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427.2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1,035.0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834.7</w:t>
            </w: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7.7</w:t>
            </w:r>
          </w:p>
        </w:tc>
      </w:tr>
      <w:tr>
        <w:trPr>
          <w:trHeight w:val="3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8.7</w:t>
            </w:r>
          </w:p>
        </w:tc>
      </w:tr>
      <w:tr>
        <w:trPr>
          <w:trHeight w:val="217"/>
        </w:trPr>
        <w:tc>
          <w:tcPr>
            <w:tcW w:w="578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549.3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435.0</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1,049.5</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851.1</w:t>
            </w:r>
          </w:p>
        </w:tc>
      </w:tr>
      <w:tr>
        <w:trPr>
          <w:trHeight w:val="73"/>
        </w:trPr>
        <w:tc>
          <w:tcPr>
            <w:tcW w:w="57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17"/>
        </w:trPr>
        <w:tc>
          <w:tcPr>
            <w:tcW w:w="5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Gross margin</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5780" w:type="dxa"/>
            <w:vAlign w:val="bottom"/>
          </w:tcPr>
          <w:p>
            <w:pPr>
              <w:ind w:left="40"/>
              <w:spacing w:after="0"/>
              <w:rPr>
                <w:sz w:val="20"/>
                <w:szCs w:val="20"/>
                <w:color w:val="auto"/>
              </w:rPr>
            </w:pPr>
            <w:r>
              <w:rPr>
                <w:rFonts w:ascii="Arial" w:cs="Arial" w:eastAsia="Arial" w:hAnsi="Arial"/>
                <w:sz w:val="16"/>
                <w:szCs w:val="16"/>
                <w:color w:val="auto"/>
              </w:rPr>
              <w:t>Non-GAAP gross margin (2)</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90 %</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86 %</w:t>
            </w:r>
          </w:p>
        </w:tc>
      </w:tr>
      <w:tr>
        <w:trPr>
          <w:trHeight w:val="73"/>
        </w:trPr>
        <w:tc>
          <w:tcPr>
            <w:tcW w:w="57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17"/>
        </w:trPr>
        <w:tc>
          <w:tcPr>
            <w:tcW w:w="5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Loss from operations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(107.6)</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(227.2)</w:t>
            </w: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111.3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117.8</w:t>
            </w:r>
          </w:p>
        </w:tc>
      </w:tr>
      <w:tr>
        <w:trPr>
          <w:trHeight w:val="3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8.7</w:t>
            </w: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10.6</w:t>
            </w:r>
          </w:p>
        </w:tc>
      </w:tr>
      <w:tr>
        <w:trPr>
          <w:trHeight w:val="3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 (1)</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21.6</w:t>
            </w: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Acquisition related costs</w:t>
            </w:r>
          </w:p>
        </w:tc>
        <w:tc>
          <w:tcPr>
            <w:tcW w:w="3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0.2</w:t>
            </w:r>
          </w:p>
        </w:tc>
      </w:tr>
      <w:tr>
        <w:trPr>
          <w:trHeight w:val="217"/>
        </w:trPr>
        <w:tc>
          <w:tcPr>
            <w:tcW w:w="5780" w:type="dxa"/>
            <w:vAlign w:val="bottom"/>
          </w:tcPr>
          <w:p>
            <w:pPr>
              <w:ind w:left="40"/>
              <w:spacing w:after="0"/>
              <w:rPr>
                <w:sz w:val="20"/>
                <w:szCs w:val="20"/>
                <w:color w:val="auto"/>
              </w:rPr>
            </w:pPr>
            <w:r>
              <w:rPr>
                <w:rFonts w:ascii="Arial" w:cs="Arial" w:eastAsia="Arial" w:hAnsi="Arial"/>
                <w:sz w:val="16"/>
                <w:szCs w:val="16"/>
                <w:color w:val="auto"/>
              </w:rPr>
              <w:t>Non-GAAP income (loss) from operations</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(68.3)</w:t>
            </w:r>
          </w:p>
        </w:tc>
      </w:tr>
      <w:tr>
        <w:trPr>
          <w:trHeight w:val="73"/>
        </w:trPr>
        <w:tc>
          <w:tcPr>
            <w:tcW w:w="57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17"/>
        </w:trPr>
        <w:tc>
          <w:tcPr>
            <w:tcW w:w="5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Operating margin</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3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3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 (1)</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Acquisition related costs</w:t>
            </w:r>
          </w:p>
        </w:tc>
        <w:tc>
          <w:tcPr>
            <w:tcW w:w="300" w:type="dxa"/>
            <w:vAlign w:val="bottom"/>
          </w:tcPr>
          <w:p>
            <w:pPr>
              <w:spacing w:after="0"/>
              <w:rPr>
                <w:sz w:val="20"/>
                <w:szCs w:val="20"/>
                <w:color w:val="auto"/>
              </w:rPr>
            </w:pPr>
          </w:p>
        </w:tc>
        <w:tc>
          <w:tcPr>
            <w:tcW w:w="1140" w:type="dxa"/>
            <w:vAlign w:val="bottom"/>
            <w:gridSpan w:val="2"/>
          </w:tcPr>
          <w:p>
            <w:pPr>
              <w:ind w:left="660"/>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20"/>
                <w:szCs w:val="20"/>
                <w:color w:val="auto"/>
              </w:rPr>
            </w:pPr>
          </w:p>
        </w:tc>
        <w:tc>
          <w:tcPr>
            <w:tcW w:w="1120" w:type="dxa"/>
            <w:vAlign w:val="bottom"/>
            <w:gridSpan w:val="2"/>
          </w:tcPr>
          <w:p>
            <w:pPr>
              <w:ind w:left="620"/>
              <w:spacing w:after="0"/>
              <w:rPr>
                <w:sz w:val="20"/>
                <w:szCs w:val="20"/>
                <w:color w:val="auto"/>
              </w:rPr>
            </w:pPr>
            <w:r>
              <w:rPr>
                <w:rFonts w:ascii="Arial" w:cs="Arial" w:eastAsia="Arial" w:hAnsi="Arial"/>
                <w:sz w:val="16"/>
                <w:szCs w:val="16"/>
                <w:color w:val="auto"/>
              </w:rPr>
              <w:t>— %</w:t>
            </w:r>
          </w:p>
        </w:tc>
        <w:tc>
          <w:tcPr>
            <w:tcW w:w="420" w:type="dxa"/>
            <w:vAlign w:val="bottom"/>
          </w:tcPr>
          <w:p>
            <w:pPr>
              <w:spacing w:after="0"/>
              <w:rPr>
                <w:sz w:val="20"/>
                <w:szCs w:val="20"/>
                <w:color w:val="auto"/>
              </w:rPr>
            </w:pPr>
          </w:p>
        </w:tc>
        <w:tc>
          <w:tcPr>
            <w:tcW w:w="1020" w:type="dxa"/>
            <w:vAlign w:val="bottom"/>
            <w:gridSpan w:val="2"/>
          </w:tcPr>
          <w:p>
            <w:pPr>
              <w:ind w:left="540"/>
              <w:spacing w:after="0"/>
              <w:rPr>
                <w:sz w:val="20"/>
                <w:szCs w:val="20"/>
                <w:color w:val="auto"/>
              </w:rPr>
            </w:pPr>
            <w:r>
              <w:rPr>
                <w:rFonts w:ascii="Arial" w:cs="Arial" w:eastAsia="Arial" w:hAnsi="Arial"/>
                <w:sz w:val="16"/>
                <w:szCs w:val="16"/>
                <w:color w:val="auto"/>
              </w:rPr>
              <w:t>—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 %</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5780" w:type="dxa"/>
            <w:vAlign w:val="bottom"/>
          </w:tcPr>
          <w:p>
            <w:pPr>
              <w:ind w:left="40"/>
              <w:spacing w:after="0"/>
              <w:rPr>
                <w:sz w:val="20"/>
                <w:szCs w:val="20"/>
                <w:color w:val="auto"/>
              </w:rPr>
            </w:pPr>
            <w:r>
              <w:rPr>
                <w:rFonts w:ascii="Arial" w:cs="Arial" w:eastAsia="Arial" w:hAnsi="Arial"/>
                <w:sz w:val="16"/>
                <w:szCs w:val="16"/>
                <w:color w:val="auto"/>
              </w:rPr>
              <w:t>Non-GAAP operating margin (2)</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73"/>
        </w:trPr>
        <w:tc>
          <w:tcPr>
            <w:tcW w:w="57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17"/>
        </w:trPr>
        <w:tc>
          <w:tcPr>
            <w:tcW w:w="5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(144.0)</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(121.8)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(273.6)</w:t>
            </w: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111.3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117.8</w:t>
            </w:r>
          </w:p>
        </w:tc>
      </w:tr>
      <w:tr>
        <w:trPr>
          <w:trHeight w:val="3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8.7</w:t>
            </w: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10.6</w:t>
            </w:r>
          </w:p>
        </w:tc>
      </w:tr>
      <w:tr>
        <w:trPr>
          <w:trHeight w:val="3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 (1)</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21.6</w:t>
            </w: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Acquisition related costs</w:t>
            </w:r>
          </w:p>
        </w:tc>
        <w:tc>
          <w:tcPr>
            <w:tcW w:w="30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0.2</w:t>
            </w: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(Gain) loss on strategic investments and dispositions, net</w:t>
            </w:r>
          </w:p>
        </w:tc>
        <w:tc>
          <w:tcPr>
            <w:tcW w:w="30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7.8</w:t>
            </w:r>
          </w:p>
        </w:tc>
      </w:tr>
      <w:tr>
        <w:trPr>
          <w:trHeight w:val="3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items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w:t>
            </w:r>
          </w:p>
        </w:tc>
      </w:tr>
      <w:tr>
        <w:trPr>
          <w:trHeight w:val="237"/>
        </w:trPr>
        <w:tc>
          <w:tcPr>
            <w:tcW w:w="5780" w:type="dxa"/>
            <w:vAlign w:val="bottom"/>
          </w:tcPr>
          <w:p>
            <w:pPr>
              <w:ind w:left="380"/>
              <w:spacing w:after="0"/>
              <w:rPr>
                <w:sz w:val="20"/>
                <w:szCs w:val="20"/>
                <w:color w:val="auto"/>
              </w:rPr>
            </w:pPr>
            <w:r>
              <w:rPr>
                <w:rFonts w:ascii="Arial" w:cs="Arial" w:eastAsia="Arial" w:hAnsi="Arial"/>
                <w:sz w:val="16"/>
                <w:szCs w:val="16"/>
                <w:color w:val="auto"/>
              </w:rPr>
              <w:t>Establishment of valuation allowance on deferred tax assets</w:t>
            </w:r>
          </w:p>
        </w:tc>
        <w:tc>
          <w:tcPr>
            <w:tcW w:w="3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54.6</w:t>
            </w:r>
          </w:p>
        </w:tc>
      </w:tr>
      <w:tr>
        <w:trPr>
          <w:trHeight w:val="217"/>
        </w:trPr>
        <w:tc>
          <w:tcPr>
            <w:tcW w:w="5780" w:type="dxa"/>
            <w:vAlign w:val="bottom"/>
          </w:tcPr>
          <w:p>
            <w:pPr>
              <w:ind w:left="40"/>
              <w:spacing w:after="0"/>
              <w:rPr>
                <w:sz w:val="20"/>
                <w:szCs w:val="20"/>
                <w:color w:val="auto"/>
              </w:rPr>
            </w:pPr>
            <w:r>
              <w:rPr>
                <w:rFonts w:ascii="Arial" w:cs="Arial" w:eastAsia="Arial" w:hAnsi="Arial"/>
                <w:sz w:val="16"/>
                <w:szCs w:val="16"/>
                <w:color w:val="auto"/>
              </w:rPr>
              <w:t>Non-GAAP net income (loss)</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(60.0)</w:t>
            </w:r>
          </w:p>
        </w:tc>
      </w:tr>
      <w:tr>
        <w:trPr>
          <w:trHeight w:val="33"/>
        </w:trPr>
        <w:tc>
          <w:tcPr>
            <w:tcW w:w="5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16"/>
                <w:szCs w:val="16"/>
                <w:color w:val="auto"/>
              </w:rPr>
            </w:pPr>
          </w:p>
        </w:tc>
        <w:tc>
          <w:tcPr>
            <w:tcW w:w="20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3"/>
              </w:rPr>
              <w:t>Six Months Ended July 31,</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per share (3)</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 (1)</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Acquisition related costs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(Gain) loss on strategic investments and dispositions, net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items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Establishment of valuation allowance on deferred tax assets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Non-GAAP diluted net income (loss) per share (3)</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33"/>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20" w:hanging="412"/>
        <w:spacing w:after="0" w:line="249"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CEO transition costs include stock-based compensation of $8.8 million and $16.6 million related to the acceleration of eligible stock awards in the three and six months ended July 31, 2017, respectively.</w:t>
      </w:r>
    </w:p>
    <w:p>
      <w:pPr>
        <w:ind w:left="420" w:hanging="412"/>
        <w:spacing w:after="0"/>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5" w:lineRule="exact"/>
        <w:rPr>
          <w:rFonts w:ascii="Arial" w:cs="Arial" w:eastAsia="Arial" w:hAnsi="Arial"/>
          <w:sz w:val="16"/>
          <w:szCs w:val="16"/>
          <w:color w:val="auto"/>
        </w:rPr>
      </w:pPr>
    </w:p>
    <w:p>
      <w:pPr>
        <w:ind w:left="420" w:right="160" w:hanging="412"/>
        <w:spacing w:after="0" w:line="257"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Net income (loss) per share was computed independently for each of the periods presented; therefore the sum of the net income (loss) per share amount for the quarters may not equal the total for the year.</w:t>
      </w:r>
    </w:p>
    <w:p>
      <w:pPr>
        <w:spacing w:after="0" w:line="18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i w:val="1"/>
          <w:iCs w:val="1"/>
          <w:color w:val="auto"/>
        </w:rPr>
        <w:t xml:space="preserve">CEO transition costs. </w:t>
      </w:r>
      <w:r>
        <w:rPr>
          <w:rFonts w:ascii="Arial" w:cs="Arial" w:eastAsia="Arial" w:hAnsi="Arial"/>
          <w:sz w:val="18"/>
          <w:szCs w:val="18"/>
          <w:color w:val="auto"/>
        </w:rPr>
        <w:t>We exclude amounts paid to the Company's former CEOs upon departure under the terms of their transition agreements,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188"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i w:val="1"/>
          <w:iCs w:val="1"/>
          <w:color w:val="auto"/>
        </w:rPr>
        <w:t xml:space="preserve">Restructuring and other exit costs, net. </w:t>
      </w:r>
      <w:r>
        <w:rPr>
          <w:rFonts w:ascii="Arial" w:cs="Arial" w:eastAsia="Arial" w:hAnsi="Arial"/>
          <w:sz w:val="16"/>
          <w:szCs w:val="16"/>
          <w:color w:val="auto"/>
        </w:rPr>
        <w:t>These expenses are associated with realigning our business strategies based on current economic conditions.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06" w:right="239" w:bottom="1440" w:gutter="0" w:footer="0" w:header="0"/>
        </w:sectPr>
      </w:pPr>
    </w:p>
    <w:bookmarkStart w:id="50" w:name="page51"/>
    <w:bookmarkEnd w:id="50"/>
    <w:p>
      <w:pPr>
        <w:ind w:firstLine="405"/>
        <w:spacing w:after="0" w:line="276" w:lineRule="auto"/>
        <w:rPr>
          <w:sz w:val="20"/>
          <w:szCs w:val="20"/>
          <w:color w:val="auto"/>
        </w:rPr>
      </w:pPr>
      <w:r>
        <w:rPr>
          <w:rFonts w:ascii="Arial" w:cs="Arial" w:eastAsia="Arial" w:hAnsi="Arial"/>
          <w:sz w:val="17"/>
          <w:szCs w:val="17"/>
          <w:i w:val="1"/>
          <w:iCs w:val="1"/>
          <w:color w:val="auto"/>
        </w:rPr>
        <w:t xml:space="preserve">Acquisition related costs. </w:t>
      </w:r>
      <w:r>
        <w:rPr>
          <w:rFonts w:ascii="Arial" w:cs="Arial" w:eastAsia="Arial" w:hAnsi="Arial"/>
          <w:sz w:val="17"/>
          <w:szCs w:val="17"/>
          <w:color w:val="auto"/>
        </w:rPr>
        <w:t>We exclude certain acquisition related costs, including due diligence costs, professional fees in connection with an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financing costs, and certain integration 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 related costs, may not be indicative of such future costs. We believe excluding acquisition related costs facilitates the comparison of our financial results to the Company's historical operating results and to other companies in our industry.</w:t>
      </w:r>
    </w:p>
    <w:p>
      <w:pPr>
        <w:spacing w:after="0" w:line="18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Loss (gain) on strategic investments and dispositions. </w:t>
      </w:r>
      <w:r>
        <w:rPr>
          <w:rFonts w:ascii="Arial" w:cs="Arial" w:eastAsia="Arial" w:hAnsi="Arial"/>
          <w:sz w:val="18"/>
          <w:szCs w:val="18"/>
          <w:color w:val="auto"/>
        </w:rPr>
        <w:t>We exclude gains and losses related to our strategic investments and dispositions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93"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net (loss) income, and 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2"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3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i w:val="1"/>
          <w:iCs w:val="1"/>
          <w:color w:val="auto"/>
        </w:rPr>
        <w:t xml:space="preserve">Income tax effects on the difference between GAAP and non-GAAP costs and expenses. </w:t>
      </w:r>
      <w:r>
        <w:rPr>
          <w:rFonts w:ascii="Arial" w:cs="Arial" w:eastAsia="Arial" w:hAnsi="Arial"/>
          <w:sz w:val="17"/>
          <w:szCs w:val="17"/>
          <w:color w:val="auto"/>
        </w:rPr>
        <w:t>The income tax effects that are excluded from the non-GAAP</w:t>
      </w:r>
      <w:r>
        <w:rPr>
          <w:rFonts w:ascii="Arial" w:cs="Arial" w:eastAsia="Arial" w:hAnsi="Arial"/>
          <w:sz w:val="17"/>
          <w:szCs w:val="17"/>
          <w:i w:val="1"/>
          <w:iCs w:val="1"/>
          <w:color w:val="auto"/>
        </w:rPr>
        <w:t xml:space="preserve"> </w:t>
      </w:r>
      <w:r>
        <w:rPr>
          <w:rFonts w:ascii="Arial" w:cs="Arial" w:eastAsia="Arial" w:hAnsi="Arial"/>
          <w:sz w:val="17"/>
          <w:szCs w:val="17"/>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At July 31, 2018, our principal sources of liquidity were cash, cash equivalents and marketable securities totaling $1.3 billion and net accounts receivable of $234.4 million.</w:t>
      </w:r>
    </w:p>
    <w:p>
      <w:pPr>
        <w:spacing w:after="0" w:line="170" w:lineRule="exact"/>
        <w:rPr>
          <w:sz w:val="20"/>
          <w:szCs w:val="20"/>
          <w:color w:val="auto"/>
        </w:rPr>
      </w:pPr>
    </w:p>
    <w:p>
      <w:pPr>
        <w:ind w:right="160" w:firstLine="405"/>
        <w:spacing w:after="0" w:line="288" w:lineRule="auto"/>
        <w:rPr>
          <w:sz w:val="20"/>
          <w:szCs w:val="20"/>
          <w:color w:val="auto"/>
        </w:rPr>
      </w:pPr>
      <w:r>
        <w:rPr>
          <w:rFonts w:ascii="Arial" w:cs="Arial" w:eastAsia="Arial" w:hAnsi="Arial"/>
          <w:sz w:val="16"/>
          <w:szCs w:val="16"/>
          <w:color w:val="auto"/>
        </w:rPr>
        <w:t>As of July 31, 2018, we have $1.6 billion aggregate principal amount of Notes outstanding (see Note 13, "Borrowing Arrangements," in the Notes to Condensed Consolidated Financial Statements for further discussion). In addition, we have a line of credit facility that permits unsecured short-term borrowings of up to $400.0 million with a May 2020 maturity date, with an option to request an increase in the amount of the credit facility by up to an additional $100.0 million. This credit agreement contains customary covenants that could restrict the imposition of liens on our assets, and restrict the Company’s ability to incur additional indebtedness or make dispositions of assets if we fail to maintain the financial covenants. As the result of a forecasted inability to comply with the credit agreement's minimum interest coverage ratio in the second quarter of fiscal 2019, the Company renegotiated the credit agreement financial covenants in June 2018. The amended financial covenants now consist of a maximum debt to total cash ratio, a fixed charge coverage ratio extending through October 31, 2018, and after October 31, 2018, a minimum interest coverage ratio. As of August 30, 2018, we have no amounts outstanding under the credit facility. If we are unable to remain in compliance with the covenants, we will not be able to draw on our credit facility. Borrowings under the credit facility and the net proceeds from the offering of the Notes are available for general corporate purposes.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4" w:right="259" w:bottom="1440" w:gutter="0" w:footer="0" w:header="0"/>
        </w:sectPr>
      </w:pPr>
    </w:p>
    <w:bookmarkStart w:id="51" w:name="page52"/>
    <w:bookmarkEnd w:id="51"/>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54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repayment of debt;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jc w:val="both"/>
        <w:ind w:right="100" w:firstLine="405"/>
        <w:spacing w:after="0" w:line="342" w:lineRule="auto"/>
        <w:rPr>
          <w:sz w:val="20"/>
          <w:szCs w:val="20"/>
          <w:color w:val="auto"/>
        </w:rPr>
      </w:pPr>
      <w:r>
        <w:rPr>
          <w:rFonts w:ascii="Arial" w:cs="Arial" w:eastAsia="Arial" w:hAnsi="Arial"/>
          <w:sz w:val="16"/>
          <w:szCs w:val="16"/>
          <w:color w:val="auto"/>
        </w:rPr>
        <w:t>In connection with the Company’s closure of certain offices and reduction of workforces worldwide, the Company is in discussions with tax authorities regarding the closure of offices and the redeployment/transfer of assets. At this time, the Company cannot estimate the tax implications of these discussions.</w:t>
      </w:r>
    </w:p>
    <w:p>
      <w:pPr>
        <w:spacing w:after="0" w:line="12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jc w:val="both"/>
        <w:ind w:right="400" w:firstLine="405"/>
        <w:spacing w:after="0" w:line="312" w:lineRule="auto"/>
        <w:rPr>
          <w:sz w:val="20"/>
          <w:szCs w:val="20"/>
          <w:color w:val="auto"/>
        </w:rPr>
      </w:pPr>
      <w:r>
        <w:rPr>
          <w:rFonts w:ascii="Arial" w:cs="Arial" w:eastAsia="Arial" w:hAnsi="Arial"/>
          <w:sz w:val="16"/>
          <w:szCs w:val="16"/>
          <w:color w:val="auto"/>
        </w:rPr>
        <w:t>As of July 31, 2018, other than what was previously discussed in this section regarding our latest debt issuance and repayment,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2018.</w:t>
      </w:r>
    </w:p>
    <w:p>
      <w:pPr>
        <w:spacing w:after="0" w:line="147"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Our cash, cash equivalents, and marketable securities balances are concentrated in a few locations around the world, with substantial amounts held outside of the United States. As of July 31, 2018, approximately 84%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The Tax Act includes a mandatory one-time tax on accumulated earnings of foreign subsidiaries and generally eliminates U.S. taxes on foreign subsidiary distributions in future periods. As a result, earnings in foreign jurisdictions are generally available for distribution to the U.S. with little to no incremental U.S. taxes. We expect to meet our liquidity needs through current cash balances, ongoing cash flows, external borrowings, or a combination. We regularly review our capital structure and consider a variety of potential financing alternatives and planning strategies to ensure we have the proper liquidity available in the locations in which it is needed.</w:t>
      </w:r>
    </w:p>
    <w:p>
      <w:pPr>
        <w:spacing w:after="0" w:line="16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4"/>
                <w:szCs w:val="14"/>
                <w:b w:val="1"/>
                <w:bCs w:val="1"/>
                <w:color w:val="auto"/>
                <w:w w:val="99"/>
              </w:rPr>
              <w:t>Six Months Ended July 31,</w:t>
            </w: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260" w:type="dxa"/>
            <w:vAlign w:val="bottom"/>
          </w:tcPr>
          <w:p>
            <w:pPr>
              <w:spacing w:after="0"/>
              <w:rPr>
                <w:sz w:val="20"/>
                <w:szCs w:val="20"/>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200.7</w:t>
            </w:r>
          </w:p>
        </w:tc>
      </w:tr>
      <w:tr>
        <w:trPr>
          <w:trHeight w:val="33"/>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9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(157.3)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w:t>
            </w:r>
          </w:p>
        </w:tc>
      </w:tr>
      <w:tr>
        <w:trPr>
          <w:trHeight w:val="33"/>
        </w:trPr>
        <w:tc>
          <w:tcPr>
            <w:tcW w:w="9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provided by operating activities of $26.4 million for the six months ended July 31, 2018 includes our net loss of $121.8 million.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00" w:right="239" w:bottom="1440" w:gutter="0" w:footer="0" w:header="0"/>
        </w:sectPr>
      </w:pPr>
    </w:p>
    <w:bookmarkStart w:id="52" w:name="page53"/>
    <w:bookmarkEnd w:id="52"/>
    <w:p>
      <w:pPr>
        <w:ind w:right="260" w:firstLine="405"/>
        <w:spacing w:after="0" w:line="342" w:lineRule="auto"/>
        <w:rPr>
          <w:sz w:val="20"/>
          <w:szCs w:val="20"/>
          <w:color w:val="auto"/>
        </w:rPr>
      </w:pPr>
      <w:r>
        <w:rPr>
          <w:rFonts w:ascii="Arial" w:cs="Arial" w:eastAsia="Arial" w:hAnsi="Arial"/>
          <w:sz w:val="16"/>
          <w:szCs w:val="16"/>
          <w:color w:val="auto"/>
        </w:rPr>
        <w:t>The primary working capital source of cash was a decrease in accounts receivable from $438.2 million as of January 31, 2018 to $234.4 million as of July 31, 2018. The primary working capital uses of cash were decreases in accrued compensation, other accrued liabilities, and deferred revenue.</w:t>
      </w:r>
    </w:p>
    <w:p>
      <w:pPr>
        <w:spacing w:after="0" w:line="124"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Net cash used in investing activities was $40.3 million for the six months ended July 31, 2018, driven by the purchases of marketable securities, capital expenditures and acquisitions, net of cash acquired. These cash outflows were partially offset by the sale and maturities of marketable securities.</w:t>
      </w:r>
    </w:p>
    <w:p>
      <w:pPr>
        <w:spacing w:after="0" w:line="12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At July 31, 2018, our short-term investment portfolio had an estimated fair value of $274.4 million and a cost basis of $266.7 million. The portfolio fair value consists of $64.7 million invested in corporate debt securities, $62.7 million invested in commercial paper, $41.2 million invested in U.S. government securities, $12.5 million invested in agency bonds, $12.1 million invested in asset backed securities, $7.7 million invested in certificates of deposit, $6.5 million invested in sovereign debt, and $5.0 million invested in municipal bonds.</w:t>
      </w:r>
    </w:p>
    <w:p>
      <w:pPr>
        <w:spacing w:after="0" w:line="187"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At July 31, 2018, $62.0 million of short-term trading securities were invested in a defined set of mutual funds as directed by the participants in our Deferred Compensation Plan (see Note 11, “Deferred Compensation,” in the Notes to Condensed Consolidated Financial Statements for further discussion).</w:t>
      </w:r>
    </w:p>
    <w:p>
      <w:pPr>
        <w:spacing w:after="0" w:line="124"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Net cash used in financing activities was $157.3 million for the six months ended July 31, 2018, driven by repurchases of common stock and taxes paid for net settlement of equity awards. These cash outflows were offset in part by cash proceeds from the issuance of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July 31, 2018:</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9"/>
              </w:rPr>
              <w:t>Paid per Share</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1 - May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June 1 - June 30</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130.68</w:t>
            </w:r>
          </w:p>
        </w:tc>
        <w:tc>
          <w:tcPr>
            <w:tcW w:w="120" w:type="dxa"/>
            <w:vAlign w:val="bottom"/>
          </w:tcPr>
          <w:p>
            <w:pPr>
              <w:spacing w:after="0"/>
              <w:rPr>
                <w:sz w:val="20"/>
                <w:szCs w:val="20"/>
                <w:color w:val="auto"/>
              </w:rPr>
            </w:pPr>
          </w:p>
        </w:tc>
        <w:tc>
          <w:tcPr>
            <w:tcW w:w="2160" w:type="dxa"/>
            <w:vAlign w:val="bottom"/>
          </w:tcPr>
          <w:p>
            <w:pPr>
              <w:jc w:val="right"/>
              <w:ind w:right="43"/>
              <w:spacing w:after="0"/>
              <w:rPr>
                <w:sz w:val="20"/>
                <w:szCs w:val="20"/>
                <w:color w:val="auto"/>
              </w:rPr>
            </w:pPr>
            <w:r>
              <w:rPr>
                <w:rFonts w:ascii="Arial" w:cs="Arial" w:eastAsia="Arial" w:hAnsi="Arial"/>
                <w:sz w:val="16"/>
                <w:szCs w:val="16"/>
                <w:color w:val="auto"/>
              </w:rPr>
              <w:t>0.5</w:t>
            </w:r>
          </w:p>
        </w:tc>
        <w:tc>
          <w:tcPr>
            <w:tcW w:w="2260" w:type="dxa"/>
            <w:vAlign w:val="bottom"/>
            <w:gridSpan w:val="2"/>
          </w:tcPr>
          <w:p>
            <w:pPr>
              <w:jc w:val="right"/>
              <w:ind w:right="28"/>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1 - July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132.19</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0.6</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131.52</w:t>
            </w:r>
          </w:p>
        </w:tc>
        <w:tc>
          <w:tcPr>
            <w:tcW w:w="12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420" w:right="160" w:hanging="412"/>
        <w:spacing w:after="0" w:line="328"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These amounts correspond to the plan approved by the Board of Directors in September 2016 that authorized the repurchase of 30.0 million shares. The plan does not have a fixed expiration date. See Note 16, “Common Stock Repurchase Program,” in the Notes to Condensed Consolidated Financial Statements for further discussion.</w:t>
      </w:r>
    </w:p>
    <w:p>
      <w:pPr>
        <w:spacing w:after="0" w:line="13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On July 3, 2018, in connection with our acquisition of Assemble Systems, Inc., we issued 340,769 shares of our common stock to certain former holders of capital stock of Assemble as partial consideration for the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2018, we did not have any significant off-balance sheet arrangements, as defined in Item 303(a)(4)(ii) of Regulation S-K.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i w:val="1"/>
          <w:iCs w:val="1"/>
          <w:color w:val="auto"/>
        </w:rPr>
        <w:t xml:space="preserve">Annualized Recurring Revenue (ARR)— </w:t>
      </w:r>
      <w:r>
        <w:rPr>
          <w:rFonts w:ascii="Arial" w:cs="Arial" w:eastAsia="Arial" w:hAnsi="Arial"/>
          <w:sz w:val="16"/>
          <w:szCs w:val="16"/>
          <w:color w:val="auto"/>
        </w:rPr>
        <w:t>Represents the annualized value of our average monthly recurring revenue for the preceding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plan ARR” captures ARR relating to traditional maintenance attached to perpetual licenses. "Subscription plan ARR" captures ARR relating to subscription offerings. Refer to the definition of recurring revenue below for more details on what is included within ARR. Recurring revenue acquired with the acquisition of a business is captured when total subscriptions are captured in our systems and may cause variability in the comparison of this calculation.</w:t>
      </w:r>
    </w:p>
    <w:p>
      <w:pPr>
        <w:spacing w:after="0" w:line="154" w:lineRule="exact"/>
        <w:rPr>
          <w:sz w:val="20"/>
          <w:szCs w:val="20"/>
          <w:color w:val="auto"/>
        </w:rPr>
      </w:pPr>
    </w:p>
    <w:p>
      <w:pPr>
        <w:ind w:right="520" w:firstLine="405"/>
        <w:spacing w:after="0" w:line="308" w:lineRule="auto"/>
        <w:rPr>
          <w:sz w:val="20"/>
          <w:szCs w:val="20"/>
          <w:color w:val="auto"/>
        </w:rPr>
      </w:pPr>
      <w:r>
        <w:rPr>
          <w:rFonts w:ascii="Arial" w:cs="Arial" w:eastAsia="Arial" w:hAnsi="Arial"/>
          <w:sz w:val="17"/>
          <w:szCs w:val="17"/>
          <w:color w:val="auto"/>
        </w:rPr>
        <w:t>ARR is currently one of our key performance metrics to assess the health and trajectory of our business. ARR should be viewed independently of revenue and deferred revenue as ARR is a performance metric and is not intended to be combined with any of these items.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Annualized Revenue Per Subscription (ARPS)—</w:t>
      </w:r>
      <w:r>
        <w:rPr>
          <w:rFonts w:ascii="Arial" w:cs="Arial" w:eastAsia="Arial" w:hAnsi="Arial"/>
          <w:sz w:val="17"/>
          <w:szCs w:val="17"/>
          <w:color w:val="auto"/>
        </w:rPr>
        <w:t>Is calculated by dividing our annualized recurring revenue by the total number of subscriptions.</w:t>
      </w:r>
    </w:p>
    <w:p>
      <w:pPr>
        <w:spacing w:after="0" w:line="2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Billings</w:t>
      </w:r>
      <w:r>
        <w:rPr>
          <w:rFonts w:ascii="Arial" w:cs="Arial" w:eastAsia="Arial" w:hAnsi="Arial"/>
          <w:sz w:val="18"/>
          <w:szCs w:val="18"/>
          <w:b w:val="1"/>
          <w:bCs w:val="1"/>
          <w:color w:val="auto"/>
        </w:rPr>
        <w:t>—</w:t>
      </w:r>
      <w:r>
        <w:rPr>
          <w:rFonts w:ascii="Arial" w:cs="Arial" w:eastAsia="Arial" w:hAnsi="Arial"/>
          <w:sz w:val="18"/>
          <w:szCs w:val="18"/>
          <w:color w:val="auto"/>
        </w:rPr>
        <w:t>Total revenue plus change in deferred revenue from the beginning to the end of the period.</w:t>
      </w:r>
    </w:p>
    <w:p>
      <w:pPr>
        <w:spacing w:after="0" w:line="225" w:lineRule="exact"/>
        <w:rPr>
          <w:sz w:val="20"/>
          <w:szCs w:val="20"/>
          <w:color w:val="auto"/>
        </w:rPr>
      </w:pPr>
    </w:p>
    <w:p>
      <w:pPr>
        <w:ind w:right="300" w:firstLine="405"/>
        <w:spacing w:after="0" w:line="313" w:lineRule="auto"/>
        <w:rPr>
          <w:sz w:val="20"/>
          <w:szCs w:val="20"/>
          <w:color w:val="auto"/>
        </w:rPr>
      </w:pPr>
      <w:r>
        <w:rPr>
          <w:rFonts w:ascii="Arial" w:cs="Arial" w:eastAsia="Arial" w:hAnsi="Arial"/>
          <w:sz w:val="17"/>
          <w:szCs w:val="17"/>
          <w:i w:val="1"/>
          <w:iCs w:val="1"/>
          <w:color w:val="auto"/>
        </w:rPr>
        <w:t>Cloud Service Offerings</w:t>
      </w:r>
      <w:r>
        <w:rPr>
          <w:rFonts w:ascii="Arial" w:cs="Arial" w:eastAsia="Arial" w:hAnsi="Arial"/>
          <w:sz w:val="17"/>
          <w:szCs w:val="17"/>
          <w:b w:val="1"/>
          <w:bCs w:val="1"/>
          <w:color w:val="auto"/>
        </w:rPr>
        <w:t>—</w:t>
      </w:r>
      <w:r>
        <w:rPr>
          <w:rFonts w:ascii="Arial" w:cs="Arial" w:eastAsia="Arial" w:hAnsi="Arial"/>
          <w:sz w:val="17"/>
          <w:szCs w:val="17"/>
          <w:color w:val="auto"/>
        </w:rPr>
        <w:t>Represents individual term-based offerings deployed through web browser technologies or in a hybrid software and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configuration. Cloud service offerings that are bundled with other product offerings are not captured as a separate cloud service offering.</w:t>
      </w:r>
    </w:p>
    <w:p>
      <w:pPr>
        <w:spacing w:after="0" w:line="138" w:lineRule="exact"/>
        <w:rPr>
          <w:sz w:val="20"/>
          <w:szCs w:val="20"/>
          <w:color w:val="auto"/>
        </w:rPr>
      </w:pPr>
    </w:p>
    <w:p>
      <w:pPr>
        <w:ind w:right="60" w:firstLine="405"/>
        <w:spacing w:after="0" w:line="281" w:lineRule="auto"/>
        <w:rPr>
          <w:sz w:val="20"/>
          <w:szCs w:val="20"/>
          <w:color w:val="auto"/>
        </w:rPr>
      </w:pPr>
      <w:r>
        <w:rPr>
          <w:rFonts w:ascii="Arial" w:cs="Arial" w:eastAsia="Arial" w:hAnsi="Arial"/>
          <w:sz w:val="17"/>
          <w:szCs w:val="17"/>
          <w:i w:val="1"/>
          <w:iCs w:val="1"/>
          <w:color w:val="auto"/>
        </w:rPr>
        <w:t>Constant Currency (CC) Growth Rates</w:t>
      </w:r>
      <w:r>
        <w:rPr>
          <w:rFonts w:ascii="Arial" w:cs="Arial" w:eastAsia="Arial" w:hAnsi="Arial"/>
          <w:sz w:val="17"/>
          <w:szCs w:val="17"/>
          <w:b w:val="1"/>
          <w:bCs w:val="1"/>
          <w:color w:val="auto"/>
        </w:rPr>
        <w:t>—</w:t>
      </w:r>
      <w:r>
        <w:rPr>
          <w:rFonts w:ascii="Arial" w:cs="Arial" w:eastAsia="Arial" w:hAnsi="Arial"/>
          <w:sz w:val="17"/>
          <w:szCs w:val="17"/>
          <w:color w:val="auto"/>
        </w:rPr>
        <w:t>We attempt to represent the changes in the underlying business operations by eliminating fluctuations caused</w:t>
      </w:r>
      <w:r>
        <w:rPr>
          <w:rFonts w:ascii="Arial" w:cs="Arial" w:eastAsia="Arial" w:hAnsi="Arial"/>
          <w:sz w:val="17"/>
          <w:szCs w:val="17"/>
          <w:i w:val="1"/>
          <w:iCs w:val="1"/>
          <w:color w:val="auto"/>
        </w:rPr>
        <w:t xml:space="preserve"> </w:t>
      </w:r>
      <w:r>
        <w:rPr>
          <w:rFonts w:ascii="Arial" w:cs="Arial" w:eastAsia="Arial" w:hAnsi="Arial"/>
          <w:sz w:val="17"/>
          <w:szCs w:val="17"/>
          <w:color w:val="auto"/>
        </w:rPr>
        <w:t>by 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Core business</w:t>
      </w:r>
      <w:r>
        <w:rPr>
          <w:rFonts w:ascii="Arial" w:cs="Arial" w:eastAsia="Arial" w:hAnsi="Arial"/>
          <w:sz w:val="18"/>
          <w:szCs w:val="18"/>
          <w:b w:val="1"/>
          <w:bCs w:val="1"/>
          <w:color w:val="auto"/>
        </w:rPr>
        <w:t>—</w:t>
      </w:r>
      <w:r>
        <w:rPr>
          <w:rFonts w:ascii="Arial" w:cs="Arial" w:eastAsia="Arial" w:hAnsi="Arial"/>
          <w:sz w:val="18"/>
          <w:szCs w:val="18"/>
          <w:color w:val="auto"/>
        </w:rPr>
        <w:t>Represents the combination of maintenance, product, and EBA.</w:t>
      </w:r>
    </w:p>
    <w:p>
      <w:pPr>
        <w:spacing w:after="0" w:line="225" w:lineRule="exact"/>
        <w:rPr>
          <w:sz w:val="20"/>
          <w:szCs w:val="20"/>
          <w:color w:val="auto"/>
        </w:rPr>
      </w:pPr>
    </w:p>
    <w:p>
      <w:pPr>
        <w:ind w:right="40" w:firstLine="405"/>
        <w:spacing w:after="0" w:line="282" w:lineRule="auto"/>
        <w:rPr>
          <w:sz w:val="20"/>
          <w:szCs w:val="20"/>
          <w:color w:val="auto"/>
        </w:rPr>
      </w:pPr>
      <w:r>
        <w:rPr>
          <w:rFonts w:ascii="Arial" w:cs="Arial" w:eastAsia="Arial" w:hAnsi="Arial"/>
          <w:sz w:val="18"/>
          <w:szCs w:val="18"/>
          <w:i w:val="1"/>
          <w:iCs w:val="1"/>
          <w:color w:val="auto"/>
        </w:rPr>
        <w:t>Enterprise Business Agreements (EBAs)</w:t>
      </w:r>
      <w:r>
        <w:rPr>
          <w:rFonts w:ascii="Arial" w:cs="Arial" w:eastAsia="Arial" w:hAnsi="Arial"/>
          <w:sz w:val="18"/>
          <w:szCs w:val="18"/>
          <w:b w:val="1"/>
          <w:bCs w:val="1"/>
          <w:color w:val="auto"/>
        </w:rPr>
        <w:t>—</w:t>
      </w:r>
      <w:r>
        <w:rPr>
          <w:rFonts w:ascii="Arial" w:cs="Arial" w:eastAsia="Arial" w:hAnsi="Arial"/>
          <w:sz w:val="18"/>
          <w:szCs w:val="18"/>
          <w:color w:val="auto"/>
        </w:rPr>
        <w:t>Represents programs providing enterprise customers with token-based access or a fixed maximum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seats to a broad pool of Autodesk products over a defined contract term.</w:t>
      </w:r>
    </w:p>
    <w:p>
      <w:pPr>
        <w:spacing w:after="0" w:line="166"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i w:val="1"/>
          <w:iCs w:val="1"/>
          <w:color w:val="auto"/>
        </w:rPr>
        <w:t>Industry Collections</w:t>
      </w:r>
      <w:r>
        <w:rPr>
          <w:rFonts w:ascii="Arial" w:cs="Arial" w:eastAsia="Arial" w:hAnsi="Arial"/>
          <w:sz w:val="16"/>
          <w:szCs w:val="16"/>
          <w:color w:val="auto"/>
        </w:rPr>
        <w:t>—Autodesk industry collections are a combination of products and services that target a specific user objective and support a set of</w:t>
      </w:r>
      <w:r>
        <w:rPr>
          <w:rFonts w:ascii="Arial" w:cs="Arial" w:eastAsia="Arial" w:hAnsi="Arial"/>
          <w:sz w:val="16"/>
          <w:szCs w:val="16"/>
          <w:i w:val="1"/>
          <w:iCs w:val="1"/>
          <w:color w:val="auto"/>
        </w:rPr>
        <w:t xml:space="preserve"> </w:t>
      </w:r>
      <w:r>
        <w:rPr>
          <w:rFonts w:ascii="Arial" w:cs="Arial" w:eastAsia="Arial" w:hAnsi="Arial"/>
          <w:sz w:val="16"/>
          <w:szCs w:val="16"/>
          <w:color w:val="auto"/>
        </w:rPr>
        <w:t>workflows for that objective. Our Industry Collections consist of: Autodesk Architecture, Engineering and Construction Collection, Autodesk Product Design Collection, and Autodesk Media and Entertainment Collection. We introduced industry collections effective August 1, 2016 to replace our suites.</w:t>
      </w:r>
    </w:p>
    <w:p>
      <w:pPr>
        <w:spacing w:after="0" w:line="143" w:lineRule="exact"/>
        <w:rPr>
          <w:sz w:val="20"/>
          <w:szCs w:val="20"/>
          <w:color w:val="auto"/>
        </w:rPr>
      </w:pPr>
    </w:p>
    <w:p>
      <w:pPr>
        <w:ind w:right="400" w:firstLine="405"/>
        <w:spacing w:after="0" w:line="282" w:lineRule="auto"/>
        <w:rPr>
          <w:sz w:val="20"/>
          <w:szCs w:val="20"/>
          <w:color w:val="auto"/>
        </w:rPr>
      </w:pPr>
      <w:r>
        <w:rPr>
          <w:rFonts w:ascii="Arial" w:cs="Arial" w:eastAsia="Arial" w:hAnsi="Arial"/>
          <w:sz w:val="18"/>
          <w:szCs w:val="18"/>
          <w:i w:val="1"/>
          <w:iCs w:val="1"/>
          <w:color w:val="auto"/>
        </w:rPr>
        <w:t>Other Revenue</w:t>
      </w:r>
      <w:r>
        <w:rPr>
          <w:rFonts w:ascii="Arial" w:cs="Arial" w:eastAsia="Arial" w:hAnsi="Arial"/>
          <w:sz w:val="18"/>
          <w:szCs w:val="18"/>
          <w:b w:val="1"/>
          <w:bCs w:val="1"/>
          <w:color w:val="auto"/>
        </w:rPr>
        <w:t>—</w:t>
      </w:r>
      <w:r>
        <w:rPr>
          <w:rFonts w:ascii="Arial" w:cs="Arial" w:eastAsia="Arial" w:hAnsi="Arial"/>
          <w:sz w:val="18"/>
          <w:szCs w:val="18"/>
          <w:color w:val="auto"/>
        </w:rPr>
        <w:t>Consists of revenue from consulting, training and other services, and is recognized over time as the services are performed.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also includes software license revenue from the sale of our discontinued perpetual licenses.</w:t>
      </w:r>
    </w:p>
    <w:p>
      <w:pPr>
        <w:spacing w:after="0" w:line="162"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i w:val="1"/>
          <w:iCs w:val="1"/>
          <w:color w:val="auto"/>
        </w:rPr>
        <w:t>Subscription Plan</w:t>
      </w:r>
      <w:r>
        <w:rPr>
          <w:rFonts w:ascii="Arial" w:cs="Arial" w:eastAsia="Arial" w:hAnsi="Arial"/>
          <w:sz w:val="18"/>
          <w:szCs w:val="18"/>
          <w:b w:val="1"/>
          <w:bCs w:val="1"/>
          <w:color w:val="auto"/>
        </w:rPr>
        <w:t>—</w:t>
      </w:r>
      <w:r>
        <w:rPr>
          <w:rFonts w:ascii="Arial" w:cs="Arial" w:eastAsia="Arial" w:hAnsi="Arial"/>
          <w:sz w:val="18"/>
          <w:szCs w:val="18"/>
          <w:color w:val="auto"/>
        </w:rPr>
        <w:t>Comprises our term-based product subscriptions, cloud service offerings, and enterprise business agreements (EBAs). Subscriptions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a combined hybrid offering of 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180"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i w:val="1"/>
          <w:iCs w:val="1"/>
          <w:color w:val="auto"/>
        </w:rPr>
        <w:t>Maintenance Plan</w:t>
      </w:r>
      <w:r>
        <w:rPr>
          <w:rFonts w:ascii="Arial" w:cs="Arial" w:eastAsia="Arial" w:hAnsi="Arial"/>
          <w:sz w:val="18"/>
          <w:szCs w:val="18"/>
          <w:b w:val="1"/>
          <w:bCs w:val="1"/>
          <w:color w:val="auto"/>
        </w:rPr>
        <w:t>—</w:t>
      </w:r>
      <w:r>
        <w:rPr>
          <w:rFonts w:ascii="Arial" w:cs="Arial" w:eastAsia="Arial" w:hAnsi="Arial"/>
          <w:sz w:val="18"/>
          <w:szCs w:val="18"/>
          <w:color w:val="auto"/>
        </w:rPr>
        <w:t>Our maintenance plans provide our customers with a cost effective and predictable budgetary option to obtain the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between one and three years.</w:t>
      </w:r>
    </w:p>
    <w:p>
      <w:pPr>
        <w:spacing w:after="0" w:line="180" w:lineRule="exact"/>
        <w:rPr>
          <w:sz w:val="20"/>
          <w:szCs w:val="20"/>
          <w:color w:val="auto"/>
        </w:rPr>
      </w:pPr>
    </w:p>
    <w:p>
      <w:pPr>
        <w:ind w:right="120" w:firstLine="405"/>
        <w:spacing w:after="0" w:line="266" w:lineRule="auto"/>
        <w:rPr>
          <w:sz w:val="20"/>
          <w:szCs w:val="20"/>
          <w:color w:val="auto"/>
        </w:rPr>
      </w:pPr>
      <w:r>
        <w:rPr>
          <w:rFonts w:ascii="Arial" w:cs="Arial" w:eastAsia="Arial" w:hAnsi="Arial"/>
          <w:sz w:val="18"/>
          <w:szCs w:val="18"/>
          <w:i w:val="1"/>
          <w:iCs w:val="1"/>
          <w:color w:val="auto"/>
        </w:rPr>
        <w:t>Product Subscription</w:t>
      </w:r>
      <w:r>
        <w:rPr>
          <w:rFonts w:ascii="Arial" w:cs="Arial" w:eastAsia="Arial" w:hAnsi="Arial"/>
          <w:sz w:val="18"/>
          <w:szCs w:val="18"/>
          <w:b w:val="1"/>
          <w:bCs w:val="1"/>
          <w:color w:val="auto"/>
        </w:rPr>
        <w:t>—</w:t>
      </w:r>
      <w:r>
        <w:rPr>
          <w:rFonts w:ascii="Arial" w:cs="Arial" w:eastAsia="Arial" w:hAnsi="Arial"/>
          <w:sz w:val="18"/>
          <w:szCs w:val="18"/>
          <w:color w:val="auto"/>
        </w:rPr>
        <w:t>Provide customers the most flexible, cost-effective way to access and manage 3D design, engineering, and entertainment</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tools. Our product subscriptions currently represent a hybrid of desktop and SaaS functionality, which provides a device-independent, collaborative design workflow for designers and their stakeholders.</w:t>
      </w:r>
    </w:p>
    <w:p>
      <w:pPr>
        <w:spacing w:after="0" w:line="176"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i w:val="1"/>
          <w:iCs w:val="1"/>
          <w:color w:val="auto"/>
        </w:rPr>
        <w:t>Recurring revenue</w:t>
      </w:r>
      <w:r>
        <w:rPr>
          <w:rFonts w:ascii="Arial" w:cs="Arial" w:eastAsia="Arial" w:hAnsi="Arial"/>
          <w:sz w:val="18"/>
          <w:szCs w:val="18"/>
          <w:b w:val="1"/>
          <w:bCs w:val="1"/>
          <w:color w:val="auto"/>
        </w:rPr>
        <w:t>—</w:t>
      </w:r>
      <w:r>
        <w:rPr>
          <w:rFonts w:ascii="Arial" w:cs="Arial" w:eastAsia="Arial" w:hAnsi="Arial"/>
          <w:sz w:val="18"/>
          <w:szCs w:val="18"/>
          <w:color w:val="auto"/>
        </w:rPr>
        <w:t>Consists of the revenue for the period from our traditional maintenance plans and revenue from our subscription plan offerings. It</w:t>
      </w:r>
      <w:r>
        <w:rPr>
          <w:rFonts w:ascii="Arial" w:cs="Arial" w:eastAsia="Arial" w:hAnsi="Arial"/>
          <w:sz w:val="18"/>
          <w:szCs w:val="18"/>
          <w:i w:val="1"/>
          <w:iCs w:val="1"/>
          <w:color w:val="auto"/>
        </w:rPr>
        <w:t xml:space="preserve"> </w:t>
      </w:r>
      <w:r>
        <w:rPr>
          <w:rFonts w:ascii="Arial" w:cs="Arial" w:eastAsia="Arial" w:hAnsi="Arial"/>
          <w:sz w:val="18"/>
          <w:szCs w:val="18"/>
          <w:color w:val="auto"/>
        </w:rPr>
        <w:t>excludes subscription revenue related to consumer product offerings, select Creative Finishing product offerings, education offerings, and third party products. Recurring revenue acquired with the acquisition of a business is captured when total subscriptions are captured in our systems and may cause variability in the comparison of this calculation.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0" w:right="259" w:bottom="1440" w:gutter="0" w:footer="0" w:header="0"/>
        </w:sectPr>
      </w:pPr>
    </w:p>
    <w:bookmarkStart w:id="54" w:name="page55"/>
    <w:bookmarkEnd w:id="54"/>
    <w:p>
      <w:pPr>
        <w:ind w:left="400"/>
        <w:spacing w:after="0"/>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b w:val="1"/>
          <w:bCs w:val="1"/>
          <w:color w:val="auto"/>
        </w:rPr>
        <w:t>—</w:t>
      </w:r>
      <w:r>
        <w:rPr>
          <w:rFonts w:ascii="Arial" w:cs="Arial" w:eastAsia="Arial" w:hAnsi="Arial"/>
          <w:sz w:val="16"/>
          <w:szCs w:val="16"/>
          <w:color w:val="auto"/>
        </w:rPr>
        <w:t>Includes subscription fees from product subscriptions, cloud service offerings, and enterprise business agreements (EBAs).</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Total Deferred Revenue</w:t>
      </w:r>
      <w:r>
        <w:rPr>
          <w:rFonts w:ascii="Arial" w:cs="Arial" w:eastAsia="Arial" w:hAnsi="Arial"/>
          <w:sz w:val="18"/>
          <w:szCs w:val="18"/>
          <w:b w:val="1"/>
          <w:bCs w:val="1"/>
          <w:color w:val="auto"/>
        </w:rPr>
        <w:t>—</w:t>
      </w:r>
      <w:r>
        <w:rPr>
          <w:rFonts w:ascii="Arial" w:cs="Arial" w:eastAsia="Arial" w:hAnsi="Arial"/>
          <w:sz w:val="18"/>
          <w:szCs w:val="18"/>
          <w:color w:val="auto"/>
        </w:rPr>
        <w:t>Is calculated by adding together total short term, long term, and unbilled deferred revenue.</w:t>
      </w:r>
    </w:p>
    <w:p>
      <w:pPr>
        <w:spacing w:after="0" w:line="239" w:lineRule="exact"/>
        <w:rPr>
          <w:sz w:val="20"/>
          <w:szCs w:val="20"/>
          <w:color w:val="auto"/>
        </w:rPr>
      </w:pPr>
    </w:p>
    <w:p>
      <w:pPr>
        <w:ind w:right="60" w:firstLine="405"/>
        <w:spacing w:after="0" w:line="298" w:lineRule="auto"/>
        <w:rPr>
          <w:sz w:val="20"/>
          <w:szCs w:val="20"/>
          <w:color w:val="auto"/>
        </w:rPr>
      </w:pPr>
      <w:r>
        <w:rPr>
          <w:rFonts w:ascii="Arial" w:cs="Arial" w:eastAsia="Arial" w:hAnsi="Arial"/>
          <w:sz w:val="16"/>
          <w:szCs w:val="16"/>
          <w:i w:val="1"/>
          <w:iCs w:val="1"/>
          <w:color w:val="auto"/>
        </w:rPr>
        <w:t>Total Subscriptions</w:t>
      </w:r>
      <w:r>
        <w:rPr>
          <w:rFonts w:ascii="Arial" w:cs="Arial" w:eastAsia="Arial" w:hAnsi="Arial"/>
          <w:sz w:val="16"/>
          <w:szCs w:val="16"/>
          <w:b w:val="1"/>
          <w:bCs w:val="1"/>
          <w:color w:val="auto"/>
        </w:rPr>
        <w:t>—</w:t>
      </w:r>
      <w:r>
        <w:rPr>
          <w:rFonts w:ascii="Arial" w:cs="Arial" w:eastAsia="Arial" w:hAnsi="Arial"/>
          <w:sz w:val="16"/>
          <w:szCs w:val="16"/>
          <w:color w:val="auto"/>
        </w:rPr>
        <w:t>Consists of subscriptions from our maintenance plans and subscription plan offerings that are active and paid as of the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 date. For certain cloud service offerings and enterprise business agreements (EBAs), subscriptions represent the monthly average activity reported within the last three months of the quarter end date. Total subscriptions do not include education offerings, consumer product offerings, select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w:t>
      </w:r>
    </w:p>
    <w:p>
      <w:pPr>
        <w:spacing w:after="0" w:line="154" w:lineRule="exact"/>
        <w:rPr>
          <w:sz w:val="20"/>
          <w:szCs w:val="20"/>
          <w:color w:val="auto"/>
        </w:rPr>
      </w:pPr>
    </w:p>
    <w:p>
      <w:pPr>
        <w:ind w:right="120" w:firstLine="405"/>
        <w:spacing w:after="0" w:line="289" w:lineRule="auto"/>
        <w:rPr>
          <w:sz w:val="20"/>
          <w:szCs w:val="20"/>
          <w:color w:val="auto"/>
        </w:rPr>
      </w:pPr>
      <w:r>
        <w:rPr>
          <w:rFonts w:ascii="Arial" w:cs="Arial" w:eastAsia="Arial" w:hAnsi="Arial"/>
          <w:sz w:val="17"/>
          <w:szCs w:val="17"/>
          <w:i w:val="1"/>
          <w:iCs w:val="1"/>
          <w:color w:val="auto"/>
        </w:rPr>
        <w:t>Unbilled Deferred Revenue</w:t>
      </w:r>
      <w:r>
        <w:rPr>
          <w:rFonts w:ascii="Arial" w:cs="Arial" w:eastAsia="Arial" w:hAnsi="Arial"/>
          <w:sz w:val="17"/>
          <w:szCs w:val="17"/>
          <w:b w:val="1"/>
          <w:bCs w:val="1"/>
          <w:color w:val="auto"/>
        </w:rPr>
        <w:t>—</w:t>
      </w:r>
      <w:r>
        <w:rPr>
          <w:rFonts w:ascii="Arial" w:cs="Arial" w:eastAsia="Arial" w:hAnsi="Arial"/>
          <w:sz w:val="17"/>
          <w:szCs w:val="17"/>
          <w:color w:val="auto"/>
        </w:rPr>
        <w:t>Unbilled deferred revenue represents contractually stated or committed orders under early renewal and multi-year billing</w:t>
      </w:r>
      <w:r>
        <w:rPr>
          <w:rFonts w:ascii="Arial" w:cs="Arial" w:eastAsia="Arial" w:hAnsi="Arial"/>
          <w:sz w:val="17"/>
          <w:szCs w:val="17"/>
          <w:i w:val="1"/>
          <w:iCs w:val="1"/>
          <w:color w:val="auto"/>
        </w:rPr>
        <w:t xml:space="preserve"> </w:t>
      </w:r>
      <w:r>
        <w:rPr>
          <w:rFonts w:ascii="Arial" w:cs="Arial" w:eastAsia="Arial" w:hAnsi="Arial"/>
          <w:sz w:val="17"/>
          <w:szCs w:val="17"/>
          <w:color w:val="auto"/>
        </w:rPr>
        <w:t>plans for subscription, services, license and maintenance for which the associated deferred revenue has not been recognized. Under ASC 606, unbilled deferred revenue is not included as a receivable or deferred revenue on our Consolidated Balance Sheet.</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July 31, 2018 and January 31, 2018,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net notional amount of our option and forward contracts was $978.3 million and $949.5 million at July 31, 2018 and January 31, 2018, respectively.</w:t>
      </w:r>
    </w:p>
    <w:p>
      <w:pPr>
        <w:spacing w:after="0" w:line="179"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July 31, 2018 indicated that a hypothetical 10% appreciation of the U.S. dollar from its value at July 31, 2018 and January 31, 2018 would increase the fair value of our foreign currency contracts by $92.9 million and $57.9 million, respectively. A hypothetical 10% depreciation of the dollar from its value at July 31, 2018 and January 31, 2018 would decrease the fair value of our foreign currency contracts by $52.5 million and $83.2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the market value of certain longer term securities. At July 31, 2018, we had $834.6 million of cash equivalents and marketable securities, including $274.4 million classified as short-term marketable securities and $128.1 million classified as long-term marketable securities. If interest rates were to move up or down by 50 or 100 basis points over a twelve month period, the market value change of our marketable securities would have an unrealized gain or loss of $1.0 million and $1.9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5, "Financial Instruments," for further discussion regarding our privately held investments.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796" w:right="259" w:bottom="1440" w:gutter="0" w:footer="0" w:header="0"/>
        </w:sectPr>
      </w:pPr>
    </w:p>
    <w:bookmarkStart w:id="55" w:name="page56"/>
    <w:bookmarkEnd w:id="55"/>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firstLine="8"/>
        <w:spacing w:after="0" w:line="252" w:lineRule="auto"/>
        <w:tabs>
          <w:tab w:leader="none" w:pos="2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19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40" w:firstLine="39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Exchange Act) during the quarter ended July 31, 2018 that have materially affected, or are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796" w:right="27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industries, business and financial results.</w:t>
      </w:r>
    </w:p>
    <w:p>
      <w:pPr>
        <w:spacing w:after="0" w:line="225" w:lineRule="exact"/>
        <w:rPr>
          <w:sz w:val="20"/>
          <w:szCs w:val="20"/>
          <w:color w:val="auto"/>
        </w:rPr>
      </w:pPr>
    </w:p>
    <w:p>
      <w:pPr>
        <w:ind w:right="220" w:firstLine="392"/>
        <w:spacing w:after="0" w:line="291" w:lineRule="auto"/>
        <w:rPr>
          <w:sz w:val="20"/>
          <w:szCs w:val="20"/>
          <w:color w:val="auto"/>
        </w:rPr>
      </w:pPr>
      <w:r>
        <w:rPr>
          <w:rFonts w:ascii="Arial" w:cs="Arial" w:eastAsia="Arial" w:hAnsi="Arial"/>
          <w:sz w:val="16"/>
          <w:szCs w:val="16"/>
          <w:color w:val="auto"/>
        </w:rPr>
        <w:t>Our overall performance depends largely upon domestic and worldwide economic and political conditions. The United States and other international economies have experienced cyclical downturns from time to time in which economic activity was impacted by falling demand for a variety of goods and services, restricted credit, poor liquidity, decreased government spending, reduced corporate profitability, volatility in credit, equity and foreign exchange markets, bankruptcies and overall uncertainty with respect to the economy. These economic conditions can occur abruptly.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167" w:lineRule="exact"/>
        <w:rPr>
          <w:sz w:val="20"/>
          <w:szCs w:val="20"/>
          <w:color w:val="auto"/>
        </w:rPr>
      </w:pPr>
    </w:p>
    <w:p>
      <w:pPr>
        <w:ind w:right="260" w:firstLine="392"/>
        <w:spacing w:after="0" w:line="302" w:lineRule="auto"/>
        <w:rPr>
          <w:sz w:val="20"/>
          <w:szCs w:val="20"/>
          <w:color w:val="auto"/>
        </w:rPr>
      </w:pPr>
      <w:r>
        <w:rPr>
          <w:rFonts w:ascii="Arial" w:cs="Arial" w:eastAsia="Arial" w:hAnsi="Arial"/>
          <w:sz w:val="16"/>
          <w:szCs w:val="16"/>
          <w:color w:val="auto"/>
        </w:rPr>
        <w:t>Geopolitical trends toward nationalism and protectionism and the weakening or dissolution of international trade pacts may increase the cost of, or otherwise interfere with, conducting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 any of the countries in which we do business could harm our business, results of operations and financial condition.</w:t>
      </w:r>
    </w:p>
    <w:p>
      <w:pPr>
        <w:spacing w:after="0" w:line="154" w:lineRule="exact"/>
        <w:rPr>
          <w:sz w:val="20"/>
          <w:szCs w:val="20"/>
          <w:color w:val="auto"/>
        </w:rPr>
      </w:pPr>
    </w:p>
    <w:p>
      <w:pPr>
        <w:ind w:firstLine="392"/>
        <w:spacing w:after="0" w:line="286" w:lineRule="auto"/>
        <w:rPr>
          <w:sz w:val="20"/>
          <w:szCs w:val="20"/>
          <w:color w:val="auto"/>
        </w:rPr>
      </w:pPr>
      <w:r>
        <w:rPr>
          <w:rFonts w:ascii="Arial" w:cs="Arial" w:eastAsia="Arial" w:hAnsi="Arial"/>
          <w:sz w:val="17"/>
          <w:szCs w:val="17"/>
          <w:color w:val="auto"/>
        </w:rPr>
        <w:t>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Any of these events could harm our business, results of operations and financial condition.</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70"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To address the industry transition from personal computer to cloud, mobile, and social computing, we accelerated our move to the cloud and are offering more flexible product licenses. To support our transition, we discontinued selling new perpetual licenses of most individual software products effective February 1, 2016, and discontinued selling new perpetual licenses of suites effective August 1, 2016. On June 15, 2017, we commenced a program to incentivize maintenance plan customers to move to subscription plan offerings. Through this program we offer discounts to those maintenance plan customers that move to subscription plan offerings, while at the same time increasing maintenance plan pricing over time for customers that remain on maintenance.</w:t>
      </w:r>
    </w:p>
    <w:p>
      <w:pPr>
        <w:spacing w:after="0" w:line="158" w:lineRule="exact"/>
        <w:rPr>
          <w:sz w:val="20"/>
          <w:szCs w:val="20"/>
          <w:color w:val="auto"/>
        </w:rPr>
      </w:pPr>
    </w:p>
    <w:p>
      <w:pPr>
        <w:ind w:right="200" w:firstLine="378"/>
        <w:spacing w:after="0" w:line="277" w:lineRule="auto"/>
        <w:rPr>
          <w:sz w:val="20"/>
          <w:szCs w:val="20"/>
          <w:color w:val="auto"/>
        </w:rPr>
      </w:pPr>
      <w:r>
        <w:rPr>
          <w:rFonts w:ascii="Arial" w:cs="Arial" w:eastAsia="Arial" w:hAnsi="Arial"/>
          <w:sz w:val="18"/>
          <w:szCs w:val="18"/>
          <w:color w:val="auto"/>
        </w:rPr>
        <w:t>As a result, we expect to derive an increasing portion of our revenues in the future from subscriptions. This subscription model prices and delivers our products in a way that differs from the historical perpetual pricing and delivery methods. These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580" w:right="259" w:bottom="1440" w:gutter="0" w:footer="0" w:header="0"/>
        </w:sectPr>
      </w:pPr>
    </w:p>
    <w:bookmarkStart w:id="57" w:name="page58"/>
    <w:bookmarkEnd w:id="57"/>
    <w:p>
      <w:pPr>
        <w:ind w:right="40"/>
        <w:spacing w:after="0" w:line="279" w:lineRule="auto"/>
        <w:rPr>
          <w:sz w:val="20"/>
          <w:szCs w:val="20"/>
          <w:color w:val="auto"/>
        </w:rPr>
      </w:pPr>
      <w:r>
        <w:rPr>
          <w:rFonts w:ascii="Arial" w:cs="Arial" w:eastAsia="Arial" w:hAnsi="Arial"/>
          <w:sz w:val="17"/>
          <w:szCs w:val="17"/>
          <w:color w:val="auto"/>
        </w:rPr>
        <w:t>changes reflect a significant shift from perpetual license sales and distribution of our software in favor of providing our customers the right to access certain of our software in a hosted environment or use downloaded software for a specified subscription period. During the first three years of the transition, revenue, billings, gross margin, operating margin, net income (loss), earnings (loss) per share, deferred revenue, and cash flow from operations have been impacted as more revenue is recognized ratably rather than upfront and as new offerings bring a wider variety of price points.</w:t>
      </w:r>
    </w:p>
    <w:p>
      <w:pPr>
        <w:spacing w:after="0" w:line="17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Our ability to achieve our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risks and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 technical and financial resources such as our introduction of flexible license and service offerings. It is uncertain whether these strategies will prove successful or whether we will be able to develop the necessary infrastructure and business models more quickly than our competitors.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If we are not able to meet customer requirements, either with respect to our software or hardware products or the manner in which we provide such products, or if we are not able to adapt our business model to meet our customers' requirements, our business, financial condition or results of operations may be adversely impacted.</w:t>
      </w:r>
    </w:p>
    <w:p>
      <w:pPr>
        <w:spacing w:after="0" w:line="180"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In particular, a critical component of our growth strategy is to have customers of our AutoCAD and AutoCAD LT products expand their portfolios to include our other offerings and cloud-based functionality. We want customers using individual Autodesk products to expand their portfolio with our other offerings and cloud-based functionality, and we are taking steps to accelerate this migration. At times, sales of licenses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 Also, adoption of our cloud and mobile computing offerings and changes in the delivery of our software and services to our customers, such as product subscription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w:t>
      </w:r>
    </w:p>
    <w:p>
      <w:pPr>
        <w:spacing w:after="0" w:line="16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58" w:name="page59"/>
    <w:bookmarkEnd w:id="58"/>
    <w:p>
      <w:pPr>
        <w:ind w:right="8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if decreases in maintenance revenue are not offset by increases in subscription revenue, our future revenue and financial results will be negatively impacted.</w:t>
      </w:r>
    </w:p>
    <w:p>
      <w:pPr>
        <w:spacing w:after="0" w:line="170"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maintenance customers have no obligation to renew their maintenance contracts after the expiration of their maintenance period, which is typically one year. The discontinuance of our perpetual licenses for most individual software products on February 1, 2016 and for perpetual suites on August 1, 2016 resulted in the loss of future opportunities to sell maintenance. On June 15, 2017, we commenced a program to incentivize maintenance plan customers to move to subscription plan offerings. As a result, we expect customer renewal rates will decline or fluctuate over time as a result of a number of factors, including the overall global economy, the health of their businesses, the perceived value of the maintenance program and planned maintenance pricing increases. If our non-renewing maintenance customers do not transition to subscriptions, our future revenue and financial results will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25" w:lineRule="exact"/>
        <w:rPr>
          <w:sz w:val="20"/>
          <w:szCs w:val="20"/>
          <w:color w:val="auto"/>
        </w:rPr>
      </w:pPr>
    </w:p>
    <w:p>
      <w:pPr>
        <w:ind w:right="100" w:firstLine="392"/>
        <w:spacing w:after="0" w:line="279"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or customer activity due to economic downturns or financial markets uncertainty. If our customers do not renew their subscriptions or if they renew on less favorable terms, our revenues may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our offerings may be difficult to predict during our business model transition.</w:t>
      </w:r>
    </w:p>
    <w:p>
      <w:pPr>
        <w:spacing w:after="0" w:line="225" w:lineRule="exact"/>
        <w:rPr>
          <w:sz w:val="20"/>
          <w:szCs w:val="20"/>
          <w:color w:val="auto"/>
        </w:rPr>
      </w:pPr>
    </w:p>
    <w:p>
      <w:pPr>
        <w:ind w:firstLine="392"/>
        <w:spacing w:after="0" w:line="271" w:lineRule="auto"/>
        <w:rPr>
          <w:sz w:val="20"/>
          <w:szCs w:val="20"/>
          <w:color w:val="auto"/>
        </w:rPr>
      </w:pPr>
      <w:r>
        <w:rPr>
          <w:rFonts w:ascii="Arial" w:cs="Arial" w:eastAsia="Arial" w:hAnsi="Arial"/>
          <w:sz w:val="17"/>
          <w:szCs w:val="17"/>
          <w:color w:val="auto"/>
        </w:rPr>
        <w:t>The discontinuance of our perpetual licenses for most individual software products on February 1, 2016 and for perpetual suites on August 1, 2016 has and will continue to result in the loss of future upfront licensing revenue. This also has frozen the growth of our maintenance revenue because there will be no further opportunities to attach maintenance licensing. On June 15, 2017, we commenced a program to incentivize maintenance plan customers to move to subscription plan offerings. As a result, we expect our maintenance revenue to decline over time, but it may decline more quickly than anticipated due to low maintenance renewals. At the same time, our subscription revenue may not grow as rapidly as anticipated. Our subscription pricing allows customers to use our offerings at a lower initial cost when compared to the sale of a perpetual license. Although our subscriptions are designed to increase the number of customers who purchase offerings and create a recurring revenue stream that is more predictable over time, it creates risks related to the timing of revenue recognition and expected reductions in cash flows in the near term.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Actions that we are taking to restructure our business in alignment with our strategic priorities may not be as effective as anticipated.</w:t>
      </w:r>
    </w:p>
    <w:p>
      <w:pPr>
        <w:spacing w:after="0" w:line="22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During the fourth quarter of fiscal 2018, we commenced a world-wide restructuring plan to support the Company's strategic priorities of completing the subscription transition; digitizing the Company; and re-imagining manufacturing, construction, and production. Through the restructuring, we seek to reduce our investment in areas not aligned with our strategic priorities, including in areas related to research and development and go-to-market activities. At the same time, we plan to further invest in strategic priority areas related to as digital infrastructure, customer success, and construction.</w:t>
      </w:r>
    </w:p>
    <w:p>
      <w:pPr>
        <w:spacing w:after="0" w:line="154"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As a result of these actions, we will incur additional costs in the short term that will have the effect of reducing our GAAP operating margins. We may encounter challenges in the execution of these efforts, and these challenges could impact our financial results. If we are unable to successfully complete our restructuring efforts, our business and operating results may be harmed.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84" w:right="259" w:bottom="1440" w:gutter="0" w:footer="0" w:header="0"/>
        </w:sectPr>
      </w:pPr>
    </w:p>
    <w:bookmarkStart w:id="59" w:name="page60"/>
    <w:bookmarkEnd w:id="59"/>
    <w:p>
      <w:pPr>
        <w:ind w:right="2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are dependent on our international operations for a significant portion of our revenue. International net revenue represented 66% and 63% of our net revenue for the six months ended July 31, 2018 and 2017,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some portion of our earnings from our international operations may not be freely transferable to the U.S. due to remittance restrictions, adverse tax consequences or other factors.</w:t>
      </w:r>
    </w:p>
    <w:p>
      <w:pPr>
        <w:spacing w:after="0" w:line="192"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Risks inherent in our international operations include:</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fluctuating currency exchange rates, including devaluations, currency controls and inflation, and risks related to any hedging activities we undertake;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and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 and foreign tax law changes impacting how multinational companies are taxed;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 arrangements with foreign governments, including our ability to meet and renew the terms of those tax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84" w:right="259" w:bottom="1440" w:gutter="0" w:footer="0" w:header="0"/>
        </w:sectPr>
      </w:pPr>
    </w:p>
    <w:bookmarkStart w:id="60" w:name="page61"/>
    <w:bookmarkEnd w:id="60"/>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factors beyond our control, including popular uprisings, terrorism, war, natural disasters, and diseases.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Some of our business partners also have international operations and are subject to the risks described above.</w:t>
      </w:r>
    </w:p>
    <w:p>
      <w:pPr>
        <w:spacing w:after="0" w:line="225"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The Brexit vote has exacerbated and may further exacerbate many of the risks and uncertainties described above. The withdrawal of the United Kingdom from the European Union could, among other potential outcomes, adversely affect the tax, tax treaty, currency, operational, legal and regulatory regimes to which our businesses in the region are subject. The withdrawal could also, among other potential outcomes, disrupt the free movement of goods, services and people between the United Kingdom and the European Union and significantly disrupt trade between the United Kingdom and the European Union and other parties. Further, uncertainty around these and related issues could lead to adverse effects on the economy of the United Kingdom and the other economies in which we operate.</w:t>
      </w:r>
    </w:p>
    <w:p>
      <w:pPr>
        <w:spacing w:after="0" w:line="193"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In addition, the current U.S. administration has recently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New or increased tariffs and other changes in U.S. trade policy could trigger retaliatory actions by affected countries, and certain foreign governments, including the Chinese government, have instituted or are considering imposing trade sanctions on certain U.S. manufactured goods. The escalation of protectionist or retaliatory trade measures in either the United States or any other countries in which we do business, such as a change in tariff structures, export compliance or other trade policies, may increase the cost of, or otherwise interfere with, conducting our business.</w:t>
      </w:r>
    </w:p>
    <w:p>
      <w:pPr>
        <w:spacing w:after="0" w:line="3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We are subject to governmental export and import controls that could impair our ability to compete in international markets or subject us to liability if we violate the controls</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Our offerings are subject to U.S. export controls and economic sanctions laws and regulations that prohibit the shipment of certain products and services without the required export authorizations or export to locations, governments, and persons targeted by U.S. sanctions. While we have processes in place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8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w:t>
      </w:r>
    </w:p>
    <w:p>
      <w:pPr>
        <w:spacing w:after="0" w:line="18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Violations of U.S. sanctions or export control laws can result in fines or penalties. While we have extensive compliance procedures in place, licensing of our product offerings may have been made in potential violation of the export control and economic sanctions laws. We filed a Voluntary Self Disclosure in December 2016 with the U.S. Treasury Department’s Office of Foreign Assets Control (“OFAC”) with respect to the sale of certain licenses in an aggregate amount of less than $700,000. We are currently waiting for OFAC to complete its review of this matter. We could be subject to monetary penalties or other sanctions by OFAC in connection with its review of this issue.</w:t>
      </w:r>
    </w:p>
    <w:p>
      <w:pPr>
        <w:spacing w:after="0" w:line="18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ind w:right="140" w:firstLine="392"/>
        <w:spacing w:after="0" w:line="279" w:lineRule="auto"/>
        <w:rPr>
          <w:sz w:val="20"/>
          <w:szCs w:val="20"/>
          <w:color w:val="auto"/>
        </w:rPr>
      </w:pPr>
      <w:r>
        <w:rPr>
          <w:rFonts w:ascii="Arial" w:cs="Arial" w:eastAsia="Arial" w:hAnsi="Arial"/>
          <w:sz w:val="17"/>
          <w:szCs w:val="17"/>
          <w:color w:val="auto"/>
        </w:rPr>
        <w:t>The software products that we offer are complex, and despite extensive testing and quality control, may contain errors, defects or vulnerabilities. Some errors, defects and vulnerabilities in our software products may only be discovered after the product or service has been released. Any errors, defects or vulnerabilities could result in the need for corrective releases to our software products, damage to our reputation, loss of revenue, an increase in product returns or lack of market acceptance of our products, any of which would likely harm our business and financial performance.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84"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20" w:firstLine="392"/>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Because we conduct a substantial portion of our business outside the U.S., we face exposure to adverse movements in foreign currency exchange rates. These exposures may change over time as business practices evolve and economic conditions change. Our exposure to adverse movements in foreign currency exchange rates could have a material adverse impact on our financial results and cash flows.</w:t>
      </w:r>
    </w:p>
    <w:p>
      <w:pPr>
        <w:spacing w:after="0" w:line="18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countries in which we operate may be classified as highly inflationary economies, requiring special</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accounting and financial reporting treatment for such operations, or such countries’ currencies may be devalued, or both, which may adversely impact our business operations and financial results.</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Security incidents may compromise the integrity of our or our customers’ products, services, data or intellectual property, harm our reputation, damage our competitiveness, create additional liability and adversely impact our financial results.</w:t>
      </w:r>
    </w:p>
    <w:p>
      <w:pPr>
        <w:spacing w:after="0" w:line="130"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As we digitize the Company and use cloud and web-based technologies to leverage customer data to deliver the total customer experience, we are exposed to increased security risks and the potential for unauthorized access to, or improper use of our and our customers' information. Like other software products and systems, ours are vulnerable to security incidents. We devote resources to maintain the security and integrity of our systems, products, services and applications (online, mobile and desktop). We accomplish this by enhancing security features, conducting penetration tests, code hardening, releasing security vulnerability updates and accelerating our incident response time. Despite these efforts, we may not prevent security incidents.</w:t>
      </w:r>
    </w:p>
    <w:p>
      <w:pPr>
        <w:spacing w:after="0" w:line="118"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Hackers regularly have targeted our systems, products, services and applications, and we expect them to do so in the future. Security incidents could disrupt the proper functioning of our systems, products or services; cause errors in the output of our customers' work; allow unauthorized access to sensitive, data or intellectual property, including proprietary or confidential information of ours or our customers; or cause other destructive outcomes.</w:t>
      </w:r>
    </w:p>
    <w:p>
      <w:pPr>
        <w:spacing w:after="0" w:line="10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risk of a security incident,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malicious file uploads, backdoor trojans and distributed denial of service (DDoS) attacks. In addition,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801" w:right="259" w:bottom="1440" w:gutter="0" w:footer="0" w:header="0"/>
        </w:sectPr>
      </w:pPr>
    </w:p>
    <w:bookmarkStart w:id="62" w:name="page63"/>
    <w:bookmarkEnd w:id="62"/>
    <w:p>
      <w:pPr>
        <w:jc w:val="both"/>
        <w:spacing w:after="0" w:line="264" w:lineRule="auto"/>
        <w:rPr>
          <w:sz w:val="20"/>
          <w:szCs w:val="20"/>
          <w:color w:val="auto"/>
        </w:rPr>
      </w:pPr>
      <w:r>
        <w:rPr>
          <w:rFonts w:ascii="Arial" w:cs="Arial" w:eastAsia="Arial" w:hAnsi="Arial"/>
          <w:sz w:val="18"/>
          <w:szCs w:val="18"/>
          <w:color w:val="auto"/>
        </w:rPr>
        <w:t>third parties may attempt to fraudulently induce our employees, vendors, partners or users to disclose information to gain access to our data or our users’ data and there is the risk of employee, contractor, or vendor error or malfeasance. Despite efforts to create security barriers to such threats, it is virtually impossible for us to entirely eliminate this risk.</w:t>
      </w:r>
    </w:p>
    <w:p>
      <w:pPr>
        <w:spacing w:after="0" w:line="141"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If any of the foregoing security incidents were to occur, our reputation may suffer, our competitive position may be diminished, customers may stop buying our products and services, we could face lawsuits and potential liability, and our financial performance could be negatively impacted.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focus on privacy issues and expanding laws may impact our business or expose us to increased liability.</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strategy to digitize the Company involves increasing our use of cloud and web-based technologies and applications to leverage customer data. To accomplish this strategy, we must collect customer data, which may include personal data. Federal, state and foreign government privacy and data security laws apply to the treatment of personal data. Governments, the plaintiffs’ bar, privacy advocates and customers have increased their focus on how companies collect, process, use, store, share and transmit personal data.</w:t>
      </w:r>
    </w:p>
    <w:p>
      <w:pPr>
        <w:spacing w:after="0" w:line="146"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General Data Protection Regulation ("GDPR") is applicable in all EU member states as of May 25, 2018, and replaces the current EU Data Protection Directive. The GDPR introduces new data protection requirements in the EU and substantial fines for non-compliance. The GDPR increases our responsibility and potential liability in relation to personal data, and we have and will continue to put in place additional processes and programs to demonstrate compliance. Compliance with these laws is costly and could delay or impede the development of new offerings. Any failure to comply with GDPR or other data privacy laws could lead to government enforcement actions and significant penalties. Further, any perceived privacy right violation could result in reputational harm, third-party claims, lawsuits or investigations. Additionally, we store customer information and content and if our customers fail to comply with contractual obligations or applicable laws, it could result in litigation or reputational harm to us.</w:t>
      </w:r>
    </w:p>
    <w:p>
      <w:pPr>
        <w:spacing w:after="0" w:line="13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GDPR, other new laws and self-regulatory codes may affect our ability to reach current and prospective customers, to understand how our products and services are being used, to respond to customer requests allowed under the laws, and to implement our new business models effectively. These new laws and regulations would similarly affect our competitors as well as our customers. These requirements could impact demand for our products and services and result in more onerous contract obligations.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rely on third-parties to provide us with a number of operational and technical services; third-party security incidents could expose us to liability, harm our reputation, damage our competitiveness and adversely impact our financial performance.</w:t>
      </w:r>
    </w:p>
    <w:p>
      <w:pPr>
        <w:spacing w:after="0" w:line="17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rely on third-parties, such as Amazon Web Services, to provide us with operational and technical services. These third parties may have access to our systems, provide hosting services, or otherwise process data about us or our customers, employees, or partners. Any third party security incident could compromise the integrity of, or availability or result in the theft of, data. In addition, our operations, or the operations of our customers or partners, could be negatively affected in the event of a security breach, and could be subject to the loss or theft of confidential or proprietary information, including source code. Unauthorized access to data and other confidential or proprietary information may be obtained through break-ins, network breaches by unauthorized parties, employee theft or misuse, or other misconduct. If any of the foregoing were to occur, our reputation may suffer, our competitive position may be diminished, customers may buy fewer of our products and services, we could face lawsuits and potential liability, and our financial performance could be negatively impacted.</w:t>
      </w:r>
    </w:p>
    <w:p>
      <w:pPr>
        <w:spacing w:after="0" w:line="1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Delays in service from third-party service providers could expose us to liability, harm our reputation, damage our competitiveness and adversely impact our financial performance.</w:t>
      </w:r>
    </w:p>
    <w:p>
      <w:pPr>
        <w:spacing w:after="0" w:line="17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From time to time, we may rely on a single or limited number of suppliers, or upon suppliers in a single country, for the provision of various services and materials that we use in the operation of our business and production of our products.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3" w:name="page64"/>
    <w:bookmarkEnd w:id="63"/>
    <w:p>
      <w:pPr>
        <w:ind w:right="12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the six months ended July 31, 2018 and 2017, approximately 72% and 70%, respectively,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Tech Data accounted for 35% and 30% of our total net revenue for the six months ended July 31, 2018 and July 31, 2017, respectively.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88" w:lineRule="exact"/>
        <w:rPr>
          <w:sz w:val="20"/>
          <w:szCs w:val="20"/>
          <w:color w:val="auto"/>
        </w:rPr>
      </w:pPr>
    </w:p>
    <w:p>
      <w:pPr>
        <w:ind w:firstLine="392"/>
        <w:spacing w:after="0" w:line="291"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model transition, move to competitive products, or may not have the skills or ability to support customers under the subscription model.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II, Item 1A, some of the factors that could cause our financial results to fluctuate include:</w:t>
      </w:r>
    </w:p>
    <w:p>
      <w:pPr>
        <w:spacing w:after="0" w:line="18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our business model transition, including the impact of the end of perpetual licenses and the introduction of our M2S program;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security breaches, related reputational harm, and potential financial penalties to customers and government entities;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4" w:name="page65"/>
    <w:bookmarkEnd w:id="64"/>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328" w:right="100" w:hanging="328"/>
        <w:spacing w:after="0" w:line="277" w:lineRule="auto"/>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or other rule-making bodies;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achieve and maintain cost reductions and productivity increases;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 renewals of our maintenance program;</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328" w:right="320" w:hanging="328"/>
        <w:spacing w:after="0" w:line="277" w:lineRule="auto"/>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rapidly adapt to technological and customer preference changes, including those related to cloud computing, mobile devices, new computing platforms, and 3D printing;</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328" w:right="280" w:hanging="328"/>
        <w:spacing w:after="0" w:line="277" w:lineRule="auto"/>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increases in cloud functionality-related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52" w:lineRule="exact"/>
        <w:rPr>
          <w:sz w:val="20"/>
          <w:szCs w:val="20"/>
          <w:color w:val="auto"/>
        </w:rPr>
      </w:pPr>
    </w:p>
    <w:p>
      <w:pPr>
        <w:jc w:val="center"/>
        <w:ind w:right="172"/>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48"/>
          </w:cols>
          <w:pgMar w:left="572" w:top="800" w:right="379" w:bottom="1440" w:gutter="0" w:footer="0" w:header="0"/>
        </w:sectPr>
      </w:pPr>
    </w:p>
    <w:bookmarkStart w:id="65" w:name="page66"/>
    <w:bookmarkEnd w:id="65"/>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w:t>
      </w:r>
    </w:p>
    <w:p>
      <w:pPr>
        <w:spacing w:after="0" w:line="225" w:lineRule="exact"/>
        <w:rPr>
          <w:sz w:val="20"/>
          <w:szCs w:val="20"/>
          <w:color w:val="auto"/>
        </w:rPr>
      </w:pPr>
    </w:p>
    <w:p>
      <w:pPr>
        <w:ind w:right="240" w:firstLine="392"/>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181" w:lineRule="exact"/>
        <w:rPr>
          <w:sz w:val="20"/>
          <w:szCs w:val="20"/>
          <w:color w:val="auto"/>
        </w:rPr>
      </w:pPr>
    </w:p>
    <w:p>
      <w:pPr>
        <w:ind w:right="160" w:firstLine="392"/>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charges and integration risks associated with strategic acquisitions and investments.</w:t>
      </w:r>
    </w:p>
    <w:p>
      <w:pPr>
        <w:spacing w:after="0" w:line="225"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and collections, if these products are not successful, our revenue will be adversely affected.</w:t>
      </w:r>
    </w:p>
    <w:p>
      <w:pPr>
        <w:spacing w:after="0" w:line="17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derive a substantial portion of our net revenue from sales of licenses of a limited number of our products, including AutoCAD software, products based on AutoCAD, which include our collections that serve specific markets and products that are interoperable with AutoCAD. Any factor adversely affecting sales of these products, including the product release cycle,</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40" w:top="800" w:right="319" w:bottom="1440" w:gutter="0" w:footer="0" w:header="0"/>
        </w:sectPr>
      </w:pPr>
    </w:p>
    <w:bookmarkStart w:id="66" w:name="page67"/>
    <w:bookmarkEnd w:id="66"/>
    <w:p>
      <w:pPr>
        <w:ind w:right="200"/>
        <w:spacing w:after="0" w:line="259" w:lineRule="auto"/>
        <w:rPr>
          <w:sz w:val="20"/>
          <w:szCs w:val="20"/>
          <w:color w:val="auto"/>
        </w:rPr>
      </w:pPr>
      <w:r>
        <w:rPr>
          <w:rFonts w:ascii="Arial" w:cs="Arial" w:eastAsia="Arial" w:hAnsi="Arial"/>
          <w:sz w:val="18"/>
          <w:szCs w:val="18"/>
          <w:color w:val="auto"/>
        </w:rPr>
        <w:t>market acceptance, product competition, performance and reliability, reputation, price competition, economic and market conditions and the availability of third-party applications, would likely harm our financial results. During the six months ended July 31, 2018, combined revenue from our AutoCAD and AutoCAD LT products, not including collections (formerly suites) having AutoCAD or AutoCAD LT as a component, represented 28% of total net revenue compared to 27% during the six months ended July 31, 2017.</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We are investing in resources to update and improve our information technology systems to digitize the Company and support our business model transition. Should our investments not succeed, or if delays or other issues with new or existing information technology systems disrupt our operations, our business model transition could be compromised and our business could be harmed.</w:t>
      </w:r>
    </w:p>
    <w:p>
      <w:pPr>
        <w:spacing w:after="0" w:line="181" w:lineRule="exact"/>
        <w:rPr>
          <w:sz w:val="20"/>
          <w:szCs w:val="20"/>
          <w:color w:val="auto"/>
        </w:rPr>
      </w:pPr>
    </w:p>
    <w:p>
      <w:pPr>
        <w:jc w:val="both"/>
        <w:ind w:right="60" w:firstLine="392"/>
        <w:spacing w:after="0" w:line="302" w:lineRule="auto"/>
        <w:rPr>
          <w:sz w:val="20"/>
          <w:szCs w:val="20"/>
          <w:color w:val="auto"/>
        </w:rPr>
      </w:pPr>
      <w:r>
        <w:rPr>
          <w:rFonts w:ascii="Arial" w:cs="Arial" w:eastAsia="Arial" w:hAnsi="Arial"/>
          <w:sz w:val="16"/>
          <w:szCs w:val="16"/>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in order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w:t>
      </w:r>
    </w:p>
    <w:p>
      <w:pPr>
        <w:spacing w:after="0" w:line="154" w:lineRule="exact"/>
        <w:rPr>
          <w:sz w:val="20"/>
          <w:szCs w:val="20"/>
          <w:color w:val="auto"/>
        </w:rPr>
      </w:pPr>
    </w:p>
    <w:p>
      <w:pPr>
        <w:ind w:right="320" w:firstLine="392"/>
        <w:spacing w:after="0" w:line="259" w:lineRule="auto"/>
        <w:rPr>
          <w:sz w:val="20"/>
          <w:szCs w:val="20"/>
          <w:color w:val="auto"/>
        </w:rPr>
      </w:pPr>
      <w:r>
        <w:rPr>
          <w:rFonts w:ascii="Arial" w:cs="Arial" w:eastAsia="Arial" w:hAnsi="Arial"/>
          <w:sz w:val="18"/>
          <w:szCs w:val="18"/>
          <w:color w:val="auto"/>
        </w:rPr>
        <w:t>Such improvements are often complex, costly and time consuming. In addition, such improvements can be challenging to integrate with our existing technology systems, or may uncover problems with our existing technology systems. Unsuccessful implementation of hardware or software updates and improvements could result in disruption in our business operations, loss of customers, loss of revenue, errors in our accounting and financial reporting or damage to our reputation, all of which could compromise our business model transition.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73"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67" w:name="page68"/>
    <w:bookmarkEnd w:id="67"/>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 billings, earnings or subscriptions shortfalls or the volatility of the market generally may cause the market price of our stock to decline.</w:t>
      </w:r>
    </w:p>
    <w:p>
      <w:pPr>
        <w:spacing w:after="0" w:line="237"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shortfalls in our expected financial results, including net revenue, billings, ARR, ARPS, earnings, subscriptions, or other key performance metrics;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and future projections related to our business model transition;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or 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68" w:name="page69"/>
    <w:bookmarkEnd w:id="68"/>
    <w:p>
      <w:pPr>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5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88"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related to taxation in multiple jurisdictions.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93"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In connection with the Company’s closure of certain offices and reduction of workforces worldwide, the Company is in discussions with tax authorities regarding the closure of offices and the redeployment/transfer of assets. At this time the Company cannot estimate the tax implications of these discussions.</w:t>
      </w:r>
    </w:p>
    <w:p>
      <w:pPr>
        <w:spacing w:after="0" w:line="124"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Tax laws are dynamic and subject to change as new laws are passed and new interpretations of the law are issued or applied. For example, the U.S. government enacted significant tax law changes in December 2017, the Tax Act, which impacts our tax obligations and effective tax rate beginning in our fiscal 2018 tax year. Increasingly, governmental tax authorities are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584" w:right="259" w:bottom="1440" w:gutter="0" w:footer="0" w:header="0"/>
        </w:sectPr>
      </w:pPr>
    </w:p>
    <w:bookmarkStart w:id="69" w:name="page70"/>
    <w:bookmarkEnd w:id="69"/>
    <w:p>
      <w:pPr>
        <w:ind w:right="140"/>
        <w:spacing w:after="0" w:line="302" w:lineRule="auto"/>
        <w:rPr>
          <w:sz w:val="20"/>
          <w:szCs w:val="20"/>
          <w:color w:val="auto"/>
        </w:rPr>
      </w:pPr>
      <w:r>
        <w:rPr>
          <w:rFonts w:ascii="Arial" w:cs="Arial" w:eastAsia="Arial" w:hAnsi="Arial"/>
          <w:sz w:val="16"/>
          <w:szCs w:val="16"/>
          <w:color w:val="auto"/>
        </w:rPr>
        <w:t>scrutinizing corporate tax strategies. Many countries in the European Union, as well as other countries and organizations such as the Organization for Economic Cooperation and Development, are actively considering changes to existing tax laws that, if enacted, could increase our tax obligations in many countries where we do business. If U.S. or other foreign tax authorities change applicable tax laws or successfully challenge the manner in which our profits are currently recognized, our overall taxes could increase, and our business, financial condition or results of operations may be adversely impacted.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Uncertainties in the interpretation and application of the Tax Act could materially affect our tax obligations and effective tax rate.</w:t>
      </w:r>
    </w:p>
    <w:p>
      <w:pPr>
        <w:spacing w:after="0" w:line="225"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The Tax Act provides broad and significant changes to the U.S. tax code and how the U.S. imposes income tax on multinational corporations. Due to the complexity and varying interpretations of the Tax Act, the U.S. Department of the Treasury and other standard-setting bodies may issue regulations and interpretative guidance that could significantly impact how we will apply the law and our results of operations from the Tax Act.</w:t>
      </w:r>
    </w:p>
    <w:p>
      <w:pPr>
        <w:spacing w:after="0" w:line="166"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The Tax Act requires complex computations to be performed that were not previously provided for in the U.S. tax law. These computations require significant judgments to be made regarding the interpretation of the provisions within the Tax Act along with preparation and analysis of information not previously required. SAB 118 allows for the Company to record provisional amounts until a final assessment can be made within a period not to exceed one year from the date of enactment, which would be during our quarter ending October 31, 2018. As a result, we recorded a provisional estimate on the effect of the Tax Act in our January 31, 2018, financial statements based on our initial assessment. As additional regulatory guidance is issued and we continue to collect and analyze necessary data, we may make adjustments to provisional amounts previously recorded. We do not anticipate these adjustments to materially impact our provision for income taxes in the period in which an adjustment is made since we have provided for a full valuation allowance against our provision in the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26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24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Pursuant to Section 404 of the Sarbanes-Oxley Act of 2002,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If our management or independent registered public accounting firm identifies one or more material weaknesses in our internal control over financial reporting, we would be unable to assert that such internal control over financial reporting is effective. If we are unable to assert that our internal control over financial reporting is effective (or if our independent registered public accounting firm is unable to express an opinion that our internal controls are effective), we could lose investor confidence in the accuracy and completeness of our financial reports, which could have an adverse effect on our business and stock price.</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584" w:right="259" w:bottom="1440" w:gutter="0" w:footer="0" w:header="0"/>
        </w:sectPr>
      </w:pPr>
    </w:p>
    <w:bookmarkStart w:id="70" w:name="page71"/>
    <w:bookmarkEnd w:id="70"/>
    <w:p>
      <w:pPr>
        <w:ind w:right="100"/>
        <w:spacing w:after="0" w:line="277" w:lineRule="auto"/>
        <w:rPr>
          <w:sz w:val="20"/>
          <w:szCs w:val="20"/>
          <w:color w:val="auto"/>
        </w:rPr>
      </w:pPr>
      <w:r>
        <w:rPr>
          <w:rFonts w:ascii="Arial" w:cs="Arial" w:eastAsia="Arial" w:hAnsi="Arial"/>
          <w:sz w:val="18"/>
          <w:szCs w:val="18"/>
          <w:color w:val="auto"/>
        </w:rPr>
        <w:t>reasonable under the circumstances as of the date of the consolidated financial statements. Actual results could differ materially from our estimates, and such differences could significantly impact our financial results.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70" w:lineRule="exact"/>
        <w:rPr>
          <w:sz w:val="20"/>
          <w:szCs w:val="20"/>
          <w:color w:val="auto"/>
        </w:rPr>
      </w:pPr>
    </w:p>
    <w:p>
      <w:pPr>
        <w:ind w:right="240" w:firstLine="392"/>
        <w:spacing w:after="0" w:line="277" w:lineRule="auto"/>
        <w:rPr>
          <w:sz w:val="20"/>
          <w:szCs w:val="20"/>
          <w:color w:val="auto"/>
        </w:rPr>
      </w:pPr>
      <w:r>
        <w:rPr>
          <w:rFonts w:ascii="Arial" w:cs="Arial" w:eastAsia="Arial" w:hAnsi="Arial"/>
          <w:sz w:val="18"/>
          <w:szCs w:val="18"/>
          <w:color w:val="auto"/>
        </w:rPr>
        <w:t>Our long-lived assets are tested for impairment if indicators of impairment exist. If impairment testing shows that the carrying value of our long-lived assets exceeds their estimated fair values, we would be required to record a non-cash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71" w:name="page72"/>
    <w:bookmarkEnd w:id="71"/>
    <w:p>
      <w:pPr>
        <w:ind w:right="40"/>
        <w:spacing w:after="0" w:line="290" w:lineRule="auto"/>
        <w:rPr>
          <w:sz w:val="20"/>
          <w:szCs w:val="20"/>
          <w:color w:val="auto"/>
        </w:rPr>
      </w:pPr>
      <w:r>
        <w:rPr>
          <w:rFonts w:ascii="Arial" w:cs="Arial" w:eastAsia="Arial" w:hAnsi="Arial"/>
          <w:sz w:val="16"/>
          <w:szCs w:val="16"/>
          <w:color w:val="auto"/>
        </w:rPr>
        <w:t>impairment charge, which would decrease the carrying value of our long-lived assets, as the case may be, and our results of operations would be adversely affected.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In fiscal 2016, we determined that it was more likely than not that the Company would not realize our U.S. deferred tax assets and established a valuation allowance against our U.S. deferred tax assets. We continued to have a full valuation allowance against our U.S. deferred assets in fiscal 2019. Changes in the amount of the valuation allowance could result in a material non-cash expense or benefit in the period in which the valuation allowance is adjusted and our results of operations could be materially affected. We will continue to perform these tests and any future adjustments may have a material effect on our financial condition and results of operations.</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We issued $1.6 billion aggregate principal amount of unsecured notes in debt offerings and have an existing $400.0 million revolving credit facility, and expect to incur other debt in the future, which may adversely affect our financial condition and future financial results.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June 2017, we issued $500.0 million aggregate principal amount of 3.5% notes due June 15, 2027. In June 2015, we issued 3.125% notes due</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June 15, 2020 in an aggregate principal amount of $450.0 million and 4.375% notes due June 15, 2025 in an aggregate principal amount of $300.0 million. In December 2012, we issued 3.6% notes due December 15, 2022 in an aggregate principal amount of $350.0 million. As the debt matures, we will have to expend significant resources to either repay or refinance these notes. For example, in July 2017, we redeemed outstanding senior notes due December 15, 2017 for a total cash repayment of $401.8 million by using the proceeds the from notes we issued in 2017. If we decide to refinance notes in the future, we may be required to do so on different or less favorable terms or we may be unable to refinance the notes at all, both of which may adversely affect our financial condition.</w:t>
      </w:r>
    </w:p>
    <w:p>
      <w:pPr>
        <w:spacing w:after="0" w:line="194" w:lineRule="exact"/>
        <w:rPr>
          <w:sz w:val="20"/>
          <w:szCs w:val="20"/>
          <w:color w:val="auto"/>
        </w:rPr>
      </w:pPr>
    </w:p>
    <w:p>
      <w:pPr>
        <w:ind w:right="140" w:firstLine="392"/>
        <w:spacing w:after="0" w:line="259" w:lineRule="auto"/>
        <w:rPr>
          <w:sz w:val="20"/>
          <w:szCs w:val="20"/>
          <w:color w:val="auto"/>
        </w:rPr>
      </w:pPr>
      <w:r>
        <w:rPr>
          <w:rFonts w:ascii="Arial" w:cs="Arial" w:eastAsia="Arial" w:hAnsi="Arial"/>
          <w:sz w:val="18"/>
          <w:szCs w:val="18"/>
          <w:color w:val="auto"/>
        </w:rPr>
        <w:t>We also have a $400.0 million revolving credit facility. As of July 31, 2018,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firstLine="392"/>
        <w:spacing w:after="0" w:line="312" w:lineRule="auto"/>
        <w:rPr>
          <w:sz w:val="20"/>
          <w:szCs w:val="20"/>
          <w:color w:val="auto"/>
        </w:rPr>
      </w:pPr>
      <w:r>
        <w:rPr>
          <w:rFonts w:ascii="Arial" w:cs="Arial" w:eastAsia="Arial" w:hAnsi="Arial"/>
          <w:sz w:val="16"/>
          <w:szCs w:val="16"/>
          <w:color w:val="auto"/>
        </w:rPr>
        <w:t>This credit agreement contains customary covenants that could restrict the imposition of liens on Autodesk’s assets, and restrict the Company’s ability to incur additional indebtedness or make dispositions of assets if Autodesk fails to maintain the financial covenants. The financial covenants consist of a maximum debt to total cash ratio, a fixed charge coverage ratio through October 31, 2018, and, after October 31, 2018, a minimum interest coverage ratio.</w:t>
      </w:r>
    </w:p>
    <w:p>
      <w:pPr>
        <w:spacing w:after="0" w:line="147"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We are required to comply with the covenants set forth in our unsecured notes and revolving credit facility. Our ability to comply with these covenants may be affected by events beyond our control. If we breach any of the covenants and do not obtain a waiver from the note holders or lenders, then, subject to applicable cure periods, we would not be able to incur additional indebtedness under the credit facility and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7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On July 3, 2018, in connection with our acquisition of Assemble Systems, Inc. (“Assemble”), we issued 340,769 shares of our common stock to certain former holders of capital stock of Assemble (the "Assemble Stock Issuance") as partial consideration for the acquisition. The issuance of shares of our common stock in the Assemble Stock Issuance was not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584" w:right="259" w:bottom="1440" w:gutter="0" w:footer="0" w:header="0"/>
        </w:sectPr>
      </w:pPr>
    </w:p>
    <w:bookmarkStart w:id="72" w:name="page73"/>
    <w:bookmarkEnd w:id="72"/>
    <w:p>
      <w:pPr>
        <w:spacing w:after="0" w:line="342" w:lineRule="auto"/>
        <w:rPr>
          <w:sz w:val="20"/>
          <w:szCs w:val="20"/>
          <w:color w:val="auto"/>
        </w:rPr>
      </w:pPr>
      <w:r>
        <w:rPr>
          <w:rFonts w:ascii="Arial" w:cs="Arial" w:eastAsia="Arial" w:hAnsi="Arial"/>
          <w:sz w:val="16"/>
          <w:szCs w:val="16"/>
          <w:color w:val="auto"/>
        </w:rPr>
        <w:t>registered under the Securities Act of 1933, as amended (the "Securities Act"). Such shares were issued in a private placement exempt from the registration requirements of the Securities Act in reliance on the exemptions set forth in Section 4(a)(2) of the Securities Act and Rule 506 under Regulation D.</w:t>
      </w:r>
    </w:p>
    <w:p>
      <w:pPr>
        <w:spacing w:after="0" w:line="124"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See Note 8, "Acquisitions," in the Notes to Condensed Consolidated Financial Statements included in Part I, Item 1 of this Report for further information on our acquisition of Assemble.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584" w:right="459" w:bottom="1440" w:gutter="0" w:footer="0" w:header="0"/>
        </w:sectPr>
      </w:pPr>
    </w:p>
    <w:bookmarkStart w:id="73" w:name="page74"/>
    <w:bookmarkEnd w:id="73"/>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Exhibits listed below are filed or incorporated by reference as part of this Form 10-Q.</w:t>
      </w:r>
    </w:p>
    <w:p>
      <w:pPr>
        <w:sectPr>
          <w:pgSz w:w="11900" w:h="16838" w:orient="portrait"/>
          <w:cols w:equalWidth="0" w:num="1">
            <w:col w:w="11300"/>
          </w:cols>
          <w:pgMar w:left="240" w:top="580" w:right="35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3"/>
          <w:szCs w:val="13"/>
          <w:b w:val="1"/>
          <w:bCs w:val="1"/>
          <w:u w:val="single" w:color="auto"/>
          <w:color w:val="auto"/>
        </w:rPr>
        <w:t>Exhibit No.</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Description</w:t>
      </w:r>
    </w:p>
    <w:p>
      <w:pPr>
        <w:spacing w:after="0" w:line="194" w:lineRule="exact"/>
        <w:rPr>
          <w:sz w:val="20"/>
          <w:szCs w:val="20"/>
          <w:color w:val="auto"/>
        </w:rPr>
      </w:pPr>
    </w:p>
    <w:p>
      <w:pPr>
        <w:spacing w:after="0" w:line="293" w:lineRule="auto"/>
        <w:rPr>
          <w:rFonts w:ascii="Arial" w:cs="Arial" w:eastAsia="Arial" w:hAnsi="Arial"/>
          <w:sz w:val="16"/>
          <w:szCs w:val="16"/>
          <w:u w:val="single" w:color="auto"/>
          <w:color w:val="0000FF"/>
        </w:rPr>
      </w:pPr>
      <w:hyperlink r:id="rId40">
        <w:r>
          <w:rPr>
            <w:rFonts w:ascii="Arial" w:cs="Arial" w:eastAsia="Arial" w:hAnsi="Arial"/>
            <w:sz w:val="16"/>
            <w:szCs w:val="16"/>
            <w:u w:val="single" w:color="auto"/>
            <w:color w:val="0000FF"/>
          </w:rPr>
          <w:t>Amended and Restated Bylaws of the Registrant (incorporated by reference to Exhibit 3.1 filed with the Registrant’s Current Report on Form 8-K filed on</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June 15, 2018)</w:t>
        </w:r>
      </w:hyperlink>
    </w:p>
    <w:p>
      <w:pPr>
        <w:spacing w:after="0" w:line="145" w:lineRule="exact"/>
        <w:rPr>
          <w:sz w:val="20"/>
          <w:szCs w:val="20"/>
          <w:color w:val="auto"/>
        </w:rPr>
      </w:pPr>
    </w:p>
    <w:p>
      <w:pPr>
        <w:ind w:right="340"/>
        <w:spacing w:after="0" w:line="278" w:lineRule="auto"/>
        <w:rPr>
          <w:rFonts w:ascii="Arial" w:cs="Arial" w:eastAsia="Arial" w:hAnsi="Arial"/>
          <w:sz w:val="16"/>
          <w:szCs w:val="16"/>
          <w:u w:val="single" w:color="auto"/>
          <w:color w:val="0000FF"/>
        </w:rPr>
      </w:pPr>
      <w:hyperlink r:id="rId41">
        <w:r>
          <w:rPr>
            <w:rFonts w:ascii="Arial" w:cs="Arial" w:eastAsia="Arial" w:hAnsi="Arial"/>
            <w:sz w:val="16"/>
            <w:szCs w:val="16"/>
            <w:u w:val="single" w:color="auto"/>
            <w:color w:val="0000FF"/>
          </w:rPr>
          <w:t>Letter Amendment No. 2, dated as of June 27, 2018, to the Amended and Restated Credit Agreement, dated as of May 29, 2015, by and among the</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Registrant, the lenders from time to time party thereto and Citibank, N.A. as agent (incorporated by reference to Item 10.1 of the Registrant's Current</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Report on Form 8-K filed on June 29, 2018)</w:t>
        </w:r>
      </w:hyperlink>
    </w:p>
    <w:p>
      <w:pPr>
        <w:spacing w:after="0" w:line="172" w:lineRule="exact"/>
        <w:rPr>
          <w:rFonts w:ascii="Arial" w:cs="Arial" w:eastAsia="Arial" w:hAnsi="Arial"/>
          <w:sz w:val="16"/>
          <w:szCs w:val="16"/>
          <w:u w:val="single" w:color="auto"/>
          <w:color w:val="0000FF"/>
        </w:rPr>
      </w:pPr>
    </w:p>
    <w:p>
      <w:pPr>
        <w:sectPr>
          <w:pgSz w:w="11900" w:h="16838" w:orient="portrait"/>
          <w:cols w:equalWidth="0" w:num="2">
            <w:col w:w="740" w:space="560"/>
            <w:col w:w="10000"/>
          </w:cols>
          <w:pgMar w:left="240" w:top="580" w:right="359" w:bottom="1440" w:gutter="0" w:footer="0" w:header="0"/>
          <w:type w:val="continuous"/>
        </w:sectPr>
      </w:pPr>
    </w:p>
    <w:tbl>
      <w:tblPr>
        <w:tblLayout w:type="fixed"/>
        <w:tblInd w:w="40" w:type="dxa"/>
        <w:tblCellMar>
          <w:top w:w="0" w:type="dxa"/>
          <w:left w:w="0" w:type="dxa"/>
          <w:bottom w:w="0" w:type="dxa"/>
          <w:right w:w="0" w:type="dxa"/>
        </w:tblCellMar>
      </w:tblPr>
      <w:tr>
        <w:trPr>
          <w:trHeight w:val="184"/>
        </w:trPr>
        <w:tc>
          <w:tcPr>
            <w:tcW w:w="1260" w:type="dxa"/>
            <w:vAlign w:val="bottom"/>
          </w:tcPr>
          <w:p>
            <w:pPr>
              <w:spacing w:after="0"/>
              <w:rPr>
                <w:sz w:val="20"/>
                <w:szCs w:val="20"/>
                <w:color w:val="auto"/>
              </w:rPr>
            </w:pPr>
            <w:r>
              <w:rPr>
                <w:rFonts w:ascii="Arial" w:cs="Arial" w:eastAsia="Arial" w:hAnsi="Arial"/>
                <w:sz w:val="16"/>
                <w:szCs w:val="16"/>
                <w:color w:val="auto"/>
              </w:rPr>
              <w:t>10.2*</w:t>
            </w:r>
          </w:p>
        </w:tc>
        <w:tc>
          <w:tcPr>
            <w:tcW w:w="9720" w:type="dxa"/>
            <w:vAlign w:val="bottom"/>
            <w:gridSpan w:val="7"/>
          </w:tcPr>
          <w:p>
            <w:pPr>
              <w:spacing w:after="0"/>
              <w:rPr>
                <w:rFonts w:ascii="Arial" w:cs="Arial" w:eastAsia="Arial" w:hAnsi="Arial"/>
                <w:sz w:val="16"/>
                <w:szCs w:val="16"/>
                <w:color w:val="0000FF"/>
              </w:rPr>
            </w:pPr>
            <w:hyperlink w:anchor="page76">
              <w:r>
                <w:rPr>
                  <w:rFonts w:ascii="Arial" w:cs="Arial" w:eastAsia="Arial" w:hAnsi="Arial"/>
                  <w:sz w:val="16"/>
                  <w:szCs w:val="16"/>
                  <w:color w:val="0000FF"/>
                </w:rPr>
                <w:t>Registrant's 2012 Employee Stock Plan, as amended and restated effective as of June 12, 2018 (filed herewith)</w:t>
              </w:r>
            </w:hyperlink>
          </w:p>
        </w:tc>
      </w:tr>
      <w:tr>
        <w:trPr>
          <w:trHeight w:val="20"/>
        </w:trPr>
        <w:tc>
          <w:tcPr>
            <w:tcW w:w="126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6"/>
                <w:szCs w:val="16"/>
                <w:color w:val="auto"/>
              </w:rPr>
              <w:t>10.3*</w:t>
            </w:r>
          </w:p>
        </w:tc>
        <w:tc>
          <w:tcPr>
            <w:tcW w:w="8460" w:type="dxa"/>
            <w:vAlign w:val="bottom"/>
            <w:tcBorders>
              <w:bottom w:val="single" w:sz="8" w:color="0000FF"/>
            </w:tcBorders>
            <w:gridSpan w:val="5"/>
          </w:tcPr>
          <w:p>
            <w:pPr>
              <w:spacing w:after="0"/>
              <w:rPr>
                <w:rFonts w:ascii="Arial" w:cs="Arial" w:eastAsia="Arial" w:hAnsi="Arial"/>
                <w:sz w:val="16"/>
                <w:szCs w:val="16"/>
                <w:color w:val="0000FF"/>
                <w:w w:val="90"/>
              </w:rPr>
            </w:pPr>
            <w:hyperlink w:anchor="page91">
              <w:r>
                <w:rPr>
                  <w:rFonts w:ascii="Arial" w:cs="Arial" w:eastAsia="Arial" w:hAnsi="Arial"/>
                  <w:sz w:val="16"/>
                  <w:szCs w:val="16"/>
                  <w:color w:val="0000FF"/>
                  <w:w w:val="90"/>
                </w:rPr>
                <w:t>Registrant’s 1998 Employee Qualified Stock Purchase Plan, as amended and restated effective as of June 12, 2018 (filed herewith)</w:t>
              </w:r>
            </w:hyperlink>
          </w:p>
        </w:tc>
        <w:tc>
          <w:tcPr>
            <w:tcW w:w="1260" w:type="dxa"/>
            <w:vAlign w:val="bottom"/>
            <w:gridSpan w:val="2"/>
          </w:tcPr>
          <w:p>
            <w:pPr>
              <w:spacing w:after="0"/>
              <w:rPr>
                <w:sz w:val="24"/>
                <w:szCs w:val="24"/>
                <w:color w:val="auto"/>
              </w:rPr>
            </w:pPr>
          </w:p>
        </w:tc>
      </w:tr>
      <w:tr>
        <w:trPr>
          <w:trHeight w:val="534"/>
        </w:trPr>
        <w:tc>
          <w:tcPr>
            <w:tcW w:w="1260" w:type="dxa"/>
            <w:vAlign w:val="bottom"/>
          </w:tcPr>
          <w:p>
            <w:pPr>
              <w:spacing w:after="0"/>
              <w:rPr>
                <w:sz w:val="20"/>
                <w:szCs w:val="20"/>
                <w:color w:val="auto"/>
              </w:rPr>
            </w:pPr>
            <w:r>
              <w:rPr>
                <w:rFonts w:ascii="Arial" w:cs="Arial" w:eastAsia="Arial" w:hAnsi="Arial"/>
                <w:sz w:val="16"/>
                <w:szCs w:val="16"/>
                <w:color w:val="auto"/>
              </w:rPr>
              <w:t>31.1</w:t>
            </w:r>
          </w:p>
        </w:tc>
        <w:tc>
          <w:tcPr>
            <w:tcW w:w="6960" w:type="dxa"/>
            <w:vAlign w:val="bottom"/>
            <w:tcBorders>
              <w:bottom w:val="single" w:sz="8" w:color="0000FF"/>
            </w:tcBorders>
            <w:gridSpan w:val="3"/>
          </w:tcPr>
          <w:p>
            <w:pPr>
              <w:spacing w:after="0"/>
              <w:rPr>
                <w:rFonts w:ascii="Arial" w:cs="Arial" w:eastAsia="Arial" w:hAnsi="Arial"/>
                <w:sz w:val="16"/>
                <w:szCs w:val="16"/>
                <w:color w:val="0000FF"/>
                <w:w w:val="93"/>
              </w:rPr>
            </w:pPr>
            <w:hyperlink w:anchor="page99">
              <w:r>
                <w:rPr>
                  <w:rFonts w:ascii="Arial" w:cs="Arial" w:eastAsia="Arial" w:hAnsi="Arial"/>
                  <w:sz w:val="16"/>
                  <w:szCs w:val="16"/>
                  <w:color w:val="0000FF"/>
                  <w:w w:val="93"/>
                </w:rPr>
                <w:t>Certification of Chief Executive Officer pursuant to Rule 13a-14(a) of the Securities Exchange Act of 1934</w:t>
              </w:r>
            </w:hyperlink>
          </w:p>
        </w:tc>
        <w:tc>
          <w:tcPr>
            <w:tcW w:w="2760" w:type="dxa"/>
            <w:vAlign w:val="bottom"/>
            <w:gridSpan w:val="4"/>
          </w:tcPr>
          <w:p>
            <w:pPr>
              <w:spacing w:after="0"/>
              <w:rPr>
                <w:sz w:val="24"/>
                <w:szCs w:val="24"/>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6"/>
                <w:szCs w:val="16"/>
                <w:color w:val="auto"/>
              </w:rPr>
              <w:t>31.2</w:t>
            </w:r>
          </w:p>
        </w:tc>
        <w:tc>
          <w:tcPr>
            <w:tcW w:w="9720" w:type="dxa"/>
            <w:vAlign w:val="bottom"/>
            <w:gridSpan w:val="7"/>
          </w:tcPr>
          <w:p>
            <w:pPr>
              <w:ind w:left="40"/>
              <w:spacing w:after="0"/>
              <w:rPr>
                <w:rFonts w:ascii="Arial" w:cs="Arial" w:eastAsia="Arial" w:hAnsi="Arial"/>
                <w:sz w:val="16"/>
                <w:szCs w:val="16"/>
                <w:color w:val="0000FF"/>
              </w:rPr>
            </w:pPr>
            <w:hyperlink w:anchor="page100">
              <w:r>
                <w:rPr>
                  <w:rFonts w:ascii="Arial" w:cs="Arial" w:eastAsia="Arial" w:hAnsi="Arial"/>
                  <w:sz w:val="16"/>
                  <w:szCs w:val="16"/>
                  <w:color w:val="0000FF"/>
                </w:rPr>
                <w:t>Certification of Chief Financial Officer pursuant to Rule 13a-14(a) of the Securities Exchange Act of 1934</w:t>
              </w:r>
            </w:hyperlink>
          </w:p>
        </w:tc>
      </w:tr>
      <w:tr>
        <w:trPr>
          <w:trHeight w:val="20"/>
        </w:trPr>
        <w:tc>
          <w:tcPr>
            <w:tcW w:w="126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6"/>
                <w:szCs w:val="16"/>
                <w:color w:val="auto"/>
              </w:rPr>
              <w:t>32.1 †</w:t>
            </w:r>
          </w:p>
        </w:tc>
        <w:tc>
          <w:tcPr>
            <w:tcW w:w="950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101">
              <w:r>
                <w:rPr>
                  <w:rFonts w:ascii="Arial" w:cs="Arial" w:eastAsia="Arial" w:hAnsi="Arial"/>
                  <w:sz w:val="16"/>
                  <w:szCs w:val="16"/>
                  <w:color w:val="0000FF"/>
                  <w:w w:val="92"/>
                </w:rPr>
                <w:t>Certification of Chief Executive Officer and Chief Financial Officer pursuant to 18 U.S.C. Section 1350, as adopted pursuant to Section 906 of the</w:t>
              </w:r>
            </w:hyperlink>
          </w:p>
        </w:tc>
        <w:tc>
          <w:tcPr>
            <w:tcW w:w="220" w:type="dxa"/>
            <w:vAlign w:val="bottom"/>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9720" w:type="dxa"/>
            <w:vAlign w:val="bottom"/>
            <w:gridSpan w:val="7"/>
          </w:tcPr>
          <w:p>
            <w:pPr>
              <w:spacing w:after="0" w:line="183" w:lineRule="exact"/>
              <w:rPr>
                <w:rFonts w:ascii="Arial" w:cs="Arial" w:eastAsia="Arial" w:hAnsi="Arial"/>
                <w:sz w:val="16"/>
                <w:szCs w:val="16"/>
                <w:color w:val="0000FF"/>
              </w:rPr>
            </w:pPr>
            <w:hyperlink w:anchor="page101">
              <w:r>
                <w:rPr>
                  <w:rFonts w:ascii="Arial" w:cs="Arial" w:eastAsia="Arial" w:hAnsi="Arial"/>
                  <w:sz w:val="16"/>
                  <w:szCs w:val="16"/>
                  <w:color w:val="0000FF"/>
                </w:rPr>
                <w:t>Sarbanes-Oxley Act of 2002</w:t>
              </w:r>
            </w:hyperlink>
          </w:p>
        </w:tc>
      </w:tr>
      <w:tr>
        <w:trPr>
          <w:trHeight w:val="20"/>
        </w:trPr>
        <w:tc>
          <w:tcPr>
            <w:tcW w:w="126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7880" w:type="dxa"/>
            <w:vAlign w:val="bottom"/>
            <w:gridSpan w:val="6"/>
          </w:tcPr>
          <w:p>
            <w:pPr>
              <w:spacing w:after="0" w:line="20" w:lineRule="exact"/>
              <w:rPr>
                <w:sz w:val="1"/>
                <w:szCs w:val="1"/>
                <w:color w:val="auto"/>
              </w:rPr>
            </w:pPr>
          </w:p>
        </w:tc>
      </w:tr>
      <w:tr>
        <w:trPr>
          <w:trHeight w:val="389"/>
        </w:trPr>
        <w:tc>
          <w:tcPr>
            <w:tcW w:w="1260" w:type="dxa"/>
            <w:vAlign w:val="bottom"/>
          </w:tcPr>
          <w:p>
            <w:pPr>
              <w:spacing w:after="0"/>
              <w:rPr>
                <w:sz w:val="20"/>
                <w:szCs w:val="20"/>
                <w:color w:val="auto"/>
              </w:rPr>
            </w:pPr>
            <w:r>
              <w:rPr>
                <w:rFonts w:ascii="Arial" w:cs="Arial" w:eastAsia="Arial" w:hAnsi="Arial"/>
                <w:sz w:val="16"/>
                <w:szCs w:val="16"/>
                <w:color w:val="auto"/>
              </w:rPr>
              <w:t>101.INS ††</w:t>
            </w:r>
          </w:p>
        </w:tc>
        <w:tc>
          <w:tcPr>
            <w:tcW w:w="9720" w:type="dxa"/>
            <w:vAlign w:val="bottom"/>
            <w:gridSpan w:val="7"/>
          </w:tcPr>
          <w:p>
            <w:pPr>
              <w:spacing w:after="0"/>
              <w:rPr>
                <w:sz w:val="20"/>
                <w:szCs w:val="20"/>
                <w:color w:val="auto"/>
              </w:rPr>
            </w:pPr>
            <w:r>
              <w:rPr>
                <w:rFonts w:ascii="Arial" w:cs="Arial" w:eastAsia="Arial" w:hAnsi="Arial"/>
                <w:sz w:val="16"/>
                <w:szCs w:val="16"/>
                <w:color w:val="auto"/>
                <w:w w:val="91"/>
              </w:rPr>
              <w:t>XBRL Instance Document - the instance document does not appear in the Interactive Data File because its XBRL tags are embedded within the Inline</w:t>
            </w:r>
          </w:p>
        </w:tc>
      </w:tr>
      <w:tr>
        <w:trPr>
          <w:trHeight w:val="206"/>
        </w:trPr>
        <w:tc>
          <w:tcPr>
            <w:tcW w:w="1260" w:type="dxa"/>
            <w:vAlign w:val="bottom"/>
          </w:tcPr>
          <w:p>
            <w:pPr>
              <w:spacing w:after="0"/>
              <w:rPr>
                <w:sz w:val="17"/>
                <w:szCs w:val="17"/>
                <w:color w:val="auto"/>
              </w:rPr>
            </w:pPr>
          </w:p>
        </w:tc>
        <w:tc>
          <w:tcPr>
            <w:tcW w:w="9720" w:type="dxa"/>
            <w:vAlign w:val="bottom"/>
            <w:gridSpan w:val="7"/>
          </w:tcPr>
          <w:p>
            <w:pPr>
              <w:spacing w:after="0"/>
              <w:rPr>
                <w:sz w:val="20"/>
                <w:szCs w:val="20"/>
                <w:color w:val="auto"/>
              </w:rPr>
            </w:pPr>
            <w:r>
              <w:rPr>
                <w:rFonts w:ascii="Arial" w:cs="Arial" w:eastAsia="Arial" w:hAnsi="Arial"/>
                <w:sz w:val="16"/>
                <w:szCs w:val="16"/>
                <w:color w:val="auto"/>
              </w:rPr>
              <w:t>XBRL document</w:t>
            </w:r>
          </w:p>
        </w:tc>
      </w:tr>
      <w:tr>
        <w:trPr>
          <w:trHeight w:val="378"/>
        </w:trPr>
        <w:tc>
          <w:tcPr>
            <w:tcW w:w="1260" w:type="dxa"/>
            <w:vAlign w:val="bottom"/>
          </w:tcPr>
          <w:p>
            <w:pPr>
              <w:spacing w:after="0"/>
              <w:rPr>
                <w:sz w:val="20"/>
                <w:szCs w:val="20"/>
                <w:color w:val="auto"/>
              </w:rPr>
            </w:pPr>
            <w:r>
              <w:rPr>
                <w:rFonts w:ascii="Arial" w:cs="Arial" w:eastAsia="Arial" w:hAnsi="Arial"/>
                <w:sz w:val="16"/>
                <w:szCs w:val="16"/>
                <w:color w:val="auto"/>
              </w:rPr>
              <w:t>101.SCH ††</w:t>
            </w:r>
          </w:p>
        </w:tc>
        <w:tc>
          <w:tcPr>
            <w:tcW w:w="9720" w:type="dxa"/>
            <w:vAlign w:val="bottom"/>
            <w:gridSpan w:val="7"/>
          </w:tcPr>
          <w:p>
            <w:pPr>
              <w:spacing w:after="0"/>
              <w:rPr>
                <w:sz w:val="20"/>
                <w:szCs w:val="20"/>
                <w:color w:val="auto"/>
              </w:rPr>
            </w:pPr>
            <w:r>
              <w:rPr>
                <w:rFonts w:ascii="Arial" w:cs="Arial" w:eastAsia="Arial" w:hAnsi="Arial"/>
                <w:sz w:val="16"/>
                <w:szCs w:val="16"/>
                <w:color w:val="auto"/>
              </w:rPr>
              <w:t>XBRL Taxonomy Extension Schema</w:t>
            </w:r>
          </w:p>
        </w:tc>
      </w:tr>
      <w:tr>
        <w:trPr>
          <w:trHeight w:val="392"/>
        </w:trPr>
        <w:tc>
          <w:tcPr>
            <w:tcW w:w="1260" w:type="dxa"/>
            <w:vAlign w:val="bottom"/>
          </w:tcPr>
          <w:p>
            <w:pPr>
              <w:spacing w:after="0"/>
              <w:rPr>
                <w:sz w:val="20"/>
                <w:szCs w:val="20"/>
                <w:color w:val="auto"/>
              </w:rPr>
            </w:pPr>
            <w:r>
              <w:rPr>
                <w:rFonts w:ascii="Arial" w:cs="Arial" w:eastAsia="Arial" w:hAnsi="Arial"/>
                <w:sz w:val="16"/>
                <w:szCs w:val="16"/>
                <w:color w:val="auto"/>
              </w:rPr>
              <w:t>101.CAL ††</w:t>
            </w:r>
          </w:p>
        </w:tc>
        <w:tc>
          <w:tcPr>
            <w:tcW w:w="9720" w:type="dxa"/>
            <w:vAlign w:val="bottom"/>
            <w:gridSpan w:val="7"/>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392"/>
        </w:trPr>
        <w:tc>
          <w:tcPr>
            <w:tcW w:w="1260" w:type="dxa"/>
            <w:vAlign w:val="bottom"/>
          </w:tcPr>
          <w:p>
            <w:pPr>
              <w:spacing w:after="0"/>
              <w:rPr>
                <w:sz w:val="20"/>
                <w:szCs w:val="20"/>
                <w:color w:val="auto"/>
              </w:rPr>
            </w:pPr>
            <w:r>
              <w:rPr>
                <w:rFonts w:ascii="Arial" w:cs="Arial" w:eastAsia="Arial" w:hAnsi="Arial"/>
                <w:sz w:val="16"/>
                <w:szCs w:val="16"/>
                <w:color w:val="auto"/>
              </w:rPr>
              <w:t>101.DEF ††</w:t>
            </w:r>
          </w:p>
        </w:tc>
        <w:tc>
          <w:tcPr>
            <w:tcW w:w="9720" w:type="dxa"/>
            <w:vAlign w:val="bottom"/>
            <w:gridSpan w:val="7"/>
          </w:tcPr>
          <w:p>
            <w:pPr>
              <w:spacing w:after="0"/>
              <w:rPr>
                <w:sz w:val="20"/>
                <w:szCs w:val="20"/>
                <w:color w:val="auto"/>
              </w:rPr>
            </w:pPr>
            <w:r>
              <w:rPr>
                <w:rFonts w:ascii="Arial" w:cs="Arial" w:eastAsia="Arial" w:hAnsi="Arial"/>
                <w:sz w:val="16"/>
                <w:szCs w:val="16"/>
                <w:color w:val="auto"/>
              </w:rPr>
              <w:t>XBRL Taxonomy Definition Linkbase</w:t>
            </w:r>
          </w:p>
        </w:tc>
      </w:tr>
      <w:tr>
        <w:trPr>
          <w:trHeight w:val="392"/>
        </w:trPr>
        <w:tc>
          <w:tcPr>
            <w:tcW w:w="1260" w:type="dxa"/>
            <w:vAlign w:val="bottom"/>
          </w:tcPr>
          <w:p>
            <w:pPr>
              <w:spacing w:after="0"/>
              <w:rPr>
                <w:sz w:val="20"/>
                <w:szCs w:val="20"/>
                <w:color w:val="auto"/>
              </w:rPr>
            </w:pPr>
            <w:r>
              <w:rPr>
                <w:rFonts w:ascii="Arial" w:cs="Arial" w:eastAsia="Arial" w:hAnsi="Arial"/>
                <w:sz w:val="16"/>
                <w:szCs w:val="16"/>
                <w:color w:val="auto"/>
              </w:rPr>
              <w:t>101.LAB ††</w:t>
            </w:r>
          </w:p>
        </w:tc>
        <w:tc>
          <w:tcPr>
            <w:tcW w:w="9720" w:type="dxa"/>
            <w:vAlign w:val="bottom"/>
            <w:gridSpan w:val="7"/>
          </w:tcPr>
          <w:p>
            <w:pPr>
              <w:spacing w:after="0"/>
              <w:rPr>
                <w:sz w:val="20"/>
                <w:szCs w:val="20"/>
                <w:color w:val="auto"/>
              </w:rPr>
            </w:pPr>
            <w:r>
              <w:rPr>
                <w:rFonts w:ascii="Arial" w:cs="Arial" w:eastAsia="Arial" w:hAnsi="Arial"/>
                <w:sz w:val="16"/>
                <w:szCs w:val="16"/>
                <w:color w:val="auto"/>
              </w:rPr>
              <w:t>XBRL Taxonomy Extension Label Linkbase</w:t>
            </w:r>
          </w:p>
        </w:tc>
      </w:tr>
      <w:tr>
        <w:trPr>
          <w:trHeight w:val="392"/>
        </w:trPr>
        <w:tc>
          <w:tcPr>
            <w:tcW w:w="1260" w:type="dxa"/>
            <w:vAlign w:val="bottom"/>
          </w:tcPr>
          <w:p>
            <w:pPr>
              <w:spacing w:after="0"/>
              <w:rPr>
                <w:sz w:val="20"/>
                <w:szCs w:val="20"/>
                <w:color w:val="auto"/>
              </w:rPr>
            </w:pPr>
            <w:r>
              <w:rPr>
                <w:rFonts w:ascii="Arial" w:cs="Arial" w:eastAsia="Arial" w:hAnsi="Arial"/>
                <w:sz w:val="16"/>
                <w:szCs w:val="16"/>
                <w:color w:val="auto"/>
              </w:rPr>
              <w:t>101.PRE ††</w:t>
            </w:r>
          </w:p>
        </w:tc>
        <w:tc>
          <w:tcPr>
            <w:tcW w:w="9720" w:type="dxa"/>
            <w:vAlign w:val="bottom"/>
            <w:gridSpan w:val="7"/>
          </w:tcPr>
          <w:p>
            <w:pPr>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374" w:lineRule="exact"/>
        <w:rPr>
          <w:sz w:val="20"/>
          <w:szCs w:val="20"/>
          <w:color w:val="auto"/>
        </w:rPr>
      </w:pPr>
    </w:p>
    <w:p>
      <w:pPr>
        <w:ind w:left="720" w:hanging="685"/>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73" w:lineRule="exact"/>
        <w:rPr>
          <w:sz w:val="20"/>
          <w:szCs w:val="20"/>
          <w:color w:val="auto"/>
        </w:rPr>
      </w:pPr>
    </w:p>
    <w:p>
      <w:pPr>
        <w:ind w:left="720" w:right="20" w:hanging="685"/>
        <w:spacing w:after="0" w:line="335" w:lineRule="auto"/>
        <w:tabs>
          <w:tab w:leader="none" w:pos="7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74</w:t>
      </w:r>
    </w:p>
    <w:p>
      <w:pPr>
        <w:sectPr>
          <w:pgSz w:w="11900" w:h="16838" w:orient="portrait"/>
          <w:cols w:equalWidth="0" w:num="1">
            <w:col w:w="11300"/>
          </w:cols>
          <w:pgMar w:left="240" w:top="580" w:right="359" w:bottom="1440" w:gutter="0" w:footer="0" w:header="0"/>
          <w:type w:val="continuous"/>
        </w:sectPr>
      </w:pPr>
    </w:p>
    <w:bookmarkStart w:id="74" w:name="page75"/>
    <w:bookmarkEnd w:id="74"/>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30,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R. Scott Herren</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720"/>
          </w:cols>
          <w:pgMar w:left="240" w:top="580" w:right="9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AUTODESK,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EMPLOYEE STOCK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12, 2018)*</w:t>
      </w:r>
    </w:p>
    <w:p>
      <w:pPr>
        <w:spacing w:after="0" w:line="238" w:lineRule="exact"/>
        <w:rPr>
          <w:sz w:val="20"/>
          <w:szCs w:val="20"/>
          <w:color w:val="auto"/>
        </w:rPr>
      </w:pPr>
    </w:p>
    <w:p>
      <w:pPr>
        <w:ind w:firstLine="656"/>
        <w:spacing w:after="0" w:line="324" w:lineRule="auto"/>
        <w:tabs>
          <w:tab w:leader="none" w:pos="143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2012 Employee Stock Plan are to attract and retain the best available personnel for positions of substantial responsibility, to provide additional incentive to Employees, and to promote the success of the Company’s business.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shall apply:</w:t>
      </w:r>
    </w:p>
    <w:p>
      <w:pPr>
        <w:spacing w:after="0" w:line="225" w:lineRule="exact"/>
        <w:rPr>
          <w:sz w:val="20"/>
          <w:szCs w:val="20"/>
          <w:color w:val="auto"/>
        </w:rPr>
      </w:pPr>
    </w:p>
    <w:p>
      <w:pPr>
        <w:ind w:left="1040" w:hanging="384"/>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of its Committees as shall be administering the Plan, in accordance with Section 4 of the Plan.</w:t>
      </w:r>
    </w:p>
    <w:p>
      <w:pPr>
        <w:spacing w:after="0" w:line="236" w:lineRule="exact"/>
        <w:rPr>
          <w:rFonts w:ascii="Arial" w:cs="Arial" w:eastAsia="Arial" w:hAnsi="Arial"/>
          <w:sz w:val="17"/>
          <w:szCs w:val="17"/>
          <w:color w:val="auto"/>
        </w:rPr>
      </w:pPr>
    </w:p>
    <w:p>
      <w:pPr>
        <w:jc w:val="both"/>
        <w:ind w:firstLine="656"/>
        <w:spacing w:after="0" w:line="264" w:lineRule="auto"/>
        <w:tabs>
          <w:tab w:leader="none" w:pos="1079"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 compensation plans under U.S. state corporate laws, U.S. federal and state securities laws, the Code, any stock exchange or quotation system on which the Shares are listed or quoted and the applicable laws of any other country or jurisdiction where Awards are granted under the Plan.</w:t>
      </w:r>
    </w:p>
    <w:p>
      <w:pPr>
        <w:spacing w:after="0" w:line="181" w:lineRule="exact"/>
        <w:rPr>
          <w:rFonts w:ascii="Arial" w:cs="Arial" w:eastAsia="Arial" w:hAnsi="Arial"/>
          <w:sz w:val="18"/>
          <w:szCs w:val="18"/>
          <w:color w:val="auto"/>
        </w:rPr>
      </w:pPr>
    </w:p>
    <w:p>
      <w:pPr>
        <w:ind w:firstLine="656"/>
        <w:spacing w:after="0" w:line="277" w:lineRule="auto"/>
        <w:tabs>
          <w:tab w:leader="none" w:pos="10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Incentive Stock Options, Nonqualified Stock Options, Restricted Stock or Restricted Stock Units.</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the written or electronic agreement setting forth the terms and conditions applicable to each Award granted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the Plan.</w:t>
      </w:r>
    </w:p>
    <w:p>
      <w:pPr>
        <w:spacing w:after="0" w:line="211" w:lineRule="exact"/>
        <w:rPr>
          <w:sz w:val="20"/>
          <w:szCs w:val="20"/>
          <w:color w:val="auto"/>
        </w:rPr>
      </w:pPr>
    </w:p>
    <w:p>
      <w:pPr>
        <w:ind w:left="1040" w:hanging="384"/>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 in one or a series of related transactions:</w:t>
      </w:r>
    </w:p>
    <w:p>
      <w:pPr>
        <w:spacing w:after="0" w:line="252" w:lineRule="exact"/>
        <w:rPr>
          <w:rFonts w:ascii="Arial" w:cs="Arial" w:eastAsia="Arial" w:hAnsi="Arial"/>
          <w:sz w:val="18"/>
          <w:szCs w:val="18"/>
          <w:color w:val="auto"/>
        </w:rPr>
      </w:pPr>
    </w:p>
    <w:p>
      <w:pPr>
        <w:jc w:val="both"/>
        <w:ind w:left="1960" w:firstLine="1938"/>
        <w:spacing w:after="0" w:line="304" w:lineRule="auto"/>
        <w:tabs>
          <w:tab w:leader="none" w:pos="4723"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other than the Company, a subsidiary of the Company or a Company employee benefit plan, including any trustee of such plan acting as trustee, is or becomes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or</w:t>
      </w:r>
    </w:p>
    <w:p>
      <w:pPr>
        <w:spacing w:after="0" w:line="377" w:lineRule="exact"/>
        <w:rPr>
          <w:rFonts w:ascii="Arial" w:cs="Arial" w:eastAsia="Arial" w:hAnsi="Arial"/>
          <w:sz w:val="18"/>
          <w:szCs w:val="18"/>
          <w:color w:val="auto"/>
        </w:rPr>
      </w:pPr>
    </w:p>
    <w:p>
      <w:pPr>
        <w:jc w:val="both"/>
        <w:ind w:left="1960" w:firstLine="1938"/>
        <w:spacing w:after="0" w:line="276" w:lineRule="auto"/>
        <w:tabs>
          <w:tab w:leader="none" w:pos="4376" w:val="left"/>
        </w:tabs>
        <w:numPr>
          <w:ilvl w:val="1"/>
          <w:numId w:val="44"/>
        </w:numPr>
        <w:rPr>
          <w:rFonts w:ascii="Arial" w:cs="Arial" w:eastAsia="Arial" w:hAnsi="Arial"/>
          <w:sz w:val="17"/>
          <w:szCs w:val="17"/>
          <w:color w:val="auto"/>
        </w:rPr>
      </w:pPr>
      <w:r>
        <w:rPr>
          <w:rFonts w:ascii="Arial" w:cs="Arial" w:eastAsia="Arial" w:hAnsi="Arial"/>
          <w:sz w:val="17"/>
          <w:szCs w:val="17"/>
          <w:color w:val="auto"/>
        </w:rPr>
        <w:t>a merger or consolidation of the Company or any direct or indirect subsidiary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 or</w:t>
      </w:r>
    </w:p>
    <w:p>
      <w:pPr>
        <w:spacing w:after="0" w:line="388" w:lineRule="exact"/>
        <w:rPr>
          <w:rFonts w:ascii="Arial" w:cs="Arial" w:eastAsia="Arial" w:hAnsi="Arial"/>
          <w:sz w:val="17"/>
          <w:szCs w:val="17"/>
          <w:color w:val="auto"/>
        </w:rPr>
      </w:pPr>
    </w:p>
    <w:p>
      <w:pPr>
        <w:ind w:left="4340" w:hanging="442"/>
        <w:spacing w:after="0"/>
        <w:tabs>
          <w:tab w:leader="none" w:pos="43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the sale or disposition by the Company of all or substantially all the Company’s assets; or</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1960" w:right="20" w:firstLine="1938"/>
        <w:spacing w:after="0" w:line="308" w:lineRule="auto"/>
        <w:tabs>
          <w:tab w:leader="none" w:pos="4448" w:val="left"/>
        </w:tabs>
        <w:numPr>
          <w:ilvl w:val="1"/>
          <w:numId w:val="44"/>
        </w:numPr>
        <w:rPr>
          <w:rFonts w:ascii="Arial" w:cs="Arial" w:eastAsia="Arial" w:hAnsi="Arial"/>
          <w:sz w:val="17"/>
          <w:szCs w:val="17"/>
          <w:color w:val="auto"/>
        </w:rPr>
      </w:pPr>
      <w:r>
        <w:rPr>
          <w:rFonts w:ascii="Arial" w:cs="Arial" w:eastAsia="Arial" w:hAnsi="Arial"/>
          <w:sz w:val="17"/>
          <w:szCs w:val="17"/>
          <w:color w:val="auto"/>
        </w:rPr>
        <w:t>a change in the composition of the Board, as a result of which fewer than a majority of the Directors are Incumbent Directors. “Incumbent Directors” shall mean Directors who either (A) are Directors as of the</w:t>
      </w:r>
    </w:p>
    <w:p>
      <w:pPr>
        <w:sectPr>
          <w:pgSz w:w="11900" w:h="16838" w:orient="portrait"/>
          <w:cols w:equalWidth="0" w:num="1">
            <w:col w:w="11420"/>
          </w:cols>
          <w:pgMar w:left="240" w:top="837" w:right="239" w:bottom="1440" w:gutter="0" w:footer="0" w:header="0"/>
        </w:sectPr>
      </w:pPr>
    </w:p>
    <w:bookmarkStart w:id="76" w:name="page77"/>
    <w:bookmarkEnd w:id="76"/>
    <w:p>
      <w:pPr>
        <w:jc w:val="both"/>
        <w:ind w:left="1304"/>
        <w:spacing w:after="0" w:line="312" w:lineRule="auto"/>
        <w:rPr>
          <w:sz w:val="20"/>
          <w:szCs w:val="20"/>
          <w:color w:val="auto"/>
        </w:rPr>
      </w:pPr>
      <w:r>
        <w:rPr>
          <w:rFonts w:ascii="Arial" w:cs="Arial" w:eastAsia="Arial" w:hAnsi="Arial"/>
          <w:sz w:val="16"/>
          <w:szCs w:val="16"/>
          <w:color w:val="auto"/>
        </w:rPr>
        <w:t>date this Plan is approved by the Board, or (B) are elected, or nominated for election, to the Board with the affirmative votes of at least a majority of the Directors and whose election or nomination was not in connection with any transaction described in (i) or (ii) above or in connection with an actual or threatened proxy contest relating to the election of directors of the Company.</w:t>
      </w:r>
    </w:p>
    <w:p>
      <w:pPr>
        <w:spacing w:after="0" w:line="363" w:lineRule="exact"/>
        <w:rPr>
          <w:sz w:val="20"/>
          <w:szCs w:val="20"/>
          <w:color w:val="auto"/>
        </w:rPr>
      </w:pPr>
    </w:p>
    <w:p>
      <w:pPr>
        <w:jc w:val="both"/>
        <w:ind w:left="1304" w:firstLine="1945"/>
        <w:spacing w:after="0" w:line="255" w:lineRule="auto"/>
        <w:rPr>
          <w:sz w:val="20"/>
          <w:szCs w:val="20"/>
          <w:color w:val="auto"/>
        </w:rPr>
      </w:pPr>
      <w:r>
        <w:rPr>
          <w:rFonts w:ascii="Arial" w:cs="Arial" w:eastAsia="Arial" w:hAnsi="Arial"/>
          <w:sz w:val="18"/>
          <w:szCs w:val="18"/>
          <w:color w:val="auto"/>
        </w:rPr>
        <w:t>Further, if a Change in Control constitutes a payment event with respect to any Award which provides for the deferral of compensation and is subject to Section 409A of the Code, in order to make payment upon such Change in Control, the transaction or event described above with respect to such Award must also constitute a “change in ownership,” a “change in the effective control” or a “change in the ownership of substantial assets” of the Company within the meaning of Treasury Regulation Section 1.409A-3(i)(5) (or any successor provision), and if it does not, payment of such Award will be made pursuant to the Award’s original payment schedule or, if earlier, upon the death of the Participant, unless otherwise provided in the Award Agreement.</w:t>
      </w:r>
    </w:p>
    <w:p>
      <w:pPr>
        <w:spacing w:after="0" w:line="200" w:lineRule="exact"/>
        <w:rPr>
          <w:sz w:val="20"/>
          <w:szCs w:val="20"/>
          <w:color w:val="auto"/>
        </w:rPr>
      </w:pPr>
    </w:p>
    <w:p>
      <w:pPr>
        <w:spacing w:after="0" w:line="205" w:lineRule="exact"/>
        <w:rPr>
          <w:sz w:val="20"/>
          <w:szCs w:val="20"/>
          <w:color w:val="auto"/>
        </w:rPr>
      </w:pPr>
    </w:p>
    <w:p>
      <w:pPr>
        <w:ind w:left="-656" w:right="120" w:firstLine="656"/>
        <w:spacing w:after="0" w:line="264" w:lineRule="auto"/>
        <w:tabs>
          <w:tab w:leader="none" w:pos="382"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81" w:lineRule="exact"/>
        <w:rPr>
          <w:rFonts w:ascii="Arial" w:cs="Arial" w:eastAsia="Arial" w:hAnsi="Arial"/>
          <w:sz w:val="18"/>
          <w:szCs w:val="18"/>
          <w:color w:val="auto"/>
        </w:rPr>
      </w:pPr>
    </w:p>
    <w:p>
      <w:pPr>
        <w:ind w:left="384" w:hanging="384"/>
        <w:spacing w:after="0"/>
        <w:tabs>
          <w:tab w:leader="none" w:pos="384"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 in accordance with Section 4 of the Plan.</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Autodesk, Inc., a Delaware corporation, or any successor thereto.</w:t>
      </w:r>
    </w:p>
    <w:p>
      <w:pPr>
        <w:spacing w:after="0" w:line="225" w:lineRule="exact"/>
        <w:rPr>
          <w:rFonts w:ascii="Arial" w:cs="Arial" w:eastAsia="Arial" w:hAnsi="Arial"/>
          <w:sz w:val="18"/>
          <w:szCs w:val="18"/>
          <w:color w:val="auto"/>
        </w:rPr>
      </w:pPr>
    </w:p>
    <w:p>
      <w:pPr>
        <w:ind w:left="-656" w:right="120" w:firstLine="656"/>
        <w:spacing w:after="0" w:line="277" w:lineRule="auto"/>
        <w:tabs>
          <w:tab w:leader="none" w:pos="382"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with respect to an Award, the date that the Award is granted and its exercise price is set (if applicable)</w:t>
      </w:r>
      <w:r>
        <w:rPr>
          <w:rFonts w:ascii="Arial" w:cs="Arial" w:eastAsia="Arial" w:hAnsi="Arial"/>
          <w:sz w:val="18"/>
          <w:szCs w:val="18"/>
          <w:color w:val="000080"/>
        </w:rPr>
        <w:t>,</w:t>
      </w:r>
      <w:r>
        <w:rPr>
          <w:rFonts w:ascii="Arial" w:cs="Arial" w:eastAsia="Arial" w:hAnsi="Arial"/>
          <w:sz w:val="18"/>
          <w:szCs w:val="18"/>
          <w:color w:val="auto"/>
        </w:rPr>
        <w:t xml:space="preserve"> consistent with Applicable Laws and applicable financial accounting rules.</w:t>
      </w:r>
    </w:p>
    <w:p>
      <w:pPr>
        <w:spacing w:after="0" w:line="170" w:lineRule="exact"/>
        <w:rPr>
          <w:rFonts w:ascii="Arial" w:cs="Arial" w:eastAsia="Arial" w:hAnsi="Arial"/>
          <w:sz w:val="18"/>
          <w:szCs w:val="18"/>
          <w:color w:val="auto"/>
        </w:rPr>
      </w:pPr>
    </w:p>
    <w:p>
      <w:pPr>
        <w:ind w:left="344" w:hanging="344"/>
        <w:spacing w:after="0"/>
        <w:tabs>
          <w:tab w:leader="none" w:pos="344"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656" w:right="40" w:firstLine="656"/>
        <w:spacing w:after="0" w:line="264" w:lineRule="auto"/>
        <w:tabs>
          <w:tab w:leader="none" w:pos="4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provided, however, that to the extent necessary to comply with Section 409A of the Code, “Disability” shall have the meaning set forth in Treasury Regulation Section 1.409A-3(i)(4) (or any successor provision).</w:t>
      </w:r>
    </w:p>
    <w:p>
      <w:pPr>
        <w:spacing w:after="0" w:line="181" w:lineRule="exact"/>
        <w:rPr>
          <w:rFonts w:ascii="Arial" w:cs="Arial" w:eastAsia="Arial" w:hAnsi="Arial"/>
          <w:sz w:val="18"/>
          <w:szCs w:val="18"/>
          <w:color w:val="auto"/>
        </w:rPr>
      </w:pPr>
    </w:p>
    <w:p>
      <w:pPr>
        <w:ind w:left="-656" w:right="400" w:firstLine="656"/>
        <w:spacing w:after="0" w:line="277" w:lineRule="auto"/>
        <w:tabs>
          <w:tab w:leader="none" w:pos="382"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Earnings Per Share</w:t>
      </w:r>
      <w:r>
        <w:rPr>
          <w:rFonts w:ascii="Arial" w:cs="Arial" w:eastAsia="Arial" w:hAnsi="Arial"/>
          <w:sz w:val="18"/>
          <w:szCs w:val="18"/>
          <w:color w:val="auto"/>
        </w:rPr>
        <w:t>” means, as to any Performance Period, fully diluted earnings per share of the Company, a business unit or an industry group, as defined by generally accepted accounting principles.</w:t>
      </w:r>
    </w:p>
    <w:p>
      <w:pPr>
        <w:spacing w:after="0" w:line="170" w:lineRule="exact"/>
        <w:rPr>
          <w:rFonts w:ascii="Arial" w:cs="Arial" w:eastAsia="Arial" w:hAnsi="Arial"/>
          <w:sz w:val="18"/>
          <w:szCs w:val="18"/>
          <w:color w:val="auto"/>
        </w:rPr>
      </w:pPr>
    </w:p>
    <w:p>
      <w:pPr>
        <w:ind w:left="384" w:hanging="384"/>
        <w:spacing w:after="0"/>
        <w:tabs>
          <w:tab w:leader="none" w:pos="384"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January 6, 2012.</w:t>
      </w:r>
    </w:p>
    <w:p>
      <w:pPr>
        <w:spacing w:after="0" w:line="225" w:lineRule="exact"/>
        <w:rPr>
          <w:rFonts w:ascii="Arial" w:cs="Arial" w:eastAsia="Arial" w:hAnsi="Arial"/>
          <w:sz w:val="18"/>
          <w:szCs w:val="18"/>
          <w:color w:val="auto"/>
        </w:rPr>
      </w:pPr>
    </w:p>
    <w:p>
      <w:pPr>
        <w:ind w:left="-656" w:right="160" w:firstLine="656"/>
        <w:spacing w:after="0" w:line="254" w:lineRule="auto"/>
        <w:tabs>
          <w:tab w:leader="none" w:pos="382" w:val="left"/>
        </w:tabs>
        <w:numPr>
          <w:ilvl w:val="0"/>
          <w:numId w:val="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any person employed by the Company or any Parent or Subsidiary of the Company. An Employee shall not cease to be an Employee in the case of (i) any leave of absence approved by the Company or (ii) transfers between locations of the Company or between the Company, its Parent, any Subsidiary, or any successor. For purposes of Incentive Stock Options, no such leave may exceed ninety days, unless reemployment upon expiration of such leave is guaranteed by statute or contract. If reemployment upon expiration of a leave of absence approved by the Company is not so guaranteed, then three (3) months following the 91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day of such leave any Incentive Stock Option held by the Participant shall cease to be treated as an Incentive Stock Option and shall be treated for tax purposes as a Nonstatutory Stock Option.</w:t>
      </w:r>
    </w:p>
    <w:p>
      <w:pPr>
        <w:sectPr>
          <w:pgSz w:w="11900" w:h="16838" w:orient="portrait"/>
          <w:cols w:equalWidth="0" w:num="1">
            <w:col w:w="10764"/>
          </w:cols>
          <w:pgMar w:left="896" w:top="841" w:right="239" w:bottom="1440" w:gutter="0" w:footer="0" w:header="0"/>
        </w:sectPr>
      </w:pPr>
    </w:p>
    <w:bookmarkStart w:id="77" w:name="page78"/>
    <w:bookmarkEnd w:id="77"/>
    <w:p>
      <w:pPr>
        <w:ind w:left="-656" w:right="300" w:firstLine="656"/>
        <w:spacing w:after="0" w:line="264" w:lineRule="auto"/>
        <w:tabs>
          <w:tab w:leader="none" w:pos="3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Reference to a specific section of the Exchange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81" w:lineRule="exact"/>
        <w:rPr>
          <w:rFonts w:ascii="Arial" w:cs="Arial" w:eastAsia="Arial" w:hAnsi="Arial"/>
          <w:sz w:val="18"/>
          <w:szCs w:val="18"/>
          <w:color w:val="auto"/>
        </w:rPr>
      </w:pPr>
    </w:p>
    <w:p>
      <w:pPr>
        <w:ind w:left="364" w:hanging="364"/>
        <w:spacing w:after="0"/>
        <w:tabs>
          <w:tab w:leader="none" w:pos="3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sz w:val="20"/>
          <w:szCs w:val="20"/>
          <w:color w:val="auto"/>
        </w:rPr>
      </w:pPr>
    </w:p>
    <w:p>
      <w:pPr>
        <w:jc w:val="both"/>
        <w:ind w:left="-656" w:firstLine="656"/>
        <w:spacing w:after="0" w:line="259" w:lineRule="auto"/>
        <w:tabs>
          <w:tab w:leader="none" w:pos="3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or a national market system, including without limitation the Nasdaq National Market of the National Association of Securities Dealers, Inc. Automated Quotation (“Nasdaq”) System, the Fair Market Value of a Share of Common Stock shall be the closing sales price for such stock (or the closing bid, if no sales were reported) as quoted on such system or exchange (or the exchange with the greatest volume of trading in Common Stock) on the day of determination; or</w:t>
      </w:r>
    </w:p>
    <w:p>
      <w:pPr>
        <w:spacing w:after="0" w:line="186" w:lineRule="exact"/>
        <w:rPr>
          <w:rFonts w:ascii="Arial" w:cs="Arial" w:eastAsia="Arial" w:hAnsi="Arial"/>
          <w:sz w:val="18"/>
          <w:szCs w:val="18"/>
          <w:color w:val="auto"/>
        </w:rPr>
      </w:pPr>
    </w:p>
    <w:p>
      <w:pPr>
        <w:ind w:left="404" w:hanging="404"/>
        <w:spacing w:after="0"/>
        <w:tabs>
          <w:tab w:leader="none" w:pos="404"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shall be determined in good faith by the Administrator.</w:t>
      </w:r>
    </w:p>
    <w:p>
      <w:pPr>
        <w:spacing w:after="0" w:line="248" w:lineRule="exact"/>
        <w:rPr>
          <w:sz w:val="20"/>
          <w:szCs w:val="20"/>
          <w:color w:val="auto"/>
        </w:rPr>
      </w:pPr>
    </w:p>
    <w:p>
      <w:pPr>
        <w:ind w:left="-656" w:right="140" w:firstLine="1305"/>
        <w:spacing w:after="0" w:line="277" w:lineRule="auto"/>
        <w:tabs>
          <w:tab w:leader="none" w:pos="109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Fair Market Value is to be determined as of a date which is not a date on which the Common Stock is traded, then the Fair Market Value on such date shall be the Fair Market Value on the next subsequent trading date.</w:t>
      </w:r>
    </w:p>
    <w:p>
      <w:pPr>
        <w:spacing w:after="0" w:line="170" w:lineRule="exact"/>
        <w:rPr>
          <w:rFonts w:ascii="Arial" w:cs="Arial" w:eastAsia="Arial" w:hAnsi="Arial"/>
          <w:sz w:val="18"/>
          <w:szCs w:val="18"/>
          <w:color w:val="auto"/>
        </w:rPr>
      </w:pPr>
    </w:p>
    <w:p>
      <w:pPr>
        <w:ind w:left="364" w:hanging="364"/>
        <w:spacing w:after="0"/>
        <w:tabs>
          <w:tab w:leader="none" w:pos="3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a fiscal year of the Company.</w:t>
      </w:r>
    </w:p>
    <w:p>
      <w:pPr>
        <w:spacing w:after="0" w:line="225" w:lineRule="exact"/>
        <w:rPr>
          <w:rFonts w:ascii="Arial" w:cs="Arial" w:eastAsia="Arial" w:hAnsi="Arial"/>
          <w:sz w:val="18"/>
          <w:szCs w:val="18"/>
          <w:color w:val="auto"/>
        </w:rPr>
      </w:pPr>
    </w:p>
    <w:p>
      <w:pPr>
        <w:ind w:left="-656" w:right="160" w:firstLine="656"/>
        <w:spacing w:after="0" w:line="277" w:lineRule="auto"/>
        <w:tabs>
          <w:tab w:leader="none" w:pos="3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170" w:lineRule="exact"/>
        <w:rPr>
          <w:rFonts w:ascii="Arial" w:cs="Arial" w:eastAsia="Arial" w:hAnsi="Arial"/>
          <w:sz w:val="18"/>
          <w:szCs w:val="18"/>
          <w:color w:val="auto"/>
        </w:rPr>
      </w:pPr>
    </w:p>
    <w:p>
      <w:pPr>
        <w:ind w:left="-656" w:right="380" w:firstLine="656"/>
        <w:spacing w:after="0" w:line="277" w:lineRule="auto"/>
        <w:tabs>
          <w:tab w:leader="none" w:pos="382"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means, as to any Performance Period, net income for the Performance Period of the Company, a business unit or an industry group, as defined by generally accepted accounting principles.</w:t>
      </w:r>
    </w:p>
    <w:p>
      <w:pPr>
        <w:spacing w:after="0" w:line="170" w:lineRule="exact"/>
        <w:rPr>
          <w:rFonts w:ascii="Arial" w:cs="Arial" w:eastAsia="Arial" w:hAnsi="Arial"/>
          <w:sz w:val="18"/>
          <w:szCs w:val="18"/>
          <w:color w:val="auto"/>
        </w:rPr>
      </w:pPr>
    </w:p>
    <w:p>
      <w:pPr>
        <w:ind w:left="384" w:hanging="384"/>
        <w:spacing w:after="0"/>
        <w:tabs>
          <w:tab w:leader="none" w:pos="3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not intended to qualify as an Incentive Stock Option.</w:t>
      </w:r>
    </w:p>
    <w:p>
      <w:pPr>
        <w:spacing w:after="0" w:line="225" w:lineRule="exact"/>
        <w:rPr>
          <w:rFonts w:ascii="Arial" w:cs="Arial" w:eastAsia="Arial" w:hAnsi="Arial"/>
          <w:sz w:val="18"/>
          <w:szCs w:val="18"/>
          <w:color w:val="auto"/>
        </w:rPr>
      </w:pPr>
    </w:p>
    <w:p>
      <w:pPr>
        <w:ind w:left="-656" w:right="100" w:firstLine="656"/>
        <w:spacing w:after="0" w:line="277" w:lineRule="auto"/>
        <w:tabs>
          <w:tab w:leader="none" w:pos="422"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Grant</w:t>
      </w:r>
      <w:r>
        <w:rPr>
          <w:rFonts w:ascii="Arial" w:cs="Arial" w:eastAsia="Arial" w:hAnsi="Arial"/>
          <w:sz w:val="18"/>
          <w:szCs w:val="18"/>
          <w:color w:val="auto"/>
        </w:rPr>
        <w:t>” means a written or electronic notice evidencing certain terms and conditions of an individual Award. The Notice of Grant is part of the Award Agreement.</w:t>
      </w:r>
    </w:p>
    <w:p>
      <w:pPr>
        <w:spacing w:after="0" w:line="170" w:lineRule="exact"/>
        <w:rPr>
          <w:rFonts w:ascii="Arial" w:cs="Arial" w:eastAsia="Arial" w:hAnsi="Arial"/>
          <w:sz w:val="18"/>
          <w:szCs w:val="18"/>
          <w:color w:val="auto"/>
        </w:rPr>
      </w:pPr>
    </w:p>
    <w:p>
      <w:pPr>
        <w:ind w:left="384" w:hanging="384"/>
        <w:spacing w:after="0"/>
        <w:tabs>
          <w:tab w:leader="none" w:pos="3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Margins</w:t>
      </w:r>
      <w:r>
        <w:rPr>
          <w:rFonts w:ascii="Arial" w:cs="Arial" w:eastAsia="Arial" w:hAnsi="Arial"/>
          <w:sz w:val="18"/>
          <w:szCs w:val="18"/>
          <w:color w:val="auto"/>
        </w:rPr>
        <w:t>” means the ratio of Operating Income to Revenue.</w:t>
      </w:r>
    </w:p>
    <w:p>
      <w:pPr>
        <w:spacing w:after="0" w:line="225" w:lineRule="exact"/>
        <w:rPr>
          <w:rFonts w:ascii="Arial" w:cs="Arial" w:eastAsia="Arial" w:hAnsi="Arial"/>
          <w:sz w:val="18"/>
          <w:szCs w:val="18"/>
          <w:color w:val="auto"/>
        </w:rPr>
      </w:pPr>
    </w:p>
    <w:p>
      <w:pPr>
        <w:ind w:left="-656" w:right="340" w:firstLine="656"/>
        <w:spacing w:after="0" w:line="277" w:lineRule="auto"/>
        <w:tabs>
          <w:tab w:leader="none" w:pos="382"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Income</w:t>
      </w:r>
      <w:r>
        <w:rPr>
          <w:rFonts w:ascii="Arial" w:cs="Arial" w:eastAsia="Arial" w:hAnsi="Arial"/>
          <w:sz w:val="18"/>
          <w:szCs w:val="18"/>
          <w:color w:val="auto"/>
        </w:rPr>
        <w:t>” means income from operations of the Company, a business unit or an industry group, as defined by generally accepted accounting principles.</w:t>
      </w:r>
    </w:p>
    <w:p>
      <w:pPr>
        <w:spacing w:after="0" w:line="170" w:lineRule="exact"/>
        <w:rPr>
          <w:rFonts w:ascii="Arial" w:cs="Arial" w:eastAsia="Arial" w:hAnsi="Arial"/>
          <w:sz w:val="18"/>
          <w:szCs w:val="18"/>
          <w:color w:val="auto"/>
        </w:rPr>
      </w:pPr>
    </w:p>
    <w:p>
      <w:pPr>
        <w:ind w:left="384" w:hanging="384"/>
        <w:spacing w:after="0"/>
        <w:tabs>
          <w:tab w:leader="none" w:pos="3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Incentive Stock Option or Nonqualified Stock Option granted pursuant to the Plan.</w:t>
      </w:r>
    </w:p>
    <w:p>
      <w:pPr>
        <w:spacing w:after="0" w:line="225" w:lineRule="exact"/>
        <w:rPr>
          <w:sz w:val="20"/>
          <w:szCs w:val="20"/>
          <w:color w:val="auto"/>
        </w:rPr>
      </w:pPr>
    </w:p>
    <w:p>
      <w:pPr>
        <w:ind w:left="464" w:hanging="464"/>
        <w:spacing w:after="0"/>
        <w:tabs>
          <w:tab w:leader="none" w:pos="4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color w:val="auto"/>
        </w:rPr>
      </w:pPr>
    </w:p>
    <w:p>
      <w:pPr>
        <w:ind w:left="484" w:hanging="484"/>
        <w:spacing w:after="0"/>
        <w:tabs>
          <w:tab w:leader="none" w:pos="4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 granted under the Plan.</w:t>
      </w:r>
    </w:p>
    <w:p>
      <w:pPr>
        <w:spacing w:after="0" w:line="225" w:lineRule="exact"/>
        <w:rPr>
          <w:rFonts w:ascii="Arial" w:cs="Arial" w:eastAsia="Arial" w:hAnsi="Arial"/>
          <w:sz w:val="18"/>
          <w:szCs w:val="18"/>
          <w:color w:val="auto"/>
        </w:rPr>
      </w:pPr>
    </w:p>
    <w:p>
      <w:pPr>
        <w:ind w:left="-656" w:right="260" w:firstLine="656"/>
        <w:spacing w:after="0" w:line="257"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Goals</w:t>
      </w:r>
      <w:r>
        <w:rPr>
          <w:rFonts w:ascii="Arial" w:cs="Arial" w:eastAsia="Arial" w:hAnsi="Arial"/>
          <w:sz w:val="18"/>
          <w:szCs w:val="18"/>
          <w:color w:val="auto"/>
        </w:rPr>
        <w:t>” means the goal(s) (or combined goal(s)) determined by the Administrator (in its discretion) to be applicable to a Participant with respect to Awards of Restricted Stock or Restricted Stock Units. Such Performance Goals may be made applicable to Awards which are intended to comply with Section 162(m) of the Code, as well as Awards which not intended to comply with Section 162(m) of the Code. As determined by the Administrator, the Performance Goals applicable to an Award may provide for a targeted level or levels of achievement using one or more of the following measures: (a)</w:t>
      </w:r>
    </w:p>
    <w:p>
      <w:pPr>
        <w:sectPr>
          <w:pgSz w:w="11900" w:h="16838" w:orient="portrait"/>
          <w:cols w:equalWidth="0" w:num="1">
            <w:col w:w="10764"/>
          </w:cols>
          <w:pgMar w:left="896" w:top="841" w:right="239" w:bottom="1440" w:gutter="0" w:footer="0" w:header="0"/>
        </w:sectPr>
      </w:pPr>
    </w:p>
    <w:bookmarkStart w:id="78" w:name="page79"/>
    <w:bookmarkEnd w:id="78"/>
    <w:p>
      <w:pPr>
        <w:ind w:right="40"/>
        <w:spacing w:after="0" w:line="269" w:lineRule="auto"/>
        <w:rPr>
          <w:sz w:val="20"/>
          <w:szCs w:val="20"/>
          <w:color w:val="auto"/>
        </w:rPr>
      </w:pPr>
      <w:r>
        <w:rPr>
          <w:rFonts w:ascii="Arial" w:cs="Arial" w:eastAsia="Arial" w:hAnsi="Arial"/>
          <w:sz w:val="17"/>
          <w:szCs w:val="17"/>
          <w:color w:val="auto"/>
        </w:rPr>
        <w:t>Revenue, (b) Earnings Per Share, (c) Net Income, (d) Operating Margins, (e) Total Stockholder Return, (f) recurring revenue (including annualized), (g) bookings, (h) billings, (i) number of customers, (j) objective customer indicators, (k) expenses, (l) cost reduction goals, (m) economic value added, (n) cash flow (including operating cash flow or free cash flow), (o) cash flow per share, and (p) sales or revenue targets, including product or product family targets. The Performance Goals may differ from Participant to Participant and from Award to Award. Any criteria used may be measured, as applicable, (i) on Pro Forma numbers, (ii) in absolute terms, (iii) in relative terms (including, but not limited, the passage of time and/or against other companies or financial metrics), (iv) on a per share and/or share per capita basis, (v) against the performance of the Company as a whole or against particular segments, business units, industry groups or products of the Company and/or (vi) on a pre-tax or after-tax basis. Prior to the date on which such Performance Goals are determined, the Administrator shall stipulate whether any element(s) (for example, but not by way of limitation, the effect of mergers or acquisitions) shall be included in or excluded from the calculation of any Performance Goal with respect to any Participants (notwithstanding any other provision of the Plan, whether or not such determinations result in any Performance Goal being measured on a basis other than generally accepted accounting principles). Such stipulation may also be made after the date such Performance Goals are determined to the extent that such stipulation would not violate Section 162(m) of the Code.</w:t>
      </w:r>
    </w:p>
    <w:p>
      <w:pPr>
        <w:spacing w:after="0" w:line="180" w:lineRule="exact"/>
        <w:rPr>
          <w:sz w:val="20"/>
          <w:szCs w:val="20"/>
          <w:color w:val="auto"/>
        </w:rPr>
      </w:pPr>
    </w:p>
    <w:p>
      <w:pPr>
        <w:ind w:left="1140" w:hanging="484"/>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any Fiscal Year or such longer period as determined by the Administrator in its sole discretion.</w:t>
      </w:r>
    </w:p>
    <w:p>
      <w:pPr>
        <w:spacing w:after="0" w:line="225" w:lineRule="exact"/>
        <w:rPr>
          <w:rFonts w:ascii="Arial" w:cs="Arial" w:eastAsia="Arial" w:hAnsi="Arial"/>
          <w:sz w:val="18"/>
          <w:szCs w:val="18"/>
          <w:color w:val="auto"/>
        </w:rPr>
      </w:pPr>
    </w:p>
    <w:p>
      <w:pPr>
        <w:ind w:firstLine="656"/>
        <w:spacing w:after="0" w:line="264" w:lineRule="auto"/>
        <w:tabs>
          <w:tab w:leader="none" w:pos="11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As provided in Section 9, such restrictions may be based on the passage of time, the achievement of target levels of performance, or the occurrence of other events as determined by the Administrator, in its discretion.</w:t>
      </w:r>
    </w:p>
    <w:p>
      <w:pPr>
        <w:spacing w:after="0" w:line="181"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2012 Employee Stock Plan, as set forth in this instrument and as hereafter amended from time to time.</w:t>
      </w:r>
    </w:p>
    <w:p>
      <w:pPr>
        <w:spacing w:after="0" w:line="225" w:lineRule="exact"/>
        <w:rPr>
          <w:rFonts w:ascii="Arial" w:cs="Arial" w:eastAsia="Arial" w:hAnsi="Arial"/>
          <w:sz w:val="18"/>
          <w:szCs w:val="18"/>
          <w:color w:val="auto"/>
        </w:rPr>
      </w:pPr>
    </w:p>
    <w:p>
      <w:pPr>
        <w:ind w:right="200" w:firstLine="656"/>
        <w:spacing w:after="0" w:line="259" w:lineRule="auto"/>
        <w:tabs>
          <w:tab w:leader="none" w:pos="11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w:t>
      </w:r>
      <w:r>
        <w:rPr>
          <w:rFonts w:ascii="Arial" w:cs="Arial" w:eastAsia="Arial" w:hAnsi="Arial"/>
          <w:sz w:val="18"/>
          <w:szCs w:val="18"/>
          <w:color w:val="auto"/>
        </w:rPr>
        <w:t>” means calculation of a Performance Goal in a manner that excludes certain non-recurring, unusual or non-cash expenses or credits, such as restructuring expenses, extraordinary tax events, expenses or credits related to equity compensation or the like, acquisition related expenses and charges, extraordinary items, income or loss from discontinued operations, and/or gains or losses from early extinguishment of debt instead of conforming to generally accepted accounting principles.</w:t>
      </w:r>
    </w:p>
    <w:p>
      <w:pPr>
        <w:spacing w:after="0" w:line="186" w:lineRule="exact"/>
        <w:rPr>
          <w:rFonts w:ascii="Arial" w:cs="Arial" w:eastAsia="Arial" w:hAnsi="Arial"/>
          <w:sz w:val="18"/>
          <w:szCs w:val="18"/>
          <w:color w:val="auto"/>
        </w:rPr>
      </w:pPr>
    </w:p>
    <w:p>
      <w:pPr>
        <w:ind w:left="1140" w:hanging="484"/>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an Award granted to a Participant pursuant to Section 9.</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pursuant to Section 10.</w:t>
      </w:r>
    </w:p>
    <w:p>
      <w:pPr>
        <w:spacing w:after="0" w:line="225" w:lineRule="exact"/>
        <w:rPr>
          <w:rFonts w:ascii="Arial" w:cs="Arial" w:eastAsia="Arial" w:hAnsi="Arial"/>
          <w:sz w:val="18"/>
          <w:szCs w:val="18"/>
          <w:color w:val="auto"/>
        </w:rPr>
      </w:pPr>
    </w:p>
    <w:p>
      <w:pPr>
        <w:ind w:firstLine="656"/>
        <w:spacing w:after="0" w:line="277" w:lineRule="auto"/>
        <w:tabs>
          <w:tab w:leader="none" w:pos="1062"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Revenue</w:t>
      </w:r>
      <w:r>
        <w:rPr>
          <w:rFonts w:ascii="Arial" w:cs="Arial" w:eastAsia="Arial" w:hAnsi="Arial"/>
          <w:sz w:val="18"/>
          <w:szCs w:val="18"/>
          <w:color w:val="auto"/>
        </w:rPr>
        <w:t>” means net sales for the Performance Period of the Company, a business unit or an industry group, as defined by generally accepted accounting principles.</w:t>
      </w:r>
    </w:p>
    <w:p>
      <w:pPr>
        <w:spacing w:after="0" w:line="170" w:lineRule="exact"/>
        <w:rPr>
          <w:rFonts w:ascii="Arial" w:cs="Arial" w:eastAsia="Arial" w:hAnsi="Arial"/>
          <w:sz w:val="18"/>
          <w:szCs w:val="18"/>
          <w:color w:val="auto"/>
        </w:rPr>
      </w:pPr>
    </w:p>
    <w:p>
      <w:pPr>
        <w:ind w:right="400" w:firstLine="656"/>
        <w:spacing w:after="0" w:line="277" w:lineRule="auto"/>
        <w:tabs>
          <w:tab w:leader="none" w:pos="11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Securities Exchange Act of 1934, as amended.</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13 of the Plan.</w:t>
      </w:r>
    </w:p>
    <w:p>
      <w:pPr>
        <w:sectPr>
          <w:pgSz w:w="11900" w:h="16838" w:orient="portrait"/>
          <w:cols w:equalWidth="0" w:num="1">
            <w:col w:w="11400"/>
          </w:cols>
          <w:pgMar w:left="240" w:top="841" w:right="259" w:bottom="1440" w:gutter="0" w:footer="0" w:header="0"/>
        </w:sectPr>
      </w:pPr>
    </w:p>
    <w:bookmarkStart w:id="79" w:name="page80"/>
    <w:bookmarkEnd w:id="79"/>
    <w:p>
      <w:pPr>
        <w:ind w:left="1140" w:hanging="484"/>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Stockholder Return</w:t>
      </w:r>
      <w:r>
        <w:rPr>
          <w:rFonts w:ascii="Arial" w:cs="Arial" w:eastAsia="Arial" w:hAnsi="Arial"/>
          <w:sz w:val="16"/>
          <w:szCs w:val="16"/>
          <w:color w:val="auto"/>
        </w:rPr>
        <w:t>” means the total return (change in share price plus reinvestment of any dividends) of a share of the Company’s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common stock.</w:t>
      </w:r>
    </w:p>
    <w:p>
      <w:pPr>
        <w:spacing w:after="0" w:line="211"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2" w:lineRule="auto"/>
        <w:tabs>
          <w:tab w:leader="none" w:pos="1028" w:val="left"/>
        </w:tabs>
        <w:numPr>
          <w:ilvl w:val="0"/>
          <w:numId w:val="54"/>
        </w:numPr>
        <w:rPr>
          <w:rFonts w:ascii="Arial" w:cs="Arial" w:eastAsia="Arial" w:hAnsi="Arial"/>
          <w:sz w:val="17"/>
          <w:szCs w:val="17"/>
          <w:color w:val="auto"/>
        </w:rPr>
      </w:pPr>
      <w:r>
        <w:rPr>
          <w:rFonts w:ascii="Arial" w:cs="Arial" w:eastAsia="Arial" w:hAnsi="Arial"/>
          <w:sz w:val="17"/>
          <w:szCs w:val="17"/>
          <w:color w:val="auto"/>
        </w:rPr>
        <w:t>Subject to the provisions of Section 13 of the Plan, the maximum aggregate number of Shares which may be issued under the Plan is equal to 42,750,000 Shares plus that number of Shares remaining for issuance under the 2008 Employee Stock Plan as of January 6, 2012, not to exceed 8,500,000 Shares, plus that number of Shares that are subject to equity awards granted under the 2008 Employee Stock Plan, the 2008 Employee Stock Plan (as amended and restated), the 2006 Employee Stock Plan and the 1996 Stock Plan (collectively, the “Prior Plans”) which are outstanding as of January 6, 2012, not to exceed 6,000,000 Shares, and thereafter terminate, expire, lapse or are forfeited for any reason and which following the termination, expiration, lapse or forfeiture of such awards do not again become available for issuance under the Prior Plans, with the maximum aggregate total of Shares which may be issued under the Plan not to exceed 57,250,000 Shares.</w:t>
      </w:r>
    </w:p>
    <w:p>
      <w:pPr>
        <w:spacing w:after="0" w:line="177" w:lineRule="exact"/>
        <w:rPr>
          <w:rFonts w:ascii="Arial" w:cs="Arial" w:eastAsia="Arial" w:hAnsi="Arial"/>
          <w:sz w:val="17"/>
          <w:szCs w:val="17"/>
          <w:color w:val="auto"/>
        </w:rPr>
      </w:pPr>
    </w:p>
    <w:p>
      <w:pPr>
        <w:ind w:right="160" w:firstLine="656"/>
        <w:spacing w:after="0" w:line="287" w:lineRule="auto"/>
        <w:tabs>
          <w:tab w:leader="none" w:pos="10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Shares may be authorized, but unissued, or reacquired Common Stock. Subject to Section 3(c) hereof, if an Award expires or becomes unexercisable without having been exercised in full, or with respect to Restricted Stock or Restricted Stock Units, is forfeited to or repurchased by the Company, the unpurchased Shares (or for Awards other than Options, the forfeited or repurchased Shares) which were subject thereto will become available for future grant or sale under the Plan (unless the Plan has terminated). Shares that have actually been issued under the Plan under any Award will not be returned to the Plan and will not become available for future distribution under the Plan; provided, however, that if unvested Shares of Restricted Stock or Restricted Stock Units are repurchased by the Company or are forfeited to the Company, such Shares will become available for future grant under the Plan. Shares used to pay the tax and exercise price of an Award will not become available for future grant or sale under the Plan. Any Shares repurchased by the Company with the proceeds from the exercise of Options will not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provided in Section 13, the maximum number of Shares that may be issued upon the exercise of Incentive Stock Options shall equal the aggregate Share number stated in Section 3(a), plus, to the extent allowable under Section 422 of the Code, any Shares that become available for issuance under the Plan under this Section 3(b).</w:t>
      </w:r>
    </w:p>
    <w:p>
      <w:pPr>
        <w:spacing w:after="0" w:line="168" w:lineRule="exact"/>
        <w:rPr>
          <w:rFonts w:ascii="Arial" w:cs="Arial" w:eastAsia="Arial" w:hAnsi="Arial"/>
          <w:sz w:val="16"/>
          <w:szCs w:val="16"/>
          <w:color w:val="auto"/>
        </w:rPr>
      </w:pPr>
    </w:p>
    <w:p>
      <w:pPr>
        <w:ind w:right="100" w:firstLine="656"/>
        <w:spacing w:after="0" w:line="276" w:lineRule="auto"/>
        <w:tabs>
          <w:tab w:leader="none" w:pos="1028"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Notwithstanding anything to the contrary, each Share subject to an Incentive Stock Option or Nonqualified Stock Option shall be counted against the Shares authorized for issuance under the Plan as one Share. Each Share subject to an Award of Restricted Stock or Restricted Stock Units shall be counted against the Shares authorized for issuance under the Plan as 1.79 Shares. Each Share which is subject to an Award of Restricted Stock or Restricted Stock Units granted under the Plan which is forfeited to or repurchased by the Company pursuant to Section 3(b) hereof shall count as having returned 1.79 Shares to the total of number of Shares which are available for future grant or sale under the Plan.</w:t>
      </w:r>
    </w:p>
    <w:p>
      <w:pPr>
        <w:spacing w:after="0" w:line="173"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5" w:lineRule="exact"/>
        <w:rPr>
          <w:sz w:val="20"/>
          <w:szCs w:val="20"/>
          <w:color w:val="auto"/>
        </w:rPr>
      </w:pPr>
    </w:p>
    <w:p>
      <w:pPr>
        <w:ind w:left="1040" w:hanging="384"/>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25" w:lineRule="exact"/>
        <w:rPr>
          <w:sz w:val="20"/>
          <w:szCs w:val="20"/>
          <w:color w:val="auto"/>
        </w:rPr>
      </w:pPr>
    </w:p>
    <w:p>
      <w:pPr>
        <w:ind w:left="1100" w:hanging="444"/>
        <w:spacing w:after="0"/>
        <w:tabs>
          <w:tab w:leader="none" w:pos="110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Multiple Administrative Bodies</w:t>
      </w:r>
      <w:r>
        <w:rPr>
          <w:rFonts w:ascii="Arial" w:cs="Arial" w:eastAsia="Arial" w:hAnsi="Arial"/>
          <w:sz w:val="17"/>
          <w:szCs w:val="17"/>
          <w:color w:val="auto"/>
        </w:rPr>
        <w:t>. The Plan may be administered by the Board or different Committees with respect to different groups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Employees.</w:t>
      </w:r>
    </w:p>
    <w:p>
      <w:pPr>
        <w:spacing w:after="0" w:line="210" w:lineRule="exact"/>
        <w:rPr>
          <w:rFonts w:ascii="Arial" w:cs="Arial" w:eastAsia="Arial" w:hAnsi="Arial"/>
          <w:sz w:val="17"/>
          <w:szCs w:val="17"/>
          <w:color w:val="auto"/>
        </w:rPr>
      </w:pPr>
    </w:p>
    <w:p>
      <w:pPr>
        <w:jc w:val="both"/>
        <w:ind w:firstLine="656"/>
        <w:spacing w:after="0" w:line="264" w:lineRule="auto"/>
        <w:tabs>
          <w:tab w:leader="none" w:pos="106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Section 162(m)</w:t>
      </w:r>
      <w:r>
        <w:rPr>
          <w:rFonts w:ascii="Arial" w:cs="Arial" w:eastAsia="Arial" w:hAnsi="Arial"/>
          <w:sz w:val="18"/>
          <w:szCs w:val="18"/>
          <w:color w:val="auto"/>
        </w:rPr>
        <w:t>. To the extent that the Administrator determines it to be desirable to qualify Awards granted hereunder as “performance-based compensation” within the meaning of Section 162(m) of the Code, the Plan shall be administered by a Committee of two or more “outside directors” within the meaning of Section 162(m) of the Code.</w:t>
      </w:r>
    </w:p>
    <w:p>
      <w:pPr>
        <w:sectPr>
          <w:pgSz w:w="11900" w:h="16838" w:orient="portrait"/>
          <w:cols w:equalWidth="0" w:num="1">
            <w:col w:w="11420"/>
          </w:cols>
          <w:pgMar w:left="240" w:top="841" w:right="239" w:bottom="1440" w:gutter="0" w:footer="0" w:header="0"/>
        </w:sectPr>
      </w:pPr>
    </w:p>
    <w:bookmarkStart w:id="80" w:name="page81"/>
    <w:bookmarkEnd w:id="80"/>
    <w:p>
      <w:pPr>
        <w:ind w:left="-656" w:right="20" w:firstLine="656"/>
        <w:spacing w:after="0" w:line="277" w:lineRule="auto"/>
        <w:tabs>
          <w:tab w:leader="none" w:pos="496"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the transactions contemplated hereunder shall be structured to satisfy the requirements for exemption under Rule 16b-3.</w:t>
      </w:r>
    </w:p>
    <w:p>
      <w:pPr>
        <w:spacing w:after="0" w:line="170" w:lineRule="exact"/>
        <w:rPr>
          <w:rFonts w:ascii="Arial" w:cs="Arial" w:eastAsia="Arial" w:hAnsi="Arial"/>
          <w:sz w:val="18"/>
          <w:szCs w:val="18"/>
          <w:color w:val="auto"/>
        </w:rPr>
      </w:pPr>
    </w:p>
    <w:p>
      <w:pPr>
        <w:ind w:left="-656" w:firstLine="656"/>
        <w:spacing w:after="0" w:line="277" w:lineRule="auto"/>
        <w:tabs>
          <w:tab w:leader="none" w:pos="47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shall be administered by (A) the Board or (B) a Committee, which committee shall be constituted to satisfy Applicable Laws.</w:t>
      </w:r>
    </w:p>
    <w:p>
      <w:pPr>
        <w:spacing w:after="0" w:line="170" w:lineRule="exact"/>
        <w:rPr>
          <w:sz w:val="20"/>
          <w:szCs w:val="20"/>
          <w:color w:val="auto"/>
        </w:rPr>
      </w:pPr>
    </w:p>
    <w:p>
      <w:pPr>
        <w:ind w:left="-656" w:firstLine="656"/>
        <w:spacing w:after="0" w:line="277" w:lineRule="auto"/>
        <w:tabs>
          <w:tab w:leader="none" w:pos="409"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shall have the authority, in its discretion:</w:t>
      </w:r>
    </w:p>
    <w:p>
      <w:pPr>
        <w:spacing w:after="0" w:line="170" w:lineRule="exact"/>
        <w:rPr>
          <w:sz w:val="20"/>
          <w:szCs w:val="20"/>
          <w:color w:val="auto"/>
        </w:rPr>
      </w:pPr>
    </w:p>
    <w:p>
      <w:pPr>
        <w:ind w:left="344" w:hanging="344"/>
        <w:spacing w:after="0"/>
        <w:tabs>
          <w:tab w:leader="none" w:pos="3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2(r) of the Plan;</w:t>
      </w:r>
    </w:p>
    <w:p>
      <w:pPr>
        <w:spacing w:after="0" w:line="225" w:lineRule="exact"/>
        <w:rPr>
          <w:rFonts w:ascii="Arial" w:cs="Arial" w:eastAsia="Arial" w:hAnsi="Arial"/>
          <w:sz w:val="18"/>
          <w:szCs w:val="18"/>
          <w:color w:val="auto"/>
        </w:rPr>
      </w:pPr>
    </w:p>
    <w:p>
      <w:pPr>
        <w:ind w:left="404" w:hanging="404"/>
        <w:spacing w:after="0"/>
        <w:tabs>
          <w:tab w:leader="none" w:pos="40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select the Employees to whom Awards may be granted hereunder;</w:t>
      </w:r>
    </w:p>
    <w:p>
      <w:pPr>
        <w:spacing w:after="0" w:line="225" w:lineRule="exact"/>
        <w:rPr>
          <w:rFonts w:ascii="Arial" w:cs="Arial" w:eastAsia="Arial" w:hAnsi="Arial"/>
          <w:sz w:val="18"/>
          <w:szCs w:val="18"/>
          <w:color w:val="auto"/>
        </w:rPr>
      </w:pPr>
    </w:p>
    <w:p>
      <w:pPr>
        <w:ind w:left="444" w:hanging="444"/>
        <w:spacing w:after="0"/>
        <w:tabs>
          <w:tab w:leader="none" w:pos="4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determine whether and to what extent Awards are granted hereunder;</w:t>
      </w:r>
    </w:p>
    <w:p>
      <w:pPr>
        <w:spacing w:after="0" w:line="225" w:lineRule="exact"/>
        <w:rPr>
          <w:rFonts w:ascii="Arial" w:cs="Arial" w:eastAsia="Arial" w:hAnsi="Arial"/>
          <w:sz w:val="18"/>
          <w:szCs w:val="18"/>
          <w:color w:val="auto"/>
        </w:rPr>
      </w:pPr>
    </w:p>
    <w:p>
      <w:pPr>
        <w:ind w:left="444" w:hanging="444"/>
        <w:spacing w:after="0"/>
        <w:tabs>
          <w:tab w:leader="none" w:pos="4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25" w:lineRule="exact"/>
        <w:rPr>
          <w:rFonts w:ascii="Arial" w:cs="Arial" w:eastAsia="Arial" w:hAnsi="Arial"/>
          <w:sz w:val="18"/>
          <w:szCs w:val="18"/>
          <w:color w:val="auto"/>
        </w:rPr>
      </w:pPr>
    </w:p>
    <w:p>
      <w:pPr>
        <w:ind w:left="384" w:hanging="384"/>
        <w:spacing w:after="0"/>
        <w:tabs>
          <w:tab w:leader="none" w:pos="38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225" w:lineRule="exact"/>
        <w:rPr>
          <w:rFonts w:ascii="Arial" w:cs="Arial" w:eastAsia="Arial" w:hAnsi="Arial"/>
          <w:sz w:val="18"/>
          <w:szCs w:val="18"/>
          <w:color w:val="auto"/>
        </w:rPr>
      </w:pPr>
    </w:p>
    <w:p>
      <w:pPr>
        <w:jc w:val="both"/>
        <w:ind w:left="-656" w:right="20" w:firstLine="656"/>
        <w:spacing w:after="0" w:line="264" w:lineRule="auto"/>
        <w:tabs>
          <w:tab w:leader="none" w:pos="4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With respect to Options, such terms and conditions include, but are not limited to, the exercise price, the time or times when Options may be exercised, based in each case on such factors as the Administrator, in its sole discretion, shall determine;</w:t>
      </w:r>
    </w:p>
    <w:p>
      <w:pPr>
        <w:spacing w:after="0" w:line="181" w:lineRule="exact"/>
        <w:rPr>
          <w:rFonts w:ascii="Arial" w:cs="Arial" w:eastAsia="Arial" w:hAnsi="Arial"/>
          <w:sz w:val="18"/>
          <w:szCs w:val="18"/>
          <w:color w:val="auto"/>
        </w:rPr>
      </w:pPr>
    </w:p>
    <w:p>
      <w:pPr>
        <w:ind w:left="484" w:hanging="484"/>
        <w:spacing w:after="0"/>
        <w:tabs>
          <w:tab w:leader="none" w:pos="48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hereunder;</w:t>
      </w:r>
    </w:p>
    <w:p>
      <w:pPr>
        <w:spacing w:after="0" w:line="225" w:lineRule="exact"/>
        <w:rPr>
          <w:rFonts w:ascii="Arial" w:cs="Arial" w:eastAsia="Arial" w:hAnsi="Arial"/>
          <w:sz w:val="18"/>
          <w:szCs w:val="18"/>
          <w:color w:val="auto"/>
        </w:rPr>
      </w:pPr>
    </w:p>
    <w:p>
      <w:pPr>
        <w:ind w:left="-656" w:firstLine="656"/>
        <w:spacing w:after="0" w:line="277" w:lineRule="auto"/>
        <w:tabs>
          <w:tab w:leader="none" w:pos="54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70" w:lineRule="exact"/>
        <w:rPr>
          <w:rFonts w:ascii="Arial" w:cs="Arial" w:eastAsia="Arial" w:hAnsi="Arial"/>
          <w:sz w:val="18"/>
          <w:szCs w:val="18"/>
          <w:color w:val="auto"/>
        </w:rPr>
      </w:pPr>
    </w:p>
    <w:p>
      <w:pPr>
        <w:ind w:left="-656" w:right="20" w:firstLine="656"/>
        <w:spacing w:after="0" w:line="277" w:lineRule="auto"/>
        <w:tabs>
          <w:tab w:leader="none" w:pos="5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modify or amend each Award (not inconsistent with the terms of the Plan), including the discretionary authority to extend the post-termination exercisability period of Options longer than is otherwise provided for in the Plan;</w:t>
      </w:r>
    </w:p>
    <w:p>
      <w:pPr>
        <w:spacing w:after="0" w:line="170" w:lineRule="exact"/>
        <w:rPr>
          <w:rFonts w:ascii="Arial" w:cs="Arial" w:eastAsia="Arial" w:hAnsi="Arial"/>
          <w:sz w:val="18"/>
          <w:szCs w:val="18"/>
          <w:color w:val="auto"/>
        </w:rPr>
      </w:pPr>
    </w:p>
    <w:p>
      <w:pPr>
        <w:ind w:left="-656" w:firstLine="656"/>
        <w:spacing w:after="0" w:line="277" w:lineRule="auto"/>
        <w:tabs>
          <w:tab w:leader="none" w:pos="3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70" w:lineRule="exact"/>
        <w:rPr>
          <w:rFonts w:ascii="Arial" w:cs="Arial" w:eastAsia="Arial" w:hAnsi="Arial"/>
          <w:sz w:val="18"/>
          <w:szCs w:val="18"/>
          <w:color w:val="auto"/>
        </w:rPr>
      </w:pPr>
    </w:p>
    <w:p>
      <w:pPr>
        <w:ind w:left="-656" w:right="120" w:firstLine="1305"/>
        <w:spacing w:after="0" w:line="277" w:lineRule="auto"/>
        <w:tabs>
          <w:tab w:leader="none" w:pos="10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to allow Participants to satisfy withholding tax obligations in such manner as may be determined by the Administrator in accordance with the terms of the Plan;</w:t>
      </w:r>
    </w:p>
    <w:p>
      <w:pPr>
        <w:spacing w:after="0" w:line="170" w:lineRule="exact"/>
        <w:rPr>
          <w:rFonts w:ascii="Arial" w:cs="Arial" w:eastAsia="Arial" w:hAnsi="Arial"/>
          <w:sz w:val="18"/>
          <w:szCs w:val="18"/>
          <w:color w:val="auto"/>
        </w:rPr>
      </w:pPr>
    </w:p>
    <w:p>
      <w:pPr>
        <w:ind w:left="1784" w:hanging="487"/>
        <w:spacing w:after="0"/>
        <w:tabs>
          <w:tab w:leader="none" w:pos="1784" w:val="left"/>
        </w:tabs>
        <w:numPr>
          <w:ilvl w:val="2"/>
          <w:numId w:val="60"/>
        </w:numPr>
        <w:rPr>
          <w:rFonts w:ascii="Arial" w:cs="Arial" w:eastAsia="Arial" w:hAnsi="Arial"/>
          <w:sz w:val="18"/>
          <w:szCs w:val="18"/>
          <w:color w:val="auto"/>
        </w:rPr>
      </w:pPr>
      <w:r>
        <w:rPr>
          <w:rFonts w:ascii="Arial" w:cs="Arial" w:eastAsia="Arial" w:hAnsi="Arial"/>
          <w:sz w:val="18"/>
          <w:szCs w:val="18"/>
          <w:color w:val="auto"/>
        </w:rPr>
        <w:t>to determine the terms and restrictions applicable to Awards; and</w:t>
      </w:r>
    </w:p>
    <w:p>
      <w:pPr>
        <w:spacing w:after="0" w:line="225" w:lineRule="exact"/>
        <w:rPr>
          <w:rFonts w:ascii="Arial" w:cs="Arial" w:eastAsia="Arial" w:hAnsi="Arial"/>
          <w:sz w:val="18"/>
          <w:szCs w:val="18"/>
          <w:color w:val="auto"/>
        </w:rPr>
      </w:pPr>
    </w:p>
    <w:p>
      <w:pPr>
        <w:ind w:left="1844" w:hanging="547"/>
        <w:spacing w:after="0"/>
        <w:tabs>
          <w:tab w:leader="none" w:pos="1844" w:val="left"/>
        </w:tabs>
        <w:numPr>
          <w:ilvl w:val="2"/>
          <w:numId w:val="60"/>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25" w:lineRule="exact"/>
        <w:rPr>
          <w:sz w:val="20"/>
          <w:szCs w:val="20"/>
          <w:color w:val="auto"/>
        </w:rPr>
      </w:pPr>
    </w:p>
    <w:p>
      <w:pPr>
        <w:ind w:left="-656" w:firstLine="656"/>
        <w:spacing w:after="0" w:line="277"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shall be final and binding on all Participants and any other holders of Awards and shall be given the maximum deference permitted by law.</w:t>
      </w:r>
    </w:p>
    <w:p>
      <w:pPr>
        <w:spacing w:after="0" w:line="170" w:lineRule="exact"/>
        <w:rPr>
          <w:sz w:val="20"/>
          <w:szCs w:val="20"/>
          <w:color w:val="auto"/>
        </w:rPr>
      </w:pPr>
    </w:p>
    <w:p>
      <w:pPr>
        <w:ind w:left="324" w:hanging="324"/>
        <w:spacing w:after="0"/>
        <w:tabs>
          <w:tab w:leader="none" w:pos="32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Awards may be granted only to Employees.</w:t>
      </w:r>
    </w:p>
    <w:p>
      <w:pPr>
        <w:spacing w:after="0" w:line="225" w:lineRule="exact"/>
        <w:rPr>
          <w:rFonts w:ascii="Arial" w:cs="Arial" w:eastAsia="Arial" w:hAnsi="Arial"/>
          <w:sz w:val="18"/>
          <w:szCs w:val="18"/>
          <w:color w:val="auto"/>
        </w:rPr>
      </w:pPr>
    </w:p>
    <w:p>
      <w:pPr>
        <w:ind w:left="-656" w:right="20" w:firstLine="656"/>
        <w:spacing w:after="0" w:line="277" w:lineRule="auto"/>
        <w:tabs>
          <w:tab w:leader="none" w:pos="34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 Employment Rights</w:t>
      </w:r>
      <w:r>
        <w:rPr>
          <w:rFonts w:ascii="Arial" w:cs="Arial" w:eastAsia="Arial" w:hAnsi="Arial"/>
          <w:sz w:val="18"/>
          <w:szCs w:val="18"/>
          <w:color w:val="auto"/>
        </w:rPr>
        <w:t>. Neither the Plan nor any Award shall confer upon a Participant any right with respect to continuing the Participant’s employment with the Company or its Subsidiaries, nor</w:t>
      </w:r>
    </w:p>
    <w:p>
      <w:pPr>
        <w:sectPr>
          <w:pgSz w:w="11900" w:h="16838" w:orient="portrait"/>
          <w:cols w:equalWidth="0" w:num="1">
            <w:col w:w="10764"/>
          </w:cols>
          <w:pgMar w:left="896" w:top="841" w:right="239" w:bottom="1440" w:gutter="0" w:footer="0" w:header="0"/>
        </w:sectPr>
      </w:pPr>
    </w:p>
    <w:bookmarkStart w:id="81" w:name="page82"/>
    <w:bookmarkEnd w:id="81"/>
    <w:p>
      <w:pPr>
        <w:spacing w:after="0" w:line="277" w:lineRule="auto"/>
        <w:rPr>
          <w:sz w:val="20"/>
          <w:szCs w:val="20"/>
          <w:color w:val="auto"/>
        </w:rPr>
      </w:pPr>
      <w:r>
        <w:rPr>
          <w:rFonts w:ascii="Arial" w:cs="Arial" w:eastAsia="Arial" w:hAnsi="Arial"/>
          <w:sz w:val="18"/>
          <w:szCs w:val="18"/>
          <w:color w:val="auto"/>
        </w:rPr>
        <w:t>shall they interfere in any way with the Participant’s right or the Company’s or Subsidiary’s right, as the case may be, to terminate such employment at any time, with or without cause or notice.</w:t>
      </w:r>
    </w:p>
    <w:p>
      <w:pPr>
        <w:spacing w:after="0" w:line="170"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Term of Plan</w:t>
      </w:r>
      <w:r>
        <w:rPr>
          <w:rFonts w:ascii="Arial" w:cs="Arial" w:eastAsia="Arial" w:hAnsi="Arial"/>
          <w:sz w:val="17"/>
          <w:szCs w:val="17"/>
          <w:color w:val="auto"/>
        </w:rPr>
        <w:t>. The Plan shall become effective on January 6, 2012 and continue in effect, unless terminated earlier, until June 30, 2022.</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7" w:lineRule="auto"/>
        <w:tabs>
          <w:tab w:leader="none" w:pos="105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the terms and provisions of the Plan, Options may be granted to Employees at any time and from time to time as determined by the Administrator in its sole discretion. The Administrator, in its sole discretion, shall determine the number of Shares subject to each Option, provided that during any Fiscal Year, no Participant shall be granted Options covering more than a total of 1,500,000 Shares; provided, however, that such limit shall be 3,000,000 Shares in the Participant’s first Fiscal Year of Company service. The Administrator may grant Incentive Stock Options, Nonstatutory Stock Options, or a combination thereof.</w:t>
      </w:r>
    </w:p>
    <w:p>
      <w:pPr>
        <w:spacing w:after="0" w:line="188" w:lineRule="exact"/>
        <w:rPr>
          <w:rFonts w:ascii="Arial" w:cs="Arial" w:eastAsia="Arial" w:hAnsi="Arial"/>
          <w:sz w:val="18"/>
          <w:szCs w:val="18"/>
          <w:color w:val="auto"/>
        </w:rPr>
      </w:pPr>
    </w:p>
    <w:p>
      <w:pPr>
        <w:jc w:val="both"/>
        <w:ind w:firstLine="656"/>
        <w:spacing w:after="0" w:line="273" w:lineRule="auto"/>
        <w:tabs>
          <w:tab w:leader="none" w:pos="1065"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of each Option shall be stated in the Notice of Grant; provided, however, that the term shall be no longer than ten (10) years from the Date of Grant. Moreover, in the case of an Incentive Stock Option granted to a Participant who, at the time the Incentive Stock Option is granted, owns stock representing more than ten percent (10%) of the voting power of all classes of stock of the Company or any Parent or Subsidiary, the term of the Incentive Stock Option shall be no longer than five (5) years from the Date of Grant. Subject to the five (5) and ten (10) year limits set forth in the preceding sentence, the Administrator may, after an Option is granted, extend the maximum term of the Option. Unless otherwise determined by the Administrator, any extension of the term of an Option pursuant to this Section 8(b) shall comply with Code Section 409A.</w:t>
      </w:r>
    </w:p>
    <w:p>
      <w:pPr>
        <w:spacing w:after="0" w:line="178" w:lineRule="exact"/>
        <w:rPr>
          <w:rFonts w:ascii="Arial" w:cs="Arial" w:eastAsia="Arial" w:hAnsi="Arial"/>
          <w:sz w:val="17"/>
          <w:szCs w:val="17"/>
          <w:color w:val="auto"/>
        </w:rPr>
      </w:pPr>
    </w:p>
    <w:p>
      <w:pPr>
        <w:jc w:val="both"/>
        <w:ind w:firstLine="656"/>
        <w:spacing w:after="0" w:line="257" w:lineRule="auto"/>
        <w:tabs>
          <w:tab w:leader="none" w:pos="106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per share exercise price for the Shares to be issued pursuant to exercise of an Option shall be determined by the Administrator and shall be no less than 100% of the Fair Market Value per share on the Date of Grant; provided, however, that in the case of an Incentive Stock Option granted to an Employee who, at the time the Incentive Stock Option is granted, owns stock representing more than ten percent (10%) of the voting power of all classes of stock of the Company or any Parent or Subsidiary, the per Share exercise price shall be no less than 110% of the Fair Market Value per Share on the Date of Grant.</w:t>
      </w:r>
    </w:p>
    <w:p>
      <w:pPr>
        <w:spacing w:after="0" w:line="188"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Notwithstanding the foregoing, in the event that the Company or a Subsidiary consummates a transaction described in Section 424(a) of the Code (e.g., the acquisition of property or stock from an unrelated corporation), persons who become Employees on account of such transaction may be granted Options in substitution for options granted by their former employer. If such substitute Options are granted, the Administrator, in its sole discretion and consistent with Section 424(a) of the Code, may determine that such substitute Options shall have an exercise price less than one hundred percent (100%) of the Fair Market Value of the Shares on the Date of Grant.</w:t>
      </w:r>
    </w:p>
    <w:p>
      <w:pPr>
        <w:spacing w:after="0" w:line="188" w:lineRule="exact"/>
        <w:rPr>
          <w:sz w:val="20"/>
          <w:szCs w:val="20"/>
          <w:color w:val="auto"/>
        </w:rPr>
      </w:pPr>
    </w:p>
    <w:p>
      <w:pPr>
        <w:jc w:val="both"/>
        <w:ind w:firstLine="656"/>
        <w:spacing w:after="0" w:line="286" w:lineRule="auto"/>
        <w:tabs>
          <w:tab w:leader="none" w:pos="1092"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No Repricing</w:t>
      </w:r>
      <w:r>
        <w:rPr>
          <w:rFonts w:ascii="Arial" w:cs="Arial" w:eastAsia="Arial" w:hAnsi="Arial"/>
          <w:sz w:val="17"/>
          <w:szCs w:val="17"/>
          <w:color w:val="auto"/>
        </w:rPr>
        <w:t>. The exercise price for an Option may not be reduced without the consent of the Company’s stockholders. This shall include, without limitation, a repricing of the Option as well as an Option exchange program whereby the Participant agrees to cancel an existing Option in exchange for (a) Awards with a lower exercise price, (b) a different type of Award, (c) cash, or (d) a combination of (a), (b) and/or (c).</w:t>
      </w:r>
    </w:p>
    <w:p>
      <w:pPr>
        <w:spacing w:after="0" w:line="165" w:lineRule="exact"/>
        <w:rPr>
          <w:rFonts w:ascii="Arial" w:cs="Arial" w:eastAsia="Arial" w:hAnsi="Arial"/>
          <w:sz w:val="17"/>
          <w:szCs w:val="17"/>
          <w:color w:val="auto"/>
        </w:rPr>
      </w:pPr>
    </w:p>
    <w:p>
      <w:pPr>
        <w:jc w:val="both"/>
        <w:ind w:firstLine="656"/>
        <w:spacing w:after="0" w:line="286" w:lineRule="auto"/>
        <w:tabs>
          <w:tab w:leader="none" w:pos="1068"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Waiting Period and Exercise Dates</w:t>
      </w:r>
      <w:r>
        <w:rPr>
          <w:rFonts w:ascii="Arial" w:cs="Arial" w:eastAsia="Arial" w:hAnsi="Arial"/>
          <w:sz w:val="17"/>
          <w:szCs w:val="17"/>
          <w:color w:val="auto"/>
        </w:rPr>
        <w:t>. At the time an Option is granted, the Administrator shall fix the period within which the Option may be exercised and shall determine any conditions which must be satisfied before the Option may be exercised. In so doing, the Administrator may specify that an Option may not be exercised until the completion of a service period or until performance milestones are satisfied.</w:t>
      </w:r>
    </w:p>
    <w:p>
      <w:pPr>
        <w:spacing w:after="0" w:line="165" w:lineRule="exact"/>
        <w:rPr>
          <w:rFonts w:ascii="Arial" w:cs="Arial" w:eastAsia="Arial" w:hAnsi="Arial"/>
          <w:sz w:val="17"/>
          <w:szCs w:val="17"/>
          <w:color w:val="auto"/>
        </w:rPr>
      </w:pPr>
    </w:p>
    <w:p>
      <w:pPr>
        <w:ind w:firstLine="656"/>
        <w:spacing w:after="0" w:line="277" w:lineRule="auto"/>
        <w:tabs>
          <w:tab w:leader="none" w:pos="102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shall determine the acceptable form of consideration for exercising an Option, including the method of payment. In the case of an Incentive Stock</w:t>
      </w:r>
    </w:p>
    <w:p>
      <w:pPr>
        <w:sectPr>
          <w:pgSz w:w="11900" w:h="16838" w:orient="portrait"/>
          <w:cols w:equalWidth="0" w:num="1">
            <w:col w:w="11420"/>
          </w:cols>
          <w:pgMar w:left="240" w:top="841" w:right="239" w:bottom="1440" w:gutter="0" w:footer="0" w:header="0"/>
        </w:sectPr>
      </w:pPr>
    </w:p>
    <w:bookmarkStart w:id="82" w:name="page83"/>
    <w:bookmarkEnd w:id="82"/>
    <w:p>
      <w:pPr>
        <w:spacing w:after="0" w:line="277" w:lineRule="auto"/>
        <w:rPr>
          <w:sz w:val="20"/>
          <w:szCs w:val="20"/>
          <w:color w:val="auto"/>
        </w:rPr>
      </w:pPr>
      <w:r>
        <w:rPr>
          <w:rFonts w:ascii="Arial" w:cs="Arial" w:eastAsia="Arial" w:hAnsi="Arial"/>
          <w:sz w:val="18"/>
          <w:szCs w:val="18"/>
          <w:color w:val="auto"/>
        </w:rPr>
        <w:t>Option, the Administrator shall determine the acceptable form of consideration at the time of grant. Subject to Applicable Laws, such consideration may consist entirely of:</w:t>
      </w:r>
    </w:p>
    <w:p>
      <w:pPr>
        <w:spacing w:after="0" w:line="170" w:lineRule="exact"/>
        <w:rPr>
          <w:sz w:val="20"/>
          <w:szCs w:val="20"/>
          <w:color w:val="auto"/>
        </w:rPr>
      </w:pPr>
    </w:p>
    <w:p>
      <w:pPr>
        <w:ind w:left="1000" w:hanging="344"/>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177"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Shares which (A) in the case of Shares acquired upon exercise of an option, have been owned by the Participant for more than six months on the date of surrender, and (B) have a Fair Market Value on the date of surrender equal to the aggregate exercise price of the Shares as to which said Option shall be exercised;</w:t>
      </w:r>
    </w:p>
    <w:p>
      <w:pPr>
        <w:spacing w:after="0" w:line="181" w:lineRule="exact"/>
        <w:rPr>
          <w:rFonts w:ascii="Arial" w:cs="Arial" w:eastAsia="Arial" w:hAnsi="Arial"/>
          <w:sz w:val="18"/>
          <w:szCs w:val="18"/>
          <w:color w:val="auto"/>
        </w:rPr>
      </w:pPr>
    </w:p>
    <w:p>
      <w:pPr>
        <w:ind w:firstLine="656"/>
        <w:spacing w:after="0" w:line="277" w:lineRule="auto"/>
        <w:tabs>
          <w:tab w:leader="none" w:pos="1167"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delivery to the Company of (A) a properly executed exercise notice together with such other documentation as the Administrator and the broker, if applicable, shall require to effect an exercise of the Option and (B) the sale proceeds required to pay the exercise price;</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25" w:lineRule="exact"/>
        <w:rPr>
          <w:rFonts w:ascii="Arial" w:cs="Arial" w:eastAsia="Arial" w:hAnsi="Arial"/>
          <w:sz w:val="18"/>
          <w:szCs w:val="18"/>
          <w:color w:val="auto"/>
        </w:rPr>
      </w:pPr>
    </w:p>
    <w:p>
      <w:pPr>
        <w:ind w:firstLine="656"/>
        <w:spacing w:after="0" w:line="277" w:lineRule="auto"/>
        <w:tabs>
          <w:tab w:leader="none" w:pos="1133"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issuance of Shares to the extent permitted by Applicable Laws; provided, however, that in no case will loans be permitted as consideration for exercising an Option hereunder.</w:t>
      </w:r>
    </w:p>
    <w:p>
      <w:pPr>
        <w:spacing w:after="0" w:line="170" w:lineRule="exact"/>
        <w:rPr>
          <w:sz w:val="20"/>
          <w:szCs w:val="20"/>
          <w:color w:val="auto"/>
        </w:rPr>
      </w:pPr>
    </w:p>
    <w:p>
      <w:pPr>
        <w:ind w:firstLine="656"/>
        <w:spacing w:after="0" w:line="277" w:lineRule="auto"/>
        <w:tabs>
          <w:tab w:leader="none" w:pos="105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Exercise of Option; Rights as a Stockholder</w:t>
      </w:r>
      <w:r>
        <w:rPr>
          <w:rFonts w:ascii="Arial" w:cs="Arial" w:eastAsia="Arial" w:hAnsi="Arial"/>
          <w:sz w:val="18"/>
          <w:szCs w:val="18"/>
          <w:color w:val="auto"/>
        </w:rPr>
        <w:t>. Any Option granted hereunder shall be exercisable according to the terms of the Plan and at such times and under such conditions as determined by the Administrator and set forth in the Award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 Option shall be deemed exercised when the Company receives: (i) written or electronic notice of exercise (in accordance with the Award Agreement) from the person entitled to exercise the Option, and (ii) full payment for the Shares with respect to which the Option is exercised. Full payment may consist of any consideration and method of payment authorized by the Administrator and permitted by the Award Agreement and the Plan. Shares issued upon exercise of an Option shall be issued in the name of the Participant. Until the Shares are issued (as evidenced by the appropriate entry on the books of the Company or of a duly authorized transfer agent of the Company), no right to vote or receive dividends or any other rights as a stockholder shall exist with respect to the optioned stock, notwithstanding the exercise of the Option. The Company shall issue (or cause to be issued) such Share promptly after the Option is exercised. No adjustment will be made for a dividend or other right for which the record date is prior to the date the Share is issued, except as provided in Section 13 of the Plan.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Exercising an Option in any manner shall decrease the number of Shares thereafter available for sale under the Option, by the number of Shares as to which the Option is exercised.</w:t>
      </w:r>
    </w:p>
    <w:p>
      <w:pPr>
        <w:spacing w:after="0" w:line="170" w:lineRule="exact"/>
        <w:rPr>
          <w:sz w:val="20"/>
          <w:szCs w:val="20"/>
          <w:color w:val="auto"/>
        </w:rPr>
      </w:pPr>
    </w:p>
    <w:p>
      <w:pPr>
        <w:jc w:val="both"/>
        <w:ind w:firstLine="656"/>
        <w:spacing w:after="0" w:line="288" w:lineRule="auto"/>
        <w:tabs>
          <w:tab w:leader="none" w:pos="1106"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Termination of Relationship as an Employee</w:t>
      </w:r>
      <w:r>
        <w:rPr>
          <w:rFonts w:ascii="Arial" w:cs="Arial" w:eastAsia="Arial" w:hAnsi="Arial"/>
          <w:sz w:val="16"/>
          <w:szCs w:val="16"/>
          <w:color w:val="auto"/>
        </w:rPr>
        <w:t>. If a Participant ceases to be an Employee, other than by reason of the Participant’s death or Disability, the Participant may exercise his or her Option within such period of time as is specified in the Award Agreement, to the extent that the Participant was entitled to exercise it on the date of termination. In the absence of a specified time in the Award Agreement, the Option shall remain exercisable for three</w:t>
      </w:r>
    </w:p>
    <w:p>
      <w:pPr>
        <w:ind w:left="260" w:hanging="252"/>
        <w:spacing w:after="0"/>
        <w:tabs>
          <w:tab w:leader="none" w:pos="2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months following the date of the Participant’s termination, to the extent that the Participant was entitled to exercise it on the date of termination.</w:t>
      </w:r>
    </w:p>
    <w:p>
      <w:pPr>
        <w:spacing w:after="0" w:line="222" w:lineRule="exact"/>
        <w:rPr>
          <w:rFonts w:ascii="Arial" w:cs="Arial" w:eastAsia="Arial" w:hAnsi="Arial"/>
          <w:sz w:val="17"/>
          <w:szCs w:val="17"/>
          <w:color w:val="auto"/>
        </w:rPr>
      </w:pPr>
    </w:p>
    <w:p>
      <w:pPr>
        <w:ind w:firstLine="656"/>
        <w:spacing w:after="0" w:line="342" w:lineRule="auto"/>
        <w:tabs>
          <w:tab w:leader="none" w:pos="1043"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a Participant ceases to be an Employee by reason of the Participant’s Disability, the Participant may exercise his or her Option for twelve (12) months following the date of the Participant’s termination, to the extent that the Participant was entitled to exercise it on the date of termination.</w:t>
      </w:r>
    </w:p>
    <w:p>
      <w:pPr>
        <w:spacing w:after="0" w:line="123" w:lineRule="exact"/>
        <w:rPr>
          <w:rFonts w:ascii="Arial" w:cs="Arial" w:eastAsia="Arial" w:hAnsi="Arial"/>
          <w:sz w:val="16"/>
          <w:szCs w:val="16"/>
          <w:color w:val="auto"/>
        </w:rPr>
      </w:pPr>
    </w:p>
    <w:p>
      <w:pPr>
        <w:ind w:firstLine="656"/>
        <w:spacing w:after="0" w:line="277" w:lineRule="auto"/>
        <w:tabs>
          <w:tab w:leader="none" w:pos="998"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If a Participant ceases to be an Employee by reason of the Participant’s death, the Option may be exercised for twelve (12) months following the date of the Participant’s</w:t>
      </w:r>
    </w:p>
    <w:p>
      <w:pPr>
        <w:sectPr>
          <w:pgSz w:w="11900" w:h="16838" w:orient="portrait"/>
          <w:cols w:equalWidth="0" w:num="1">
            <w:col w:w="11420"/>
          </w:cols>
          <w:pgMar w:left="240" w:top="841" w:right="239" w:bottom="1440" w:gutter="0" w:footer="0" w:header="0"/>
        </w:sectPr>
      </w:pPr>
    </w:p>
    <w:bookmarkStart w:id="83" w:name="page84"/>
    <w:bookmarkEnd w:id="83"/>
    <w:p>
      <w:pPr>
        <w:jc w:val="both"/>
        <w:spacing w:after="0" w:line="259" w:lineRule="auto"/>
        <w:rPr>
          <w:sz w:val="20"/>
          <w:szCs w:val="20"/>
          <w:color w:val="auto"/>
        </w:rPr>
      </w:pPr>
      <w:r>
        <w:rPr>
          <w:rFonts w:ascii="Arial" w:cs="Arial" w:eastAsia="Arial" w:hAnsi="Arial"/>
          <w:sz w:val="18"/>
          <w:szCs w:val="18"/>
          <w:color w:val="auto"/>
        </w:rPr>
        <w:t>death, to the extent that the Participant was entitled to exercise it on such date,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w:t>
      </w:r>
    </w:p>
    <w:p>
      <w:pPr>
        <w:spacing w:after="0" w:line="187" w:lineRule="exact"/>
        <w:rPr>
          <w:sz w:val="20"/>
          <w:szCs w:val="20"/>
          <w:color w:val="auto"/>
        </w:rPr>
      </w:pPr>
    </w:p>
    <w:p>
      <w:pPr>
        <w:jc w:val="both"/>
        <w:ind w:firstLine="656"/>
        <w:spacing w:after="0" w:line="279" w:lineRule="auto"/>
        <w:tabs>
          <w:tab w:leader="none" w:pos="1065"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Notwithstanding the foregoing, in no event may the Option be exercised after its term has expired. If, on the date of termination, the Participant is not vested as to his or her entire Option, the Shares covered by the unvested portion of the Option shall revert to the Plan. If, after termination, the Participant (or the Participant’s beneficiary or representative, as the case may be) does not exercise his or her Option within the time specified by the Administrator, the Option shall terminate, and the Shares covered by such Option shall revert to the Plan.</w:t>
      </w:r>
    </w:p>
    <w:p>
      <w:pPr>
        <w:spacing w:after="0" w:line="171" w:lineRule="exact"/>
        <w:rPr>
          <w:rFonts w:ascii="Arial" w:cs="Arial" w:eastAsia="Arial" w:hAnsi="Arial"/>
          <w:sz w:val="17"/>
          <w:szCs w:val="17"/>
          <w:color w:val="auto"/>
        </w:rPr>
      </w:pPr>
    </w:p>
    <w:p>
      <w:pPr>
        <w:jc w:val="both"/>
        <w:ind w:firstLine="1629"/>
        <w:spacing w:after="0" w:line="255" w:lineRule="auto"/>
        <w:tabs>
          <w:tab w:leader="none" w:pos="2029"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ISO $100,000 Rule</w:t>
      </w:r>
      <w:r>
        <w:rPr>
          <w:rFonts w:ascii="Arial" w:cs="Arial" w:eastAsia="Arial" w:hAnsi="Arial"/>
          <w:sz w:val="18"/>
          <w:szCs w:val="18"/>
          <w:color w:val="auto"/>
        </w:rPr>
        <w:t>. Each Option shall be designated in the Notice of Grant as either an Incentive Stock Option or a Nonstatutory Stock Option. However, notwithstanding such designations, to the extent that the aggregate Fair Market Value of Shares subject to a Participant’s Incentive Stock Options granted by the Company, any Parent or Subsidiary, which become exercisable for the first time during any calendar year (under all plans of the Company or any Parent or Subsidiary) exceeds $100,000, such excess Options shall be treated as Nonstatutory Stock Options. For purposes of this Section 8(l), Incentive Stock Options shall be taken into account in the order in which they were granted, and the Fair Market Value of the Shares shall be determined as of the time of grant.</w:t>
      </w:r>
    </w:p>
    <w:p>
      <w:pPr>
        <w:spacing w:after="0" w:line="193" w:lineRule="exact"/>
        <w:rPr>
          <w:sz w:val="20"/>
          <w:szCs w:val="20"/>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25" w:lineRule="exact"/>
        <w:rPr>
          <w:sz w:val="20"/>
          <w:szCs w:val="20"/>
          <w:color w:val="auto"/>
        </w:rPr>
      </w:pPr>
    </w:p>
    <w:p>
      <w:pPr>
        <w:ind w:right="100" w:firstLine="656"/>
        <w:spacing w:after="0" w:line="257" w:lineRule="auto"/>
        <w:tabs>
          <w:tab w:leader="none" w:pos="102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Subject to the terms and provisions of the Plan, the Administrator, at any time and from time to time, may grant Shares of Restricted Stock to Employees as the Administrator, in its sole discretion, shall determine. The Administrator, in its sole discretion, shall determine the number of Shares to be granted to each Participant, provided that during any Fiscal Year, no Participant shall receive more than a total of 750,000 Shares of Restricted Stock (and/or Restricted Stock Units); provided, however, that such limit shall be 1,500,000 Shares in the Participant’s first Fiscal Year of Company service.</w:t>
      </w:r>
    </w:p>
    <w:p>
      <w:pPr>
        <w:spacing w:after="0" w:line="188" w:lineRule="exact"/>
        <w:rPr>
          <w:rFonts w:ascii="Arial" w:cs="Arial" w:eastAsia="Arial" w:hAnsi="Arial"/>
          <w:sz w:val="18"/>
          <w:szCs w:val="18"/>
          <w:color w:val="auto"/>
        </w:rPr>
      </w:pPr>
    </w:p>
    <w:p>
      <w:pPr>
        <w:ind w:right="460" w:firstLine="656"/>
        <w:spacing w:after="0" w:line="259" w:lineRule="auto"/>
        <w:tabs>
          <w:tab w:leader="none" w:pos="103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shall be evidenced by an Award Agreement that shall specify the Period of Restriction, the number of Shares granted, and such other terms and conditions as the Administrator, in its sole discretion, shall determine. Unless the Administrator determines otherwise, Shares of Restricted Stock shall be held by the Company as escrow agent until the restrictions on such Shares have lapsed.</w:t>
      </w:r>
    </w:p>
    <w:p>
      <w:pPr>
        <w:spacing w:after="0" w:line="186" w:lineRule="exact"/>
        <w:rPr>
          <w:rFonts w:ascii="Arial" w:cs="Arial" w:eastAsia="Arial" w:hAnsi="Arial"/>
          <w:sz w:val="18"/>
          <w:szCs w:val="18"/>
          <w:color w:val="auto"/>
        </w:rPr>
      </w:pPr>
    </w:p>
    <w:p>
      <w:pPr>
        <w:ind w:right="240" w:firstLine="656"/>
        <w:spacing w:after="0" w:line="277" w:lineRule="auto"/>
        <w:tabs>
          <w:tab w:leader="none" w:pos="102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9, Shares of Restricted Stock may not be sold, transferred, pledged, assigned, or otherwise alienated or hypothecated until the end of the applicable Period of Restriction.</w:t>
      </w:r>
    </w:p>
    <w:p>
      <w:pPr>
        <w:spacing w:after="0" w:line="170" w:lineRule="exact"/>
        <w:rPr>
          <w:rFonts w:ascii="Arial" w:cs="Arial" w:eastAsia="Arial" w:hAnsi="Arial"/>
          <w:sz w:val="18"/>
          <w:szCs w:val="18"/>
          <w:color w:val="auto"/>
        </w:rPr>
      </w:pPr>
    </w:p>
    <w:p>
      <w:pPr>
        <w:ind w:right="200" w:firstLine="656"/>
        <w:spacing w:after="0" w:line="277" w:lineRule="auto"/>
        <w:tabs>
          <w:tab w:leader="none" w:pos="103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 in accordance with this Section 9(d).</w:t>
      </w:r>
    </w:p>
    <w:p>
      <w:pPr>
        <w:spacing w:after="0" w:line="170" w:lineRule="exact"/>
        <w:rPr>
          <w:sz w:val="20"/>
          <w:szCs w:val="20"/>
          <w:color w:val="auto"/>
        </w:rPr>
      </w:pPr>
    </w:p>
    <w:p>
      <w:pPr>
        <w:jc w:val="both"/>
        <w:ind w:right="120" w:firstLine="656"/>
        <w:spacing w:after="0" w:line="286" w:lineRule="auto"/>
        <w:tabs>
          <w:tab w:leader="none" w:pos="998"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General Restrictions</w:t>
      </w:r>
      <w:r>
        <w:rPr>
          <w:rFonts w:ascii="Arial" w:cs="Arial" w:eastAsia="Arial" w:hAnsi="Arial"/>
          <w:sz w:val="17"/>
          <w:szCs w:val="17"/>
          <w:color w:val="auto"/>
        </w:rPr>
        <w:t>. The Administrator may set restrictions based upon continued employment or service with the Company and its affiliates, the achievement of specific performance objectives (Company-wide, departmental, or individual), the achievement of Performance Goals, applicable federal or state securities laws, other Applicable Laws, or any other basis determined by the Administrator in its discretion.</w:t>
      </w:r>
    </w:p>
    <w:p>
      <w:pPr>
        <w:spacing w:after="0" w:line="165" w:lineRule="exact"/>
        <w:rPr>
          <w:rFonts w:ascii="Arial" w:cs="Arial" w:eastAsia="Arial" w:hAnsi="Arial"/>
          <w:sz w:val="17"/>
          <w:szCs w:val="17"/>
          <w:color w:val="auto"/>
        </w:rPr>
      </w:pPr>
    </w:p>
    <w:p>
      <w:pPr>
        <w:ind w:right="180" w:firstLine="656"/>
        <w:spacing w:after="0" w:line="264" w:lineRule="auto"/>
        <w:tabs>
          <w:tab w:leader="none" w:pos="104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Section 162(m) Performance Restrictions</w:t>
      </w:r>
      <w:r>
        <w:rPr>
          <w:rFonts w:ascii="Arial" w:cs="Arial" w:eastAsia="Arial" w:hAnsi="Arial"/>
          <w:sz w:val="18"/>
          <w:szCs w:val="18"/>
          <w:color w:val="auto"/>
        </w:rPr>
        <w:t>. For purposes of qualifying grants of Restricted Stock as “performance-based compensation” under Section 162(m) of the Code, the Administrator, in its discretion, may set restrictions based upon the achievement of Performance Goals. The Performance Goals shall be set by the Administrator on or before the latest date permissible to enable</w:t>
      </w:r>
    </w:p>
    <w:p>
      <w:pPr>
        <w:sectPr>
          <w:pgSz w:w="11900" w:h="16838" w:orient="portrait"/>
          <w:cols w:equalWidth="0" w:num="1">
            <w:col w:w="11420"/>
          </w:cols>
          <w:pgMar w:left="240" w:top="841" w:right="239" w:bottom="1440" w:gutter="0" w:footer="0" w:header="0"/>
        </w:sectPr>
      </w:pPr>
    </w:p>
    <w:bookmarkStart w:id="84" w:name="page85"/>
    <w:bookmarkEnd w:id="84"/>
    <w:p>
      <w:pPr>
        <w:ind w:right="20"/>
        <w:spacing w:after="0" w:line="286" w:lineRule="auto"/>
        <w:rPr>
          <w:sz w:val="20"/>
          <w:szCs w:val="20"/>
          <w:color w:val="auto"/>
        </w:rPr>
      </w:pPr>
      <w:r>
        <w:rPr>
          <w:rFonts w:ascii="Arial" w:cs="Arial" w:eastAsia="Arial" w:hAnsi="Arial"/>
          <w:sz w:val="17"/>
          <w:szCs w:val="17"/>
          <w:color w:val="auto"/>
        </w:rPr>
        <w:t>the Restricted Stock to qualify as “performance-based compensation” under Section 162(m) of the Code. In granting Restricted Stock which is intended to qualify under Section 162(m) of the Code, the Administrator shall follow any procedures determined by it from time to time to be necessary or appropriate to ensure qualification of the Restricted Stock under Section 162(m) of the Code (e.g., in determining the Performance Goals).</w:t>
      </w:r>
    </w:p>
    <w:p>
      <w:pPr>
        <w:spacing w:after="0" w:line="166" w:lineRule="exact"/>
        <w:rPr>
          <w:sz w:val="20"/>
          <w:szCs w:val="20"/>
          <w:color w:val="auto"/>
        </w:rPr>
      </w:pPr>
    </w:p>
    <w:p>
      <w:pPr>
        <w:ind w:left="1100" w:hanging="444"/>
        <w:spacing w:after="0"/>
        <w:tabs>
          <w:tab w:leader="none" w:pos="110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Legend</w:t>
      </w:r>
      <w:r>
        <w:rPr>
          <w:rFonts w:ascii="Arial" w:cs="Arial" w:eastAsia="Arial" w:hAnsi="Arial"/>
          <w:sz w:val="17"/>
          <w:szCs w:val="17"/>
          <w:color w:val="auto"/>
        </w:rPr>
        <w:t>. The Administrator, in its discretion, may legend the Shares representing Restricted Stock to give appropriate notice of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restrictions.</w:t>
      </w:r>
    </w:p>
    <w:p>
      <w:pPr>
        <w:spacing w:after="0" w:line="211" w:lineRule="exact"/>
        <w:rPr>
          <w:sz w:val="20"/>
          <w:szCs w:val="20"/>
          <w:color w:val="auto"/>
        </w:rPr>
      </w:pPr>
    </w:p>
    <w:p>
      <w:pPr>
        <w:ind w:right="100" w:firstLine="656"/>
        <w:spacing w:after="0" w:line="255" w:lineRule="auto"/>
        <w:tabs>
          <w:tab w:leader="none" w:pos="102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Section 9, Shares of Restricted Stock covered by each Restricted Stock grant made under the Plan shall be released from escrow as soon as practicable after the last day of the Period of Restriction. The Administrator, in its discretion, may accelerate the time at which any restrictions shall lapse or be removed. After the restrictions have lapsed, the Participant shall be entitled to have any legend or legends under Section 9(d)(iii) removed from his or her Share, and the Shares shall be freely transferable by the Participant. The Administrator (in its discretion) may establish procedures regarding the release of Shares from escrow and the removal of legends, as necessary or appropriate to minimize administrative burdens on the Company.</w:t>
      </w:r>
    </w:p>
    <w:p>
      <w:pPr>
        <w:spacing w:after="0" w:line="193" w:lineRule="exact"/>
        <w:rPr>
          <w:rFonts w:ascii="Arial" w:cs="Arial" w:eastAsia="Arial" w:hAnsi="Arial"/>
          <w:sz w:val="18"/>
          <w:szCs w:val="18"/>
          <w:color w:val="auto"/>
        </w:rPr>
      </w:pPr>
    </w:p>
    <w:p>
      <w:pPr>
        <w:ind w:right="320" w:firstLine="656"/>
        <w:spacing w:after="0" w:line="277" w:lineRule="auto"/>
        <w:tabs>
          <w:tab w:leader="none" w:pos="100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Participants holding Shares of Restricted Stock granted hereunder may exercise full voting rights with respect to those Shares, unless the Administrator determines otherwise.</w:t>
      </w:r>
    </w:p>
    <w:p>
      <w:pPr>
        <w:spacing w:after="0" w:line="170" w:lineRule="exact"/>
        <w:rPr>
          <w:rFonts w:ascii="Arial" w:cs="Arial" w:eastAsia="Arial" w:hAnsi="Arial"/>
          <w:sz w:val="18"/>
          <w:szCs w:val="18"/>
          <w:color w:val="auto"/>
        </w:rPr>
      </w:pPr>
    </w:p>
    <w:p>
      <w:pPr>
        <w:ind w:firstLine="656"/>
        <w:spacing w:after="0" w:line="259" w:lineRule="auto"/>
        <w:tabs>
          <w:tab w:leader="none" w:pos="103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Participants holding Shares of Restricted Stock shall be entitled to receive all dividends and other distributions paid with respect to such Shares unless otherwise provided in the Award Agreement. Any such dividends or distribution shall be subject to the same restrictions on transferability and forfeitability as the Shares of Restricted Stock with respect to which they were paid, unless otherwise provided in the Award Agreement.</w:t>
      </w:r>
    </w:p>
    <w:p>
      <w:pPr>
        <w:spacing w:after="0" w:line="186" w:lineRule="exact"/>
        <w:rPr>
          <w:rFonts w:ascii="Arial" w:cs="Arial" w:eastAsia="Arial" w:hAnsi="Arial"/>
          <w:sz w:val="18"/>
          <w:szCs w:val="18"/>
          <w:color w:val="auto"/>
        </w:rPr>
      </w:pPr>
    </w:p>
    <w:p>
      <w:pPr>
        <w:ind w:right="40" w:firstLine="656"/>
        <w:spacing w:after="0" w:line="277" w:lineRule="auto"/>
        <w:tabs>
          <w:tab w:leader="none" w:pos="103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the Company</w:t>
      </w:r>
      <w:r>
        <w:rPr>
          <w:rFonts w:ascii="Arial" w:cs="Arial" w:eastAsia="Arial" w:hAnsi="Arial"/>
          <w:sz w:val="18"/>
          <w:szCs w:val="18"/>
          <w:color w:val="auto"/>
        </w:rPr>
        <w:t>. On the date set forth in the Award Agreement, the Restricted Stock for which restrictions have not lapsed shall revert to the Company and again shall become available for grant under the Plan.</w:t>
      </w:r>
    </w:p>
    <w:p>
      <w:pPr>
        <w:spacing w:after="0" w:line="170" w:lineRule="exact"/>
        <w:rPr>
          <w:sz w:val="20"/>
          <w:szCs w:val="20"/>
          <w:color w:val="auto"/>
        </w:rPr>
      </w:pPr>
    </w:p>
    <w:p>
      <w:pPr>
        <w:ind w:left="1060" w:hanging="40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302" w:lineRule="auto"/>
        <w:tabs>
          <w:tab w:leader="none" w:pos="1028"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 Units</w:t>
      </w:r>
      <w:r>
        <w:rPr>
          <w:rFonts w:ascii="Arial" w:cs="Arial" w:eastAsia="Arial" w:hAnsi="Arial"/>
          <w:sz w:val="16"/>
          <w:szCs w:val="16"/>
          <w:color w:val="auto"/>
        </w:rPr>
        <w:t>. Restricted Stock Units may be granted to Employees at any time and from time to time, as shall be determined by the Administrator, in its sole discretion. The Administrator shall have complete discretion in determining the number of Restricted Stock Units granted to each Participant, provided that during any Fiscal Year, no Participant shall receive more than a total of 750,000 Restricted Stock Units (and/or Shares of Restricted Stock); provided, however, that such limit shall be 1,500,000 Restricted Stock Units in the Participant’s first Fiscal Year of Company service.</w:t>
      </w:r>
    </w:p>
    <w:p>
      <w:pPr>
        <w:spacing w:after="0" w:line="154" w:lineRule="exact"/>
        <w:rPr>
          <w:rFonts w:ascii="Arial" w:cs="Arial" w:eastAsia="Arial" w:hAnsi="Arial"/>
          <w:sz w:val="16"/>
          <w:szCs w:val="16"/>
          <w:color w:val="auto"/>
        </w:rPr>
      </w:pPr>
    </w:p>
    <w:p>
      <w:pPr>
        <w:ind w:left="1040" w:hanging="384"/>
        <w:spacing w:after="0"/>
        <w:tabs>
          <w:tab w:leader="none" w:pos="104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Value of Restricted Stock Units</w:t>
      </w:r>
      <w:r>
        <w:rPr>
          <w:rFonts w:ascii="Arial" w:cs="Arial" w:eastAsia="Arial" w:hAnsi="Arial"/>
          <w:sz w:val="16"/>
          <w:szCs w:val="16"/>
          <w:color w:val="auto"/>
        </w:rPr>
        <w:t>. Each Restricted Stock Unit shall have an initial value equal to the Fair Market Value of a Share on the Grant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auto"/>
        </w:rPr>
      </w:pPr>
    </w:p>
    <w:p>
      <w:pPr>
        <w:ind w:right="360" w:firstLine="656"/>
        <w:spacing w:after="0" w:line="264" w:lineRule="auto"/>
        <w:tabs>
          <w:tab w:leader="none" w:pos="102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Restricted Stock Unit Agreement</w:t>
      </w:r>
      <w:r>
        <w:rPr>
          <w:rFonts w:ascii="Arial" w:cs="Arial" w:eastAsia="Arial" w:hAnsi="Arial"/>
          <w:sz w:val="18"/>
          <w:szCs w:val="18"/>
          <w:color w:val="auto"/>
        </w:rPr>
        <w:t>. Each Award of Restricted Stock Units shall be evidenced by an Award Agreement that shall specify any vesting conditions, the number of Restricted Stock Units granted, and such other terms and conditions as the Administrator, in its sole discretion, shall determine.</w:t>
      </w:r>
    </w:p>
    <w:p>
      <w:pPr>
        <w:spacing w:after="0" w:line="181" w:lineRule="exact"/>
        <w:rPr>
          <w:rFonts w:ascii="Arial" w:cs="Arial" w:eastAsia="Arial" w:hAnsi="Arial"/>
          <w:sz w:val="18"/>
          <w:szCs w:val="18"/>
          <w:color w:val="auto"/>
        </w:rPr>
      </w:pPr>
    </w:p>
    <w:p>
      <w:pPr>
        <w:ind w:right="40" w:firstLine="656"/>
        <w:spacing w:after="0" w:line="264" w:lineRule="auto"/>
        <w:tabs>
          <w:tab w:leader="none" w:pos="103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Performance Objectives and Other Terms</w:t>
      </w:r>
      <w:r>
        <w:rPr>
          <w:rFonts w:ascii="Arial" w:cs="Arial" w:eastAsia="Arial" w:hAnsi="Arial"/>
          <w:sz w:val="18"/>
          <w:szCs w:val="18"/>
          <w:color w:val="auto"/>
        </w:rPr>
        <w:t>. The Administrator, in its discretion, shall set performance objectives or other vesting criteria which, depending on the extent to which they are met, will determine the number or value of Restricted Stock Units that will be paid out to the Participants. Each Award of Restricted Stock Units shall be evidenced by an Award Agreement that shall specify the</w:t>
      </w:r>
    </w:p>
    <w:p>
      <w:pPr>
        <w:sectPr>
          <w:pgSz w:w="11900" w:h="16838" w:orient="portrait"/>
          <w:cols w:equalWidth="0" w:num="1">
            <w:col w:w="11360"/>
          </w:cols>
          <w:pgMar w:left="240" w:top="841" w:right="29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Performance Period, and such other terms and conditions as the Administrator, in its sole discretion, shall determine.</w:t>
      </w:r>
    </w:p>
    <w:p>
      <w:pPr>
        <w:spacing w:after="0" w:line="225" w:lineRule="exact"/>
        <w:rPr>
          <w:sz w:val="20"/>
          <w:szCs w:val="20"/>
          <w:color w:val="auto"/>
        </w:rPr>
      </w:pPr>
    </w:p>
    <w:p>
      <w:pPr>
        <w:ind w:right="80" w:firstLine="656"/>
        <w:spacing w:after="0" w:line="312" w:lineRule="auto"/>
        <w:tabs>
          <w:tab w:leader="none" w:pos="998"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General Performance Objectives, Performance Goals or Vesting Criteria</w:t>
      </w:r>
      <w:r>
        <w:rPr>
          <w:rFonts w:ascii="Arial" w:cs="Arial" w:eastAsia="Arial" w:hAnsi="Arial"/>
          <w:sz w:val="16"/>
          <w:szCs w:val="16"/>
          <w:color w:val="auto"/>
        </w:rPr>
        <w:t>. The Administrator may set performance objectives or vesting criteria based upon the achievement of Company-wide, departmental, or individual goals, Performance Goals, applicable federal or state securities laws, or any other basis determined by the Administrator in its discretion (for example, but not by way of limitation, continuous service as an Employee).</w:t>
      </w:r>
    </w:p>
    <w:p>
      <w:pPr>
        <w:spacing w:after="0" w:line="146" w:lineRule="exact"/>
        <w:rPr>
          <w:rFonts w:ascii="Arial" w:cs="Arial" w:eastAsia="Arial" w:hAnsi="Arial"/>
          <w:sz w:val="16"/>
          <w:szCs w:val="16"/>
          <w:color w:val="auto"/>
        </w:rPr>
      </w:pPr>
    </w:p>
    <w:p>
      <w:pPr>
        <w:ind w:right="20" w:firstLine="656"/>
        <w:spacing w:after="0" w:line="293" w:lineRule="auto"/>
        <w:tabs>
          <w:tab w:leader="none" w:pos="1048"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Section 162(m) Performance Objectives</w:t>
      </w:r>
      <w:r>
        <w:rPr>
          <w:rFonts w:ascii="Arial" w:cs="Arial" w:eastAsia="Arial" w:hAnsi="Arial"/>
          <w:sz w:val="16"/>
          <w:szCs w:val="16"/>
          <w:color w:val="auto"/>
        </w:rPr>
        <w:t>. For purposes of qualifying grants of Restricted Stock Units as “performance-based compensation” under Section 162(m) of the Code, the Administrator, in its discretion, may determine that the performance objectives applicable to Restricted Stock Units shall be based on the achievement of Performance Goals. The Performance Goals shall be set by the Administrator on or before the latest date permissible to enable the Restricted Stock Units to qualify as “performance-based compensation” under Section 162(m) of the Code. In granting Restricted Stock Units that are intended to qualify under Section 162(m) of the Code, the Administrator shall follow any procedures determined by it from time to time to be necessary or appropriate to ensure qualification of the Restricted Stock Units under Section 162(m) of the Code (e.g., in determining the Performance Goals).</w:t>
      </w:r>
    </w:p>
    <w:p>
      <w:pPr>
        <w:spacing w:after="0" w:line="165" w:lineRule="exact"/>
        <w:rPr>
          <w:sz w:val="20"/>
          <w:szCs w:val="20"/>
          <w:color w:val="auto"/>
        </w:rPr>
      </w:pPr>
    </w:p>
    <w:p>
      <w:pPr>
        <w:jc w:val="both"/>
        <w:ind w:right="160" w:firstLine="656"/>
        <w:spacing w:after="0" w:line="259" w:lineRule="auto"/>
        <w:tabs>
          <w:tab w:leader="none" w:pos="102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Earning of Restricted Stock Units</w:t>
      </w:r>
      <w:r>
        <w:rPr>
          <w:rFonts w:ascii="Arial" w:cs="Arial" w:eastAsia="Arial" w:hAnsi="Arial"/>
          <w:sz w:val="18"/>
          <w:szCs w:val="18"/>
          <w:color w:val="auto"/>
        </w:rPr>
        <w:t>. After the applicable Performance Period has ended, the holder of Restricted Stock Units shall be entitled to receive a payout of the number of Restricted Stock Units earned by the Participant over the Performance Period, to be determined as a function of the extent to which the corresponding performance objectives have been achieved. After the grant of a Restricted Stock Unit, the Administrator, in its sole discretion, may reduce or waive any performance objectives for such Restricted Stock Unit.</w:t>
      </w:r>
    </w:p>
    <w:p>
      <w:pPr>
        <w:spacing w:after="0" w:line="186" w:lineRule="exact"/>
        <w:rPr>
          <w:rFonts w:ascii="Arial" w:cs="Arial" w:eastAsia="Arial" w:hAnsi="Arial"/>
          <w:sz w:val="18"/>
          <w:szCs w:val="18"/>
          <w:color w:val="auto"/>
        </w:rPr>
      </w:pPr>
    </w:p>
    <w:p>
      <w:pPr>
        <w:ind w:right="160" w:firstLine="656"/>
        <w:spacing w:after="0" w:line="264" w:lineRule="auto"/>
        <w:tabs>
          <w:tab w:leader="none" w:pos="100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Restricted Stock Units</w:t>
      </w:r>
      <w:r>
        <w:rPr>
          <w:rFonts w:ascii="Arial" w:cs="Arial" w:eastAsia="Arial" w:hAnsi="Arial"/>
          <w:sz w:val="18"/>
          <w:szCs w:val="18"/>
          <w:color w:val="auto"/>
        </w:rPr>
        <w:t>. Payment of vested Restricted Stock Units shall be made as soon as practicable after vesting (subject to any deferral permitted under Section 18). The Administrator, in its sole discretion, may pay Restricted Stock Units in the form of cash, in Shares or in a combination thereof.</w:t>
      </w:r>
    </w:p>
    <w:p>
      <w:pPr>
        <w:spacing w:after="0" w:line="181" w:lineRule="exact"/>
        <w:rPr>
          <w:rFonts w:ascii="Arial" w:cs="Arial" w:eastAsia="Arial" w:hAnsi="Arial"/>
          <w:sz w:val="18"/>
          <w:szCs w:val="18"/>
          <w:color w:val="auto"/>
        </w:rPr>
      </w:pPr>
    </w:p>
    <w:p>
      <w:pPr>
        <w:ind w:right="160" w:firstLine="656"/>
        <w:spacing w:after="0" w:line="277" w:lineRule="auto"/>
        <w:tabs>
          <w:tab w:leader="none" w:pos="103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Cancellation of Restricted Stock Units</w:t>
      </w:r>
      <w:r>
        <w:rPr>
          <w:rFonts w:ascii="Arial" w:cs="Arial" w:eastAsia="Arial" w:hAnsi="Arial"/>
          <w:sz w:val="18"/>
          <w:szCs w:val="18"/>
          <w:color w:val="auto"/>
        </w:rPr>
        <w:t>. On the date set forth in the Award Agreement, all unvested Restricted Stock Units shall be forfeited to the Company and, except as otherwise determined by the Administrator, again shall be available for grant under the Plan.</w:t>
      </w:r>
    </w:p>
    <w:p>
      <w:pPr>
        <w:spacing w:after="0" w:line="170" w:lineRule="exact"/>
        <w:rPr>
          <w:sz w:val="20"/>
          <w:szCs w:val="20"/>
          <w:color w:val="auto"/>
        </w:rPr>
      </w:pPr>
    </w:p>
    <w:p>
      <w:pPr>
        <w:ind w:firstLine="656"/>
        <w:spacing w:after="0" w:line="277" w:lineRule="auto"/>
        <w:tabs>
          <w:tab w:leader="none" w:pos="1128"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Unless the Administrator provides otherwise or except as otherwise required by Applicable Laws, vesting of Awards granted hereunder shall continue during any leave of absence approved by the Administrator.</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256"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Non-Transferability of Awards</w:t>
      </w:r>
      <w:r>
        <w:rPr>
          <w:rFonts w:ascii="Arial" w:cs="Arial" w:eastAsia="Arial" w:hAnsi="Arial"/>
          <w:sz w:val="17"/>
          <w:szCs w:val="17"/>
          <w:color w:val="auto"/>
        </w:rPr>
        <w:t>. Unless determined otherwise by the Administrator, an Award may not be sold, pledged, assigned, hypothecated, transferred, or disposed of in any manner other than by will or by the laws of descent or distribution and may be exercised, during the lifetime of the recipient, only by the recipient. If the Administrator makes an Award transferable, such Award shall contain such additional terms and conditions as the Administrator deems appropriate; provided, however, that such Award shall in no event be transferable for value. Notwithstanding the foregoing, a Participant may, if the Administrator (in its discretion) so permits, transfer an Award to an individual or entity other than the Company. Any such transfer shall be made in accordance with such procedures as the Administrator may specify from time to time.</w:t>
      </w:r>
    </w:p>
    <w:p>
      <w:pPr>
        <w:spacing w:after="0" w:line="178" w:lineRule="exact"/>
        <w:rPr>
          <w:rFonts w:ascii="Arial" w:cs="Arial" w:eastAsia="Arial" w:hAnsi="Arial"/>
          <w:sz w:val="17"/>
          <w:szCs w:val="17"/>
          <w:color w:val="auto"/>
        </w:rPr>
      </w:pPr>
    </w:p>
    <w:p>
      <w:pPr>
        <w:ind w:left="1060" w:hanging="40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9" w:lineRule="auto"/>
        <w:tabs>
          <w:tab w:leader="none" w:pos="1065"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Subject to any required action by the stockholders of the Company, the number of Shares covered by each outstanding Award, the number of Shares which have been authorized for issuance under the Plan but as to which no Awards have yet been granted or which have been returned to the Plan upon cancellation or expiration of an Award, as well as the price per Share of Common Stock covered by each such outstanding Award and the 162(m) Fiscal Year share issuance limits under Sections 8(a), 9(a) and 10(a) hereof, shall be</w:t>
      </w:r>
    </w:p>
    <w:p>
      <w:pPr>
        <w:sectPr>
          <w:pgSz w:w="11900" w:h="16838" w:orient="portrait"/>
          <w:cols w:equalWidth="0" w:num="1">
            <w:col w:w="11420"/>
          </w:cols>
          <w:pgMar w:left="240" w:top="841" w:right="239" w:bottom="1440" w:gutter="0" w:footer="0" w:header="0"/>
        </w:sectPr>
      </w:pPr>
    </w:p>
    <w:bookmarkStart w:id="86" w:name="page87"/>
    <w:bookmarkEnd w:id="86"/>
    <w:p>
      <w:pPr>
        <w:jc w:val="both"/>
        <w:spacing w:after="0" w:line="272" w:lineRule="auto"/>
        <w:rPr>
          <w:sz w:val="20"/>
          <w:szCs w:val="20"/>
          <w:color w:val="auto"/>
        </w:rPr>
      </w:pPr>
      <w:r>
        <w:rPr>
          <w:rFonts w:ascii="Arial" w:cs="Arial" w:eastAsia="Arial" w:hAnsi="Arial"/>
          <w:sz w:val="17"/>
          <w:szCs w:val="17"/>
          <w:color w:val="auto"/>
        </w:rPr>
        <w:t>proportionately adjusted for any increase or decrease in the number or value of issued Shares resulting from a stock split, reverse stock split, stock dividend, combination or reclassification of the Common Stock, or any other increase or decrease in the number or value of issued Shares effected without receipt of consideration by the Company (excluding a regular cash dividend); provided, however, that conversion of any convertible securities of the Company shall not be deemed to have been “effected without receipt of consideration.” Such adjustment shall be made by the Compensation Committee,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Award.</w:t>
      </w:r>
    </w:p>
    <w:p>
      <w:pPr>
        <w:spacing w:after="0" w:line="178" w:lineRule="exact"/>
        <w:rPr>
          <w:sz w:val="20"/>
          <w:szCs w:val="20"/>
          <w:color w:val="auto"/>
        </w:rPr>
      </w:pPr>
    </w:p>
    <w:p>
      <w:pPr>
        <w:jc w:val="both"/>
        <w:ind w:firstLine="656"/>
        <w:spacing w:after="0" w:line="255" w:lineRule="auto"/>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shall notify each Participant as soon as practicable prior to the effective date of such proposed transaction. The Administrator in its discretion may provide for a Participant to have the right to exercise his or her Award until ten (10) days prior to such transaction as to all of the Shares covered thereby, including Shares as to which the Award would not otherwise be exercisable. In addition, the Administrator may provide that any Company repurchase option or forfeiture rights applicable to any Award shall lapse 100%, and that any Award vesting shall accelerate 100%, provided the proposed dissolution or liquidation takes place at the time and in the manner contemplated. To the extent it has not been previously exercised, an Award will terminate immediately prior to the consummation of such proposed action.</w:t>
      </w:r>
    </w:p>
    <w:p>
      <w:pPr>
        <w:spacing w:after="0" w:line="189" w:lineRule="exact"/>
        <w:rPr>
          <w:rFonts w:ascii="Arial" w:cs="Arial" w:eastAsia="Arial" w:hAnsi="Arial"/>
          <w:sz w:val="18"/>
          <w:szCs w:val="18"/>
          <w:color w:val="auto"/>
        </w:rPr>
      </w:pPr>
    </w:p>
    <w:p>
      <w:pPr>
        <w:ind w:firstLine="656"/>
        <w:spacing w:after="0" w:line="277" w:lineRule="auto"/>
        <w:tabs>
          <w:tab w:leader="none" w:pos="106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In the event of a Change of Control, each outstanding Award shall be assumed or an equivalent Award substituted by the successor corporation or a Parent or Subsidiary of the successor corporation.</w:t>
      </w:r>
    </w:p>
    <w:p>
      <w:pPr>
        <w:spacing w:after="0" w:line="170"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16"/>
          <w:szCs w:val="16"/>
          <w:color w:val="auto"/>
        </w:rPr>
        <w:t>In the event that the successor corporation refuses to assume or substitute for the Award, the Participant shall fully vest in and have the right to exercise all of his or her outstanding Options, including Shares as to which such Awards would not otherwise be vested or exercisable, all restrictions on Restricted Stock will lapse and all Restricted Stock Units shall become fully vested; provided, however, that, with respect to Awards with performance-based vesting, including but not limited to Restricted Stock and Restricted Stock Units, all performance goals or other vesting criteria will be deemed achieved at one hundred percent (100%) of target levels and all other terms and conditions met. In addition, if an Option is not assumed or substituted in the event of a Change of Control, the Administrator shall notify the Participant in writing or electronically that the Option shall be fully vested and exercisable for a period of fifteen (15) days from the date of such notice, and the Option shall terminate upon the expiration of such period.</w:t>
      </w:r>
    </w:p>
    <w:p>
      <w:pPr>
        <w:spacing w:after="0" w:line="167" w:lineRule="exact"/>
        <w:rPr>
          <w:sz w:val="20"/>
          <w:szCs w:val="20"/>
          <w:color w:val="auto"/>
        </w:rPr>
      </w:pPr>
    </w:p>
    <w:p>
      <w:pPr>
        <w:jc w:val="both"/>
        <w:ind w:firstLine="1945"/>
        <w:spacing w:after="0" w:line="271" w:lineRule="auto"/>
        <w:rPr>
          <w:sz w:val="20"/>
          <w:szCs w:val="20"/>
          <w:color w:val="auto"/>
        </w:rPr>
      </w:pPr>
      <w:r>
        <w:rPr>
          <w:rFonts w:ascii="Arial" w:cs="Arial" w:eastAsia="Arial" w:hAnsi="Arial"/>
          <w:sz w:val="17"/>
          <w:szCs w:val="17"/>
          <w:color w:val="auto"/>
        </w:rPr>
        <w:t>For the purposes of this paragraph, an Award shall be considered assumed if, following the Change of Control, the Award confers the right to purchase or receive, for each Share subject to the Award immediately prior to the Change of Control, the consideration (whether stock, cash, or other securities or property) received in the Change of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of Control is not solely common stock of the successor corporation or its Parent, the Administrator may, with the consent of the successor corporation, provide for the consideration to be received upon the exercise of an Option or upon the payout of the Restricted Stock Unit Award, for each Share subject to the Award, to be solely common stock of the successor corporation or its Parent equal in fair market value to the per share consideration received by holders of Common Stock in the Change of Control.</w:t>
      </w:r>
    </w:p>
    <w:p>
      <w:pPr>
        <w:spacing w:after="0" w:line="179" w:lineRule="exact"/>
        <w:rPr>
          <w:sz w:val="20"/>
          <w:szCs w:val="20"/>
          <w:color w:val="auto"/>
        </w:rPr>
      </w:pPr>
    </w:p>
    <w:p>
      <w:pPr>
        <w:ind w:right="200" w:firstLine="1945"/>
        <w:spacing w:after="0" w:line="259" w:lineRule="auto"/>
        <w:rPr>
          <w:sz w:val="20"/>
          <w:szCs w:val="20"/>
          <w:color w:val="auto"/>
        </w:rPr>
      </w:pPr>
      <w:r>
        <w:rPr>
          <w:rFonts w:ascii="Arial" w:cs="Arial" w:eastAsia="Arial" w:hAnsi="Arial"/>
          <w:sz w:val="18"/>
          <w:szCs w:val="18"/>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of Control corporate structure will not be deemed to invalidate an otherwise valid Award assumption.</w:t>
      </w:r>
    </w:p>
    <w:p>
      <w:pPr>
        <w:sectPr>
          <w:pgSz w:w="11900" w:h="16838" w:orient="portrait"/>
          <w:cols w:equalWidth="0" w:num="1">
            <w:col w:w="11420"/>
          </w:cols>
          <w:pgMar w:left="240" w:top="841" w:right="239" w:bottom="1440" w:gutter="0" w:footer="0" w:header="0"/>
        </w:sectPr>
      </w:pPr>
    </w:p>
    <w:bookmarkStart w:id="87" w:name="page88"/>
    <w:bookmarkEnd w:id="87"/>
    <w:p>
      <w:pPr>
        <w:ind w:left="404" w:hanging="404"/>
        <w:spacing w:after="0"/>
        <w:tabs>
          <w:tab w:leader="none" w:pos="40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5" w:lineRule="exact"/>
        <w:rPr>
          <w:sz w:val="20"/>
          <w:szCs w:val="20"/>
          <w:color w:val="auto"/>
        </w:rPr>
      </w:pPr>
    </w:p>
    <w:p>
      <w:pPr>
        <w:jc w:val="both"/>
        <w:ind w:left="-656" w:firstLine="656"/>
        <w:spacing w:after="0" w:line="264" w:lineRule="auto"/>
        <w:tabs>
          <w:tab w:leader="none" w:pos="38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Subject to Section 8(d) hereof, the Board may at any time amend, alter, suspend or terminate the Plan; provided, however, that to the extent necessary and desirable to comply with any Applicable Law, the Company shall obtain stockholder approval of any Plan amendment in such a manner and to such a degree as required.</w:t>
      </w:r>
    </w:p>
    <w:p>
      <w:pPr>
        <w:spacing w:after="0" w:line="181" w:lineRule="exact"/>
        <w:rPr>
          <w:rFonts w:ascii="Arial" w:cs="Arial" w:eastAsia="Arial" w:hAnsi="Arial"/>
          <w:sz w:val="18"/>
          <w:szCs w:val="18"/>
          <w:color w:val="auto"/>
        </w:rPr>
      </w:pPr>
    </w:p>
    <w:p>
      <w:pPr>
        <w:jc w:val="both"/>
        <w:ind w:left="-656" w:firstLine="656"/>
        <w:spacing w:after="0" w:line="264" w:lineRule="auto"/>
        <w:tabs>
          <w:tab w:leader="none" w:pos="51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shall impair the rights of any Participant, unless mutually agreed otherwise between the Participant and the Administrator, which agreement must be in writing (or electronic format) and signed by the Participant and the Company.</w:t>
      </w:r>
    </w:p>
    <w:p>
      <w:pPr>
        <w:spacing w:after="0" w:line="181" w:lineRule="exact"/>
        <w:rPr>
          <w:sz w:val="20"/>
          <w:szCs w:val="20"/>
          <w:color w:val="auto"/>
        </w:rPr>
      </w:pPr>
    </w:p>
    <w:p>
      <w:pPr>
        <w:ind w:left="404" w:hanging="404"/>
        <w:spacing w:after="0"/>
        <w:tabs>
          <w:tab w:leader="none" w:pos="40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5" w:lineRule="exact"/>
        <w:rPr>
          <w:sz w:val="20"/>
          <w:szCs w:val="20"/>
          <w:color w:val="auto"/>
        </w:rPr>
      </w:pPr>
    </w:p>
    <w:p>
      <w:pPr>
        <w:jc w:val="both"/>
        <w:ind w:left="-656" w:right="20" w:firstLine="656"/>
        <w:spacing w:after="0" w:line="264" w:lineRule="auto"/>
        <w:tabs>
          <w:tab w:leader="none" w:pos="42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shall not be issued pursuant to the exercise of an Award unless the exercise of such Award and the issuance and delivery of such Shares shall comply with Applicable Laws and shall be further subject to the approval of counsel for the Company with respect to such compliance.</w:t>
      </w:r>
    </w:p>
    <w:p>
      <w:pPr>
        <w:spacing w:after="0" w:line="181" w:lineRule="exact"/>
        <w:rPr>
          <w:rFonts w:ascii="Arial" w:cs="Arial" w:eastAsia="Arial" w:hAnsi="Arial"/>
          <w:sz w:val="18"/>
          <w:szCs w:val="18"/>
          <w:color w:val="auto"/>
        </w:rPr>
      </w:pPr>
    </w:p>
    <w:p>
      <w:pPr>
        <w:jc w:val="both"/>
        <w:ind w:left="-656" w:firstLine="656"/>
        <w:spacing w:after="0" w:line="259" w:lineRule="auto"/>
        <w:tabs>
          <w:tab w:leader="none" w:pos="43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or receipt of Shares pursuant to an Award, the Company may require the person exercising or receiving Shares pursuant to an Award to represent and warrant at the time of any such exercise or receipt that the Shares are being purchased only for investment and without any present intention to sell or distribute such Shares if, in the opinion of counsel for the Company, such a representation is required.</w:t>
      </w:r>
    </w:p>
    <w:p>
      <w:pPr>
        <w:spacing w:after="0" w:line="187" w:lineRule="exact"/>
        <w:rPr>
          <w:sz w:val="20"/>
          <w:szCs w:val="20"/>
          <w:color w:val="auto"/>
        </w:rPr>
      </w:pPr>
    </w:p>
    <w:p>
      <w:pPr>
        <w:ind w:left="404" w:hanging="404"/>
        <w:spacing w:after="0"/>
        <w:tabs>
          <w:tab w:leader="none" w:pos="404"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Liability of Company</w:t>
      </w:r>
      <w:r>
        <w:rPr>
          <w:rFonts w:ascii="Arial" w:cs="Arial" w:eastAsia="Arial" w:hAnsi="Arial"/>
          <w:sz w:val="18"/>
          <w:szCs w:val="18"/>
          <w:color w:val="auto"/>
        </w:rPr>
        <w:t>.</w:t>
      </w:r>
    </w:p>
    <w:p>
      <w:pPr>
        <w:spacing w:after="0" w:line="225" w:lineRule="exact"/>
        <w:rPr>
          <w:sz w:val="20"/>
          <w:szCs w:val="20"/>
          <w:color w:val="auto"/>
        </w:rPr>
      </w:pPr>
    </w:p>
    <w:p>
      <w:pPr>
        <w:jc w:val="both"/>
        <w:ind w:left="-656" w:firstLine="656"/>
        <w:spacing w:after="0" w:line="264" w:lineRule="auto"/>
        <w:tabs>
          <w:tab w:leader="none" w:pos="37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1" w:lineRule="exact"/>
        <w:rPr>
          <w:rFonts w:ascii="Arial" w:cs="Arial" w:eastAsia="Arial" w:hAnsi="Arial"/>
          <w:sz w:val="18"/>
          <w:szCs w:val="18"/>
          <w:color w:val="auto"/>
        </w:rPr>
      </w:pPr>
    </w:p>
    <w:p>
      <w:pPr>
        <w:jc w:val="both"/>
        <w:ind w:left="-656" w:firstLine="656"/>
        <w:spacing w:after="0" w:line="312" w:lineRule="auto"/>
        <w:tabs>
          <w:tab w:leader="none" w:pos="436"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Grants Exceeding Allotted Shares</w:t>
      </w:r>
      <w:r>
        <w:rPr>
          <w:rFonts w:ascii="Arial" w:cs="Arial" w:eastAsia="Arial" w:hAnsi="Arial"/>
          <w:sz w:val="16"/>
          <w:szCs w:val="16"/>
          <w:color w:val="auto"/>
        </w:rPr>
        <w:t>. If the Shares covered by an Award exceed, as of the Date of Grant, the number of Shares which may be issued under the Plan without additional stockholder approval, such Award shall be void with respect to such excess Shares, unless stockholder approval of an amendment sufficiently increasing the number of Shares subject to the Plan is timely obtained in accordance with Section 14(a) of the Plan.</w:t>
      </w:r>
    </w:p>
    <w:p>
      <w:pPr>
        <w:spacing w:after="0" w:line="147" w:lineRule="exact"/>
        <w:rPr>
          <w:sz w:val="20"/>
          <w:szCs w:val="20"/>
          <w:color w:val="auto"/>
        </w:rPr>
      </w:pPr>
    </w:p>
    <w:p>
      <w:pPr>
        <w:ind w:left="-656" w:right="20" w:firstLine="656"/>
        <w:spacing w:after="0" w:line="277" w:lineRule="auto"/>
        <w:tabs>
          <w:tab w:leader="none" w:pos="411"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during the term of this Plan, will at all times reserve and keep available such number of Shares as shall be sufficient to satisfy the requirements of the Plan.</w:t>
      </w:r>
    </w:p>
    <w:p>
      <w:pPr>
        <w:spacing w:after="0" w:line="170" w:lineRule="exact"/>
        <w:rPr>
          <w:rFonts w:ascii="Arial" w:cs="Arial" w:eastAsia="Arial" w:hAnsi="Arial"/>
          <w:sz w:val="18"/>
          <w:szCs w:val="18"/>
          <w:color w:val="auto"/>
        </w:rPr>
      </w:pPr>
    </w:p>
    <w:p>
      <w:pPr>
        <w:jc w:val="both"/>
        <w:ind w:left="-656" w:firstLine="656"/>
        <w:spacing w:after="0" w:line="264" w:lineRule="auto"/>
        <w:tabs>
          <w:tab w:leader="none" w:pos="39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Deferrals</w:t>
      </w:r>
      <w:r>
        <w:rPr>
          <w:rFonts w:ascii="Arial" w:cs="Arial" w:eastAsia="Arial" w:hAnsi="Arial"/>
          <w:sz w:val="18"/>
          <w:szCs w:val="18"/>
          <w:color w:val="auto"/>
        </w:rPr>
        <w:t>. The Administrator, in its sole discretion, may permit or require a Participant to defer receipt of the payment of cash or the delivery of Shares that would otherwise be due to such Participant under an Award. Any such deferral elections shall be subject to such rules and procedures as shall be determined by the Administrator in its sole discretion.</w:t>
      </w:r>
    </w:p>
    <w:p>
      <w:pPr>
        <w:spacing w:after="0" w:line="181" w:lineRule="exact"/>
        <w:rPr>
          <w:rFonts w:ascii="Arial" w:cs="Arial" w:eastAsia="Arial" w:hAnsi="Arial"/>
          <w:sz w:val="18"/>
          <w:szCs w:val="18"/>
          <w:color w:val="auto"/>
        </w:rPr>
      </w:pPr>
    </w:p>
    <w:p>
      <w:pPr>
        <w:ind w:left="-656" w:firstLine="656"/>
        <w:spacing w:after="0" w:line="277" w:lineRule="auto"/>
        <w:tabs>
          <w:tab w:leader="none" w:pos="39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 No Employee shall have the right to be selected to receive an Award under this Plan, or, having been so selected, to be selected to receive a future Award.</w:t>
      </w:r>
    </w:p>
    <w:p>
      <w:pPr>
        <w:spacing w:after="0" w:line="170" w:lineRule="exact"/>
        <w:rPr>
          <w:rFonts w:ascii="Arial" w:cs="Arial" w:eastAsia="Arial" w:hAnsi="Arial"/>
          <w:sz w:val="18"/>
          <w:szCs w:val="18"/>
          <w:color w:val="auto"/>
        </w:rPr>
      </w:pPr>
    </w:p>
    <w:p>
      <w:pPr>
        <w:jc w:val="both"/>
        <w:ind w:left="-656" w:firstLine="656"/>
        <w:spacing w:after="0" w:line="312" w:lineRule="auto"/>
        <w:tabs>
          <w:tab w:leader="none" w:pos="411"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Except to the limited extent provided in Sections 9(f) or 9(g), no Participant (nor any beneficiary) shall have any of the rights or privileges of a stockholder of the Company with respect to any Shares issuable pursuant to an Award (or exercise thereof), unless and until Shares shall have been issued, recorded on the records of the Company or its transfer agents or registrars, and delivered to the Participant (or beneficiary).</w:t>
      </w:r>
    </w:p>
    <w:p>
      <w:pPr>
        <w:spacing w:after="0" w:line="146" w:lineRule="exact"/>
        <w:rPr>
          <w:rFonts w:ascii="Arial" w:cs="Arial" w:eastAsia="Arial" w:hAnsi="Arial"/>
          <w:sz w:val="16"/>
          <w:szCs w:val="16"/>
          <w:color w:val="auto"/>
        </w:rPr>
      </w:pPr>
    </w:p>
    <w:p>
      <w:pPr>
        <w:ind w:left="-656" w:firstLine="656"/>
        <w:spacing w:after="0" w:line="277" w:lineRule="auto"/>
        <w:tabs>
          <w:tab w:leader="none" w:pos="411"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Withholding Requirements</w:t>
      </w:r>
      <w:r>
        <w:rPr>
          <w:rFonts w:ascii="Arial" w:cs="Arial" w:eastAsia="Arial" w:hAnsi="Arial"/>
          <w:sz w:val="18"/>
          <w:szCs w:val="18"/>
          <w:color w:val="auto"/>
        </w:rPr>
        <w:t>. Prior to the delivery of any Shares or cash pursuant to an Award (or exercise thereof), the Company shall have the power and the right to deduct or withhold, or require a</w:t>
      </w:r>
    </w:p>
    <w:p>
      <w:pPr>
        <w:sectPr>
          <w:pgSz w:w="11900" w:h="16838" w:orient="portrait"/>
          <w:cols w:equalWidth="0" w:num="1">
            <w:col w:w="10764"/>
          </w:cols>
          <w:pgMar w:left="896" w:top="841" w:right="239" w:bottom="1440" w:gutter="0" w:footer="0" w:header="0"/>
        </w:sectPr>
      </w:pPr>
    </w:p>
    <w:bookmarkStart w:id="88" w:name="page89"/>
    <w:bookmarkEnd w:id="88"/>
    <w:p>
      <w:pPr>
        <w:jc w:val="both"/>
        <w:spacing w:after="0" w:line="255" w:lineRule="auto"/>
        <w:rPr>
          <w:sz w:val="20"/>
          <w:szCs w:val="20"/>
          <w:color w:val="auto"/>
        </w:rPr>
      </w:pPr>
      <w:r>
        <w:rPr>
          <w:rFonts w:ascii="Arial" w:cs="Arial" w:eastAsia="Arial" w:hAnsi="Arial"/>
          <w:sz w:val="18"/>
          <w:szCs w:val="18"/>
          <w:color w:val="auto"/>
        </w:rPr>
        <w:t>Participant to remit to the Company, an amount sufficient to satisfy federal, state, local and foreign taxes (including the Participant’s FICA obligation) required to be withheld with respect to such Award (or exercise thereof). Notwithstanding any contrary provision of the Plan, if a Participant fails to remit to the Company such withholding amount within the time period specified by the Administrator (in its discretion), the Participant’s Award may, in the Administrator’s discretion, be forfeited and in such case the Participant shall not receive any of the Shares subject to such Award. For avoidance of doubt, the Administrator may determine the fair market value of the Shares for tax purposes upon settlement of an Award using such methodology as may be required by Applicable Laws or as appropriate for administrative reasons.</w:t>
      </w:r>
    </w:p>
    <w:p>
      <w:pPr>
        <w:spacing w:after="0" w:line="193" w:lineRule="exact"/>
        <w:rPr>
          <w:sz w:val="20"/>
          <w:szCs w:val="20"/>
          <w:color w:val="auto"/>
        </w:rPr>
      </w:pPr>
    </w:p>
    <w:p>
      <w:pPr>
        <w:jc w:val="both"/>
        <w:ind w:firstLine="656"/>
        <w:spacing w:after="0" w:line="287"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or the applicable Award Agreement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72" w:lineRule="exact"/>
        <w:rPr>
          <w:rFonts w:ascii="Arial" w:cs="Arial" w:eastAsia="Arial" w:hAnsi="Arial"/>
          <w:sz w:val="16"/>
          <w:szCs w:val="16"/>
          <w:color w:val="auto"/>
        </w:rPr>
      </w:pPr>
    </w:p>
    <w:p>
      <w:pPr>
        <w:jc w:val="both"/>
        <w:ind w:firstLine="656"/>
        <w:spacing w:after="0" w:line="291" w:lineRule="auto"/>
        <w:tabs>
          <w:tab w:leader="none" w:pos="1067"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Withholding Arrangements</w:t>
      </w:r>
      <w:r>
        <w:rPr>
          <w:rFonts w:ascii="Arial" w:cs="Arial" w:eastAsia="Arial" w:hAnsi="Arial"/>
          <w:sz w:val="16"/>
          <w:szCs w:val="16"/>
          <w:color w:val="auto"/>
        </w:rPr>
        <w:t>. The Administrator, in its sole discretion and pursuant to such procedures as it may specify from time to time, may permit or require a Participant to satisfy all or part of the tax withholding obligations in connection with an Award by (a) having the Company withhold otherwise deliverable Shares having an aggregate Fair Market Value that does not exceed the amount required to be withheld, (b) delivering to the Company already-owned Shares having an aggregate Fair Market Value sufficient to satisfy the amount required to be withheld, or (c) such other method as may be approved by the Administrator and set forth in an Award Agreement. The number of Shares withheld under subsection (a) shall be determined using rates up to, but not exceeding, the maximum tax rates applicable in a particular jurisdiction on the date that the amount of tax to be withheld is to be determined. The Fair Market Value of the Shares to be withheld or delivered shall be determined as of the date that the amount of the tax to be withheld is determined.</w:t>
      </w:r>
    </w:p>
    <w:p>
      <w:pPr>
        <w:spacing w:after="0" w:line="167" w:lineRule="exact"/>
        <w:rPr>
          <w:rFonts w:ascii="Arial" w:cs="Arial" w:eastAsia="Arial" w:hAnsi="Arial"/>
          <w:sz w:val="16"/>
          <w:szCs w:val="16"/>
          <w:color w:val="auto"/>
        </w:rPr>
      </w:pPr>
    </w:p>
    <w:p>
      <w:pPr>
        <w:jc w:val="both"/>
        <w:ind w:firstLine="656"/>
        <w:spacing w:after="0" w:line="270"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Each person who is or shall have been a member of the Committee, or of the Board, shall be indemnified and held 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Agreement, and (b)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181" w:lineRule="exact"/>
        <w:rPr>
          <w:rFonts w:ascii="Arial" w:cs="Arial" w:eastAsia="Arial" w:hAnsi="Arial"/>
          <w:sz w:val="17"/>
          <w:szCs w:val="17"/>
          <w:color w:val="auto"/>
        </w:rPr>
      </w:pPr>
    </w:p>
    <w:p>
      <w:pPr>
        <w:jc w:val="both"/>
        <w:ind w:right="20" w:firstLine="656"/>
        <w:spacing w:after="0" w:line="264" w:lineRule="auto"/>
        <w:tabs>
          <w:tab w:leader="none" w:pos="1053"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ectPr>
          <w:pgSz w:w="11900" w:h="16838" w:orient="portrait"/>
          <w:cols w:equalWidth="0" w:num="1">
            <w:col w:w="11420"/>
          </w:cols>
          <w:pgMar w:left="240" w:top="841" w:right="239" w:bottom="1440" w:gutter="0" w:footer="0" w:header="0"/>
        </w:sectPr>
      </w:pPr>
    </w:p>
    <w:bookmarkStart w:id="89" w:name="page90"/>
    <w:bookmarkEnd w:id="89"/>
    <w:p>
      <w:pPr>
        <w:ind w:left="-656" w:firstLine="656"/>
        <w:spacing w:after="0" w:line="277" w:lineRule="auto"/>
        <w:tabs>
          <w:tab w:leader="none" w:pos="45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70" w:lineRule="exact"/>
        <w:rPr>
          <w:rFonts w:ascii="Arial" w:cs="Arial" w:eastAsia="Arial" w:hAnsi="Arial"/>
          <w:sz w:val="18"/>
          <w:szCs w:val="18"/>
          <w:color w:val="auto"/>
        </w:rPr>
      </w:pPr>
    </w:p>
    <w:p>
      <w:pPr>
        <w:ind w:left="-656" w:firstLine="656"/>
        <w:spacing w:after="0" w:line="277" w:lineRule="auto"/>
        <w:tabs>
          <w:tab w:leader="none" w:pos="41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70" w:lineRule="exact"/>
        <w:rPr>
          <w:rFonts w:ascii="Arial" w:cs="Arial" w:eastAsia="Arial" w:hAnsi="Arial"/>
          <w:sz w:val="18"/>
          <w:szCs w:val="18"/>
          <w:color w:val="auto"/>
        </w:rPr>
      </w:pPr>
    </w:p>
    <w:p>
      <w:pPr>
        <w:ind w:left="-656" w:firstLine="656"/>
        <w:spacing w:after="0" w:line="277" w:lineRule="auto"/>
        <w:tabs>
          <w:tab w:leader="none" w:pos="397"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 Agreements shall be construed in accordance with and governed by the laws of the State of California (with the exception of its conflict of laws provisions).</w:t>
      </w:r>
    </w:p>
    <w:p>
      <w:pPr>
        <w:spacing w:after="0" w:line="170" w:lineRule="exact"/>
        <w:rPr>
          <w:rFonts w:ascii="Arial" w:cs="Arial" w:eastAsia="Arial" w:hAnsi="Arial"/>
          <w:sz w:val="18"/>
          <w:szCs w:val="18"/>
          <w:color w:val="auto"/>
        </w:rPr>
      </w:pPr>
    </w:p>
    <w:p>
      <w:pPr>
        <w:ind w:left="404" w:hanging="404"/>
        <w:spacing w:after="0"/>
        <w:tabs>
          <w:tab w:leader="none" w:pos="404"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are provided herein for convenience only, and shall not serve as a basis for interpretation or construction of the Plan.</w:t>
      </w:r>
    </w:p>
    <w:p>
      <w:pPr>
        <w:sectPr>
          <w:pgSz w:w="11900" w:h="16838" w:orient="portrait"/>
          <w:cols w:equalWidth="0" w:num="1">
            <w:col w:w="10764"/>
          </w:cols>
          <w:pgMar w:left="896" w:top="841" w:right="2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AUTODESK, INC.</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1998 EMPLOYEE QUALIFIED STOCK PURCHASE PLAN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Amended and Restated Effective June 12, 2018)</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constitute the provisions of the 1998 Employee Qualified Stock Purchase Plan, as amended and restated (herein called the “Plan”) of Autodesk, Inc. (herein called the “Company”).</w:t>
      </w:r>
    </w:p>
    <w:p>
      <w:pPr>
        <w:spacing w:after="0" w:line="197" w:lineRule="exact"/>
        <w:rPr>
          <w:sz w:val="20"/>
          <w:szCs w:val="20"/>
          <w:color w:val="auto"/>
        </w:rPr>
      </w:pPr>
    </w:p>
    <w:p>
      <w:pPr>
        <w:ind w:right="20" w:firstLine="656"/>
        <w:spacing w:after="0" w:line="302" w:lineRule="auto"/>
        <w:tabs>
          <w:tab w:leader="none" w:pos="1431"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provide employees of the Company and Designated Companies with an opportunity to purchase Common Stock of the Company through accumulated payroll deductions. The Plan consists of the Section 423 Plan and the Non-423 Plan. The Company intends that the Section 423 Plan qualify as an “employee stock purchase plan” under Section 423 of the Code (including any amendments or replacements of such section), and the Section 423 Plan shall be construed accordingly. The Non-423 Plan is not intended to qualify as an “employee stock purchase plan” under Section 423 of the Code and is intended to ensure certain grants to Employees employed by Designated Companies outside the U.S. achieve tax, securities law, or other objectives.</w:t>
      </w:r>
    </w:p>
    <w:p>
      <w:pPr>
        <w:spacing w:after="0" w:line="165" w:lineRule="exact"/>
        <w:rPr>
          <w:rFonts w:ascii="Arial" w:cs="Arial" w:eastAsia="Arial" w:hAnsi="Arial"/>
          <w:sz w:val="18"/>
          <w:szCs w:val="18"/>
          <w:color w:val="auto"/>
        </w:rPr>
      </w:pPr>
    </w:p>
    <w:p>
      <w:pPr>
        <w:ind w:left="980" w:hanging="324"/>
        <w:spacing w:after="0"/>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40" w:firstLine="1305"/>
        <w:spacing w:after="0" w:line="264" w:lineRule="auto"/>
        <w:tabs>
          <w:tab w:leader="none" w:pos="1676"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 corporation, partnership, joint venture or other business entity, or branch of such business entity, domestic or foreign, of which not less than 50% of the voting shares are held by the Company or a Subsidiary, whether or not such corporation now exists or is hereafter organized or acquired by the Company or an Affiliate.</w:t>
      </w:r>
    </w:p>
    <w:p>
      <w:pPr>
        <w:spacing w:after="0" w:line="181" w:lineRule="exact"/>
        <w:rPr>
          <w:rFonts w:ascii="Arial" w:cs="Arial" w:eastAsia="Arial" w:hAnsi="Arial"/>
          <w:sz w:val="18"/>
          <w:szCs w:val="18"/>
          <w:color w:val="auto"/>
        </w:rPr>
      </w:pPr>
    </w:p>
    <w:p>
      <w:pPr>
        <w:ind w:right="80" w:firstLine="1305"/>
        <w:spacing w:after="0" w:line="264" w:lineRule="auto"/>
        <w:tabs>
          <w:tab w:leader="none" w:pos="1686"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shall mean the laws and regulations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w:t>
      </w:r>
    </w:p>
    <w:p>
      <w:pPr>
        <w:spacing w:after="0" w:line="181" w:lineRule="exact"/>
        <w:rPr>
          <w:rFonts w:ascii="Arial" w:cs="Arial" w:eastAsia="Arial" w:hAnsi="Arial"/>
          <w:sz w:val="18"/>
          <w:szCs w:val="18"/>
          <w:color w:val="auto"/>
        </w:rPr>
      </w:pPr>
    </w:p>
    <w:p>
      <w:pPr>
        <w:ind w:left="1680" w:hanging="375"/>
        <w:spacing w:after="0"/>
        <w:tabs>
          <w:tab w:leader="none" w:pos="16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jc w:val="both"/>
        <w:ind w:right="60" w:firstLine="1305"/>
        <w:spacing w:after="0" w:line="286" w:lineRule="auto"/>
        <w:tabs>
          <w:tab w:leader="none" w:pos="1686" w:val="left"/>
        </w:tabs>
        <w:numPr>
          <w:ilvl w:val="1"/>
          <w:numId w:val="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shall mean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65" w:lineRule="exact"/>
        <w:rPr>
          <w:rFonts w:ascii="Arial" w:cs="Arial" w:eastAsia="Arial" w:hAnsi="Arial"/>
          <w:sz w:val="17"/>
          <w:szCs w:val="17"/>
          <w:color w:val="auto"/>
        </w:rPr>
      </w:pPr>
    </w:p>
    <w:p>
      <w:pPr>
        <w:ind w:right="480" w:firstLine="1305"/>
        <w:spacing w:after="0" w:line="277" w:lineRule="auto"/>
        <w:tabs>
          <w:tab w:leader="none" w:pos="1676"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any subcommittee appointed by the Board or Committee pursuant to Section 14(f) to administer the Plan.</w:t>
      </w:r>
    </w:p>
    <w:p>
      <w:pPr>
        <w:spacing w:after="0" w:line="170" w:lineRule="exact"/>
        <w:rPr>
          <w:rFonts w:ascii="Arial" w:cs="Arial" w:eastAsia="Arial" w:hAnsi="Arial"/>
          <w:sz w:val="18"/>
          <w:szCs w:val="18"/>
          <w:color w:val="auto"/>
        </w:rPr>
      </w:pPr>
    </w:p>
    <w:p>
      <w:pPr>
        <w:ind w:left="1660" w:hanging="355"/>
        <w:spacing w:after="0"/>
        <w:tabs>
          <w:tab w:leader="none" w:pos="1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par value $0.01 per share, of the Company.</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Autodesk, Inc., a Delaware corporation.</w:t>
      </w:r>
    </w:p>
    <w:p>
      <w:pPr>
        <w:spacing w:after="0" w:line="225" w:lineRule="exact"/>
        <w:rPr>
          <w:rFonts w:ascii="Arial" w:cs="Arial" w:eastAsia="Arial" w:hAnsi="Arial"/>
          <w:sz w:val="18"/>
          <w:szCs w:val="18"/>
          <w:color w:val="auto"/>
        </w:rPr>
      </w:pPr>
    </w:p>
    <w:p>
      <w:pPr>
        <w:ind w:firstLine="1305"/>
        <w:spacing w:after="0" w:line="270" w:lineRule="auto"/>
        <w:tabs>
          <w:tab w:leader="none" w:pos="1686" w:val="left"/>
        </w:tabs>
        <w:numPr>
          <w:ilvl w:val="1"/>
          <w:numId w:val="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Compensation</w:t>
      </w:r>
      <w:r>
        <w:rPr>
          <w:rFonts w:ascii="Arial" w:cs="Arial" w:eastAsia="Arial" w:hAnsi="Arial"/>
          <w:sz w:val="17"/>
          <w:szCs w:val="17"/>
          <w:color w:val="auto"/>
        </w:rPr>
        <w:t>” shall mean all regular straight time earnings or salary (including 13th/14th month payments or similar concepts under Applicable Law), payments for overtime, shift premium and commissions, payments for paid time off, and any portion of such amounts voluntarily deferred or reduced by the Employee (i) under any employee benefit plan of the Company or a Subsidiary or Affiliate available to all levels of employees on a non-discriminatory basis upon satisfaction of eligibility requirements, and (ii) under any executive deferral plan of the Company (provided such amounts would not otherwise have been excluded had they not been deferred). Compensation shall be limited to such amounts actually payable in cash or deferred during the Offering Period. Compensation shall not include: (x) sign-on bonuses, annual or other incentive bonuses, profit-sharing distributions or other incentive-type payments, (y) payments in lieu of notice, payments pursuant to a severance agreement, termination pay, moving allowances, relocation payments, or (z) any amounts directly or indirectly paid pursuant to the Plan or any other stock purchase, stock option or other stock-based compensation plan, or any other compensation not expressly included by this Section. The Committee shall have discretion to determine the application of this definition to Employees outside the U.S.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00"/>
          </w:cols>
          <w:pgMar w:left="240" w:top="837" w:right="259" w:bottom="1440" w:gutter="0" w:footer="0" w:header="0"/>
        </w:sectPr>
      </w:pPr>
    </w:p>
    <w:bookmarkStart w:id="91" w:name="page92"/>
    <w:bookmarkEnd w:id="91"/>
    <w:p>
      <w:pPr>
        <w:ind w:right="80" w:firstLine="1305"/>
        <w:spacing w:after="0" w:line="312" w:lineRule="auto"/>
        <w:tabs>
          <w:tab w:leader="none" w:pos="1646" w:val="left"/>
        </w:tabs>
        <w:numPr>
          <w:ilvl w:val="2"/>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Status as an Employee</w:t>
      </w:r>
      <w:r>
        <w:rPr>
          <w:rFonts w:ascii="Arial" w:cs="Arial" w:eastAsia="Arial" w:hAnsi="Arial"/>
          <w:sz w:val="16"/>
          <w:szCs w:val="16"/>
          <w:color w:val="auto"/>
        </w:rPr>
        <w:t>”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146" w:lineRule="exact"/>
        <w:rPr>
          <w:rFonts w:ascii="Arial" w:cs="Arial" w:eastAsia="Arial" w:hAnsi="Arial"/>
          <w:sz w:val="16"/>
          <w:szCs w:val="16"/>
          <w:color w:val="auto"/>
        </w:rPr>
      </w:pPr>
    </w:p>
    <w:p>
      <w:pPr>
        <w:ind w:right="40" w:firstLine="1305"/>
        <w:spacing w:after="0" w:line="257" w:lineRule="auto"/>
        <w:tabs>
          <w:tab w:leader="none" w:pos="1646" w:val="left"/>
        </w:tabs>
        <w:numPr>
          <w:ilvl w:val="2"/>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Company</w:t>
      </w:r>
      <w:r>
        <w:rPr>
          <w:rFonts w:ascii="Arial" w:cs="Arial" w:eastAsia="Arial" w:hAnsi="Arial"/>
          <w:sz w:val="18"/>
          <w:szCs w:val="18"/>
          <w:color w:val="auto"/>
        </w:rPr>
        <w:t>” shall mean any Subsidiary or Affiliate, whether now existing or existing in the future, that has been designated by the Committee from time to time in its sole discretion as eligible to participate in the Plan. The Committee may designate Subsidiaries or Affiliates as Designed Companies in the Non-Section 423 Plan. For purposes of the Section 423 Plan, only the Company and its Subsidiaries may be Designated Companies, provided, however, that at any given time, a Subsidiary that is a Designated Company under the Section 423 Plan will not be a Designated Company under the Non-423 Plan.</w:t>
      </w:r>
    </w:p>
    <w:p>
      <w:pPr>
        <w:spacing w:after="0" w:line="188" w:lineRule="exact"/>
        <w:rPr>
          <w:rFonts w:ascii="Arial" w:cs="Arial" w:eastAsia="Arial" w:hAnsi="Arial"/>
          <w:sz w:val="18"/>
          <w:szCs w:val="18"/>
          <w:color w:val="auto"/>
        </w:rPr>
      </w:pPr>
    </w:p>
    <w:p>
      <w:pPr>
        <w:ind w:left="1700" w:hanging="395"/>
        <w:spacing w:after="0"/>
        <w:tabs>
          <w:tab w:leader="none" w:pos="1700" w:val="left"/>
        </w:tabs>
        <w:numPr>
          <w:ilvl w:val="2"/>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shall mean any person, including an officer, who is providing services to and is customarily employed for at least twenty</w:t>
      </w:r>
    </w:p>
    <w:p>
      <w:pPr>
        <w:spacing w:after="0" w:line="46" w:lineRule="exact"/>
        <w:rPr>
          <w:rFonts w:ascii="Arial" w:cs="Arial" w:eastAsia="Arial" w:hAnsi="Arial"/>
          <w:sz w:val="16"/>
          <w:szCs w:val="16"/>
          <w:color w:val="auto"/>
        </w:rPr>
      </w:pPr>
    </w:p>
    <w:p>
      <w:pPr>
        <w:ind w:right="160" w:firstLine="8"/>
        <w:spacing w:after="0" w:line="290" w:lineRule="auto"/>
        <w:tabs>
          <w:tab w:leader="none" w:pos="345" w:val="left"/>
        </w:tabs>
        <w:numPr>
          <w:ilvl w:val="0"/>
          <w:numId w:val="94"/>
        </w:numPr>
        <w:rPr>
          <w:rFonts w:ascii="Arial" w:cs="Arial" w:eastAsia="Arial" w:hAnsi="Arial"/>
          <w:sz w:val="17"/>
          <w:szCs w:val="17"/>
          <w:color w:val="auto"/>
        </w:rPr>
      </w:pPr>
      <w:r>
        <w:rPr>
          <w:rFonts w:ascii="Arial" w:cs="Arial" w:eastAsia="Arial" w:hAnsi="Arial"/>
          <w:sz w:val="17"/>
          <w:szCs w:val="17"/>
          <w:color w:val="auto"/>
        </w:rPr>
        <w:t>hours per week and more than five (5) months in any calendar year by the Company or a Designated Company, or any lesser number of hours per week and/or number of months in any calendar year established by the Committee (if required under Applicable laws) under the Non-423 Plan.</w:t>
      </w:r>
    </w:p>
    <w:p>
      <w:pPr>
        <w:spacing w:after="0" w:line="161" w:lineRule="exact"/>
        <w:rPr>
          <w:rFonts w:ascii="Arial" w:cs="Arial" w:eastAsia="Arial" w:hAnsi="Arial"/>
          <w:sz w:val="17"/>
          <w:szCs w:val="17"/>
          <w:color w:val="auto"/>
        </w:rPr>
      </w:pPr>
    </w:p>
    <w:p>
      <w:pPr>
        <w:ind w:right="260" w:firstLine="1305"/>
        <w:spacing w:after="0" w:line="277" w:lineRule="auto"/>
        <w:tabs>
          <w:tab w:leader="none" w:pos="1646" w:val="left"/>
        </w:tabs>
        <w:numPr>
          <w:ilvl w:val="2"/>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U.S. Securities Exchange Act of 1934, as amended, from time to time, or any successor law thereto, and the regulations promulgated thereunder.</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2"/>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Exercise Date</w:t>
      </w:r>
      <w:r>
        <w:rPr>
          <w:rFonts w:ascii="Arial" w:cs="Arial" w:eastAsia="Arial" w:hAnsi="Arial"/>
          <w:sz w:val="17"/>
          <w:szCs w:val="17"/>
          <w:color w:val="auto"/>
        </w:rPr>
        <w:t>” shall mean the last Trading Day of each Exercise Period (or such other Trading Day as the Committee shall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determine).</w:t>
      </w:r>
    </w:p>
    <w:p>
      <w:pPr>
        <w:spacing w:after="0" w:line="210" w:lineRule="exact"/>
        <w:rPr>
          <w:rFonts w:ascii="Arial" w:cs="Arial" w:eastAsia="Arial" w:hAnsi="Arial"/>
          <w:sz w:val="17"/>
          <w:szCs w:val="17"/>
          <w:color w:val="auto"/>
        </w:rPr>
      </w:pPr>
    </w:p>
    <w:p>
      <w:pPr>
        <w:ind w:right="20" w:firstLine="1305"/>
        <w:spacing w:after="0" w:line="342" w:lineRule="auto"/>
        <w:tabs>
          <w:tab w:leader="none" w:pos="1686" w:val="left"/>
        </w:tabs>
        <w:numPr>
          <w:ilvl w:val="2"/>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Period</w:t>
      </w:r>
      <w:r>
        <w:rPr>
          <w:rFonts w:ascii="Arial" w:cs="Arial" w:eastAsia="Arial" w:hAnsi="Arial"/>
          <w:sz w:val="16"/>
          <w:szCs w:val="16"/>
          <w:color w:val="auto"/>
        </w:rPr>
        <w:t>” shall mean a period of time within an Offering Period, as may be specified by the Committee in accordance with the Plan, generally beginning on the Offering Date and ending on a Exercise Date. An Offering Period may consist of one or more Exercise Periods.</w:t>
      </w:r>
    </w:p>
    <w:p>
      <w:pPr>
        <w:spacing w:after="0" w:line="123" w:lineRule="exact"/>
        <w:rPr>
          <w:rFonts w:ascii="Arial" w:cs="Arial" w:eastAsia="Arial" w:hAnsi="Arial"/>
          <w:sz w:val="16"/>
          <w:szCs w:val="16"/>
          <w:color w:val="auto"/>
        </w:rPr>
      </w:pPr>
    </w:p>
    <w:p>
      <w:pPr>
        <w:ind w:firstLine="1305"/>
        <w:spacing w:after="0" w:line="255" w:lineRule="auto"/>
        <w:tabs>
          <w:tab w:leader="none" w:pos="1686" w:val="left"/>
        </w:tabs>
        <w:numPr>
          <w:ilvl w:val="2"/>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shall mean an offer of an option to purchase shares of Common Stock under the Section 423 Plan or the Non-423 Plan during an Offering Period. Unless otherwise specified by the Committee, each Offering to the Employees of the Company or a Designated Company shall be deemed a separate Offering, even if the dates and other terms of the applicable Offering Periods of each such Offering are identical, and the provisions of the Plan will separately apply to each such Offering. With respect to the Section 423 Plan, the terms of each Offering need not be identical provided that the terms of the Plan and an Offering together satisfy Section 423 of the Code and the U.S. Treasury Regulations thereunder; a Non-423 Plan Offering need not satisfy such regulations.</w:t>
      </w:r>
    </w:p>
    <w:p>
      <w:pPr>
        <w:spacing w:after="0" w:line="193" w:lineRule="exact"/>
        <w:rPr>
          <w:rFonts w:ascii="Arial" w:cs="Arial" w:eastAsia="Arial" w:hAnsi="Arial"/>
          <w:sz w:val="18"/>
          <w:szCs w:val="18"/>
          <w:color w:val="auto"/>
        </w:rPr>
      </w:pPr>
    </w:p>
    <w:p>
      <w:pPr>
        <w:ind w:left="1700" w:hanging="395"/>
        <w:spacing w:after="0"/>
        <w:tabs>
          <w:tab w:leader="none" w:pos="17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Date</w:t>
      </w:r>
      <w:r>
        <w:rPr>
          <w:rFonts w:ascii="Arial" w:cs="Arial" w:eastAsia="Arial" w:hAnsi="Arial"/>
          <w:sz w:val="18"/>
          <w:szCs w:val="18"/>
          <w:color w:val="auto"/>
        </w:rPr>
        <w:t>” shall mean the first Trading Day of each Offering Period of the Plan.</w:t>
      </w:r>
    </w:p>
    <w:p>
      <w:pPr>
        <w:spacing w:after="0" w:line="225" w:lineRule="exact"/>
        <w:rPr>
          <w:rFonts w:ascii="Arial" w:cs="Arial" w:eastAsia="Arial" w:hAnsi="Arial"/>
          <w:sz w:val="18"/>
          <w:szCs w:val="18"/>
          <w:color w:val="auto"/>
        </w:rPr>
      </w:pPr>
    </w:p>
    <w:p>
      <w:pPr>
        <w:ind w:right="40" w:firstLine="1305"/>
        <w:spacing w:after="0" w:line="264" w:lineRule="auto"/>
        <w:tabs>
          <w:tab w:leader="none" w:pos="1686" w:val="left"/>
        </w:tabs>
        <w:numPr>
          <w:ilvl w:val="2"/>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shall mean the periods established in accordance with the Plan during which options to purchase shares of Common Stock may be granted and Shares of Common Stock may be purchased on one or more Exercise Dates. The duration and timing of Offering Periods may be changed pursuant to the Plan.</w:t>
      </w:r>
    </w:p>
    <w:p>
      <w:pPr>
        <w:spacing w:after="0" w:line="181" w:lineRule="exact"/>
        <w:rPr>
          <w:rFonts w:ascii="Arial" w:cs="Arial" w:eastAsia="Arial" w:hAnsi="Arial"/>
          <w:sz w:val="18"/>
          <w:szCs w:val="18"/>
          <w:color w:val="auto"/>
        </w:rPr>
      </w:pPr>
    </w:p>
    <w:p>
      <w:pPr>
        <w:ind w:left="1660" w:hanging="355"/>
        <w:spacing w:after="0"/>
        <w:tabs>
          <w:tab w:leader="none" w:pos="1660" w:val="left"/>
        </w:tabs>
        <w:numPr>
          <w:ilvl w:val="2"/>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shall mean this 1998 Employee Qualified Stock Purchase Plan, as amended and restated and as may be further amended from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to time.</w:t>
      </w:r>
    </w:p>
    <w:p>
      <w:pPr>
        <w:spacing w:after="0" w:line="210" w:lineRule="exact"/>
        <w:rPr>
          <w:rFonts w:ascii="Arial" w:cs="Arial" w:eastAsia="Arial" w:hAnsi="Arial"/>
          <w:sz w:val="16"/>
          <w:szCs w:val="16"/>
          <w:color w:val="auto"/>
        </w:rPr>
      </w:pPr>
    </w:p>
    <w:p>
      <w:pPr>
        <w:ind w:right="140" w:firstLine="1305"/>
        <w:spacing w:after="0" w:line="308" w:lineRule="auto"/>
        <w:tabs>
          <w:tab w:leader="none" w:pos="1666" w:val="left"/>
        </w:tabs>
        <w:numPr>
          <w:ilvl w:val="2"/>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a corporation, domestic or foreign, of which not less than 50% of the voting shares are held by the Company or a Subsidiary, whether or not such corporation now exists or is hereafter organized or acquired by the Company or a Subsidiary.</w:t>
      </w:r>
    </w:p>
    <w:p>
      <w:pPr>
        <w:spacing w:after="0" w:line="146" w:lineRule="exact"/>
        <w:rPr>
          <w:rFonts w:ascii="Arial" w:cs="Arial" w:eastAsia="Arial" w:hAnsi="Arial"/>
          <w:sz w:val="17"/>
          <w:szCs w:val="17"/>
          <w:color w:val="auto"/>
        </w:rPr>
      </w:pPr>
    </w:p>
    <w:p>
      <w:pPr>
        <w:ind w:left="1660" w:hanging="355"/>
        <w:spacing w:after="0"/>
        <w:tabs>
          <w:tab w:leader="none" w:pos="1660" w:val="left"/>
        </w:tabs>
        <w:numPr>
          <w:ilvl w:val="2"/>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 day on which the principal exchange that shares of Common Stock are listed on is open for trading.</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1305"/>
        <w:spacing w:after="0" w:line="277" w:lineRule="auto"/>
        <w:tabs>
          <w:tab w:leader="none" w:pos="1666" w:val="left"/>
        </w:tabs>
        <w:numPr>
          <w:ilvl w:val="2"/>
          <w:numId w:val="95"/>
        </w:numPr>
        <w:rPr>
          <w:rFonts w:ascii="Arial" w:cs="Arial" w:eastAsia="Arial" w:hAnsi="Arial"/>
          <w:sz w:val="18"/>
          <w:szCs w:val="18"/>
          <w:color w:val="auto"/>
        </w:rPr>
      </w:pPr>
      <w:r>
        <w:rPr>
          <w:rFonts w:ascii="Arial" w:cs="Arial" w:eastAsia="Arial" w:hAnsi="Arial"/>
          <w:sz w:val="18"/>
          <w:szCs w:val="18"/>
          <w:color w:val="auto"/>
        </w:rPr>
        <w:t>Any Employee as defined in Section 2 who shall be employed by the Company as of the date specified by the Committee (as defined in Section 14) shall be eligible to participate in the Plan, subject to limitations imposed by Section 423(b) of the Code.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92" w:name="page93"/>
    <w:bookmarkEnd w:id="92"/>
    <w:p>
      <w:pPr>
        <w:ind w:right="60" w:firstLine="1305"/>
        <w:spacing w:after="0" w:line="273" w:lineRule="auto"/>
        <w:tabs>
          <w:tab w:leader="none" w:pos="1676" w:val="left"/>
        </w:tabs>
        <w:numPr>
          <w:ilvl w:val="1"/>
          <w:numId w:val="96"/>
        </w:numPr>
        <w:rPr>
          <w:rFonts w:ascii="Arial" w:cs="Arial" w:eastAsia="Arial" w:hAnsi="Arial"/>
          <w:sz w:val="17"/>
          <w:szCs w:val="17"/>
          <w:color w:val="auto"/>
        </w:rPr>
      </w:pPr>
      <w:r>
        <w:rPr>
          <w:rFonts w:ascii="Arial" w:cs="Arial" w:eastAsia="Arial" w:hAnsi="Arial"/>
          <w:sz w:val="17"/>
          <w:szCs w:val="17"/>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or (ii) which permits such Employee’s rights to purchase stock under all employee stock purchase plans of the Company and its subsidiaries to accrue at a rate which exceeds Twenty-Five Thousand Dollars (US$25,000) of fair market value of such stock (determined at the time such option is granted) for each calendar year in which such option is outstanding at any time.</w:t>
      </w:r>
    </w:p>
    <w:p>
      <w:pPr>
        <w:spacing w:after="0" w:line="178" w:lineRule="exact"/>
        <w:rPr>
          <w:rFonts w:ascii="Arial" w:cs="Arial" w:eastAsia="Arial" w:hAnsi="Arial"/>
          <w:sz w:val="17"/>
          <w:szCs w:val="17"/>
          <w:color w:val="auto"/>
        </w:rPr>
      </w:pPr>
    </w:p>
    <w:p>
      <w:pPr>
        <w:jc w:val="both"/>
        <w:ind w:right="20" w:firstLine="656"/>
        <w:spacing w:after="0" w:line="288" w:lineRule="auto"/>
        <w:tabs>
          <w:tab w:leader="none" w:pos="963"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Offering Periods</w:t>
      </w:r>
      <w:r>
        <w:rPr>
          <w:rFonts w:ascii="Arial" w:cs="Arial" w:eastAsia="Arial" w:hAnsi="Arial"/>
          <w:sz w:val="16"/>
          <w:szCs w:val="16"/>
          <w:color w:val="auto"/>
        </w:rPr>
        <w:t>. The Plan shall be implemented by consecutive Offering Periods with a new Offering Period commencing on the Offering Date of the relevant Offering Period and terminating on the last Trading Date of the relevant Offering Period. Unless and until the Committee determines otherwise in its discretion, each Offering Period shall have a duration of twenty-four (24) months and consist of four (4) consecutive six (6)-month Exercise Periods.</w:t>
      </w:r>
    </w:p>
    <w:p>
      <w:pPr>
        <w:spacing w:after="0" w:line="273" w:lineRule="auto"/>
        <w:rPr>
          <w:rFonts w:ascii="Arial" w:cs="Arial" w:eastAsia="Arial" w:hAnsi="Arial"/>
          <w:sz w:val="16"/>
          <w:szCs w:val="16"/>
          <w:color w:val="auto"/>
        </w:rPr>
      </w:pPr>
      <w:r>
        <w:rPr>
          <w:rFonts w:ascii="Arial" w:cs="Arial" w:eastAsia="Arial" w:hAnsi="Arial"/>
          <w:sz w:val="17"/>
          <w:szCs w:val="17"/>
          <w:color w:val="auto"/>
        </w:rPr>
        <w:t>The Committee will have the authority to establish additional or alternative sequential or overlapping Offering Periods, a different number of Exercise Periods within an Offering Period, a different duration for one or more Offering Periods or Exercise Periods or different commencement or ending dates for such Offering Periods with respect to future offerings without stockholder approval if such change is announced prior to the scheduled beginning of the first Offering Period to be affected thereafter, provided, however, that no Offering Period may have a duration exceeding twenty-seven (27) months.</w:t>
      </w:r>
    </w:p>
    <w:p>
      <w:pPr>
        <w:spacing w:after="0" w:line="176" w:lineRule="exact"/>
        <w:rPr>
          <w:rFonts w:ascii="Arial" w:cs="Arial" w:eastAsia="Arial" w:hAnsi="Arial"/>
          <w:sz w:val="16"/>
          <w:szCs w:val="16"/>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259" w:lineRule="auto"/>
        <w:tabs>
          <w:tab w:leader="none" w:pos="1666"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 eligible Employee may become a participant in the Plan by completing a subscription agreement authorizing payroll deductions on the form provided by the Company and filing it online via the employee portal or with the Company’s payroll office within the period specified by the Committee for the applicable Offering Period, unless a later or earlier time for filing the subscription agreement is set by the Committee for all eligible Employees with respect to a given Offering.</w:t>
      </w:r>
    </w:p>
    <w:p>
      <w:pPr>
        <w:spacing w:after="0" w:line="186" w:lineRule="exact"/>
        <w:rPr>
          <w:rFonts w:ascii="Arial" w:cs="Arial" w:eastAsia="Arial" w:hAnsi="Arial"/>
          <w:sz w:val="18"/>
          <w:szCs w:val="18"/>
          <w:color w:val="auto"/>
        </w:rPr>
      </w:pPr>
    </w:p>
    <w:p>
      <w:pPr>
        <w:ind w:right="240" w:firstLine="1305"/>
        <w:spacing w:after="0" w:line="286" w:lineRule="auto"/>
        <w:tabs>
          <w:tab w:leader="none" w:pos="1686" w:val="left"/>
        </w:tabs>
        <w:numPr>
          <w:ilvl w:val="1"/>
          <w:numId w:val="97"/>
        </w:numPr>
        <w:rPr>
          <w:rFonts w:ascii="Arial" w:cs="Arial" w:eastAsia="Arial" w:hAnsi="Arial"/>
          <w:sz w:val="17"/>
          <w:szCs w:val="17"/>
          <w:color w:val="auto"/>
        </w:rPr>
      </w:pPr>
      <w:r>
        <w:rPr>
          <w:rFonts w:ascii="Arial" w:cs="Arial" w:eastAsia="Arial" w:hAnsi="Arial"/>
          <w:sz w:val="17"/>
          <w:szCs w:val="17"/>
          <w:color w:val="auto"/>
        </w:rPr>
        <w:t>Payroll deductions for a participant shall continue at the rate specified in the subscription agreement throughout the Offering Period with automatic re-enrollment for the subsequent Offering Period at the same rate specified in the original subscription agreement, subject to any change in subscription rate made pursuant to Section 6(c), unless sooner terminated by the participant as provided in Section 10.</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305"/>
        <w:spacing w:after="0" w:line="312" w:lineRule="auto"/>
        <w:tabs>
          <w:tab w:leader="none" w:pos="1666" w:val="left"/>
        </w:tabs>
        <w:numPr>
          <w:ilvl w:val="1"/>
          <w:numId w:val="97"/>
        </w:numPr>
        <w:rPr>
          <w:rFonts w:ascii="Arial" w:cs="Arial" w:eastAsia="Arial" w:hAnsi="Arial"/>
          <w:sz w:val="16"/>
          <w:szCs w:val="16"/>
          <w:color w:val="auto"/>
        </w:rPr>
      </w:pPr>
      <w:r>
        <w:rPr>
          <w:rFonts w:ascii="Arial" w:cs="Arial" w:eastAsia="Arial" w:hAnsi="Arial"/>
          <w:sz w:val="16"/>
          <w:szCs w:val="16"/>
          <w:color w:val="auto"/>
        </w:rPr>
        <w:t>At the time a participant files his or her subscription agreement, such participant shall elect to have payroll deductions made on each payday during the Offering Period in an amount not exceeding fifteen percent (15%) of his or her Compensation on each payroll date. The aggregate of such payroll deductions during any Offering Period shall not exceed fifteen percent (15%) of his or her aggregate Compensation during said Offering Period.</w:t>
      </w:r>
    </w:p>
    <w:p>
      <w:pPr>
        <w:spacing w:after="0" w:line="146" w:lineRule="exact"/>
        <w:rPr>
          <w:rFonts w:ascii="Arial" w:cs="Arial" w:eastAsia="Arial" w:hAnsi="Arial"/>
          <w:sz w:val="16"/>
          <w:szCs w:val="16"/>
          <w:color w:val="auto"/>
        </w:rPr>
      </w:pPr>
    </w:p>
    <w:p>
      <w:pPr>
        <w:ind w:right="140" w:firstLine="1305"/>
        <w:spacing w:after="0" w:line="255" w:lineRule="auto"/>
        <w:tabs>
          <w:tab w:leader="none" w:pos="1676"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payroll deductions made by a participant shall be credited to his or her account under the Plan. A participant may not make any additional payments into such account. Notwithstanding the foregoing, in the event of an administrative error by the Company the result of which a participant’s payroll deductions are not credited to his or her account in accordance with such participant’s election made pursuant to Section 6(a) above, the Company may permit a participant to make a payment to his or her account prior to the next scheduled Exercise Date provided such contributions do not cause such participant’s aggregate credits to his or her account to exceed fifteen percent (15%) of his or her aggregate Compensation for the Offering Period with respect to which such administrative error was made.</w:t>
      </w:r>
    </w:p>
    <w:p>
      <w:pPr>
        <w:spacing w:after="0" w:line="193" w:lineRule="exact"/>
        <w:rPr>
          <w:rFonts w:ascii="Arial" w:cs="Arial" w:eastAsia="Arial" w:hAnsi="Arial"/>
          <w:sz w:val="18"/>
          <w:szCs w:val="18"/>
          <w:color w:val="auto"/>
        </w:rPr>
      </w:pPr>
    </w:p>
    <w:p>
      <w:pPr>
        <w:ind w:right="120" w:firstLine="1305"/>
        <w:spacing w:after="0" w:line="257" w:lineRule="auto"/>
        <w:tabs>
          <w:tab w:leader="none" w:pos="1666"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participant may discontinue his or her participation in the Plan as provided in Section 11, or may decrease the rate of his or her payroll deductions at any time during the Offering Period by completing or filing with the Company a form provided by the Company notifying the payroll office of such withdrawal or reduction of withholding rate. The decrease in rate shall be effective as of the next pay date following receipt of the form or at such other time as the Company and the participant may agree. A participant may increase the rate of his or her payroll deductions during an Offering Period within such time frame as determined by the Board or Committee from time to time.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5" w:right="239" w:bottom="1440" w:gutter="0" w:footer="0" w:header="0"/>
        </w:sectPr>
      </w:pPr>
    </w:p>
    <w:bookmarkStart w:id="93" w:name="page94"/>
    <w:bookmarkEnd w:id="93"/>
    <w:p>
      <w:pPr>
        <w:ind w:left="920" w:hanging="324"/>
        <w:spacing w:after="0"/>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0" w:right="20" w:firstLine="1305"/>
        <w:spacing w:after="0" w:line="254" w:lineRule="auto"/>
        <w:tabs>
          <w:tab w:leader="none" w:pos="1616" w:val="left"/>
        </w:tabs>
        <w:numPr>
          <w:ilvl w:val="1"/>
          <w:numId w:val="98"/>
        </w:numPr>
        <w:rPr>
          <w:rFonts w:ascii="Arial" w:cs="Arial" w:eastAsia="Arial" w:hAnsi="Arial"/>
          <w:sz w:val="18"/>
          <w:szCs w:val="18"/>
          <w:color w:val="auto"/>
        </w:rPr>
      </w:pPr>
      <w:r>
        <w:rPr>
          <w:rFonts w:ascii="Arial" w:cs="Arial" w:eastAsia="Arial" w:hAnsi="Arial"/>
          <w:sz w:val="18"/>
          <w:szCs w:val="18"/>
          <w:color w:val="auto"/>
        </w:rPr>
        <w:t>On the Offering Date of each Offering Period, each eligible Employee participating in the Plan shall be granted an option to purchase on each Exercise Date during such Offering Period (at the per share option price) up to a number of shares of the Company’s Common Stock determined by dividing such Employee’s payroll deductions to be accumulated prior to such Exercise Date by the lower of (i) eighty-five percent (85%) of the fair market value of a share of the Company’s Common Stock on the Offering Date or (ii) eighty-five percent (85%) of the fair market value of a share of the Company’s Common Stock on the Exercise Date; provided that in no event shall an Employee be permitted to purchase during an Offering Period a number of shares in excess of a number determined by dividing US$50,000 by the fair market value of a share of the Company’s Common Stock on the Offering Date, subject to the limitations set forth in Sections 3(c) and 13 hereof. Fair market value of a share of the Company’s Common Stock shall be determined as provided in Section 7(b) herein.</w:t>
      </w:r>
    </w:p>
    <w:p>
      <w:pPr>
        <w:spacing w:after="0" w:line="192" w:lineRule="exact"/>
        <w:rPr>
          <w:rFonts w:ascii="Arial" w:cs="Arial" w:eastAsia="Arial" w:hAnsi="Arial"/>
          <w:sz w:val="18"/>
          <w:szCs w:val="18"/>
          <w:color w:val="auto"/>
        </w:rPr>
      </w:pPr>
    </w:p>
    <w:p>
      <w:pPr>
        <w:jc w:val="both"/>
        <w:ind w:left="-60" w:right="120" w:firstLine="1305"/>
        <w:spacing w:after="0" w:line="259" w:lineRule="auto"/>
        <w:tabs>
          <w:tab w:leader="none" w:pos="1623"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option price per share of the shares offered in a given Exercise Period shall be the lower of: (i) 85% of the fair market value of a share of the Common Stock of the Company on the Offering Date; or (ii) 85% of the fair market value of a share of the Common Stock of the Company on the Exercise Date. The fair market value of the Company’s Common Stock on a given date shall be the closing price as quoted on the Nasdaq Global Select Market.</w:t>
      </w:r>
    </w:p>
    <w:p>
      <w:pPr>
        <w:spacing w:after="0" w:line="186" w:lineRule="exact"/>
        <w:rPr>
          <w:rFonts w:ascii="Arial" w:cs="Arial" w:eastAsia="Arial" w:hAnsi="Arial"/>
          <w:sz w:val="18"/>
          <w:szCs w:val="18"/>
          <w:color w:val="auto"/>
        </w:rPr>
      </w:pPr>
    </w:p>
    <w:p>
      <w:pPr>
        <w:jc w:val="both"/>
        <w:ind w:left="-60" w:right="60" w:firstLine="656"/>
        <w:spacing w:after="0" w:line="259" w:lineRule="auto"/>
        <w:tabs>
          <w:tab w:leader="none" w:pos="90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Unless a participant withdraws from the Plan as provided in Section 11, his or her option for the purchase of shares will be exercised automatically on each Exercise Date of the Offering Period, and the maximum number of full shares subject to option will be purchased for him or her at the applicable option price with the accumulated payroll deductions in his or her account. During his or her lifetime, a participant’s option to purchase shares hereunder is exercisable only by him or her.</w:t>
      </w:r>
    </w:p>
    <w:p>
      <w:pPr>
        <w:spacing w:after="0" w:line="186" w:lineRule="exact"/>
        <w:rPr>
          <w:rFonts w:ascii="Arial" w:cs="Arial" w:eastAsia="Arial" w:hAnsi="Arial"/>
          <w:sz w:val="18"/>
          <w:szCs w:val="18"/>
          <w:color w:val="auto"/>
        </w:rPr>
      </w:pPr>
    </w:p>
    <w:p>
      <w:pPr>
        <w:ind w:left="-60" w:right="120" w:firstLine="656"/>
        <w:spacing w:after="0" w:line="302" w:lineRule="auto"/>
        <w:tabs>
          <w:tab w:leader="none" w:pos="90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Delivery</w:t>
      </w:r>
      <w:r>
        <w:rPr>
          <w:rFonts w:ascii="Arial" w:cs="Arial" w:eastAsia="Arial" w:hAnsi="Arial"/>
          <w:sz w:val="16"/>
          <w:szCs w:val="16"/>
          <w:color w:val="auto"/>
        </w:rPr>
        <w:t>. As promptly as practicable after the Exercise Date of each Offering, the Company shall arrange the delivery to each participant, as appropriate, of a certificate representing the shares purchased upon exercise of his or her option. Any cash remaining which is insufficient to purchase a full share of Common Stock at the termination of each Exercise Period or any amount remaining in a participant’s account in excess of the amount that may properly be applied to the purchase of shares of Common Stock due to the limitations under the Plan shall be refunded to the participant.</w:t>
      </w:r>
    </w:p>
    <w:p>
      <w:pPr>
        <w:spacing w:after="0" w:line="154" w:lineRule="exact"/>
        <w:rPr>
          <w:rFonts w:ascii="Arial" w:cs="Arial" w:eastAsia="Arial" w:hAnsi="Arial"/>
          <w:sz w:val="16"/>
          <w:szCs w:val="16"/>
          <w:color w:val="auto"/>
        </w:rPr>
      </w:pPr>
    </w:p>
    <w:p>
      <w:pPr>
        <w:ind w:left="-60" w:firstLine="656"/>
        <w:spacing w:after="0" w:line="257" w:lineRule="auto"/>
        <w:tabs>
          <w:tab w:leader="none" w:pos="99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Automatic Transfer to Low Price Offering Period</w:t>
      </w:r>
      <w:r>
        <w:rPr>
          <w:rFonts w:ascii="Arial" w:cs="Arial" w:eastAsia="Arial" w:hAnsi="Arial"/>
          <w:sz w:val="18"/>
          <w:szCs w:val="18"/>
          <w:color w:val="auto"/>
        </w:rPr>
        <w:t>. To the extent that the Committee establishes Offering Periods with more than one Exercise Period in each Offering Period and the fair market value of the Company’s Common Stock is lower on an Exercise Date than it was on the first Offering Date for that Offering Period, all Employees participating in the Plan on the Exercise Date shall be deemed to have withdrawn from the Offering Period immediately after the exercise of their option on such Exercise Date and to have enrolled as participants in a new Offering Period which begins on or about the day following such Exercise Date.</w:t>
      </w:r>
    </w:p>
    <w:p>
      <w:pPr>
        <w:spacing w:after="0" w:line="188" w:lineRule="exact"/>
        <w:rPr>
          <w:rFonts w:ascii="Arial" w:cs="Arial" w:eastAsia="Arial" w:hAnsi="Arial"/>
          <w:sz w:val="18"/>
          <w:szCs w:val="18"/>
          <w:color w:val="auto"/>
        </w:rPr>
      </w:pPr>
    </w:p>
    <w:p>
      <w:pPr>
        <w:ind w:left="1000" w:hanging="404"/>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Withdrawal; 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0" w:right="280" w:firstLine="1305"/>
        <w:spacing w:after="0" w:line="279" w:lineRule="auto"/>
        <w:tabs>
          <w:tab w:leader="none" w:pos="1606" w:val="left"/>
        </w:tabs>
        <w:numPr>
          <w:ilvl w:val="1"/>
          <w:numId w:val="98"/>
        </w:numPr>
        <w:rPr>
          <w:rFonts w:ascii="Arial" w:cs="Arial" w:eastAsia="Arial" w:hAnsi="Arial"/>
          <w:sz w:val="17"/>
          <w:szCs w:val="17"/>
          <w:color w:val="auto"/>
        </w:rPr>
      </w:pPr>
      <w:r>
        <w:rPr>
          <w:rFonts w:ascii="Arial" w:cs="Arial" w:eastAsia="Arial" w:hAnsi="Arial"/>
          <w:sz w:val="17"/>
          <w:szCs w:val="17"/>
          <w:color w:val="auto"/>
        </w:rPr>
        <w:t>A participant may withdraw all but not less than all the payroll deductions credited to his or her account under the Plan at any time prior to the Exercise Date of the Offering Period by giving written notice to the Company. All of the participant’s payroll deductions credited to his or her account will be paid to him or her at the next pay date after receipt of his or her notice of withdrawal and his or her option for the current period will be automatically terminated, and no further payroll deductions for the purchase of shares will be made during the Offering Period.</w:t>
      </w:r>
    </w:p>
    <w:p>
      <w:pPr>
        <w:spacing w:after="0" w:line="171" w:lineRule="exact"/>
        <w:rPr>
          <w:rFonts w:ascii="Arial" w:cs="Arial" w:eastAsia="Arial" w:hAnsi="Arial"/>
          <w:sz w:val="17"/>
          <w:szCs w:val="17"/>
          <w:color w:val="auto"/>
        </w:rPr>
      </w:pPr>
    </w:p>
    <w:p>
      <w:pPr>
        <w:ind w:left="-60" w:right="220" w:firstLine="1305"/>
        <w:spacing w:after="0" w:line="264" w:lineRule="auto"/>
        <w:tabs>
          <w:tab w:leader="none" w:pos="1626" w:val="left"/>
        </w:tabs>
        <w:numPr>
          <w:ilvl w:val="1"/>
          <w:numId w:val="98"/>
        </w:numPr>
        <w:rPr>
          <w:rFonts w:ascii="Arial" w:cs="Arial" w:eastAsia="Arial" w:hAnsi="Arial"/>
          <w:sz w:val="18"/>
          <w:szCs w:val="18"/>
          <w:color w:val="auto"/>
        </w:rPr>
      </w:pPr>
      <w:r>
        <w:rPr>
          <w:rFonts w:ascii="Arial" w:cs="Arial" w:eastAsia="Arial" w:hAnsi="Arial"/>
          <w:sz w:val="18"/>
          <w:szCs w:val="18"/>
          <w:color w:val="auto"/>
        </w:rPr>
        <w:t>Upon termination of the participant’s Continuous Status as an Employee prior to the Exercise Date for any reason, including retirement or death, the payroll deductions credited to his or her account will be returned to the participant’s or, in the case the of participant’s death, to the participant’s estate, and his or her option will be automatically terminated.</w:t>
      </w:r>
    </w:p>
    <w:p>
      <w:pPr>
        <w:spacing w:after="0" w:line="181" w:lineRule="exact"/>
        <w:rPr>
          <w:rFonts w:ascii="Arial" w:cs="Arial" w:eastAsia="Arial" w:hAnsi="Arial"/>
          <w:sz w:val="18"/>
          <w:szCs w:val="18"/>
          <w:color w:val="auto"/>
        </w:rPr>
      </w:pPr>
    </w:p>
    <w:p>
      <w:pPr>
        <w:ind w:left="-60" w:right="80" w:firstLine="1305"/>
        <w:spacing w:after="0" w:line="277" w:lineRule="auto"/>
        <w:tabs>
          <w:tab w:leader="none" w:pos="1606" w:val="left"/>
        </w:tabs>
        <w:numPr>
          <w:ilvl w:val="1"/>
          <w:numId w:val="98"/>
        </w:numPr>
        <w:rPr>
          <w:rFonts w:ascii="Arial" w:cs="Arial" w:eastAsia="Arial" w:hAnsi="Arial"/>
          <w:sz w:val="18"/>
          <w:szCs w:val="18"/>
          <w:color w:val="auto"/>
        </w:rPr>
      </w:pPr>
      <w:r>
        <w:rPr>
          <w:rFonts w:ascii="Arial" w:cs="Arial" w:eastAsia="Arial" w:hAnsi="Arial"/>
          <w:sz w:val="18"/>
          <w:szCs w:val="18"/>
          <w:color w:val="auto"/>
        </w:rPr>
        <w:t>A participant’s withdrawal from an Offering will not have any effect upon his or her eligibility to participate in a succeeding Offering or in any similar plan which may hereafter be adopted by the Company.</w:t>
      </w:r>
    </w:p>
    <w:p>
      <w:pPr>
        <w:spacing w:after="0" w:line="170" w:lineRule="exact"/>
        <w:rPr>
          <w:rFonts w:ascii="Arial" w:cs="Arial" w:eastAsia="Arial" w:hAnsi="Arial"/>
          <w:sz w:val="18"/>
          <w:szCs w:val="18"/>
          <w:color w:val="auto"/>
        </w:rPr>
      </w:pPr>
    </w:p>
    <w:p>
      <w:pPr>
        <w:ind w:left="1000" w:hanging="404"/>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of a participant in the Plan.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00"/>
          </w:cols>
          <w:pgMar w:left="300" w:top="625" w:right="299" w:bottom="1440" w:gutter="0" w:footer="0" w:header="0"/>
        </w:sectPr>
      </w:pPr>
    </w:p>
    <w:bookmarkStart w:id="94" w:name="page95"/>
    <w:bookmarkEnd w:id="94"/>
    <w:p>
      <w:pPr>
        <w:ind w:left="1060" w:hanging="40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71" w:lineRule="auto"/>
        <w:tabs>
          <w:tab w:leader="none" w:pos="1673"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maximum number of shares of the Company’s Common Stock which shall be made available for sale under the Plan shall be 10,000,000 shares, subject to adjustment upon changes in capitalization of the Company as provided in Section 18 hereof. For avoidance of doubt, the foregoing number of reserved shares of Common Stock may be used to satisfy purchases of shares of Common Stock under either the Section 423 Plan or Non-423 Plan. If the total number of shares which would otherwise be subject to options granted pursuant to Section 7(a) hereof on the Exercise Date of an Offering Period exceeds the number of shares then available under the Plan (after deduction of all shares for which options have been exercised or are then 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Employee affected thereby and shall similarly reduce the rate of payroll deductions, if necessary.</w:t>
      </w:r>
    </w:p>
    <w:p>
      <w:pPr>
        <w:spacing w:after="0" w:line="178" w:lineRule="exact"/>
        <w:rPr>
          <w:rFonts w:ascii="Arial" w:cs="Arial" w:eastAsia="Arial" w:hAnsi="Arial"/>
          <w:sz w:val="17"/>
          <w:szCs w:val="17"/>
          <w:color w:val="auto"/>
        </w:rPr>
      </w:pPr>
    </w:p>
    <w:p>
      <w:pPr>
        <w:ind w:left="1700" w:hanging="395"/>
        <w:spacing w:after="0"/>
        <w:tabs>
          <w:tab w:leader="none" w:pos="17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participant will have no interest or voting right in shares covered by his or her option until such option has been exercised.</w:t>
      </w:r>
    </w:p>
    <w:p>
      <w:pPr>
        <w:spacing w:after="0" w:line="236" w:lineRule="exact"/>
        <w:rPr>
          <w:rFonts w:ascii="Arial" w:cs="Arial" w:eastAsia="Arial" w:hAnsi="Arial"/>
          <w:sz w:val="17"/>
          <w:szCs w:val="17"/>
          <w:color w:val="auto"/>
        </w:rPr>
      </w:pPr>
    </w:p>
    <w:p>
      <w:pPr>
        <w:ind w:left="1680" w:hanging="375"/>
        <w:spacing w:after="0"/>
        <w:tabs>
          <w:tab w:leader="none" w:pos="1680" w:val="left"/>
        </w:tabs>
        <w:numPr>
          <w:ilvl w:val="1"/>
          <w:numId w:val="99"/>
        </w:numPr>
        <w:rPr>
          <w:rFonts w:ascii="Arial" w:cs="Arial" w:eastAsia="Arial" w:hAnsi="Arial"/>
          <w:sz w:val="16"/>
          <w:szCs w:val="16"/>
          <w:color w:val="auto"/>
        </w:rPr>
      </w:pPr>
      <w:r>
        <w:rPr>
          <w:rFonts w:ascii="Arial" w:cs="Arial" w:eastAsia="Arial" w:hAnsi="Arial"/>
          <w:sz w:val="16"/>
          <w:szCs w:val="16"/>
          <w:color w:val="auto"/>
        </w:rPr>
        <w:t>Shares to be delivered to a participant under the Plan will be registered in the name of the participant or in the name of the participant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his or her spouse.</w:t>
      </w:r>
    </w:p>
    <w:p>
      <w:pPr>
        <w:spacing w:after="0" w:line="210" w:lineRule="exact"/>
        <w:rPr>
          <w:rFonts w:ascii="Arial" w:cs="Arial" w:eastAsia="Arial" w:hAnsi="Arial"/>
          <w:sz w:val="16"/>
          <w:szCs w:val="16"/>
          <w:color w:val="auto"/>
        </w:rPr>
      </w:pPr>
    </w:p>
    <w:p>
      <w:pPr>
        <w:ind w:left="1060" w:hanging="40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1305"/>
        <w:spacing w:after="0" w:line="264" w:lineRule="auto"/>
        <w:tabs>
          <w:tab w:leader="none" w:pos="1673"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Plan shall be administered by the Board or the Committee. Notwithstanding anything in the Plan to the contrary, subject to Applicable Laws, any authority or responsibility that, under the terms of the Plan, may be exercised by the Committee may alternatively be exercised by the Board.</w:t>
      </w:r>
    </w:p>
    <w:p>
      <w:pPr>
        <w:spacing w:after="0" w:line="181" w:lineRule="exact"/>
        <w:rPr>
          <w:rFonts w:ascii="Arial" w:cs="Arial" w:eastAsia="Arial" w:hAnsi="Arial"/>
          <w:sz w:val="18"/>
          <w:szCs w:val="18"/>
          <w:color w:val="auto"/>
        </w:rPr>
      </w:pPr>
    </w:p>
    <w:p>
      <w:pPr>
        <w:ind w:firstLine="1305"/>
        <w:spacing w:after="0" w:line="254" w:lineRule="auto"/>
        <w:tabs>
          <w:tab w:leader="none" w:pos="1676"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questions of interpretation of the Plan, of any form of agreement or other document employed by the Company in the administration of the Plan, or of any option shall be determined by the Board or the Committee, and such determinations shall be final, binding and conclusive upon all persons having an interest in the Plan or the option, unless fraudulent or made in bad faith. Subject to the provisions of the Plan, the Board or the Committee shall determine all of the relevant terms and conditions of options; provided, however, that all Employees granted options pursuant to an Offering under the Section 423 Plan shall have the same rights and privileges within the meaning of Section 423(b)(5) of the Code. Any and all actions, decisions and determinations taken or made by the Board or the Committee in the exercise of its discretion pursuant to the Plan or any agreement thereunder (other than determining questions of interpretation pursuant to the second sentence of this Section 14(b)) shall be final, binding and conclusive upon all persons having an interest therein.</w:t>
      </w:r>
    </w:p>
    <w:p>
      <w:pPr>
        <w:spacing w:after="0" w:line="192" w:lineRule="exact"/>
        <w:rPr>
          <w:rFonts w:ascii="Arial" w:cs="Arial" w:eastAsia="Arial" w:hAnsi="Arial"/>
          <w:sz w:val="18"/>
          <w:szCs w:val="18"/>
          <w:color w:val="auto"/>
        </w:rPr>
      </w:pPr>
    </w:p>
    <w:p>
      <w:pPr>
        <w:ind w:right="20" w:firstLine="1305"/>
        <w:spacing w:after="0" w:line="276" w:lineRule="auto"/>
        <w:tabs>
          <w:tab w:leader="none" w:pos="1673"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Board or the Committee shall have the power, in its discretion, to adopt one or more sub-plans of the Plan as the Committee deems necessary or desirable to comply with Applicable Laws, tax policy, accounting principles or custom of foreign jurisdictions applicable to Employees, provided that any such sub-plan shall be within the scope of the Non-423 Plan or, to the extent consistent with Section 423 of the Code, in a separate Offering under the Section 423 Plan. Any of the provisions of any such sub-plan may supersede the provisions of this Plan, other than Section 13. Except as superseded by the provisions of a sub-plan, the provisions of this Plan shall govern such sub-plan.</w:t>
      </w:r>
    </w:p>
    <w:p>
      <w:pPr>
        <w:spacing w:after="0" w:line="172" w:lineRule="exact"/>
        <w:rPr>
          <w:rFonts w:ascii="Arial" w:cs="Arial" w:eastAsia="Arial" w:hAnsi="Arial"/>
          <w:sz w:val="17"/>
          <w:szCs w:val="17"/>
          <w:color w:val="auto"/>
        </w:rPr>
      </w:pPr>
    </w:p>
    <w:p>
      <w:pPr>
        <w:ind w:right="240" w:firstLine="1305"/>
        <w:spacing w:after="0" w:line="286" w:lineRule="auto"/>
        <w:tabs>
          <w:tab w:leader="none" w:pos="1683"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Board or Committee shall have the power, in its discretion, to establish separate, simultaneous or overlapping Offerings having different terms and conditions and to designate the Designated Company or Companies that may participate in a particular Offering, provided that each Offering under the Section 423 Plan shall individually comply with the terms of the Plan and the requirements of Section 423(b)(5).</w:t>
      </w:r>
    </w:p>
    <w:p>
      <w:pPr>
        <w:spacing w:after="0" w:line="165" w:lineRule="exact"/>
        <w:rPr>
          <w:rFonts w:ascii="Arial" w:cs="Arial" w:eastAsia="Arial" w:hAnsi="Arial"/>
          <w:sz w:val="17"/>
          <w:szCs w:val="17"/>
          <w:color w:val="auto"/>
        </w:rPr>
      </w:pPr>
    </w:p>
    <w:p>
      <w:pPr>
        <w:ind w:right="140" w:firstLine="1305"/>
        <w:spacing w:after="0" w:line="255" w:lineRule="auto"/>
        <w:tabs>
          <w:tab w:leader="none" w:pos="1673" w:val="left"/>
        </w:tabs>
        <w:numPr>
          <w:ilvl w:val="1"/>
          <w:numId w:val="99"/>
        </w:numPr>
        <w:rPr>
          <w:rFonts w:ascii="Arial" w:cs="Arial" w:eastAsia="Arial" w:hAnsi="Arial"/>
          <w:sz w:val="18"/>
          <w:szCs w:val="18"/>
          <w:color w:val="auto"/>
        </w:rPr>
      </w:pPr>
      <w:r>
        <w:rPr>
          <w:rFonts w:ascii="Arial" w:cs="Arial" w:eastAsia="Arial" w:hAnsi="Arial"/>
          <w:sz w:val="18"/>
          <w:szCs w:val="18"/>
          <w:color w:val="auto"/>
        </w:rPr>
        <w:t>Without regard to whether any Employee’s option may be considered adversely affected, the Company may, from time to time, consistent with the Plan, and with the requirements of Section 423 of the Code in the case of the Section 423 Plan, establish, change or terminate such rules, guidelines, policies, procedures, limitations, or adjustments as deemed advisable by the Company, in its discretion, for the proper administration of the Plan, including, without limitation, (i) any minimum or maximum amount of contributions a participant may make in an Offering Period or other specified period under the applicable Offering, (ii) a limitation on the frequency or number of changes permitted in the rate of payroll deduction during an Offering, (iii) conversion of local currency, (iv) determination of the date and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625" w:right="259" w:bottom="1440" w:gutter="0" w:footer="0" w:header="0"/>
        </w:sectPr>
      </w:pPr>
    </w:p>
    <w:bookmarkStart w:id="95" w:name="page96"/>
    <w:bookmarkEnd w:id="95"/>
    <w:p>
      <w:pPr>
        <w:spacing w:after="0" w:line="273" w:lineRule="auto"/>
        <w:rPr>
          <w:sz w:val="20"/>
          <w:szCs w:val="20"/>
          <w:color w:val="auto"/>
        </w:rPr>
      </w:pPr>
      <w:r>
        <w:rPr>
          <w:rFonts w:ascii="Arial" w:cs="Arial" w:eastAsia="Arial" w:hAnsi="Arial"/>
          <w:sz w:val="17"/>
          <w:szCs w:val="17"/>
          <w:color w:val="auto"/>
        </w:rPr>
        <w:t>manner by which the fair market value of a share of Common Stock is determined for purposes of administration of the Plan, (v) the handling of payroll deductions, (vi) establishment of bank, building society or trust accounts to hold payroll deductions or contributions, (vii) payment of interest, (viii) obligations to pay payroll tax, (ix) determination of beneficiary designation requirements, (x) withholding procedures and (xi) handling of share issuances. The Board or Committee are further authorized to take any action that it deems advisable to obtain approval or comply with any necessary local governmental regulatory exemptions or approvals. Notwithstanding the foregoing, the Board or its Committee may not take any actions hereunder that would violate Applicable Laws or cause Offerings under the 423 Plan not to comply with Section 423 of the Code.</w:t>
      </w:r>
    </w:p>
    <w:p>
      <w:pPr>
        <w:spacing w:after="0" w:line="178" w:lineRule="exact"/>
        <w:rPr>
          <w:sz w:val="20"/>
          <w:szCs w:val="20"/>
          <w:color w:val="auto"/>
        </w:rPr>
      </w:pPr>
    </w:p>
    <w:p>
      <w:pPr>
        <w:ind w:right="80" w:firstLine="1305"/>
        <w:spacing w:after="0" w:line="302" w:lineRule="auto"/>
        <w:tabs>
          <w:tab w:leader="none" w:pos="1653"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To the extent not prohibited by Applicable Laws, the Board or Committee may, from time to time, delegate some or all of its authority under the Plan to a subcommittee or subcommittees of the Committee, or other persons or groups of persons as it deems necessary, appropriate or advisable under conditions or limitations that it may set at or after the time of the delegation. For purposes of the Plan, reference to the Committee shall be deemed to refer to any subcommittee, subcommittees, or other persons or groups of persons to whom the Committee delegates authority pursuant to this section.</w:t>
      </w:r>
    </w:p>
    <w:p>
      <w:pPr>
        <w:spacing w:after="0" w:line="154" w:lineRule="exact"/>
        <w:rPr>
          <w:rFonts w:ascii="Arial" w:cs="Arial" w:eastAsia="Arial" w:hAnsi="Arial"/>
          <w:sz w:val="16"/>
          <w:szCs w:val="16"/>
          <w:color w:val="auto"/>
        </w:rPr>
      </w:pPr>
    </w:p>
    <w:p>
      <w:pPr>
        <w:ind w:left="1700" w:hanging="395"/>
        <w:spacing w:after="0"/>
        <w:tabs>
          <w:tab w:leader="none" w:pos="17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Members of the Board who are eligible Employees are permitted to participate in the Plan, provided that:</w:t>
      </w:r>
    </w:p>
    <w:p>
      <w:pPr>
        <w:spacing w:after="0" w:line="225" w:lineRule="exact"/>
        <w:rPr>
          <w:rFonts w:ascii="Arial" w:cs="Arial" w:eastAsia="Arial" w:hAnsi="Arial"/>
          <w:sz w:val="18"/>
          <w:szCs w:val="18"/>
          <w:color w:val="auto"/>
        </w:rPr>
      </w:pPr>
    </w:p>
    <w:p>
      <w:pPr>
        <w:ind w:right="220" w:firstLine="1953"/>
        <w:spacing w:after="0" w:line="277" w:lineRule="auto"/>
        <w:tabs>
          <w:tab w:leader="none" w:pos="2295" w:val="left"/>
        </w:tabs>
        <w:numPr>
          <w:ilvl w:val="2"/>
          <w:numId w:val="100"/>
        </w:numPr>
        <w:rPr>
          <w:rFonts w:ascii="Arial" w:cs="Arial" w:eastAsia="Arial" w:hAnsi="Arial"/>
          <w:sz w:val="18"/>
          <w:szCs w:val="18"/>
          <w:color w:val="auto"/>
        </w:rPr>
      </w:pPr>
      <w:r>
        <w:rPr>
          <w:rFonts w:ascii="Arial" w:cs="Arial" w:eastAsia="Arial" w:hAnsi="Arial"/>
          <w:sz w:val="18"/>
          <w:szCs w:val="18"/>
          <w:color w:val="auto"/>
        </w:rPr>
        <w:t>Members of the Board who are eligible to participate in the Plan may not vote on any matter affecting the administration of the Plan or the grant of any option pursuant to the Plan.</w:t>
      </w:r>
    </w:p>
    <w:p>
      <w:pPr>
        <w:spacing w:after="0" w:line="170" w:lineRule="exact"/>
        <w:rPr>
          <w:rFonts w:ascii="Arial" w:cs="Arial" w:eastAsia="Arial" w:hAnsi="Arial"/>
          <w:sz w:val="18"/>
          <w:szCs w:val="18"/>
          <w:color w:val="auto"/>
        </w:rPr>
      </w:pPr>
    </w:p>
    <w:p>
      <w:pPr>
        <w:ind w:left="2360" w:hanging="407"/>
        <w:spacing w:after="0"/>
        <w:tabs>
          <w:tab w:leader="none" w:pos="236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No member of the Board who is eligible to participate in the Plan may be a member of the Committee.</w:t>
      </w:r>
    </w:p>
    <w:p>
      <w:pPr>
        <w:spacing w:after="0" w:line="225" w:lineRule="exact"/>
        <w:rPr>
          <w:rFonts w:ascii="Arial" w:cs="Arial" w:eastAsia="Arial" w:hAnsi="Arial"/>
          <w:sz w:val="18"/>
          <w:szCs w:val="18"/>
          <w:color w:val="auto"/>
        </w:rPr>
      </w:pPr>
    </w:p>
    <w:p>
      <w:pPr>
        <w:ind w:right="280" w:firstLine="656"/>
        <w:spacing w:after="0" w:line="259" w:lineRule="auto"/>
        <w:tabs>
          <w:tab w:leader="none" w:pos="1053"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by the participant. Any such attempt at assignment, transfer, pledge or other disposition shall be without effect, except that the Company may treat such act as an election to withdraw funds in accordance with Section 11.</w:t>
      </w:r>
    </w:p>
    <w:p>
      <w:pPr>
        <w:spacing w:after="0" w:line="186" w:lineRule="exact"/>
        <w:rPr>
          <w:rFonts w:ascii="Arial" w:cs="Arial" w:eastAsia="Arial" w:hAnsi="Arial"/>
          <w:sz w:val="18"/>
          <w:szCs w:val="18"/>
          <w:color w:val="auto"/>
        </w:rPr>
      </w:pPr>
    </w:p>
    <w:p>
      <w:pPr>
        <w:ind w:right="40" w:firstLine="656"/>
        <w:spacing w:after="0" w:line="277" w:lineRule="auto"/>
        <w:tabs>
          <w:tab w:leader="none" w:pos="1053"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170" w:lineRule="exact"/>
        <w:rPr>
          <w:rFonts w:ascii="Arial" w:cs="Arial" w:eastAsia="Arial" w:hAnsi="Arial"/>
          <w:sz w:val="18"/>
          <w:szCs w:val="18"/>
          <w:color w:val="auto"/>
        </w:rPr>
      </w:pPr>
    </w:p>
    <w:p>
      <w:pPr>
        <w:ind w:right="200" w:firstLine="656"/>
        <w:spacing w:after="0" w:line="264" w:lineRule="auto"/>
        <w:tabs>
          <w:tab w:leader="none" w:pos="1053"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participants annually, which statements will set forth the amounts of payroll deductions, the per share purchase price, the number of shares purchased and the remaining cash balance refunded or to be refunded, if any.</w:t>
      </w:r>
    </w:p>
    <w:p>
      <w:pPr>
        <w:spacing w:after="0" w:line="181" w:lineRule="exact"/>
        <w:rPr>
          <w:rFonts w:ascii="Arial" w:cs="Arial" w:eastAsia="Arial" w:hAnsi="Arial"/>
          <w:sz w:val="18"/>
          <w:szCs w:val="18"/>
          <w:color w:val="auto"/>
        </w:rPr>
      </w:pPr>
    </w:p>
    <w:p>
      <w:pPr>
        <w:ind w:right="20" w:firstLine="656"/>
        <w:spacing w:after="0" w:line="288" w:lineRule="auto"/>
        <w:tabs>
          <w:tab w:leader="none" w:pos="1053"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w:t>
      </w:r>
      <w:r>
        <w:rPr>
          <w:rFonts w:ascii="Arial" w:cs="Arial" w:eastAsia="Arial" w:hAnsi="Arial"/>
          <w:sz w:val="16"/>
          <w:szCs w:val="16"/>
          <w:color w:val="auto"/>
        </w:rPr>
        <w:t>. Subject to any required action by the stockholders of the Company, the number of shares of Common Stock covered by each option under the Plan which has 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or value of issued shares of Common Stock resulting from a stock split or the payment of a stock dividend (but only on the Common Stock) or any other increase or decrease in the number or value of shares of Common Stock effected without receipt of consideration by the Company (excluding a regular cash dividend); provided, however, that conversion of any convertible securities of the Company shall not be deemed to have been “effected without receipt of consideration.” Such adjustment shall be made by the Board or Committee,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6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In the event of the proposed dissolution or liquidation of the Company, the Offering Period will terminate immediately prior to the consummation of such proposed action, unless otherwise provided by the Board. In the event of a proposed sale of all or substantially all of the assets of the Company, or the merger of the Company with or into another corporation, each option under the Plan shall be assumed or an equivalent option shall be substituted by such</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625" w:right="259" w:bottom="1440" w:gutter="0" w:footer="0" w:header="0"/>
        </w:sectPr>
      </w:pPr>
    </w:p>
    <w:bookmarkStart w:id="96" w:name="page97"/>
    <w:bookmarkEnd w:id="96"/>
    <w:p>
      <w:pPr>
        <w:spacing w:after="0" w:line="257" w:lineRule="auto"/>
        <w:rPr>
          <w:sz w:val="20"/>
          <w:szCs w:val="20"/>
          <w:color w:val="auto"/>
        </w:rPr>
      </w:pPr>
      <w:r>
        <w:rPr>
          <w:rFonts w:ascii="Arial" w:cs="Arial" w:eastAsia="Arial" w:hAnsi="Arial"/>
          <w:sz w:val="18"/>
          <w:szCs w:val="18"/>
          <w:color w:val="auto"/>
        </w:rPr>
        <w:t>successor corporation or a parent or subsidiary of such successor corporation, unless the Board determines, in the exercise of its sole discretion and in lieu of such assumption or substitution, that the participant shall have the right to exercise the option as to all of the optioned stock, including shares as to which the option would not otherwise be exercisable. If the Board makes an option fully exercisable in lieu of assumption or substitution in the event of a merger or sale of assets, the Board shall notify the participant that the option shall be fully exercisable for a period of thirty (30) days from the date of such notice, and the option will terminate upon the expiration of such period.</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w:t>
      </w:r>
    </w:p>
    <w:p>
      <w:pPr>
        <w:spacing w:after="0" w:line="181" w:lineRule="exact"/>
        <w:rPr>
          <w:sz w:val="20"/>
          <w:szCs w:val="20"/>
          <w:color w:val="auto"/>
        </w:rPr>
      </w:pPr>
    </w:p>
    <w:p>
      <w:pPr>
        <w:ind w:right="60" w:firstLine="656"/>
        <w:spacing w:after="0" w:line="255" w:lineRule="auto"/>
        <w:tabs>
          <w:tab w:leader="none" w:pos="1053"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Board may at any time terminate or amend the Plan, including (without limitation) shortening an Offering Period in connection with a spin-off or other similar corporate event. Subject to the foregoing, no such termination can affect options previously granted, nor may an amendment make any change in any option theretofore granted which adversely affects the rights of any participant, unless such termination or amendment is necessary or advisable to comply with Applicable Laws. In addition, to the extent necessary to comply with Rule 16b-3 under the Act or under Section 423 of the Code (or any successor rule or provision or any other Applicable Law or regulation), the Company shall obtain stockholder approval in such a manner and to such a degree as so required.</w:t>
      </w:r>
    </w:p>
    <w:p>
      <w:pPr>
        <w:spacing w:after="0" w:line="193" w:lineRule="exact"/>
        <w:rPr>
          <w:rFonts w:ascii="Arial" w:cs="Arial" w:eastAsia="Arial" w:hAnsi="Arial"/>
          <w:sz w:val="18"/>
          <w:szCs w:val="18"/>
          <w:color w:val="auto"/>
        </w:rPr>
      </w:pPr>
    </w:p>
    <w:p>
      <w:pPr>
        <w:jc w:val="both"/>
        <w:ind w:right="280" w:firstLine="656"/>
        <w:spacing w:after="0" w:line="342" w:lineRule="auto"/>
        <w:tabs>
          <w:tab w:leader="none" w:pos="1053"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23" w:lineRule="exact"/>
        <w:rPr>
          <w:rFonts w:ascii="Arial" w:cs="Arial" w:eastAsia="Arial" w:hAnsi="Arial"/>
          <w:sz w:val="16"/>
          <w:szCs w:val="16"/>
          <w:color w:val="auto"/>
        </w:rPr>
      </w:pPr>
    </w:p>
    <w:p>
      <w:pPr>
        <w:ind w:right="180" w:firstLine="656"/>
        <w:spacing w:after="0" w:line="277" w:lineRule="auto"/>
        <w:tabs>
          <w:tab w:leader="none" w:pos="1053"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Any required approval by the stockholders of the Company shall be solicited substantially in accordance with Section 14(a) of the Exchange Act, and the rules and regulations promulgated thereunder.</w:t>
      </w:r>
    </w:p>
    <w:p>
      <w:pPr>
        <w:spacing w:after="0" w:line="170" w:lineRule="exact"/>
        <w:rPr>
          <w:rFonts w:ascii="Arial" w:cs="Arial" w:eastAsia="Arial" w:hAnsi="Arial"/>
          <w:sz w:val="18"/>
          <w:szCs w:val="18"/>
          <w:color w:val="auto"/>
        </w:rPr>
      </w:pPr>
    </w:p>
    <w:p>
      <w:pPr>
        <w:ind w:right="100" w:firstLine="656"/>
        <w:spacing w:after="0" w:line="279" w:lineRule="auto"/>
        <w:tabs>
          <w:tab w:leader="none" w:pos="1053"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Conditions Upon Issuance of Shares</w:t>
      </w:r>
      <w:r>
        <w:rPr>
          <w:rFonts w:ascii="Arial" w:cs="Arial" w:eastAsia="Arial" w:hAnsi="Arial"/>
          <w:sz w:val="17"/>
          <w:szCs w:val="17"/>
          <w:color w:val="auto"/>
        </w:rPr>
        <w:t>. Shares shall not be issued with respect to an option unless the exercise of such option and the issuance and delivery of such shares pursuant thereto shall comply with all Applicable Laws, including, without limitation, the Securities Act of 1933, as amended, or the Exchange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171"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6" w:lineRule="exact"/>
        <w:rPr>
          <w:sz w:val="20"/>
          <w:szCs w:val="20"/>
          <w:color w:val="auto"/>
        </w:rPr>
      </w:pPr>
    </w:p>
    <w:p>
      <w:pPr>
        <w:ind w:right="40" w:firstLine="656"/>
        <w:spacing w:after="0" w:line="270" w:lineRule="auto"/>
        <w:tabs>
          <w:tab w:leader="none" w:pos="1053"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The Plan is exempt from the application of Code Section 409A and any ambiguities herein will be interpreted to so be exempt from Code Section 409A. In furtherance of the foregoing and notwithstanding any provision in the Plan to the contrary, if the Committee determines that an option granted under the Plan may be subject to Code Section 409A or that any provision in the Plan would cause an option under the Plan to be subject to Code Section 409A, the Committee may amend the terms of the Plan and/or of an outstanding option granted under the Plan, or take such other action the Committee determines is necessary or appropriate, in each case, without a participant’s consent, to exempt any outstanding option or future option that may be granted under the Plan from or to allow any such options to comply with Code Section 409A, but only to the extent any such amendments or action by the Committee would not violate Code Section 409A. Notwithstanding the foregoing, the Company shall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spacing w:after="0" w:line="177" w:lineRule="exact"/>
        <w:rPr>
          <w:rFonts w:ascii="Arial" w:cs="Arial" w:eastAsia="Arial" w:hAnsi="Arial"/>
          <w:sz w:val="17"/>
          <w:szCs w:val="17"/>
          <w:color w:val="auto"/>
        </w:rPr>
      </w:pPr>
    </w:p>
    <w:p>
      <w:pPr>
        <w:ind w:right="580" w:firstLine="656"/>
        <w:spacing w:after="0" w:line="277" w:lineRule="auto"/>
        <w:tabs>
          <w:tab w:leader="none" w:pos="1053"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Tax Qualification</w:t>
      </w:r>
      <w:r>
        <w:rPr>
          <w:rFonts w:ascii="Arial" w:cs="Arial" w:eastAsia="Arial" w:hAnsi="Arial"/>
          <w:sz w:val="18"/>
          <w:szCs w:val="18"/>
          <w:color w:val="auto"/>
        </w:rPr>
        <w:t>. Although the Company may endeavor to (i) qualify an option to purchase shares of Common Stock for favorable tax treatment under the laws of the U.S. or jurisdictions outside the U.S. or (ii) avoid</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625" w:right="259" w:bottom="1440" w:gutter="0" w:footer="0" w:header="0"/>
        </w:sectPr>
      </w:pPr>
    </w:p>
    <w:bookmarkStart w:id="97" w:name="page98"/>
    <w:bookmarkEnd w:id="97"/>
    <w:p>
      <w:pPr>
        <w:ind w:right="60"/>
        <w:spacing w:after="0" w:line="286" w:lineRule="auto"/>
        <w:rPr>
          <w:sz w:val="20"/>
          <w:szCs w:val="20"/>
          <w:color w:val="auto"/>
        </w:rPr>
      </w:pPr>
      <w:r>
        <w:rPr>
          <w:rFonts w:ascii="Arial" w:cs="Arial" w:eastAsia="Arial" w:hAnsi="Arial"/>
          <w:sz w:val="17"/>
          <w:szCs w:val="17"/>
          <w:color w:val="auto"/>
        </w:rPr>
        <w:t>adverse tax treatment (e.g., under Code Section 409A), the Company makes no representation to that effect and expressly disavows any covenant to maintain favorable or avoid unfavorable tax treatment, notwithstanding anything to the contrary in this Plan, including Section 23 above. The Company shall be unconstrained in its corporate activities without regard to the potential negative tax impact on Employees under the Plan.</w:t>
      </w:r>
    </w:p>
    <w:p>
      <w:pPr>
        <w:spacing w:after="0" w:line="166" w:lineRule="exact"/>
        <w:rPr>
          <w:sz w:val="20"/>
          <w:szCs w:val="20"/>
          <w:color w:val="auto"/>
        </w:rPr>
      </w:pPr>
    </w:p>
    <w:p>
      <w:pPr>
        <w:ind w:right="160" w:firstLine="656"/>
        <w:spacing w:after="0" w:line="264" w:lineRule="auto"/>
        <w:tabs>
          <w:tab w:leader="none" w:pos="1053"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Except to the extent that provisions of this Plan are governed by applicable provisions of the Code or any other substantive provision of U.S. federal law, this Plan shall be construed in accordance with the laws of the State of California, without giving effect to the conflict of laws principles thereof.</w:t>
      </w:r>
    </w:p>
    <w:p>
      <w:pPr>
        <w:spacing w:after="0" w:line="181" w:lineRule="exact"/>
        <w:rPr>
          <w:rFonts w:ascii="Arial" w:cs="Arial" w:eastAsia="Arial" w:hAnsi="Arial"/>
          <w:sz w:val="18"/>
          <w:szCs w:val="18"/>
          <w:color w:val="auto"/>
        </w:rPr>
      </w:pPr>
    </w:p>
    <w:p>
      <w:pPr>
        <w:ind w:firstLine="656"/>
        <w:spacing w:after="0" w:line="264" w:lineRule="auto"/>
        <w:tabs>
          <w:tab w:leader="none" w:pos="1053"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is or becomes or is deemed to be invalid, illegal, or unenforceable for any reason in any jurisdiction or as to any Employee, such invalidity, illegality or unenforceability will not affect the remaining parts of the Plan, and the Plan will be construed and enforced as to such jurisdiction or Employee as if the invalid, illegal or unenforceable provision had not been included.</w:t>
      </w:r>
    </w:p>
    <w:p>
      <w:pPr>
        <w:spacing w:after="0" w:line="181" w:lineRule="exact"/>
        <w:rPr>
          <w:rFonts w:ascii="Arial" w:cs="Arial" w:eastAsia="Arial" w:hAnsi="Arial"/>
          <w:sz w:val="18"/>
          <w:szCs w:val="18"/>
          <w:color w:val="auto"/>
        </w:rPr>
      </w:pPr>
    </w:p>
    <w:p>
      <w:pPr>
        <w:ind w:firstLine="656"/>
        <w:spacing w:after="0" w:line="217" w:lineRule="exact"/>
        <w:tabs>
          <w:tab w:leader="none" w:pos="1053"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At the time the option is exercised, in whole or in part, or at the time some or all of the Common Stock issued under the Plan is disposed of (or any other time that a taxable event related to the Plan occurs), a participant must make adequate provision for the Company’s or employer’s federal, state, local or any other tax liability payable to any authority including taxes imposed by jurisdictions outside the U.S., national insurance,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a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w:t>
      </w:r>
      <w:r>
        <w:rPr>
          <w:rFonts w:ascii="MS PGothic" w:cs="MS PGothic" w:eastAsia="MS PGothic" w:hAnsi="MS PGothic"/>
          <w:sz w:val="16"/>
          <w:szCs w:val="16"/>
          <w:color w:val="auto"/>
        </w:rPr>
        <w:t>‑</w:t>
      </w:r>
      <w:r>
        <w:rPr>
          <w:rFonts w:ascii="Arial" w:cs="Arial" w:eastAsia="Arial" w:hAnsi="Arial"/>
          <w:sz w:val="16"/>
          <w:szCs w:val="16"/>
          <w:color w:val="auto"/>
        </w:rPr>
        <w:t>2(f).</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625" w:right="25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Anagnost, certify that:</w:t>
      </w:r>
    </w:p>
    <w:p>
      <w:pPr>
        <w:spacing w:after="0" w:line="171"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30, 2018</w:t>
      </w:r>
    </w:p>
    <w:p>
      <w:pPr>
        <w:spacing w:after="0" w:line="252" w:lineRule="exact"/>
        <w:rPr>
          <w:sz w:val="20"/>
          <w:szCs w:val="20"/>
          <w:color w:val="auto"/>
        </w:rPr>
      </w:pPr>
    </w:p>
    <w:p>
      <w:pPr>
        <w:ind w:left="7680"/>
        <w:spacing w:after="0"/>
        <w:tabs>
          <w:tab w:leader="none" w:pos="8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66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30, 2018</w:t>
      </w:r>
    </w:p>
    <w:p>
      <w:pPr>
        <w:spacing w:after="0" w:line="252"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R. Scott Herren</w:t>
      </w:r>
    </w:p>
    <w:p>
      <w:pPr>
        <w:spacing w:after="0" w:line="73" w:lineRule="exact"/>
        <w:rPr>
          <w:sz w:val="20"/>
          <w:szCs w:val="20"/>
          <w:color w:val="auto"/>
        </w:rPr>
      </w:pPr>
    </w:p>
    <w:p>
      <w:pPr>
        <w:ind w:left="68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26" w:lineRule="exact"/>
        <w:rPr>
          <w:sz w:val="20"/>
          <w:szCs w:val="20"/>
          <w:color w:val="auto"/>
        </w:rPr>
      </w:pPr>
    </w:p>
    <w:p>
      <w:pPr>
        <w:ind w:left="6360"/>
        <w:spacing w:after="0"/>
        <w:rPr>
          <w:sz w:val="20"/>
          <w:szCs w:val="20"/>
          <w:color w:val="auto"/>
        </w:rPr>
      </w:pPr>
      <w:r>
        <w:rPr>
          <w:rFonts w:ascii="Arial" w:cs="Arial" w:eastAsia="Arial" w:hAnsi="Arial"/>
          <w:sz w:val="16"/>
          <w:szCs w:val="16"/>
          <w:b w:val="1"/>
          <w:bCs w:val="1"/>
          <w:color w:val="auto"/>
        </w:rPr>
        <w:t>(Principal Financial Officer and Principal Accounting Officer)</w:t>
      </w:r>
    </w:p>
    <w:p>
      <w:pPr>
        <w:sectPr>
          <w:pgSz w:w="11900" w:h="16838" w:orient="portrait"/>
          <w:cols w:equalWidth="0" w:num="1">
            <w:col w:w="11420"/>
          </w:cols>
          <w:pgMar w:left="240" w:top="66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July 31, 2018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August 30, 2018</w:t>
      </w:r>
    </w:p>
    <w:p>
      <w:pPr>
        <w:spacing w:after="0" w:line="252" w:lineRule="exact"/>
        <w:rPr>
          <w:sz w:val="20"/>
          <w:szCs w:val="20"/>
          <w:color w:val="auto"/>
        </w:rPr>
      </w:pPr>
    </w:p>
    <w:p>
      <w:pPr>
        <w:ind w:left="7440"/>
        <w:spacing w:after="0"/>
        <w:tabs>
          <w:tab w:leader="none" w:pos="77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75" w:lineRule="exact"/>
        <w:rPr>
          <w:sz w:val="20"/>
          <w:szCs w:val="20"/>
          <w:color w:val="auto"/>
        </w:rPr>
      </w:pPr>
    </w:p>
    <w:p>
      <w:pPr>
        <w:ind w:left="768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July 31, 2018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August 30, 2018</w:t>
      </w:r>
    </w:p>
    <w:p>
      <w:pPr>
        <w:spacing w:after="0" w:line="25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(Principal Financial Officer and Principal Accounting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x"/>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1)"/>
      <w:numFmt w:val="decimal"/>
      <w:start w:val="1"/>
    </w:lvl>
  </w:abstractNum>
  <w:abstractNum w:abstractNumId="3">
    <w:nsid w:val="23F9C13C"/>
    <w:multiLevelType w:val="hybridMultilevel"/>
    <w:lvl w:ilvl="0">
      <w:lvlJc w:val="left"/>
      <w:lvlText w:val="(%1)"/>
      <w:numFmt w:val="decimal"/>
      <w:start w:val="1"/>
    </w:lvl>
  </w:abstractNum>
  <w:abstractNum w:abstractNumId="4">
    <w:nsid w:val="649BB77C"/>
    <w:multiLevelType w:val="hybridMultilevel"/>
    <w:lvl w:ilvl="0">
      <w:lvlJc w:val="left"/>
      <w:lvlText w:val="(%1)"/>
      <w:numFmt w:val="decimal"/>
      <w:start w:val="1"/>
    </w:lvl>
  </w:abstractNum>
  <w:abstractNum w:abstractNumId="5">
    <w:nsid w:val="275AC794"/>
    <w:multiLevelType w:val="hybridMultilevel"/>
    <w:lvl w:ilvl="0">
      <w:lvlJc w:val="left"/>
      <w:lvlText w:val="(%1)"/>
      <w:numFmt w:val="decimal"/>
      <w:start w:val="1"/>
    </w:lvl>
  </w:abstractNum>
  <w:abstractNum w:abstractNumId="6">
    <w:nsid w:val="39386575"/>
    <w:multiLevelType w:val="hybridMultilevel"/>
    <w:lvl w:ilvl="0">
      <w:lvlJc w:val="left"/>
      <w:lvlText w:val="(%1)"/>
      <w:numFmt w:val="decimal"/>
      <w:start w:val="1"/>
    </w:lvl>
  </w:abstractNum>
  <w:abstractNum w:abstractNumId="7">
    <w:nsid w:val="1CF10FD8"/>
    <w:multiLevelType w:val="hybridMultilevel"/>
    <w:lvl w:ilvl="0">
      <w:lvlJc w:val="left"/>
      <w:lvlText w:val="(%1)"/>
      <w:numFmt w:val="decimal"/>
      <w:start w:val="1"/>
    </w:lvl>
  </w:abstractNum>
  <w:abstractNum w:abstractNumId="8">
    <w:nsid w:val="180115BE"/>
    <w:multiLevelType w:val="hybridMultilevel"/>
    <w:lvl w:ilvl="0">
      <w:lvlJc w:val="left"/>
      <w:lvlText w:val="%1."/>
      <w:numFmt w:val="decimal"/>
      <w:start w:val="6"/>
    </w:lvl>
  </w:abstractNum>
  <w:abstractNum w:abstractNumId="9">
    <w:nsid w:val="235BA861"/>
    <w:multiLevelType w:val="hybridMultilevel"/>
    <w:lvl w:ilvl="0">
      <w:lvlJc w:val="left"/>
      <w:lvlText w:val="(%1)"/>
      <w:numFmt w:val="decimal"/>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1)"/>
      <w:numFmt w:val="decimal"/>
      <w:start w:val="1"/>
    </w:lvl>
  </w:abstractNum>
  <w:abstractNum w:abstractNumId="12">
    <w:nsid w:val="15B5AF5C"/>
    <w:multiLevelType w:val="hybridMultilevel"/>
    <w:lvl w:ilvl="0">
      <w:lvlJc w:val="left"/>
      <w:lvlText w:val="%1."/>
      <w:numFmt w:val="decimal"/>
      <w:start w:val="8"/>
    </w:lvl>
  </w:abstractNum>
  <w:abstractNum w:abstractNumId="13">
    <w:nsid w:val="741226BB"/>
    <w:multiLevelType w:val="hybridMultilevel"/>
    <w:lvl w:ilvl="0">
      <w:lvlJc w:val="left"/>
      <w:lvlText w:val="(%1)"/>
      <w:numFmt w:val="decimal"/>
      <w:start w:val="1"/>
    </w:lvl>
  </w:abstractNum>
  <w:abstractNum w:abstractNumId="14">
    <w:nsid w:val="D34B6A8"/>
    <w:multiLevelType w:val="hybridMultilevel"/>
    <w:lvl w:ilvl="0">
      <w:lvlJc w:val="left"/>
      <w:lvlText w:val="(%1)"/>
      <w:numFmt w:val="decimal"/>
      <w:start w:val="1"/>
    </w:lvl>
  </w:abstractNum>
  <w:abstractNum w:abstractNumId="15">
    <w:nsid w:val="10233C99"/>
    <w:multiLevelType w:val="hybridMultilevel"/>
    <w:lvl w:ilvl="0">
      <w:lvlJc w:val="left"/>
      <w:lvlText w:val="(%1)"/>
      <w:numFmt w:val="decimal"/>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1)"/>
      <w:numFmt w:val="decimal"/>
      <w:start w:val="1"/>
    </w:lvl>
  </w:abstractNum>
  <w:abstractNum w:abstractNumId="18">
    <w:nsid w:val="7E0C57B1"/>
    <w:multiLevelType w:val="hybridMultilevel"/>
    <w:lvl w:ilvl="0">
      <w:lvlJc w:val="left"/>
      <w:lvlText w:val="(%1)"/>
      <w:numFmt w:val="decimal"/>
      <w:start w:val="1"/>
    </w:lvl>
  </w:abstractNum>
  <w:abstractNum w:abstractNumId="19">
    <w:nsid w:val="77AE35EB"/>
    <w:multiLevelType w:val="hybridMultilevel"/>
    <w:lvl w:ilvl="0">
      <w:lvlJc w:val="left"/>
      <w:lvlText w:val="(%1)"/>
      <w:numFmt w:val="decimal"/>
      <w:start w:val="1"/>
    </w:lvl>
  </w:abstractNum>
  <w:abstractNum w:abstractNumId="20">
    <w:nsid w:val="579BE4F1"/>
    <w:multiLevelType w:val="hybridMultilevel"/>
    <w:lvl w:ilvl="0">
      <w:lvlJc w:val="left"/>
      <w:lvlText w:val="(%1)"/>
      <w:numFmt w:val="decimal"/>
      <w:start w:val="1"/>
    </w:lvl>
  </w:abstractNum>
  <w:abstractNum w:abstractNumId="21">
    <w:nsid w:val="310C50B3"/>
    <w:multiLevelType w:val="hybridMultilevel"/>
    <w:lvl w:ilvl="0">
      <w:lvlJc w:val="left"/>
      <w:lvlText w:val="(%1)"/>
      <w:numFmt w:val="decimal"/>
      <w:start w:val="1"/>
    </w:lvl>
  </w:abstractNum>
  <w:abstractNum w:abstractNumId="22">
    <w:nsid w:val="5FF87E05"/>
    <w:multiLevelType w:val="hybridMultilevel"/>
    <w:lvl w:ilvl="0">
      <w:lvlJc w:val="left"/>
      <w:lvlText w:val="(%1)"/>
      <w:numFmt w:val="decimal"/>
      <w:start w:val="1"/>
    </w:lvl>
  </w:abstractNum>
  <w:abstractNum w:abstractNumId="23">
    <w:nsid w:val="2F305DEF"/>
    <w:multiLevelType w:val="hybridMultilevel"/>
    <w:lvl w:ilvl="0">
      <w:lvlJc w:val="left"/>
      <w:lvlText w:val="(%1)"/>
      <w:numFmt w:val="decimal"/>
      <w:start w:val="1"/>
    </w:lvl>
  </w:abstractNum>
  <w:abstractNum w:abstractNumId="24">
    <w:nsid w:val="25A70BF7"/>
    <w:multiLevelType w:val="hybridMultilevel"/>
    <w:lvl w:ilvl="0">
      <w:lvlJc w:val="left"/>
      <w:lvlText w:val="(%1)"/>
      <w:numFmt w:val="decimal"/>
      <w:start w:val="1"/>
    </w:lvl>
  </w:abstractNum>
  <w:abstractNum w:abstractNumId="25">
    <w:nsid w:val="1DBABF00"/>
    <w:multiLevelType w:val="hybridMultilevel"/>
    <w:lvl w:ilvl="0">
      <w:lvlJc w:val="left"/>
      <w:lvlText w:val="(%1)"/>
      <w:numFmt w:val="decimal"/>
      <w:start w:val="1"/>
    </w:lvl>
  </w:abstractNum>
  <w:abstractNum w:abstractNumId="26">
    <w:nsid w:val="4AD084E9"/>
    <w:multiLevelType w:val="hybridMultilevel"/>
    <w:lvl w:ilvl="0">
      <w:lvlJc w:val="left"/>
      <w:lvlText w:val="(%1)"/>
      <w:numFmt w:val="decimal"/>
      <w:start w:val="1"/>
    </w:lvl>
  </w:abstractNum>
  <w:abstractNum w:abstractNumId="27">
    <w:nsid w:val="1F48EAA1"/>
    <w:multiLevelType w:val="hybridMultilevel"/>
    <w:lvl w:ilvl="0">
      <w:lvlJc w:val="left"/>
      <w:lvlText w:val="(%1)"/>
      <w:numFmt w:val="decimal"/>
      <w:start w:val="1"/>
    </w:lvl>
  </w:abstractNum>
  <w:abstractNum w:abstractNumId="28">
    <w:nsid w:val="1381823A"/>
    <w:multiLevelType w:val="hybridMultilevel"/>
    <w:lvl w:ilvl="0">
      <w:lvlJc w:val="left"/>
      <w:lvlText w:val="(%1)"/>
      <w:numFmt w:val="decimal"/>
      <w:start w:val="1"/>
    </w:lvl>
  </w:abstractNum>
  <w:abstractNum w:abstractNumId="29">
    <w:nsid w:val="5DB70AE5"/>
    <w:multiLevelType w:val="hybridMultilevel"/>
    <w:lvl w:ilvl="0">
      <w:lvlJc w:val="left"/>
      <w:lvlText w:val="(%1)"/>
      <w:numFmt w:val="lowerRoman"/>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1."/>
      <w:numFmt w:val="decimal"/>
      <w:start w:val="1"/>
    </w:lvl>
  </w:abstractNum>
  <w:abstractNum w:abstractNumId="42">
    <w:nsid w:val="540A471C"/>
    <w:multiLevelType w:val="hybridMultilevel"/>
    <w:lvl w:ilvl="0">
      <w:lvlJc w:val="left"/>
      <w:lvlText w:val="(%1)"/>
      <w:numFmt w:val="lowerLetter"/>
      <w:start w:val="1"/>
    </w:lvl>
    <w:lvl w:ilvl="1">
      <w:lvlJc w:val="left"/>
      <w:lvlText w:val="(%2)"/>
      <w:numFmt w:val="lowerLetter"/>
      <w:start w:val="4"/>
    </w:lvl>
  </w:abstractNum>
  <w:abstractNum w:abstractNumId="43">
    <w:nsid w:val="7BD3EE7B"/>
    <w:multiLevelType w:val="hybridMultilevel"/>
    <w:lvl w:ilvl="0">
      <w:lvlJc w:val="left"/>
      <w:lvlText w:val="(%1)"/>
      <w:numFmt w:val="lowerLetter"/>
      <w:start w:val="5"/>
    </w:lvl>
    <w:lvl w:ilvl="1">
      <w:lvlJc w:val="left"/>
      <w:lvlText w:val="(%2)"/>
      <w:numFmt w:val="lowerRoman"/>
      <w:start w:val="1"/>
    </w:lvl>
  </w:abstractNum>
  <w:abstractNum w:abstractNumId="44">
    <w:nsid w:val="51D9C564"/>
    <w:multiLevelType w:val="hybridMultilevel"/>
    <w:lvl w:ilvl="0">
      <w:lvlJc w:val="left"/>
      <w:lvlText w:val="(%1)"/>
      <w:numFmt w:val="lowerLetter"/>
      <w:start w:val="7"/>
    </w:lvl>
  </w:abstractNum>
  <w:abstractNum w:abstractNumId="45">
    <w:nsid w:val="613EFDC5"/>
    <w:multiLevelType w:val="hybridMultilevel"/>
    <w:lvl w:ilvl="0">
      <w:lvlJc w:val="left"/>
      <w:lvlText w:val="(%1)"/>
      <w:numFmt w:val="lowerLetter"/>
      <w:start w:val="17"/>
    </w:lvl>
  </w:abstractNum>
  <w:abstractNum w:abstractNumId="46">
    <w:nsid w:val="BF72B14"/>
    <w:multiLevelType w:val="hybridMultilevel"/>
    <w:lvl w:ilvl="0">
      <w:lvlJc w:val="left"/>
      <w:lvlText w:val="(%1)"/>
      <w:numFmt w:val="lowerRoman"/>
      <w:start w:val="1"/>
    </w:lvl>
  </w:abstractNum>
  <w:abstractNum w:abstractNumId="47">
    <w:nsid w:val="11447B73"/>
    <w:multiLevelType w:val="hybridMultilevel"/>
    <w:lvl w:ilvl="0">
      <w:lvlJc w:val="left"/>
      <w:lvlText w:val="%1"/>
      <w:numFmt w:val="lowerLetter"/>
      <w:start w:val="1"/>
    </w:lvl>
    <w:lvl w:ilvl="1">
      <w:lvlJc w:val="left"/>
      <w:lvlText w:val="(%2)"/>
      <w:numFmt w:val="lowerLetter"/>
      <w:start w:val="61"/>
    </w:lvl>
  </w:abstractNum>
  <w:abstractNum w:abstractNumId="48">
    <w:nsid w:val="42963E5A"/>
    <w:multiLevelType w:val="hybridMultilevel"/>
    <w:lvl w:ilvl="0">
      <w:lvlJc w:val="left"/>
      <w:lvlText w:val="(%1)"/>
      <w:numFmt w:val="lowerLetter"/>
      <w:start w:val="19"/>
    </w:lvl>
    <w:lvl w:ilvl="1">
      <w:lvlJc w:val="left"/>
      <w:lvlText w:val="%2"/>
      <w:numFmt w:val="lowerLetter"/>
      <w:start w:val="1"/>
    </w:lvl>
  </w:abstractNum>
  <w:abstractNum w:abstractNumId="49">
    <w:nsid w:val="A0382C5"/>
    <w:multiLevelType w:val="hybridMultilevel"/>
    <w:lvl w:ilvl="0">
      <w:lvlJc w:val="left"/>
      <w:lvlText w:val="(%1)"/>
      <w:numFmt w:val="lowerLetter"/>
      <w:start w:val="27"/>
    </w:lvl>
  </w:abstractNum>
  <w:abstractNum w:abstractNumId="50">
    <w:nsid w:val="8F2B15E"/>
    <w:multiLevelType w:val="hybridMultilevel"/>
    <w:lvl w:ilvl="0">
      <w:lvlJc w:val="left"/>
      <w:lvlText w:val="(%1)"/>
      <w:numFmt w:val="lowerLetter"/>
      <w:start w:val="30"/>
    </w:lvl>
  </w:abstractNum>
  <w:abstractNum w:abstractNumId="51">
    <w:nsid w:val="1A32234B"/>
    <w:multiLevelType w:val="hybridMultilevel"/>
    <w:lvl w:ilvl="0">
      <w:lvlJc w:val="left"/>
      <w:lvlText w:val="(%1)"/>
      <w:numFmt w:val="lowerLetter"/>
      <w:start w:val="40"/>
    </w:lvl>
  </w:abstractNum>
  <w:abstractNum w:abstractNumId="52">
    <w:nsid w:val="3B0FD379"/>
    <w:multiLevelType w:val="hybridMultilevel"/>
    <w:lvl w:ilvl="0">
      <w:lvlJc w:val="left"/>
      <w:lvlText w:val="%1."/>
      <w:numFmt w:val="decimal"/>
      <w:start w:val="3"/>
    </w:lvl>
  </w:abstractNum>
  <w:abstractNum w:abstractNumId="53">
    <w:nsid w:val="68EB2F63"/>
    <w:multiLevelType w:val="hybridMultilevel"/>
    <w:lvl w:ilvl="0">
      <w:lvlJc w:val="left"/>
      <w:lvlText w:val="(%1)"/>
      <w:numFmt w:val="lowerLetter"/>
      <w:start w:val="1"/>
    </w:lvl>
  </w:abstractNum>
  <w:abstractNum w:abstractNumId="54">
    <w:nsid w:val="4962813B"/>
    <w:multiLevelType w:val="hybridMultilevel"/>
    <w:lvl w:ilvl="0">
      <w:lvlJc w:val="left"/>
      <w:lvlText w:val="%1."/>
      <w:numFmt w:val="decimal"/>
      <w:start w:val="4"/>
    </w:lvl>
  </w:abstractNum>
  <w:abstractNum w:abstractNumId="55">
    <w:nsid w:val="60B6DF70"/>
    <w:multiLevelType w:val="hybridMultilevel"/>
    <w:lvl w:ilvl="0">
      <w:lvlJc w:val="left"/>
      <w:lvlText w:val="(%1)"/>
      <w:numFmt w:val="lowerLetter"/>
      <w:start w:val="1"/>
    </w:lvl>
  </w:abstractNum>
  <w:abstractNum w:abstractNumId="56">
    <w:nsid w:val="6A5EE64"/>
    <w:multiLevelType w:val="hybridMultilevel"/>
    <w:lvl w:ilvl="0">
      <w:lvlJc w:val="left"/>
      <w:lvlText w:val="(%1)"/>
      <w:numFmt w:val="lowerRoman"/>
      <w:start w:val="1"/>
    </w:lvl>
  </w:abstractNum>
  <w:abstractNum w:abstractNumId="57">
    <w:nsid w:val="14330624"/>
    <w:multiLevelType w:val="hybridMultilevel"/>
    <w:lvl w:ilvl="0">
      <w:lvlJc w:val="left"/>
      <w:lvlText w:val="(%1)"/>
      <w:numFmt w:val="lowerRoman"/>
      <w:start w:val="3"/>
    </w:lvl>
  </w:abstractNum>
  <w:abstractNum w:abstractNumId="58">
    <w:nsid w:val="7FFFCA11"/>
    <w:multiLevelType w:val="hybridMultilevel"/>
    <w:lvl w:ilvl="0">
      <w:lvlJc w:val="left"/>
      <w:lvlText w:val="(%1)"/>
      <w:numFmt w:val="lowerLetter"/>
      <w:start w:val="2"/>
    </w:lvl>
  </w:abstractNum>
  <w:abstractNum w:abstractNumId="59">
    <w:nsid w:val="1A27709E"/>
    <w:multiLevelType w:val="hybridMultilevel"/>
    <w:lvl w:ilvl="0">
      <w:lvlJc w:val="left"/>
      <w:lvlText w:val="(%1)"/>
      <w:numFmt w:val="lowerRoman"/>
      <w:start w:val="1"/>
    </w:lvl>
    <w:lvl w:ilvl="1">
      <w:lvlJc w:val="left"/>
      <w:lvlText w:val="(%2)"/>
      <w:numFmt w:val="lowerRoman"/>
      <w:start w:val="11"/>
    </w:lvl>
    <w:lvl w:ilvl="2">
      <w:lvlJc w:val="left"/>
      <w:lvlText w:val="(%3)"/>
      <w:numFmt w:val="lowerRoman"/>
      <w:start w:val="12"/>
    </w:lvl>
  </w:abstractNum>
  <w:abstractNum w:abstractNumId="60">
    <w:nsid w:val="71EA1109"/>
    <w:multiLevelType w:val="hybridMultilevel"/>
    <w:lvl w:ilvl="0">
      <w:lvlJc w:val="left"/>
      <w:lvlText w:val="(%1)"/>
      <w:numFmt w:val="lowerLetter"/>
      <w:start w:val="3"/>
    </w:lvl>
  </w:abstractNum>
  <w:abstractNum w:abstractNumId="61">
    <w:nsid w:val="100F59DC"/>
    <w:multiLevelType w:val="hybridMultilevel"/>
    <w:lvl w:ilvl="0">
      <w:lvlJc w:val="left"/>
      <w:lvlText w:val="%1."/>
      <w:numFmt w:val="decimal"/>
      <w:start w:val="5"/>
    </w:lvl>
  </w:abstractNum>
  <w:abstractNum w:abstractNumId="62">
    <w:nsid w:val="7FB7E0AA"/>
    <w:multiLevelType w:val="hybridMultilevel"/>
    <w:lvl w:ilvl="0">
      <w:lvlJc w:val="left"/>
      <w:lvlText w:val="%1."/>
      <w:numFmt w:val="decimal"/>
      <w:start w:val="7"/>
    </w:lvl>
  </w:abstractNum>
  <w:abstractNum w:abstractNumId="63">
    <w:nsid w:val="6EB5BD4"/>
    <w:multiLevelType w:val="hybridMultilevel"/>
    <w:lvl w:ilvl="0">
      <w:lvlJc w:val="left"/>
      <w:lvlText w:val="(%1)"/>
      <w:numFmt w:val="lowerLetter"/>
      <w:start w:val="1"/>
    </w:lvl>
  </w:abstractNum>
  <w:abstractNum w:abstractNumId="64">
    <w:nsid w:val="6F6DD9AC"/>
    <w:multiLevelType w:val="hybridMultilevel"/>
    <w:lvl w:ilvl="0">
      <w:lvlJc w:val="left"/>
      <w:lvlText w:val="(%1)"/>
      <w:numFmt w:val="lowerLetter"/>
      <w:start w:val="4"/>
    </w:lvl>
  </w:abstractNum>
  <w:abstractNum w:abstractNumId="65">
    <w:nsid w:val="94211F2"/>
    <w:multiLevelType w:val="hybridMultilevel"/>
    <w:lvl w:ilvl="0">
      <w:lvlJc w:val="left"/>
      <w:lvlText w:val="(%1)"/>
      <w:numFmt w:val="lowerRoman"/>
      <w:start w:val="1"/>
    </w:lvl>
  </w:abstractNum>
  <w:abstractNum w:abstractNumId="66">
    <w:nsid w:val="885E1B"/>
    <w:multiLevelType w:val="hybridMultilevel"/>
    <w:lvl w:ilvl="0">
      <w:lvlJc w:val="left"/>
      <w:lvlText w:val="(%1)"/>
      <w:numFmt w:val="lowerLetter"/>
      <w:start w:val="7"/>
    </w:lvl>
  </w:abstractNum>
  <w:abstractNum w:abstractNumId="67">
    <w:nsid w:val="76272110"/>
    <w:multiLevelType w:val="hybridMultilevel"/>
    <w:lvl w:ilvl="0">
      <w:lvlJc w:val="left"/>
      <w:lvlText w:val="%1"/>
      <w:numFmt w:val="decimal"/>
      <w:start w:val="1"/>
    </w:lvl>
    <w:lvl w:ilvl="1">
      <w:lvlJc w:val="left"/>
      <w:lvlText w:val="(%2)"/>
      <w:numFmt w:val="lowerLetter"/>
      <w:start w:val="8"/>
    </w:lvl>
  </w:abstractNum>
  <w:abstractNum w:abstractNumId="68">
    <w:nsid w:val="4C04A8AF"/>
    <w:multiLevelType w:val="hybridMultilevel"/>
    <w:lvl w:ilvl="0">
      <w:lvlJc w:val="left"/>
      <w:lvlText w:val="(%1)"/>
      <w:numFmt w:val="decimal"/>
      <w:start w:val="3"/>
    </w:lvl>
    <w:lvl w:ilvl="1">
      <w:lvlJc w:val="left"/>
      <w:lvlText w:val="(%2)"/>
      <w:numFmt w:val="lowerLetter"/>
      <w:start w:val="9"/>
    </w:lvl>
  </w:abstractNum>
  <w:abstractNum w:abstractNumId="69">
    <w:nsid w:val="1716703B"/>
    <w:multiLevelType w:val="hybridMultilevel"/>
    <w:lvl w:ilvl="0">
      <w:lvlJc w:val="left"/>
      <w:lvlText w:val="(%1)"/>
      <w:numFmt w:val="lowerLetter"/>
      <w:start w:val="11"/>
    </w:lvl>
    <w:lvl w:ilvl="1">
      <w:lvlJc w:val="left"/>
      <w:lvlText w:val="(%2)"/>
      <w:numFmt w:val="lowerLetter"/>
      <w:start w:val="12"/>
    </w:lvl>
  </w:abstractNum>
  <w:abstractNum w:abstractNumId="70">
    <w:nsid w:val="14E17E33"/>
    <w:multiLevelType w:val="hybridMultilevel"/>
    <w:lvl w:ilvl="0">
      <w:lvlJc w:val="left"/>
      <w:lvlText w:val="%1."/>
      <w:numFmt w:val="decimal"/>
      <w:start w:val="9"/>
    </w:lvl>
  </w:abstractNum>
  <w:abstractNum w:abstractNumId="71">
    <w:nsid w:val="3222E7CD"/>
    <w:multiLevelType w:val="hybridMultilevel"/>
    <w:lvl w:ilvl="0">
      <w:lvlJc w:val="left"/>
      <w:lvlText w:val="(%1)"/>
      <w:numFmt w:val="lowerLetter"/>
      <w:start w:val="1"/>
    </w:lvl>
  </w:abstractNum>
  <w:abstractNum w:abstractNumId="72">
    <w:nsid w:val="74DE0EE3"/>
    <w:multiLevelType w:val="hybridMultilevel"/>
    <w:lvl w:ilvl="0">
      <w:lvlJc w:val="left"/>
      <w:lvlText w:val="(%1)"/>
      <w:numFmt w:val="lowerRoman"/>
      <w:start w:val="1"/>
    </w:lvl>
  </w:abstractNum>
  <w:abstractNum w:abstractNumId="73">
    <w:nsid w:val="68EBC550"/>
    <w:multiLevelType w:val="hybridMultilevel"/>
    <w:lvl w:ilvl="0">
      <w:lvlJc w:val="left"/>
      <w:lvlText w:val="(%1)"/>
      <w:numFmt w:val="lowerRoman"/>
      <w:start w:val="3"/>
    </w:lvl>
  </w:abstractNum>
  <w:abstractNum w:abstractNumId="74">
    <w:nsid w:val="2DF6D648"/>
    <w:multiLevelType w:val="hybridMultilevel"/>
    <w:lvl w:ilvl="0">
      <w:lvlJc w:val="left"/>
      <w:lvlText w:val="(%1)"/>
      <w:numFmt w:val="lowerLetter"/>
      <w:start w:val="5"/>
    </w:lvl>
  </w:abstractNum>
  <w:abstractNum w:abstractNumId="75">
    <w:nsid w:val="46B7D447"/>
    <w:multiLevelType w:val="hybridMultilevel"/>
    <w:lvl w:ilvl="0">
      <w:lvlJc w:val="left"/>
      <w:lvlText w:val="%1."/>
      <w:numFmt w:val="decimal"/>
      <w:start w:val="10"/>
    </w:lvl>
  </w:abstractNum>
  <w:abstractNum w:abstractNumId="76">
    <w:nsid w:val="4A2AC315"/>
    <w:multiLevelType w:val="hybridMultilevel"/>
    <w:lvl w:ilvl="0">
      <w:lvlJc w:val="left"/>
      <w:lvlText w:val="(%1)"/>
      <w:numFmt w:val="lowerLetter"/>
      <w:start w:val="1"/>
    </w:lvl>
  </w:abstractNum>
  <w:abstractNum w:abstractNumId="77">
    <w:nsid w:val="39EE015C"/>
    <w:multiLevelType w:val="hybridMultilevel"/>
    <w:lvl w:ilvl="0">
      <w:lvlJc w:val="left"/>
      <w:lvlText w:val="(%1)"/>
      <w:numFmt w:val="lowerRoman"/>
      <w:start w:val="1"/>
    </w:lvl>
  </w:abstractNum>
  <w:abstractNum w:abstractNumId="78">
    <w:nsid w:val="57FC4FBB"/>
    <w:multiLevelType w:val="hybridMultilevel"/>
    <w:lvl w:ilvl="0">
      <w:lvlJc w:val="left"/>
      <w:lvlText w:val="(%1)"/>
      <w:numFmt w:val="lowerLetter"/>
      <w:start w:val="5"/>
    </w:lvl>
  </w:abstractNum>
  <w:abstractNum w:abstractNumId="79">
    <w:nsid w:val="CC1016F"/>
    <w:multiLevelType w:val="hybridMultilevel"/>
    <w:lvl w:ilvl="0">
      <w:lvlJc w:val="left"/>
      <w:lvlText w:val="%1."/>
      <w:numFmt w:val="decimal"/>
      <w:start w:val="11"/>
    </w:lvl>
  </w:abstractNum>
  <w:abstractNum w:abstractNumId="80">
    <w:nsid w:val="43F18422"/>
    <w:multiLevelType w:val="hybridMultilevel"/>
    <w:lvl w:ilvl="0">
      <w:lvlJc w:val="left"/>
      <w:lvlText w:val="(%1)"/>
      <w:numFmt w:val="lowerLetter"/>
      <w:start w:val="1"/>
    </w:lvl>
  </w:abstractNum>
  <w:abstractNum w:abstractNumId="81">
    <w:nsid w:val="60EF0119"/>
    <w:multiLevelType w:val="hybridMultilevel"/>
    <w:lvl w:ilvl="0">
      <w:lvlJc w:val="left"/>
      <w:lvlText w:val="(%1)"/>
      <w:numFmt w:val="lowerLetter"/>
      <w:start w:val="2"/>
    </w:lvl>
  </w:abstractNum>
  <w:abstractNum w:abstractNumId="82">
    <w:nsid w:val="26F324BA"/>
    <w:multiLevelType w:val="hybridMultilevel"/>
    <w:lvl w:ilvl="0">
      <w:lvlJc w:val="left"/>
      <w:lvlText w:val="%1."/>
      <w:numFmt w:val="decimal"/>
      <w:start w:val="14"/>
    </w:lvl>
  </w:abstractNum>
  <w:abstractNum w:abstractNumId="83">
    <w:nsid w:val="7F01579B"/>
    <w:multiLevelType w:val="hybridMultilevel"/>
    <w:lvl w:ilvl="0">
      <w:lvlJc w:val="left"/>
      <w:lvlText w:val="(%1)"/>
      <w:numFmt w:val="lowerLetter"/>
      <w:start w:val="1"/>
    </w:lvl>
  </w:abstractNum>
  <w:abstractNum w:abstractNumId="84">
    <w:nsid w:val="49DA307D"/>
    <w:multiLevelType w:val="hybridMultilevel"/>
    <w:lvl w:ilvl="0">
      <w:lvlJc w:val="left"/>
      <w:lvlText w:val="%1."/>
      <w:numFmt w:val="decimal"/>
      <w:start w:val="15"/>
    </w:lvl>
  </w:abstractNum>
  <w:abstractNum w:abstractNumId="85">
    <w:nsid w:val="7055A5F5"/>
    <w:multiLevelType w:val="hybridMultilevel"/>
    <w:lvl w:ilvl="0">
      <w:lvlJc w:val="left"/>
      <w:lvlText w:val="(%1)"/>
      <w:numFmt w:val="lowerLetter"/>
      <w:start w:val="1"/>
    </w:lvl>
  </w:abstractNum>
  <w:abstractNum w:abstractNumId="86">
    <w:nsid w:val="5FB8370B"/>
    <w:multiLevelType w:val="hybridMultilevel"/>
    <w:lvl w:ilvl="0">
      <w:lvlJc w:val="left"/>
      <w:lvlText w:val="%1."/>
      <w:numFmt w:val="decimal"/>
      <w:start w:val="16"/>
    </w:lvl>
  </w:abstractNum>
  <w:abstractNum w:abstractNumId="87">
    <w:nsid w:val="50801EE1"/>
    <w:multiLevelType w:val="hybridMultilevel"/>
    <w:lvl w:ilvl="0">
      <w:lvlJc w:val="left"/>
      <w:lvlText w:val="(%1)"/>
      <w:numFmt w:val="lowerLetter"/>
      <w:start w:val="1"/>
    </w:lvl>
  </w:abstractNum>
  <w:abstractNum w:abstractNumId="88">
    <w:nsid w:val="488AC1A"/>
    <w:multiLevelType w:val="hybridMultilevel"/>
    <w:lvl w:ilvl="0">
      <w:lvlJc w:val="left"/>
      <w:lvlText w:val="%1."/>
      <w:numFmt w:val="decimal"/>
      <w:start w:val="17"/>
    </w:lvl>
  </w:abstractNum>
  <w:abstractNum w:abstractNumId="89">
    <w:nsid w:val="5FB8011C"/>
    <w:multiLevelType w:val="hybridMultilevel"/>
    <w:lvl w:ilvl="0">
      <w:lvlJc w:val="left"/>
      <w:lvlText w:val="%1."/>
      <w:numFmt w:val="decimal"/>
      <w:start w:val="22"/>
    </w:lvl>
  </w:abstractNum>
  <w:abstractNum w:abstractNumId="90">
    <w:nsid w:val="6AA78F7F"/>
    <w:multiLevelType w:val="hybridMultilevel"/>
    <w:lvl w:ilvl="0">
      <w:lvlJc w:val="left"/>
      <w:lvlText w:val="%1."/>
      <w:numFmt w:val="decimal"/>
      <w:start w:val="26"/>
    </w:lvl>
  </w:abstractNum>
  <w:abstractNum w:abstractNumId="91">
    <w:nsid w:val="7672BD23"/>
    <w:multiLevelType w:val="hybridMultilevel"/>
    <w:lvl w:ilvl="0">
      <w:lvlJc w:val="left"/>
      <w:lvlText w:val="%1."/>
      <w:numFmt w:val="decimal"/>
      <w:start w:val="1"/>
    </w:lvl>
    <w:lvl w:ilvl="1">
      <w:lvlJc w:val="left"/>
      <w:lvlText w:val="(%2)"/>
      <w:numFmt w:val="lowerLetter"/>
      <w:start w:val="1"/>
    </w:lvl>
  </w:abstractNum>
  <w:abstractNum w:abstractNumId="92">
    <w:nsid w:val="6FC75A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9"/>
    </w:lvl>
  </w:abstractNum>
  <w:abstractNum w:abstractNumId="93">
    <w:nsid w:val="6A5F7029"/>
    <w:multiLevelType w:val="hybridMultilevel"/>
    <w:lvl w:ilvl="0">
      <w:lvlJc w:val="left"/>
      <w:lvlText w:val="(%1)"/>
      <w:numFmt w:val="decimal"/>
      <w:start w:val="20"/>
    </w:lvl>
    <w:lvl w:ilvl="1">
      <w:lvlJc w:val="left"/>
      <w:lvlText w:val="%2."/>
      <w:numFmt w:val="decimal"/>
      <w:start w:val="2"/>
    </w:lvl>
    <w:lvl w:ilvl="2">
      <w:lvlJc w:val="left"/>
      <w:lvlText w:val="(%3)"/>
      <w:numFmt w:val="lowerLetter"/>
      <w:start w:val="12"/>
    </w:lvl>
  </w:abstractNum>
  <w:abstractNum w:abstractNumId="94">
    <w:nsid w:val="7D5E18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5">
    <w:nsid w:val="5F3534A4"/>
    <w:multiLevelType w:val="hybridMultilevel"/>
    <w:lvl w:ilvl="0">
      <w:lvlJc w:val="left"/>
      <w:lvlText w:val="%1"/>
      <w:numFmt w:val="decimal"/>
      <w:start w:val="1"/>
    </w:lvl>
    <w:lvl w:ilvl="1">
      <w:lvlJc w:val="left"/>
      <w:lvlText w:val="(%2)"/>
      <w:numFmt w:val="lowerLetter"/>
      <w:start w:val="2"/>
    </w:lvl>
  </w:abstractNum>
  <w:abstractNum w:abstractNumId="96">
    <w:nsid w:val="73A1821B"/>
    <w:multiLevelType w:val="hybridMultilevel"/>
    <w:lvl w:ilvl="0">
      <w:lvlJc w:val="left"/>
      <w:lvlText w:val="%1."/>
      <w:numFmt w:val="decimal"/>
      <w:start w:val="4"/>
    </w:lvl>
    <w:lvl w:ilvl="1">
      <w:lvlJc w:val="left"/>
      <w:lvlText w:val="(%2)"/>
      <w:numFmt w:val="lowerLetter"/>
      <w:start w:val="1"/>
    </w:lvl>
  </w:abstractNum>
  <w:abstractNum w:abstractNumId="97">
    <w:nsid w:val="7DE67713"/>
    <w:multiLevelType w:val="hybridMultilevel"/>
    <w:lvl w:ilvl="0">
      <w:lvlJc w:val="left"/>
      <w:lvlText w:val="%1."/>
      <w:numFmt w:val="decimal"/>
      <w:start w:val="7"/>
    </w:lvl>
    <w:lvl w:ilvl="1">
      <w:lvlJc w:val="left"/>
      <w:lvlText w:val="(%2)"/>
      <w:numFmt w:val="lowerLetter"/>
      <w:start w:val="1"/>
    </w:lvl>
  </w:abstractNum>
  <w:abstractNum w:abstractNumId="98">
    <w:nsid w:val="555C55B5"/>
    <w:multiLevelType w:val="hybridMultilevel"/>
    <w:lvl w:ilvl="0">
      <w:lvlJc w:val="left"/>
      <w:lvlText w:val="%1."/>
      <w:numFmt w:val="decimal"/>
      <w:start w:val="13"/>
    </w:lvl>
    <w:lvl w:ilvl="1">
      <w:lvlJc w:val="left"/>
      <w:lvlText w:val="(%2)"/>
      <w:numFmt w:val="lowerLetter"/>
      <w:start w:val="1"/>
    </w:lvl>
  </w:abstractNum>
  <w:abstractNum w:abstractNumId="99">
    <w:nsid w:val="3FA62ACA"/>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00">
    <w:nsid w:val="14FCE74E"/>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01">
    <w:nsid w:val="6A3DD3E8"/>
    <w:multiLevelType w:val="hybridMultilevel"/>
    <w:lvl w:ilvl="0">
      <w:lvlJc w:val="left"/>
      <w:lvlText w:val="%1."/>
      <w:numFmt w:val="decimal"/>
      <w:start w:val="19"/>
    </w:lvl>
  </w:abstractNum>
  <w:abstractNum w:abstractNumId="102">
    <w:nsid w:val="71C91298"/>
    <w:multiLevelType w:val="hybridMultilevel"/>
    <w:lvl w:ilvl="0">
      <w:lvlJc w:val="left"/>
      <w:lvlText w:val="%1."/>
      <w:numFmt w:val="decimal"/>
      <w:start w:val="23"/>
    </w:lvl>
  </w:abstractNum>
  <w:abstractNum w:abstractNumId="103">
    <w:nsid w:val="9DAF632"/>
    <w:multiLevelType w:val="hybridMultilevel"/>
    <w:lvl w:ilvl="0">
      <w:lvlJc w:val="left"/>
      <w:lvlText w:val="%1."/>
      <w:numFmt w:val="decimal"/>
      <w:start w:val="25"/>
    </w:lvl>
  </w:abstractNum>
  <w:abstractNum w:abstractNumId="104">
    <w:nsid w:val="532999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5">
    <w:nsid w:val="1FBFE8E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0" Type="http://schemas.openxmlformats.org/officeDocument/2006/relationships/hyperlink" Target="http://www.sec.gov/Archives/edgar/data/769397/000076939718000027/bylawsasamended-2018xjunex.htm" TargetMode="External"/><Relationship Id="rId41" Type="http://schemas.openxmlformats.org/officeDocument/2006/relationships/hyperlink" Target="http://www.sec.gov/Archives/edgar/data/769397/000076939718000029/a101creditagreementletter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2019-12-28T19:46:20Z</dcterms:created>
  <dcterms:modified xsi:type="dcterms:W3CDTF">2019-12-28T19:46:20Z</dcterms:modified>
</cp:coreProperties>
</file>