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April 30, 2017</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-1715770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jc w:val="both"/>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40" w:type="dxa"/>
            <w:vAlign w:val="bottom"/>
          </w:tcPr>
          <w:p>
            <w:pPr>
              <w:ind w:left="340"/>
              <w:spacing w:after="0"/>
              <w:rPr>
                <w:sz w:val="20"/>
                <w:szCs w:val="20"/>
                <w:color w:val="auto"/>
              </w:rPr>
            </w:pPr>
            <w:r>
              <w:rPr>
                <w:rFonts w:ascii="Arial" w:cs="Arial" w:eastAsia="Arial" w:hAnsi="Arial"/>
                <w:sz w:val="18"/>
                <w:szCs w:val="18"/>
                <w:color w:val="auto"/>
              </w:rPr>
              <w:t>x</w:t>
            </w:r>
          </w:p>
        </w:tc>
        <w:tc>
          <w:tcPr>
            <w:tcW w:w="52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20" w:firstLine="432"/>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800"/>
        <w:spacing w:after="0" w:line="238"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May 25, 2017, registrant had outstanding 220,391,696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2"/>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April 30, 2017 and 2016</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Comprehensive Loss for the Three Months Ended April 30, 2017 and 2016</w:t>
              </w:r>
            </w:hyperlink>
          </w:p>
        </w:tc>
        <w:tc>
          <w:tcPr>
            <w:tcW w:w="7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April 30, 2017 and January 31, 2017</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April 30, 2017 and 2016</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72"/>
        </w:trPr>
        <w:tc>
          <w:tcPr>
            <w:tcW w:w="920" w:type="dxa"/>
            <w:vAlign w:val="bottom"/>
          </w:tcPr>
          <w:p>
            <w:pPr>
              <w:spacing w:after="0"/>
              <w:rPr>
                <w:sz w:val="24"/>
                <w:szCs w:val="24"/>
                <w:color w:val="auto"/>
              </w:rPr>
            </w:pPr>
          </w:p>
        </w:tc>
        <w:tc>
          <w:tcPr>
            <w:tcW w:w="7600" w:type="dxa"/>
            <w:vAlign w:val="bottom"/>
            <w:tcBorders>
              <w:top w:val="single" w:sz="8" w:color="0000EE"/>
            </w:tcBorders>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3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46">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8"/>
          </w:tcPr>
          <w:p>
            <w:pPr>
              <w:spacing w:after="0"/>
              <w:rPr>
                <w:rFonts w:ascii="Arial" w:cs="Arial" w:eastAsia="Arial" w:hAnsi="Arial"/>
                <w:sz w:val="18"/>
                <w:szCs w:val="18"/>
                <w:b w:val="1"/>
                <w:bCs w:val="1"/>
                <w:color w:val="0000FF"/>
                <w:w w:val="88"/>
              </w:rPr>
            </w:pPr>
            <w:hyperlink w:anchor="page63">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8"/>
          </w:tcPr>
          <w:p>
            <w:pPr>
              <w:spacing w:after="0"/>
              <w:rPr>
                <w:rFonts w:ascii="Arial" w:cs="Arial" w:eastAsia="Arial" w:hAnsi="Arial"/>
                <w:sz w:val="18"/>
                <w:szCs w:val="18"/>
                <w:b w:val="1"/>
                <w:bCs w:val="1"/>
                <w:color w:val="0000FF"/>
              </w:rPr>
            </w:pPr>
            <w:hyperlink w:anchor="page63">
              <w:r>
                <w:rPr>
                  <w:rFonts w:ascii="Arial" w:cs="Arial" w:eastAsia="Arial" w:hAnsi="Arial"/>
                  <w:sz w:val="18"/>
                  <w:szCs w:val="18"/>
                  <w:b w:val="1"/>
                  <w:bCs w:val="1"/>
                  <w:color w:val="0000FF"/>
                </w:rPr>
                <w:t>Mine Safety Disclosures</w:t>
              </w:r>
            </w:hyperlink>
          </w:p>
        </w:tc>
        <w:tc>
          <w:tcPr>
            <w:tcW w:w="654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63">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64">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65">
              <w:r>
                <w:rPr>
                  <w:rFonts w:ascii="Arial" w:cs="Arial" w:eastAsia="Arial" w:hAnsi="Arial"/>
                  <w:sz w:val="18"/>
                  <w:szCs w:val="18"/>
                  <w:b w:val="1"/>
                  <w:bCs w:val="1"/>
                  <w:color w:val="0000FF"/>
                  <w:w w:val="85"/>
                </w:rPr>
                <w:t>Signatures</w:t>
              </w:r>
            </w:hyperlink>
          </w:p>
        </w:tc>
        <w:tc>
          <w:tcPr>
            <w:tcW w:w="81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Maintenance</w:t>
            </w: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263.6</w:t>
            </w:r>
          </w:p>
        </w:tc>
        <w:tc>
          <w:tcPr>
            <w:tcW w:w="120" w:type="dxa"/>
            <w:vAlign w:val="bottom"/>
          </w:tcPr>
          <w:p>
            <w:pPr>
              <w:spacing w:after="0"/>
              <w:rPr>
                <w:sz w:val="20"/>
                <w:szCs w:val="20"/>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284.4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17"/>
        </w:trPr>
        <w:tc>
          <w:tcPr>
            <w:tcW w:w="8100" w:type="dxa"/>
            <w:vAlign w:val="bottom"/>
          </w:tcPr>
          <w:p>
            <w:pPr>
              <w:ind w:left="540"/>
              <w:spacing w:after="0"/>
              <w:rPr>
                <w:sz w:val="20"/>
                <w:szCs w:val="20"/>
                <w:color w:val="auto"/>
              </w:rPr>
            </w:pPr>
            <w:r>
              <w:rPr>
                <w:rFonts w:ascii="Arial" w:cs="Arial" w:eastAsia="Arial" w:hAnsi="Arial"/>
                <w:sz w:val="16"/>
                <w:szCs w:val="16"/>
                <w:color w:val="auto"/>
              </w:rPr>
              <w:t>Total maintenance and subscription revenue</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437.0</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369.9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217"/>
        </w:trPr>
        <w:tc>
          <w:tcPr>
            <w:tcW w:w="810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485.7</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511.9</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Cost of maintenance and subscription revenue</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license and other revenue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Amortization of developed technology</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407.5</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419.5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255.7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240.8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193.5</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Restructuring (benefits) charges and other facility exit costs, net</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569.2</w:t>
            </w:r>
          </w:p>
        </w:tc>
        <w:tc>
          <w:tcPr>
            <w:tcW w:w="0" w:type="dxa"/>
            <w:vAlign w:val="bottom"/>
          </w:tcPr>
          <w:p>
            <w:pPr>
              <w:spacing w:after="0"/>
              <w:rPr>
                <w:sz w:val="1"/>
                <w:szCs w:val="1"/>
                <w:color w:val="auto"/>
              </w:rPr>
            </w:pP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20" w:type="dxa"/>
            <w:vAlign w:val="bottom"/>
            <w:tcBorders>
              <w:top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r>
        <w:trPr>
          <w:trHeight w:val="73"/>
        </w:trPr>
        <w:tc>
          <w:tcPr>
            <w:tcW w:w="8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vMerge w:val="continue"/>
          </w:tcPr>
          <w:p>
            <w:pPr>
              <w:spacing w:after="0"/>
              <w:rPr>
                <w:sz w:val="17"/>
                <w:szCs w:val="17"/>
                <w:color w:val="auto"/>
              </w:rPr>
            </w:pP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7"/>
                <w:szCs w:val="17"/>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73"/>
        </w:trPr>
        <w:tc>
          <w:tcPr>
            <w:tcW w:w="8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loss per share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loss per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 (net of tax effect of $0.5 and ($1.9), respectively)</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w w:val="98"/>
              </w:rPr>
              <w:t>Change in net unrealized gain on available-for-sale securities (net of tax effect of ($0.3) and ($0.5), respectively)</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(1)</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gain (net of tax effect of ($0.3) and $0.0, respectively)</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6.5</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44"/>
        </w:trPr>
        <w:tc>
          <w:tcPr>
            <w:tcW w:w="810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(168.1)</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Tax effects related to defined benefit pension items were immaterial for each of the periods presented.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2017</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2017</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1,213.1</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686.8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452.3</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108.4</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2,460.6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1,561.1</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63.9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4,431.4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4,798.1</w:t>
            </w: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30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238.2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1,270.1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notes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398.7</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134.9</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Long-term deferred revenue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517.9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income taxes payable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deferred income taxes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91.5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notes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138.4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1,876.3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(964.2)</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4,431.4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4,798.1</w:t>
            </w:r>
          </w:p>
        </w:tc>
      </w:tr>
      <w:tr>
        <w:trPr>
          <w:trHeight w:val="33"/>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April 30,</w:t>
            </w:r>
          </w:p>
        </w:tc>
        <w:tc>
          <w:tcPr>
            <w:tcW w:w="62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9"/>
                <w:szCs w:val="19"/>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(167.7)</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37.4</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6.2</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(benefits) charges and other facility exit costs, net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220.9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397.4</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(80.7)</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(129.6)</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164.4</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(577.5)</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107.6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322.6</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9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(230.2)</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r>
      <w:tr>
        <w:trPr>
          <w:trHeight w:val="217"/>
        </w:trPr>
        <w:tc>
          <w:tcPr>
            <w:tcW w:w="8100" w:type="dxa"/>
            <w:vAlign w:val="bottom"/>
          </w:tcPr>
          <w:p>
            <w:pPr>
              <w:ind w:left="7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(178.8)</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(67.2)</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1,213.1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1,353.0</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top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1,340.2</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1,223.4</w:t>
            </w:r>
          </w:p>
        </w:tc>
      </w:tr>
      <w:tr>
        <w:trPr>
          <w:trHeight w:val="33"/>
        </w:trPr>
        <w:tc>
          <w:tcPr>
            <w:tcW w:w="8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accompanying unaudited Condensed Consolidated Financial Statements of Autodesk, Inc. (“Autodesk,” “we,” “us,” “our,” or the “Company”) as of April 30, 2017, and for the three months ended April 30, 2017 and 2016,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2017 are not necessarily indicative of the results for the entire fiscal year ending January 31, 2018, or for any other period. Further, the balance sheet as of January 31, 2017 has been derived from the audited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2017.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2017, filed on March 21, 2017.</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 in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first quarter of fiscal 2018, the Company changed its historical presentation of its revenue and cost of revenue categories.</w:t>
      </w:r>
    </w:p>
    <w:p>
      <w:pPr>
        <w:spacing w:after="0" w:line="225"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Previously, the Company presented revenue and cost of revenue on two lines: subscription, and license and other. Included within subscription was maintenance revenue for all our software products and revenue for our cloud service offerings. License and other revenue included product license revenue, standalone consulting services, and other immaterial items. Also, included within license and other revenue was an allocation of the estimated value of the software license from our term-based product subscriptions and enterprise offerings, which contain a software license, maintenance and cloud services. For these arrangements, as there is no vendor-specific-objective evidence ("VSOE") for the related maintenance, the arrangement consideration was allocated between the license and maintenance deliverables based on best estimated selling prices in our condensed consolidated statements of operations. The Company performed the allocation because it provided a meaningful presentation to investors based on the Company's then current product mix.</w:t>
      </w:r>
    </w:p>
    <w:p>
      <w:pPr>
        <w:spacing w:after="0" w:line="16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part of the Company's technological and business model transition, the Company discontinued the sale of most of its perpetual licenses, transitioning away from selling a mix of perpetual licenses and term-based product subscriptions to a single subscription model involving more highly interrelated software and cloud functionalities. Fiscal 2018 marks the first full year in the Company's history that it will sell substantially term-based product subscriptions. To better reflect this shift in our business, the Company adopted a revised presentation in the first quarter of fiscal 2018, including the separation of subscription revenue and maintenance revenue on distinct line items on the Company's condensed consolidated statement of operations.</w:t>
      </w:r>
    </w:p>
    <w:p>
      <w:pPr>
        <w:spacing w:after="0" w:line="158"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Subscription revenue now consists of our full term-based product subscriptions, cloud service offerings, and flexible enterprise business arrangements. Note that with the change in our condensed consolidated statement of operations in the first quarter of fiscal 2018, our term-based product subscriptions and flexible enterprise business arrangements are classified and presented in a single line item.</w:t>
      </w:r>
    </w:p>
    <w:p>
      <w:pPr>
        <w:spacing w:after="0" w:line="18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Maintenance revenue is presented as a separate line item in the new presentation and consists of revenue from our existing maintenance plan agreements and related renewals.</w:t>
      </w:r>
    </w:p>
    <w:p>
      <w:pPr>
        <w:spacing w:after="0" w:line="17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License and other revenue will continue to be presented as a separate line item and include any residual perpetual licenses sold, standalone consulting services, and other immaterial items.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140" w:firstLine="405"/>
        <w:spacing w:after="0" w:line="342" w:lineRule="auto"/>
        <w:rPr>
          <w:sz w:val="20"/>
          <w:szCs w:val="20"/>
          <w:color w:val="auto"/>
        </w:rPr>
      </w:pPr>
      <w:r>
        <w:rPr>
          <w:rFonts w:ascii="Arial" w:cs="Arial" w:eastAsia="Arial" w:hAnsi="Arial"/>
          <w:sz w:val="16"/>
          <w:szCs w:val="16"/>
          <w:color w:val="auto"/>
        </w:rPr>
        <w:t>In connection with these revisions, the Company also revised its cost of revenue classification to present cost of subscription and maintenance revenue and amortization of developed technology separately. Cost of license and other revenue will continue to be presented as a separate line item.</w:t>
      </w:r>
    </w:p>
    <w:p>
      <w:pPr>
        <w:spacing w:after="0" w:line="124"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This change in presentation does not affect our total net revenues, total cost of net revenues or overall gross margin. The following table shows reclassified amounts to conform to the current period presentation:</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April 30, 2016</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Change In</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Previously Reported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Presentation</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Current Presentation</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Reclassification</w:t>
            </w: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color w:val="auto"/>
              </w:rPr>
              <w:t>Maintenance (1)</w:t>
            </w:r>
          </w:p>
        </w:tc>
        <w:tc>
          <w:tcPr>
            <w:tcW w:w="840" w:type="dxa"/>
            <w:vAlign w:val="bottom"/>
          </w:tcPr>
          <w:p>
            <w:pPr>
              <w:jc w:val="right"/>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Subscription</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color w:val="auto"/>
              </w:rPr>
              <w:t>License and other</w:t>
            </w:r>
          </w:p>
        </w:tc>
        <w:tc>
          <w:tcPr>
            <w:tcW w:w="8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185.9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8"/>
              </w:rPr>
              <w:t>511.9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color w:val="auto"/>
              </w:rPr>
              <w:t>Maintenance and subscription (2)</w:t>
            </w: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License and other</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7040" w:type="dxa"/>
            <w:vAlign w:val="bottom"/>
          </w:tcPr>
          <w:p>
            <w:pPr>
              <w:ind w:left="260"/>
              <w:spacing w:after="0"/>
              <w:rPr>
                <w:sz w:val="20"/>
                <w:szCs w:val="20"/>
                <w:color w:val="auto"/>
              </w:rPr>
            </w:pPr>
            <w:r>
              <w:rPr>
                <w:rFonts w:ascii="Arial" w:cs="Arial" w:eastAsia="Arial" w:hAnsi="Arial"/>
                <w:sz w:val="18"/>
                <w:szCs w:val="18"/>
                <w:color w:val="auto"/>
              </w:rPr>
              <w:t>Amortization of developed technology (1)</w:t>
            </w:r>
          </w:p>
        </w:tc>
        <w:tc>
          <w:tcPr>
            <w:tcW w:w="840" w:type="dxa"/>
            <w:vAlign w:val="bottom"/>
          </w:tcPr>
          <w:p>
            <w:pPr>
              <w:jc w:val="right"/>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_______________</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lines were not previously reported on the Condensed Consolidated Statement of Operations.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Previously, titled "Subscription."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three months ended April 30, 2017, that are of significance, or potential significance, to the Company.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adopted FASB's Accounting Standards Update No. 2017-04 ("ASU 2017-04"), "Intangibles—Goodwill and Other (Topic 350): Simplifying the Test for Goodwill Impairment" during the three months ended April 30, 2017. The ASU simplifies the accounting for goodwill impairment by removing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guidance is required to be applied on a prospective basis and as such, Autodesk will use the simplified test in its annual fourth fiscal quarter testing or more often if circumstances indicate a potential impairment may exist, or if events have affected the composition of reporting units. Autodesk does not believe ASU 2017-04 will have a material impact on its consolidated financial statements.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In February 2017, FASB issued Accounting Standards Update No. 2017-05 ("ASU 2017-05"), "Other Income– Gains and Losses from the Derecognition of Nonfinancial Assets (Subtopic 610-20): Clarifying the Scope of Asset Derecognition Guidance and Accounting for Partial Sales of Nonfinancial Assets." The ASU, among other things, clarifies the scope of the derecognition of nonfinancial assets, the definition of in substance financial assets, and impacts the accounting for partial sales of nonfinancial assets by requiring full gain recognition upon the sale. The amendments are effective for Autodesk's fiscal year beginning February 1, 2018. The guidance may be applied retrospectively for all periods presented or retrospectively with a cumulative-effect adjustment at the date of adoption. The effect of the implementation will depend upon the nature of th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e Company's future acquisitions or dispositions, if any. The adoption of the guidance would not have had a material impact on acquisitions prior to the current period and on the Company's consolidated statements of financial condition and results of operations.</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In January 2017, FASB issued Accounting Standards Update No. 2017-01 ("ASU 2017-01"), "Business Combinations: Clarifying the Definition of a Business" which provides a more robust framework to use in determining when a set of assets and activities is considered a business. The amendments will be effective for Autodesk's fiscal year beginning February 1, 2018 unless Autodesk elects early adoption, which Autodesk is still evaluating. The new guidance is required to be applied on a prospective basis. The effect of the implementation will depend upon the nature of the Company's future acquisitions, if any.</w:t>
      </w:r>
    </w:p>
    <w:p>
      <w:pPr>
        <w:spacing w:after="0" w:line="154"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In October 2016, FASB issued Accounting Standards Update No. 2016-16 ("ASU 2016-16"), “Income Taxes: Intra-Entity Transfers of Assets Other than Inventory” which requires that entities recognize the income tax consequences of an intra-entity transfer of an asset, other than inventory, when the transfer occurs. The amendments will be effective for Autodesk's fiscal year beginning February 1, 2018. The new guidance is required to be applied on a modified retrospective basis through a cumulative-effect adjustment directly to retained earnings as of the beginning of the period of adoption. Autodesk is currently evaluating the accounting, transition, and disclosure requirements of the standard. Furthermore, the actual impact of implementation will largely depend on future intra-entity asset transfers, if any.</w:t>
      </w:r>
    </w:p>
    <w:p>
      <w:pPr>
        <w:spacing w:after="0" w:line="19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2016, FASB issued Accounting Standards Update No. 2016-13 ("ASU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February 2016,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Autodesk plans to adopt ASU 2016-02 in Autodesk’s fiscal year beginning February 1, 2019.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January 2016, FASB issued Accounting Standards Update No. 2016-01 ("ASU 2016-01") regarding ASC Topic 825-10, "Financial Instruments - Overall." The amendments address certain aspects of recognition, measurement, presentation, and disclosure of financial instruments, and require equity securities to be measured at fair value with changes in fair value recognized through net income. The amendments also simplify the impairment assessment of equity investments without readily determinable fair values by requiring a qualitative assessment for impairment quarterly at each reporting period. The amendments in ASU 2016-01 will be effective for Autodesk's fiscal year beginning February 1, 2018. An entity should apply the amendments by means of a cumulative-effect adjustment to the balance sheet as of the beginning of the fiscal year of adoption, with prospective adoption of the amendments related to equity securities without readily determinable fair values existing as of the date of adoption. Autodesk does not believe ASU 2016-01 will have a material impact on its consolidated financial statements.</w:t>
      </w:r>
    </w:p>
    <w:p>
      <w:pPr>
        <w:spacing w:after="0" w:line="17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May 2014, FASB issued Accounting Standards Update No.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August 2015, FASB issued Accounting Standards Update No. 2015-14 to defer the effective date by one year with early adoption permitted as of the original effective date. In addition, FASB issued Accounting Standards Update No. 2016-08, Accounting Standards Update No. 2016-10, Accounting Standards Update No. 2016-12, and Accounting Standard Update No. 2016-20 in March 2016, April 2016, May 2016, and December 2016, respectively, to help provide interpretive clarifications on the new guidance in ASC Topic 606.</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currently plans to adopt ASU 2014-09 as of February 1, 2018, using the modified retrospective transition method.</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terms of Autodesk's evaluation efforts, the Company has assigned internal resources in addition to the engagement of third party service providers to assist in the evaluation. The Company's preliminary assessment is that there should be no material change in the timing and amount of the recognition of revenue for the majority of the Company's product subscription offerings and enterprise arrangements. This preliminary assessment is based on the Company's analysis that the related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t>software and cloud services in a majority of the product subscription and enterprise arrangements are not distinct in the context of the contract as they are considered highly interrelated and represent a single combined performance obligation that should be recognized over time. Due to the complexity of certain contracts, the actual revenue recognition treatment required under the new standard for these arrangements may be dependent on contract-specific terms and vary in some instances.</w:t>
      </w:r>
    </w:p>
    <w:p>
      <w:pPr>
        <w:spacing w:after="0" w:line="18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A limited number of Autodesk's product subscriptions do not incorporate substantial cloud services, and under ASU 2014-09 will be recognized as distinct license and service performance obligations. Revenue allocated to the licenses in these offerings will be recognized at a point in time instead of over the contract term. Autodesk does not currently believe the impact of the change to timing of revenue recognition for these limited offerings will be material. The Company is currently evaluating its other revenue streams, but does not believe ASU 2014-09 will have a material impact.</w:t>
      </w:r>
    </w:p>
    <w:p>
      <w:pPr>
        <w:spacing w:after="0" w:line="15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Another significant provision under ASU 2014-09 includes the capitalization and amortization of costs associated with obtaining a contract, such as sales commission. The Company expects there to be a material balance sheet impact at the period of adoption capturing the sales commission capitalization and is currently evaluating the magnitude at implementation.</w:t>
      </w:r>
    </w:p>
    <w:p>
      <w:pPr>
        <w:spacing w:after="0" w:line="18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Furthermore, the Company has made and will continue to make investments in systems and processes to enable timely and accurate reporting under the new standard. The Company currently expects that necessary operational changes will be implemented prior to the adoption date. Autodesk is currently evaluating the accounting, transition, and disclosure requirements of the standard and cannot currently estimate the financial statement impact of adoption.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30% of Autodesk’s total net revenue for the three months ended April 30, 2017 and 29% for the three months ended April 30, 2016. The majority of the net revenue from sales to Tech Data is for sales made outside of the United States. In addition, Tech Data accounted for 29% and 20% of trade accounts receivable at April 30, 2017 and January 31, 2017, respectively.</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2017 and January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April 30,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ind w:right="20"/>
              <w:spacing w:after="0" w:line="15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Custody cash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Short-term available-for-sale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Derivative contracts (3)</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“Other assets” in the accompanying Condensed Consolidated Balance Sheets.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January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77"/>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Short-term available-for-sale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4"/>
        </w:trPr>
        <w:tc>
          <w:tcPr>
            <w:tcW w:w="3960" w:type="dxa"/>
            <w:vAlign w:val="bottom"/>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1,903.5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1,907.3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1,193.8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706.6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022" w:right="259" w:bottom="1440" w:gutter="0" w:footer="0" w:header="0"/>
        </w:sectPr>
      </w:pPr>
    </w:p>
    <w:bookmarkStart w:id="12" w:name="page13"/>
    <w:bookmarkEnd w:id="12"/>
    <w:p>
      <w:pPr>
        <w:ind w:right="100"/>
        <w:spacing w:after="0" w:line="273" w:lineRule="auto"/>
        <w:rPr>
          <w:sz w:val="20"/>
          <w:szCs w:val="20"/>
          <w:color w:val="auto"/>
        </w:rPr>
      </w:pPr>
      <w:r>
        <w:rPr>
          <w:rFonts w:ascii="Arial" w:cs="Arial" w:eastAsia="Arial" w:hAnsi="Arial"/>
          <w:sz w:val="17"/>
          <w:szCs w:val="17"/>
          <w:color w:val="auto"/>
        </w:rPr>
        <w:t>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months ended April 30, 2017.</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available-for-sale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three months ended April 30, 2017 follows:</w:t>
      </w:r>
    </w:p>
    <w:p>
      <w:pPr>
        <w:spacing w:after="0" w:line="37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Derivative Contracts</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320" w:type="dxa"/>
            <w:vAlign w:val="bottom"/>
          </w:tcPr>
          <w:p>
            <w:pPr>
              <w:spacing w:after="0"/>
              <w:rPr>
                <w:sz w:val="13"/>
                <w:szCs w:val="13"/>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2017</w:t>
            </w:r>
          </w:p>
        </w:tc>
        <w:tc>
          <w:tcPr>
            <w:tcW w:w="68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6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Losses included in earnings</w:t>
            </w: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Gains included in OCI</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April 30, 2017</w:t>
            </w:r>
          </w:p>
        </w:tc>
        <w:tc>
          <w:tcPr>
            <w:tcW w:w="68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2017</w:t>
            </w:r>
          </w:p>
        </w:tc>
        <w:tc>
          <w:tcPr>
            <w:tcW w:w="10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415.4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270.9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271.1</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691.8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693.3</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April 30, 2017 and January 31, 2017, Autodesk had no securities, individually and in the aggregate, in a continuous unrealized loss position for greater than twelve months.</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of April 30, 2017 and January 31, 2017, Autodesk had $110.7 million and $117.2 million, respectively, in direct investments in privately held companies accounted for under the cost method, which are periodically assessed for other-than-temporary impairment. Other than the amounts disclosed in the following paragraph, Autodesk does not intend to sell these cost method investments and it is not more likely than not that Autodesk will be required to sell the investment before recovery of the amortized cost bases, which may be maturity. Therefore, Autodesk does not consider those investments to be other-than-temporarily impaired at April 30, 2017.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18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Autodesk determines that an other-than-temporary impairment has occurred, Autodesk writes down the investment to its fair value. During the three months ended April 30, 2017, Autodesk recorded $0.5 million in other-than-temporary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impairments on its privately held equity investments. During the three months ended April 30, 2016, Autodesk recorded no other-than-temporary impairments on its privately held equity investment.</w:t>
      </w:r>
    </w:p>
    <w:p>
      <w:pPr>
        <w:spacing w:after="0" w:line="17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There was no loss or gain for the sales or redemptions of “available-for-sale securities” during the three months ended April 30, 2017. The sales or redemptions of “available-for-sale securities” during the three months ended April 30, 2016 resulted in a loss of $0.1 million. Gains and losses resulting from the sale or redemption of "available-for-sale securities" are recorded in “Interest and other expense, net” on the Company's Condensed Consolidated Statements of Operations.</w:t>
      </w:r>
    </w:p>
    <w:p>
      <w:pPr>
        <w:spacing w:after="0" w:line="18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three months ended April 30, 2017 and 2016 were $382.6 million and $430.2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Condensed Consolidated Financial Statements at that time.</w:t>
      </w:r>
    </w:p>
    <w:p>
      <w:pPr>
        <w:spacing w:after="0" w:line="179"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The net notional amounts of these contracts are presented net settled and were $378.4 million at April 30, 2017 and $369.4 million at January 31, 2017. Outstanding contracts are recognized as either assets or liabilities on the balance sheet at fair value. The majority of the net gain of $13.2 million remaining in “Accumulated other comprehensive loss” as of April 30, 2017 is expected to be recognized into earnings within the next twelve months.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$227.7 million at April 30, 2017 and $270.6 million at January 31, 2017.</w:t>
      </w:r>
    </w:p>
    <w:p>
      <w:pPr>
        <w:spacing w:after="0" w:line="178"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right="360"/>
        <w:spacing w:after="0" w:line="277" w:lineRule="auto"/>
        <w:rPr>
          <w:sz w:val="20"/>
          <w:szCs w:val="20"/>
          <w:color w:val="auto"/>
        </w:rPr>
      </w:pPr>
      <w:r>
        <w:rPr>
          <w:rFonts w:ascii="Arial" w:cs="Arial" w:eastAsia="Arial" w:hAnsi="Arial"/>
          <w:sz w:val="18"/>
          <w:szCs w:val="18"/>
          <w:color w:val="auto"/>
        </w:rPr>
        <w:t>as of each balance sheet date and are recorded in “Other assets.” Changes in the fair values of these instruments are recognized in income as “Interest and other expense, net.”</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April 30, 2017 and January 31, 2017: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620" w:type="dxa"/>
            <w:vAlign w:val="bottom"/>
          </w:tcPr>
          <w:p>
            <w:pPr>
              <w:spacing w:after="0"/>
              <w:rPr>
                <w:sz w:val="22"/>
                <w:szCs w:val="22"/>
                <w:color w:val="auto"/>
              </w:rPr>
            </w:pPr>
          </w:p>
        </w:tc>
        <w:tc>
          <w:tcPr>
            <w:tcW w:w="274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2017</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6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62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10.1</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r>
      <w:tr>
        <w:trPr>
          <w:trHeight w:val="284"/>
        </w:trPr>
        <w:tc>
          <w:tcPr>
            <w:tcW w:w="56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r>
      <w:tr>
        <w:trPr>
          <w:trHeight w:val="244"/>
        </w:trPr>
        <w:tc>
          <w:tcPr>
            <w:tcW w:w="56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ended April 30, 2017 and 2016 (amounts presented include any income tax effects):</w:t>
      </w:r>
    </w:p>
    <w:p>
      <w:pPr>
        <w:spacing w:after="0" w:line="32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Foreign Currency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Borders>
              <w:bottom w:val="single" w:sz="8" w:color="CCEEFF"/>
            </w:tcBorders>
          </w:tcPr>
          <w:p>
            <w:pPr>
              <w:spacing w:after="0"/>
              <w:rPr>
                <w:sz w:val="16"/>
                <w:szCs w:val="16"/>
                <w:color w:val="auto"/>
              </w:rPr>
            </w:pPr>
          </w:p>
        </w:tc>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1"/>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86"/>
                <w:shd w:val="clear" w:color="auto" w:fill="CCEEFF"/>
              </w:rPr>
              <w:t>Amount</w:t>
            </w:r>
          </w:p>
        </w:tc>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 xml:space="preserve">of loss recognized </w:t>
            </w:r>
            <w:r>
              <w:rPr>
                <w:rFonts w:ascii="Arial" w:cs="Arial" w:eastAsia="Arial" w:hAnsi="Arial"/>
                <w:sz w:val="16"/>
                <w:szCs w:val="16"/>
                <w:i w:val="1"/>
                <w:iCs w:val="1"/>
                <w:color w:val="auto"/>
                <w:shd w:val="clear" w:color="auto" w:fill="CCEEFF"/>
              </w:rPr>
              <w:t>in accumulated other comprehensive income on derivatives (effective portion)</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3"/>
              </w:rPr>
              <w:t>Amount and location of gain (loss) reclassified from accumulated other comprehensive income into income (effective portion)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3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w w:val="93"/>
              </w:rPr>
              <w:t>Amount and location of loss recognized in income on derivatives (ineffective portion and amount excluded from effectiveness</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4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340" w:type="dxa"/>
            <w:vAlign w:val="bottom"/>
            <w:gridSpan w:val="2"/>
          </w:tcPr>
          <w:p>
            <w:pPr>
              <w:ind w:left="200"/>
              <w:spacing w:after="0"/>
              <w:rPr>
                <w:sz w:val="20"/>
                <w:szCs w:val="20"/>
                <w:color w:val="auto"/>
              </w:rPr>
            </w:pPr>
            <w:r>
              <w:rPr>
                <w:rFonts w:ascii="Arial" w:cs="Arial" w:eastAsia="Arial" w:hAnsi="Arial"/>
                <w:sz w:val="16"/>
                <w:szCs w:val="16"/>
                <w:i w:val="1"/>
                <w:iCs w:val="1"/>
                <w:color w:val="auto"/>
              </w:rPr>
              <w:t>testing)</w:t>
            </w: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and other expense, net</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months ended April 30, 2017 and 2016 (amounts presented include any income tax effects):</w:t>
      </w:r>
    </w:p>
    <w:p>
      <w:pPr>
        <w:spacing w:after="0" w:line="324"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Amount and location of loss recognized in income on derivatives</w:t>
      </w:r>
    </w:p>
    <w:p>
      <w:pPr>
        <w:spacing w:after="0" w:line="86" w:lineRule="exact"/>
        <w:rPr>
          <w:sz w:val="20"/>
          <w:szCs w:val="20"/>
          <w:color w:val="auto"/>
        </w:rPr>
      </w:pPr>
    </w:p>
    <w:p>
      <w:pPr>
        <w:ind w:left="380"/>
        <w:spacing w:after="0"/>
        <w:tabs>
          <w:tab w:leader="none" w:pos="8320" w:val="left"/>
          <w:tab w:leader="none" w:pos="9440" w:val="left"/>
          <w:tab w:leader="none" w:pos="9940" w:val="left"/>
          <w:tab w:leader="none" w:pos="11040" w:val="left"/>
        </w:tabs>
        <w:rPr>
          <w:sz w:val="20"/>
          <w:szCs w:val="20"/>
          <w:color w:val="auto"/>
        </w:rPr>
      </w:pPr>
      <w:r>
        <w:rPr>
          <w:rFonts w:ascii="Arial" w:cs="Arial" w:eastAsia="Arial" w:hAnsi="Arial"/>
          <w:sz w:val="16"/>
          <w:szCs w:val="16"/>
          <w:color w:val="auto"/>
        </w:rPr>
        <w:t>Interest and other expense,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w:t>
        <w:tab/>
        <w:t>$</w:t>
      </w:r>
      <w:r>
        <w:rPr>
          <w:sz w:val="20"/>
          <w:szCs w:val="20"/>
          <w:color w:val="auto"/>
        </w:rPr>
        <w:tab/>
      </w:r>
      <w:r>
        <w:rPr>
          <w:rFonts w:ascii="Arial" w:cs="Arial" w:eastAsia="Arial" w:hAnsi="Arial"/>
          <w:sz w:val="14"/>
          <w:szCs w:val="14"/>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220" w:right="4760" w:hanging="212"/>
        <w:spacing w:after="0" w:line="501" w:lineRule="auto"/>
        <w:tabs>
          <w:tab w:leader="none" w:pos="184"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activity for the three months ended April 30,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April 30,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7,622.4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60.13</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622.5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90.47</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(890.9)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57.85</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57.62</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61.79</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7,273.3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63.73</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584" w:right="239" w:bottom="1440" w:gutter="0" w:footer="0" w:header="0"/>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340" w:hanging="412"/>
        <w:spacing w:after="0" w:line="26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2017 performance period. The performance stock units were attained at rates ranging from 99.7% to 114.7%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three months ended April 30, 2017 and 2016 was $76.9 million and $49.1 million, respectively.</w:t>
      </w:r>
    </w:p>
    <w:p>
      <w:pPr>
        <w:spacing w:after="0" w:line="23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During the three months ended April 30, 2017, Autodesk granted 0.4 million restricted stock. Autodesk recorded stock-based compensation expense related to restricted stock units of $50.0 million and $38.8 million during the three months ended April 30, 2017 and 2016, respectively. The $50.0 million of stock-based compensation expense for the three months ended April 30, 2017 includes $3.2 million related to the acceleration of eligible restricted stock awards in conjunction with the Company's former CEO's transition agreement.</w:t>
      </w:r>
    </w:p>
    <w:p>
      <w:pPr>
        <w:spacing w:after="0" w:line="18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During the three months ended April 30, 2017, Autodesk granted 0.2 million performance stock units for which the ultimate number of shares earned is determined based on the achievement of performance criteria at the end of the stated service and performance period. The performance criteria for these grants are based upon net subscription additions, subscription Annualized Recurring Revenue ("ARR"), non-GAAP total spend, and total subscription renewal rate goals ("FY18 performance criteria") adopted by the Compensation and Human Resource Committee, as well as total stockholder return compared against companies in the S&amp;P Computer Software Select Index or the S&amp;P North American Technology Software Index (“Relative TSR”). Performance stock units vest over a three-year period:</w:t>
      </w:r>
    </w:p>
    <w:p>
      <w:pPr>
        <w:spacing w:after="0" w:line="193" w:lineRule="exact"/>
        <w:rPr>
          <w:sz w:val="20"/>
          <w:szCs w:val="20"/>
          <w:color w:val="auto"/>
        </w:rPr>
      </w:pPr>
    </w:p>
    <w:p>
      <w:pPr>
        <w:ind w:left="660" w:right="2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FY18 performance criteria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Performance stock units are not considered outstanding stock at the time of grant, as the holders of these units are not entitled to any of the rights of a stockholder, including voting rights. Autodesk has determined the grant date fair value for these awards using a Monte Carlo simulation model because the awards are also subject to a market condition. The fair value of the performance stock units is expensed using the accelerated attribution over the vesting period. Autodesk recorded stock-based compensation expense related to performance stock units of $10.9 million and $6.3 million for the three months ended April 30, 2017 and 2016, respectively. The $10.9 million of stock-based compensation expense for the three months ended April 30, 2017 includes $4.6 million related to the acceleration of eligible performance stock awards in conjunction with the Company's former CEO's transition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type w:val="continuous"/>
        </w:sectPr>
      </w:pPr>
    </w:p>
    <w:bookmarkStart w:id="16" w:name="page17"/>
    <w:bookmarkEnd w:id="16"/>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Autodesk issued 1.1 million and 1.2 million shares under the ESPP during the three months ended April 30, 2017 and 2016, respectively, with an average price of $38.34 and $36.67 per share. The weighted average grant date fair value of awards granted under the ESPP was $25.13 and $17.88 during the three months ended April 30, 2017 and 2016, respectively, calculated as of the award grant date using the Black-Scholes Merton (“BSM") option pricing model.</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stock-based compensation expense for the three months ended April 30, 2017 and 2016, respectively,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maintenance and subscription revenue</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Cost of license and other revenue</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1000" w:type="dxa"/>
            <w:vAlign w:val="bottom"/>
            <w:tcBorders>
              <w:top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51.6</w:t>
            </w:r>
          </w:p>
        </w:tc>
      </w:tr>
      <w:tr>
        <w:trPr>
          <w:trHeight w:val="33"/>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 April 30, 2017</w:t>
            </w:r>
          </w:p>
        </w:tc>
        <w:tc>
          <w:tcPr>
            <w:tcW w:w="120" w:type="dxa"/>
            <w:vAlign w:val="bottom"/>
          </w:tcPr>
          <w:p>
            <w:pPr>
              <w:spacing w:after="0"/>
              <w:rPr>
                <w:sz w:val="16"/>
                <w:szCs w:val="16"/>
                <w:color w:val="auto"/>
              </w:rPr>
            </w:pPr>
          </w:p>
        </w:tc>
        <w:tc>
          <w:tcPr>
            <w:tcW w:w="3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 April 30, 2016</w:t>
            </w:r>
          </w:p>
        </w:tc>
        <w:tc>
          <w:tcPr>
            <w:tcW w:w="0" w:type="dxa"/>
            <w:vAlign w:val="bottom"/>
          </w:tcPr>
          <w:p>
            <w:pPr>
              <w:spacing w:after="0"/>
              <w:rPr>
                <w:sz w:val="1"/>
                <w:szCs w:val="1"/>
                <w:color w:val="auto"/>
              </w:rPr>
            </w:pPr>
          </w:p>
        </w:tc>
      </w:tr>
      <w:tr>
        <w:trPr>
          <w:trHeight w:val="152"/>
        </w:trPr>
        <w:tc>
          <w:tcPr>
            <w:tcW w:w="16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ESPP</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60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31.8%</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31.4 - 33.7%</w:t>
            </w:r>
          </w:p>
        </w:tc>
        <w:tc>
          <w:tcPr>
            <w:tcW w:w="1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38.4 - 38.6%</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35.0 - 40.2%</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48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0.9 - 1.3%</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0.6 - 0.7%</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0.5 - 0.9%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-664210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-321310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584" w:right="239" w:bottom="1440" w:gutter="0" w:footer="0" w:header="0"/>
          <w:type w:val="continuous"/>
        </w:sectPr>
      </w:pPr>
    </w:p>
    <w:p>
      <w:pPr>
        <w:spacing w:after="0" w:line="25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Computer Software Select Index or S&amp;P North American Technology Software Index with a market capitalization over $2 billion, depending on the award type.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type w:val="continuous"/>
        </w:sectPr>
      </w:pPr>
    </w:p>
    <w:bookmarkStart w:id="17" w:name="page18"/>
    <w:bookmarkEnd w:id="17"/>
    <w:p>
      <w:pPr>
        <w:ind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As permitted by ASU 2016-09, Autodesk accounts for forfeitures of our stock-based awards as those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80" w:firstLine="467"/>
        <w:spacing w:after="0" w:line="259" w:lineRule="auto"/>
        <w:rPr>
          <w:sz w:val="20"/>
          <w:szCs w:val="20"/>
          <w:color w:val="auto"/>
        </w:rPr>
      </w:pPr>
      <w:r>
        <w:rPr>
          <w:rFonts w:ascii="Arial" w:cs="Arial" w:eastAsia="Arial" w:hAnsi="Arial"/>
          <w:sz w:val="18"/>
          <w:szCs w:val="18"/>
          <w:color w:val="auto"/>
        </w:rPr>
        <w:t>Autodesk's income tax expense was $8.2 million and $14.4 million for the three months ended April 30, 2017 and 2016, respectively, relative to a pre-tax losses of $121.4 million and $153.3 million, respectively, for the same periods. The decrease in income tax expense was primarily due to the reversal of foreign withholding tax accruals during the three months ended April 30, 2017. Income tax expense consists primarily of foreign taxes and U.S. tax expense related to indefinite-lived intangibles.</w:t>
      </w:r>
    </w:p>
    <w:p>
      <w:pPr>
        <w:spacing w:after="0" w:line="187"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in the United States arising from the Company's business model transition as a significant piece of negative evidence and established a valuation allowance against the Company’s U.S. deferred tax assets in fiscal 2016. Based on the positive and negative evidence as of April 30, 2017, the Company's valuation allowance position established for the U.S. deferred tax assets has not changed.</w:t>
      </w:r>
    </w:p>
    <w:p>
      <w:pPr>
        <w:spacing w:after="0" w:line="15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of April 30, 2017, the Company had $263.9 million of gross unrecognized tax benefits, excluding interest, of which approximately $249.9 million represents the amount of unrecognized tax benefits that would impact the effective tax rate, if recognized. However, this rate impact would be $31.9 million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Internal Revenue Service has started an examination of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8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April 30, 2017, Autodesk did not complete any business combinations or technology acquisitions.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records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records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jc w:val="both"/>
        <w:ind w:right="40" w:firstLine="405"/>
        <w:spacing w:after="0" w:line="302" w:lineRule="auto"/>
        <w:rPr>
          <w:sz w:val="20"/>
          <w:szCs w:val="20"/>
          <w:color w:val="auto"/>
        </w:rPr>
      </w:pPr>
      <w:r>
        <w:rPr>
          <w:rFonts w:ascii="Arial" w:cs="Arial" w:eastAsia="Arial" w:hAnsi="Arial"/>
          <w:sz w:val="16"/>
          <w:szCs w:val="16"/>
          <w:color w:val="auto"/>
        </w:rPr>
        <w:t>For certain prior business combinations,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 and the valuation of certain intangible assets.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800"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2017</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23"/>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584.3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583.6</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377.6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375.9</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961.9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959.5</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(862.0)</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97.5</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Goodwill consists of the excess of consideration transferred over the fair value of net assets acquired in business combinations. The following table summarizes the changes in the carrying amount of goodwill for the periods ended April 30, 2017 and January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2017</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beginning of the period</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1,684.2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impairment losses, beginning of the period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arising from acquisitions during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Effect of foreign currency translation, purchase accounting adjustments, and other</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end of the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1,561.1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quantitative impairment test is necessary when either Autodesk does not use the optional assessment or, as a result of the optional assessment, it is not more likely than not that the fair value of the reporting unit is greater than its carrying value.</w:t>
      </w:r>
    </w:p>
    <w:p>
      <w:pPr>
        <w:spacing w:after="0" w:line="1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As described in Note 2, "Recently Issued Accounting Standards," Autodesk early adopted ASU 2017-04, which simplifies the subsequent measurement of goodwill to eliminate Step 2 from the goodwill impairment test, removing the need to determine the implied fair value of goodwill and comparing it to the carrying amount of that goodwill to measure the impairment loss, if any. In situations in which an entity's reporting unit is publicly traded, the fair value of the Company may be approximated by its market capitalization, in performing the quantitative impairment test.</w:t>
      </w:r>
    </w:p>
    <w:p>
      <w:pPr>
        <w:spacing w:after="0" w:line="17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Goodwill impairment exists when the estimated fair value of goodwill is less than its carrying value. If impairment exists, the carrying value of the goodwill is reduced to fair value through an impairment charge recorded in our statements of operations. The process of evaluating the potential impairment of goodwill is subjective and requires significant judgment at many points during the analysis. The value of Autodesk’s goodwill could also be impacted by future adverse changes such 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type w:val="continuous"/>
        </w:sectPr>
      </w:pPr>
    </w:p>
    <w:bookmarkStart w:id="19" w:name="page20"/>
    <w:bookmarkEnd w:id="19"/>
    <w:p>
      <w:pPr>
        <w:ind w:right="240" w:firstLine="8"/>
        <w:spacing w:after="0" w:line="277"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declines in Autodesk’s actual financial results, (ii) a sustained decline in Autodesk’s market capitalization, (iii) a significant slowdown in the worldwide economy or the industries Autodesk serves, or (iv) changes in Autodesk’s business strategy.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months ended April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At April 30, 2017, Autodesk had marketable securities totaling $735.5 million, of which $52.5 million related to investments in debt and equity securities that are held in a rabbi trust under non-qualified deferred compensation plans. The total related deferred compensation liability was $52.5 million at April 30, 2017, of which $3.1 million was classified as current and $49.4 million was classified as non-current liabilities. The total related deferred compensation liability at January 31, 2017 was $47.3 million, of which $3.1 million was classified as current and $44.2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2017</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2017</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73.5</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58.2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(385.5)</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158.6</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$772.8 million as of April 30, 2017.</w:t>
      </w:r>
    </w:p>
    <w:p>
      <w:pPr>
        <w:spacing w:after="0" w:line="179"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December 2012, Autodesk issued $400.0 million aggregate principal amount of 1.95% notes due December 15, 2017 and $350.0 million aggregate principal amount of 3.6%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Autodesk may redeem the 2012 Notes at any time, subject to a make whole premium. In addition, upon the occurrence of certain change of control triggering events, Autodesk may be required to repurchase the 2012 Notes at a price equal to 101% of their principal amount, plus accrued and unpaid interest to the date of repurchase. The 2012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2012 Notes was approximately $759.6 million as of April 30, 2017.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right="140" w:firstLine="405"/>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As the result of a forecasted inability to comply with the credit agreement's minimum interest coverage ratio in the first quarter of fiscal 2018, the Company renegotiated the credit agreement's financial covenants in April 2017. The financial covenants now consist of a maximum debt to total cash ratio, a fixed charge coverage ratio through April 30, 2018, and after April 30, 2018, a minimum interest coverage ratio.</w:t>
      </w:r>
    </w:p>
    <w:p>
      <w:pPr>
        <w:spacing w:after="0" w:line="18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line of credit is syndicated with various financial institutions, including Citibank, N.A., an affiliate of Citigroup, which is one of the lead lenders and an agent. The maturity date on the line of credit is May 2020. At April 30, 2017, Autodesk was in compliance with the credit facility's covenants and had no outstanding borrowings on this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 (benefits) charges and other facility exit costs, net</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February 2016, the Board of Directors approved a world-wide restructuring plan (“Fiscal 2017 Plan”) in order to re-balance staffing levels and reduce operating expenses to better align them with the evolving needs of the business. The Company paid substantially all of the employee termination benefits and facility related liabilities under the Fiscal 2017 Plan by the end of fiscal 2017.</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restructuring charges and other lease termination exit costs during the three months ended April 30, 2017:</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321"/>
              <w:spacing w:after="0"/>
              <w:rPr>
                <w:sz w:val="20"/>
                <w:szCs w:val="20"/>
                <w:color w:val="auto"/>
              </w:rPr>
            </w:pPr>
            <w:r>
              <w:rPr>
                <w:rFonts w:ascii="Arial" w:cs="Arial" w:eastAsia="Arial" w:hAnsi="Arial"/>
                <w:sz w:val="14"/>
                <w:szCs w:val="14"/>
                <w:b w:val="1"/>
                <w:bCs w:val="1"/>
                <w:color w:val="auto"/>
              </w:rPr>
              <w:t>Balances,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Adjustments (1)</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Balances, April 30,</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January 31, 2017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2017 Plan</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other exit costs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Other Lease Termination Costs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14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Adjustments include the impact from the change in sublease assumptions related to certain lease terminations.</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months ended April 30, 2017, Autodesk repurchased and retired 2.2 million shares at an average repurchase price of $85.48 per share. Common stock and additional paid-in capital and accumulated deficit were reduced by $61.2 million and $130.8 million, respectively, during the three months ended April 30, 2017.</w:t>
      </w:r>
    </w:p>
    <w:p>
      <w:pPr>
        <w:spacing w:after="0" w:line="18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At April 30, 2017, 24.4 million shares remained available for repurchase under the repurchase program approved by the Board of Directors. During the three months ended April 30, 2017,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58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April 30,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Pre-tax (gains)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Balances, April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expense, net." Refer to Note 4,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Per Share</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(129.6)</w:t>
            </w:r>
          </w:p>
        </w:tc>
        <w:tc>
          <w:tcPr>
            <w:tcW w:w="120" w:type="dxa"/>
            <w:vAlign w:val="bottom"/>
          </w:tcPr>
          <w:p>
            <w:pPr>
              <w:spacing w:after="0"/>
              <w:rPr>
                <w:sz w:val="19"/>
                <w:szCs w:val="19"/>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(167.7)</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Pr>
          <w:p>
            <w:pPr>
              <w:spacing w:after="0"/>
              <w:rPr>
                <w:sz w:val="17"/>
                <w:szCs w:val="17"/>
                <w:color w:val="auto"/>
              </w:rPr>
            </w:pP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440" w:hanging="412"/>
        <w:spacing w:after="0" w:line="296" w:lineRule="auto"/>
        <w:tabs>
          <w:tab w:leader="none" w:pos="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effect of dilutive securities of 4.1 million and 3.2 million shares in the three months ended April 30, 2017 and 2016, respectively, have been excluded from the calculation of diluted net loss per share as those shares would have been anti-dilutive due to the net loss incurred during those periods.</w:t>
      </w:r>
    </w:p>
    <w:p>
      <w:pPr>
        <w:spacing w:after="0" w:line="15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computation of diluted net loss per share does not include shares that are anti-dilutive under the treasury stock method because their exercise prices are higher than the average market value of Autodesk’s stock during the period. For the three months ended April 30, 2017 and 2016, 0.3 million and 0.9 million potentially anti-dilutive shares were excluded from the computation of diluted net loss per share,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18. Segment, Geographic and Product Family Information</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Autodesk’s revenue by geographic area and product family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Americas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184.7</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33.0</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217.7</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189.7</w:t>
            </w: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202.6</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960" w:type="dxa"/>
            <w:vAlign w:val="bottom"/>
            <w:tcBorders>
              <w:top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485.7</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511.9</w:t>
            </w:r>
          </w:p>
        </w:tc>
      </w:tr>
      <w:tr>
        <w:trPr>
          <w:trHeight w:val="73"/>
        </w:trPr>
        <w:tc>
          <w:tcPr>
            <w:tcW w:w="834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r>
      <w:tr>
        <w:trPr>
          <w:trHeight w:val="278"/>
        </w:trPr>
        <w:tc>
          <w:tcPr>
            <w:tcW w:w="8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bl>
    <w:p>
      <w:pPr>
        <w:spacing w:after="0" w:line="17" w:lineRule="exact"/>
        <w:rPr>
          <w:sz w:val="20"/>
          <w:szCs w:val="20"/>
          <w:color w:val="auto"/>
        </w:rPr>
      </w:pPr>
    </w:p>
    <w:p>
      <w:pPr>
        <w:sectPr>
          <w:pgSz w:w="11900" w:h="16838" w:orient="portrait"/>
          <w:cols w:equalWidth="0" w:num="1">
            <w:col w:w="11420"/>
          </w:cols>
          <w:pgMar w:left="240" w:top="584" w:right="239" w:bottom="1440" w:gutter="0" w:footer="0" w:header="0"/>
        </w:sectPr>
      </w:pPr>
    </w:p>
    <w:p>
      <w:pPr>
        <w:ind w:left="40"/>
        <w:spacing w:after="0"/>
        <w:rPr>
          <w:sz w:val="20"/>
          <w:szCs w:val="20"/>
          <w:color w:val="auto"/>
        </w:rPr>
      </w:pPr>
      <w:r>
        <w:rPr>
          <w:rFonts w:ascii="Arial" w:cs="Arial" w:eastAsia="Arial" w:hAnsi="Arial"/>
          <w:sz w:val="16"/>
          <w:szCs w:val="16"/>
          <w:color w:val="auto"/>
        </w:rPr>
        <w:t>Net revenue by product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Architecture, Engineering and Construction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AutoCAD and AutoCAD LT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tabs>
          <w:tab w:leader="none" w:pos="980" w:val="left"/>
          <w:tab w:leader="none" w:pos="1600" w:val="left"/>
          <w:tab w:leader="none" w:pos="2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204.5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218.9</w:t>
      </w:r>
    </w:p>
    <w:p>
      <w:pPr>
        <w:spacing w:after="0" w:line="86" w:lineRule="exact"/>
        <w:rPr>
          <w:sz w:val="20"/>
          <w:szCs w:val="20"/>
          <w:color w:val="auto"/>
        </w:rPr>
      </w:pPr>
    </w:p>
    <w:p>
      <w:pPr>
        <w:jc w:val="right"/>
        <w:ind w:right="100"/>
        <w:spacing w:after="0"/>
        <w:tabs>
          <w:tab w:leader="none" w:pos="360" w:val="left"/>
        </w:tabs>
        <w:rPr>
          <w:sz w:val="20"/>
          <w:szCs w:val="20"/>
          <w:color w:val="auto"/>
        </w:rPr>
      </w:pPr>
      <w:r>
        <w:rPr>
          <w:rFonts w:ascii="Arial" w:cs="Arial" w:eastAsia="Arial" w:hAnsi="Arial"/>
          <w:sz w:val="16"/>
          <w:szCs w:val="16"/>
          <w:color w:val="auto"/>
        </w:rPr>
        <w:t>142.1</w:t>
      </w:r>
      <w:r>
        <w:rPr>
          <w:sz w:val="20"/>
          <w:szCs w:val="20"/>
          <w:color w:val="auto"/>
        </w:rPr>
        <w:tab/>
      </w:r>
      <w:r>
        <w:rPr>
          <w:rFonts w:ascii="Arial" w:cs="Arial" w:eastAsia="Arial" w:hAnsi="Arial"/>
          <w:sz w:val="15"/>
          <w:szCs w:val="15"/>
          <w:color w:val="auto"/>
        </w:rPr>
        <w:t>158.0</w:t>
      </w:r>
    </w:p>
    <w:p>
      <w:pPr>
        <w:spacing w:after="0" w:line="86" w:lineRule="exact"/>
        <w:rPr>
          <w:sz w:val="20"/>
          <w:szCs w:val="20"/>
          <w:color w:val="auto"/>
        </w:rPr>
      </w:pPr>
    </w:p>
    <w:p>
      <w:pPr>
        <w:jc w:val="right"/>
        <w:ind w:right="100"/>
        <w:spacing w:after="0"/>
        <w:tabs>
          <w:tab w:leader="none" w:pos="280" w:val="left"/>
        </w:tabs>
        <w:rPr>
          <w:sz w:val="20"/>
          <w:szCs w:val="20"/>
          <w:color w:val="auto"/>
        </w:rPr>
      </w:pPr>
      <w:r>
        <w:rPr>
          <w:rFonts w:ascii="Arial" w:cs="Arial" w:eastAsia="Arial" w:hAnsi="Arial"/>
          <w:sz w:val="16"/>
          <w:szCs w:val="16"/>
          <w:color w:val="auto"/>
        </w:rPr>
        <w:t>91.5</w:t>
      </w:r>
      <w:r>
        <w:rPr>
          <w:sz w:val="20"/>
          <w:szCs w:val="20"/>
          <w:color w:val="auto"/>
        </w:rPr>
        <w:tab/>
      </w:r>
      <w:r>
        <w:rPr>
          <w:rFonts w:ascii="Arial" w:cs="Arial" w:eastAsia="Arial" w:hAnsi="Arial"/>
          <w:sz w:val="15"/>
          <w:szCs w:val="15"/>
          <w:color w:val="auto"/>
        </w:rPr>
        <w:t>85.9</w:t>
      </w:r>
    </w:p>
    <w:p>
      <w:pPr>
        <w:spacing w:after="0" w:line="86" w:lineRule="exact"/>
        <w:rPr>
          <w:sz w:val="20"/>
          <w:szCs w:val="20"/>
          <w:color w:val="auto"/>
        </w:rPr>
      </w:pPr>
    </w:p>
    <w:p>
      <w:pPr>
        <w:jc w:val="right"/>
        <w:ind w:right="100"/>
        <w:spacing w:after="0"/>
        <w:tabs>
          <w:tab w:leader="none" w:pos="280" w:val="left"/>
        </w:tabs>
        <w:rPr>
          <w:sz w:val="20"/>
          <w:szCs w:val="20"/>
          <w:color w:val="auto"/>
        </w:rPr>
      </w:pPr>
      <w:r>
        <w:rPr>
          <w:rFonts w:ascii="Arial" w:cs="Arial" w:eastAsia="Arial" w:hAnsi="Arial"/>
          <w:sz w:val="16"/>
          <w:szCs w:val="16"/>
          <w:color w:val="auto"/>
        </w:rPr>
        <w:t>36.5</w:t>
      </w:r>
      <w:r>
        <w:rPr>
          <w:sz w:val="20"/>
          <w:szCs w:val="20"/>
          <w:color w:val="auto"/>
        </w:rPr>
        <w:tab/>
      </w:r>
      <w:r>
        <w:rPr>
          <w:rFonts w:ascii="Arial" w:cs="Arial" w:eastAsia="Arial" w:hAnsi="Arial"/>
          <w:sz w:val="15"/>
          <w:szCs w:val="15"/>
          <w:color w:val="auto"/>
        </w:rPr>
        <w:t>35.0</w:t>
      </w:r>
    </w:p>
    <w:p>
      <w:pPr>
        <w:spacing w:after="0" w:line="86" w:lineRule="exact"/>
        <w:rPr>
          <w:sz w:val="20"/>
          <w:szCs w:val="20"/>
          <w:color w:val="auto"/>
        </w:rPr>
      </w:pPr>
    </w:p>
    <w:p>
      <w:pPr>
        <w:jc w:val="right"/>
        <w:ind w:right="100"/>
        <w:spacing w:after="0"/>
        <w:tabs>
          <w:tab w:leader="none" w:pos="28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spacing w:after="0"/>
        <w:tabs>
          <w:tab w:leader="none" w:pos="980" w:val="left"/>
          <w:tab w:leader="none" w:pos="1600" w:val="left"/>
          <w:tab w:leader="none" w:pos="2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485.7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511.9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9551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3060"/>
          </w:cols>
          <w:pgMar w:left="240" w:top="584" w:right="2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Months Ended April 30, 2017 and 2016” below, future net revenue, operating expenses, recurring revenue, annualized recurring revenue, annualized revenue per subscription, other future financial results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and mobile computing, the effect of unemployment, the availability of credit, our expectations for our restructuring, the effects of mixed global economic conditions, the effects of revenue recognition,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remediation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type w:val="continuous"/>
        </w:sectPr>
      </w:pPr>
    </w:p>
    <w:bookmarkStart w:id="24" w:name="page25"/>
    <w:bookmarkEnd w:id="24"/>
    <w:p>
      <w:pPr>
        <w:spacing w:after="0" w:line="264" w:lineRule="auto"/>
        <w:rPr>
          <w:sz w:val="20"/>
          <w:szCs w:val="20"/>
          <w:color w:val="auto"/>
        </w:rPr>
      </w:pPr>
      <w:r>
        <w:rPr>
          <w:rFonts w:ascii="Arial" w:cs="Arial" w:eastAsia="Arial" w:hAnsi="Arial"/>
          <w:sz w:val="18"/>
          <w:szCs w:val="18"/>
          <w:i w:val="1"/>
          <w:iCs w:val="1"/>
          <w:color w:val="auto"/>
        </w:rPr>
        <w:t>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Autodesk makes software for people who make things. If you've ever driven a high-performance car, admired a towering skyscraper, used a smartphone, or watched a great film, chances are you've experienced what millions of Autodesk customers are doing with our software. Autodesk gives you the power to make anything.</w:t>
      </w:r>
    </w:p>
    <w:p>
      <w:pPr>
        <w:spacing w:after="0" w:line="18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Our product subscriptions currently represent a hybrid of desktop software and cloud-based functionality, which provides a device-independent, collaborative design workflow for designers, makers, and their stakeholders. Our cloud service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2"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Our strategy is to lead the industries we serve to cloud-based technologies and business models. This entails both a technological shift and a business model shift. As part of the transition, we discontinued selling new perpetual licenses of most individual software products effective February 1, 2016, and discontinued selling new perpetual licenses of suites while introducing industry collections effective August 1, 2016. Industry collections allow access to a broad set of products and services that exceeds those previously available in suites - simplifying the customer ability to get access to a complete set of tools for their industry. We now offer subscriptions for individual products and industry collections, cloud service offerings, and flexible enterprise business agreements (collectively referred to as "subscription plan" and previously called "new model subscription offerings"). These offerings are designed to give our customers more flexibility with how they use our products and service offerings and to attract a broader range of customers, such as project-based users and small businesses.</w:t>
      </w:r>
    </w:p>
    <w:p>
      <w:pPr>
        <w:spacing w:after="0" w:line="19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With the discontinuation of the sale of most perpetual licenses, we have transitioned away from selling a mix of perpetual licenses and term-based product subscriptions toward a single subscription model. On June 1, 2017, we will commence a program to incentivize maintenance plan customers to move to subscription plan offerings. Through this program we will offer discounts to those maintenance customers that move to a subscription plan, while at the same time increasing maintenance plan pricing over time for customers that remain on maintenance.</w:t>
      </w:r>
    </w:p>
    <w:p>
      <w:pPr>
        <w:spacing w:after="0" w:line="17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To provide more meaningful information as to the performance of different categories of product and services, we have changed our presentation of revenue and cost of revenue on our Condensed Consolidated Statements of Operations effective the first quarter of fiscal 2018. See Note 1, "Basis of Presentation," for additional information.</w:t>
      </w:r>
    </w:p>
    <w:p>
      <w:pPr>
        <w:spacing w:after="0" w:line="181"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During the transition, revenue, margins, EPS, deferred revenue and cash flow from operations have been and will continue to be impacted as more revenue is recognized ratably rather than upfront and as new product subscription offerings generally have a lower initial purchase price.</w:t>
      </w:r>
    </w:p>
    <w:p>
      <w:pPr>
        <w:spacing w:after="0" w:line="14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As we progress through the business model transition, reported revenue is less relevant to measure the success of the business as perpetual license sales have been discontinued in favor of subscription offerings, which have considerably lower upfront prices. Annualized recurring revenue ("ARR") and growth of total subscriptions better reflect business momentum and provide additional transparency into the transition. To further analyze progress, we disaggregate our growth in these metrics between the original maintenance model ("maintenance plan") and the subscription plan. Maintenance plan subscriptions peaked in the fourth quarter of our fiscal 2016 as we discontinued selling new maintenance plan subscriptions in fiscal 2017, and we expect them to decline slowly over time as maintenance plan customers continue to convert to our subscription plan.</w:t>
      </w:r>
    </w:p>
    <w:p>
      <w:pPr>
        <w:spacing w:after="0" w:line="17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sell our products and services globally, through a combination of indirect and direct channels. During the three months ended April 30, 2017 and 2016, our indirect channels, which include value added resellers, direct market resellers,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7"/>
          <w:szCs w:val="17"/>
          <w:color w:val="auto"/>
        </w:rPr>
        <w:t>distributors, computer manufacturers, and other software developers, were responsible for 70% and 75% of our overall revenue, respectively. During the same periods, our direct channels, which include internal sales resources dedicated to selling in our largest accounts, our highly specialized products, and business transacted through our online Autodesk branded store, were responsible for 30% and 25% of our overall revenue, respectively.</w:t>
      </w:r>
    </w:p>
    <w:p>
      <w:pPr>
        <w:spacing w:after="0" w:line="16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digitally transacted online Autodesk branded store business and our largest accounts shift towards direct-only business models. However, we expect our indirect channel will continue to transact and support the majority of our customers and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subscriptions of Autodesk software worldwide to students, educators, and educational institutions.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iTunes U. Our intention is to make Autodesk software ubiquitous and the design software of choice for those poised to become the next generation of professional users.</w:t>
      </w:r>
    </w:p>
    <w:p>
      <w:pPr>
        <w:spacing w:after="0" w:line="193"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26" w:name="page27"/>
    <w:bookmarkEnd w:id="26"/>
    <w:p>
      <w:pPr>
        <w:ind w:right="80"/>
        <w:spacing w:after="0" w:line="255" w:lineRule="auto"/>
        <w:rPr>
          <w:sz w:val="20"/>
          <w:szCs w:val="20"/>
          <w:color w:val="auto"/>
        </w:rPr>
      </w:pPr>
      <w:r>
        <w:rPr>
          <w:rFonts w:ascii="Arial" w:cs="Arial" w:eastAsia="Arial" w:hAnsi="Arial"/>
          <w:sz w:val="18"/>
          <w:szCs w:val="18"/>
          <w:color w:val="auto"/>
        </w:rPr>
        <w:t>“Business and Summary of Significant Accounting Policies,” in the Notes to Consolidated Financial Statements in our Form 10-K for the fiscal year ended January 31, 2017. In addition,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April 30, 2017 as compared to the those disclosed in our Form 10-K for the fiscal year ended January 31, 2017. We believe these policies are the most critical to aid in fully understanding and evaluating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2017 and 2016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40" w:type="dxa"/>
            <w:vAlign w:val="bottom"/>
          </w:tcPr>
          <w:p>
            <w:pPr>
              <w:ind w:left="40"/>
              <w:spacing w:after="0" w:line="145" w:lineRule="exact"/>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3"/>
          </w:tcPr>
          <w:p>
            <w:pPr>
              <w:jc w:val="center"/>
              <w:ind w:right="88"/>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vMerge w:val="restart"/>
          </w:tcPr>
          <w:p>
            <w:pPr>
              <w:jc w:val="center"/>
              <w:ind w:right="62"/>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100" w:type="dxa"/>
            <w:vAlign w:val="bottom"/>
            <w:vMerge w:val="restart"/>
          </w:tcPr>
          <w:p>
            <w:pPr>
              <w:spacing w:after="0"/>
              <w:rPr>
                <w:sz w:val="4"/>
                <w:szCs w:val="4"/>
                <w:color w:val="auto"/>
              </w:rPr>
            </w:pPr>
          </w:p>
        </w:tc>
        <w:tc>
          <w:tcPr>
            <w:tcW w:w="1560" w:type="dxa"/>
            <w:vAlign w:val="bottom"/>
            <w:gridSpan w:val="2"/>
            <w:vMerge w:val="restart"/>
          </w:tcPr>
          <w:p>
            <w:pPr>
              <w:ind w:left="300"/>
              <w:spacing w:after="0" w:line="139" w:lineRule="exact"/>
              <w:rPr>
                <w:sz w:val="20"/>
                <w:szCs w:val="20"/>
                <w:color w:val="auto"/>
              </w:rPr>
            </w:pPr>
            <w:r>
              <w:rPr>
                <w:rFonts w:ascii="Arial" w:cs="Arial" w:eastAsia="Arial" w:hAnsi="Arial"/>
                <w:sz w:val="14"/>
                <w:szCs w:val="14"/>
                <w:b w:val="1"/>
                <w:bCs w:val="1"/>
                <w:color w:val="auto"/>
              </w:rPr>
              <w:t>As a % of Net</w:t>
            </w: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82"/>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120" w:type="dxa"/>
            <w:vAlign w:val="bottom"/>
          </w:tcPr>
          <w:p>
            <w:pPr>
              <w:spacing w:after="0"/>
              <w:rPr>
                <w:sz w:val="4"/>
                <w:szCs w:val="4"/>
                <w:color w:val="auto"/>
              </w:rPr>
            </w:pPr>
          </w:p>
        </w:tc>
        <w:tc>
          <w:tcPr>
            <w:tcW w:w="1440" w:type="dxa"/>
            <w:vAlign w:val="bottom"/>
            <w:vMerge w:val="restart"/>
          </w:tcPr>
          <w:p>
            <w:pPr>
              <w:jc w:val="right"/>
              <w:ind w:right="228"/>
              <w:spacing w:after="0" w:line="139" w:lineRule="exact"/>
              <w:rPr>
                <w:sz w:val="20"/>
                <w:szCs w:val="20"/>
                <w:color w:val="auto"/>
              </w:rPr>
            </w:pPr>
            <w:r>
              <w:rPr>
                <w:rFonts w:ascii="Arial" w:cs="Arial" w:eastAsia="Arial" w:hAnsi="Arial"/>
                <w:sz w:val="14"/>
                <w:szCs w:val="14"/>
                <w:b w:val="1"/>
                <w:bCs w:val="1"/>
                <w:color w:val="auto"/>
              </w:rPr>
              <w:t>As a % of Net</w:t>
            </w:r>
          </w:p>
        </w:tc>
        <w:tc>
          <w:tcPr>
            <w:tcW w:w="0" w:type="dxa"/>
            <w:vAlign w:val="bottom"/>
          </w:tcPr>
          <w:p>
            <w:pPr>
              <w:spacing w:after="0"/>
              <w:rPr>
                <w:sz w:val="1"/>
                <w:szCs w:val="1"/>
                <w:color w:val="auto"/>
              </w:rPr>
            </w:pPr>
          </w:p>
        </w:tc>
      </w:tr>
      <w:tr>
        <w:trPr>
          <w:trHeight w:val="65"/>
        </w:trPr>
        <w:tc>
          <w:tcPr>
            <w:tcW w:w="2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3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485.7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511.9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78.2</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92.4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407.5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419.5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37"/>
        </w:trPr>
        <w:tc>
          <w:tcPr>
            <w:tcW w:w="254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527.1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569.2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We are undergoing a business model transition in which we have discontinued selling new perpetual licenses for most of our products in favor of subscriptions. During the transition, revenue, margins, EPS, deferred revenue and cash flow from operations have been and will continue to be impacted as more revenue is recognized ratably rather than upfront and as new product subscription offerings generally have a lower initial purchase price.</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Net revenue decreased during the three months ended April 30, 2017, as compared to the same period in the prior fiscal year, primarily due to a 66% decrease in license and other revenue, partially offset by a 103% increase in subscription revenue. The 66% decrease in license and other revenue was primarily a result of the discontinuation of new perpetual licenses of suites effective August 1, 2016 and the sales of most individual perpetual products as of February 1, 2016. The 103% increase in subscription revenue was driven by an increase in subscription revenue across all subscription plan types, primarily led by product subscription.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Total sales to Tech Data accounted for 30% of Autodesk’s total net revenue for the three months ended April 30, 2017 and 29% for the three months ended April 30, 2016. Our customers through Tech Data are the resellers and end users who purchase our software licenses and services. Should any of our agreements with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Our operating margin increased to (25)% for the three months ended April 30, 2017 from (29)% for the three months ended April 30, 2016. The increase in operating margin was primarily driven by a decrease in operating expenses and cost of revenue during the three months ended April 30, 2017, partially offset by lower revenue. The decrease in operating expenses during the three months ended April 30, 2017 as compared to the same period in the prior fiscal year was primarily driven by a decline in restructuring charges related to the February 2016 world-wide restructuring plan, approved by the Board of Directors ("Fiscal 2017 Plan"), as a majority of the charges were recognized during the first quarter of fiscal 2017.</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i w:val="1"/>
          <w:iCs w:val="1"/>
          <w:color w:val="auto"/>
        </w:rPr>
        <w:t>Business Model Transition Metrics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order to help better understand our financial performance during and after the transition, we use several metrics including recurring revenue, total subscriptions, ARR, and annualized revenue per subscription ("ARPS"). ARR, ARPS, and recurring revenue are performance metrics and should be viewed independently of revenue and deferred revenue as ARR and ARPS are not intended to be combined with those items. Our presentation may differ from that of other companies. Please refer to the Glossary of Terms for the definitions of these metrics.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months ended April 30, 2017 and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compared to</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prior fiscal year end</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April 30, 2017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7"/>
              </w:rPr>
              <w:t>April 30, 2016 (1)</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Recurring Revenue </w:t>
            </w:r>
            <w:r>
              <w:rPr>
                <w:rFonts w:ascii="Arial" w:cs="Arial" w:eastAsia="Arial" w:hAnsi="Arial"/>
                <w:sz w:val="16"/>
                <w:szCs w:val="16"/>
                <w:i w:val="1"/>
                <w:iCs w:val="1"/>
                <w:color w:val="auto"/>
              </w:rPr>
              <w:t>(in millions)</w:t>
            </w:r>
            <w:r>
              <w:rPr>
                <w:rFonts w:ascii="Arial" w:cs="Arial" w:eastAsia="Arial" w:hAnsi="Arial"/>
                <w:sz w:val="16"/>
                <w:szCs w:val="16"/>
                <w:color w:val="auto"/>
              </w:rPr>
              <w:t xml:space="preserve"> (2)</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435.9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368.9</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ind w:left="200"/>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49"/>
        </w:trPr>
        <w:tc>
          <w:tcPr>
            <w:tcW w:w="55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period's presentation.</w:t>
      </w:r>
    </w:p>
    <w:p>
      <w:pPr>
        <w:spacing w:after="0" w:line="9" w:lineRule="exact"/>
        <w:rPr>
          <w:rFonts w:ascii="Arial" w:cs="Arial" w:eastAsia="Arial" w:hAnsi="Arial"/>
          <w:sz w:val="16"/>
          <w:szCs w:val="16"/>
          <w:color w:val="auto"/>
        </w:rPr>
      </w:pPr>
    </w:p>
    <w:p>
      <w:pPr>
        <w:ind w:left="420" w:right="20" w:hanging="412"/>
        <w:spacing w:after="0" w:line="257"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Condensed Consolidated Statement of Operations.</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The following table outlines our total subscriptions, ARR and ARPS metrics as of April 30, 2017 and January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3"/>
          </w:tcPr>
          <w:p>
            <w:pPr>
              <w:ind w:left="360"/>
              <w:spacing w:after="0"/>
              <w:rPr>
                <w:sz w:val="20"/>
                <w:szCs w:val="20"/>
                <w:color w:val="auto"/>
              </w:rPr>
            </w:pPr>
            <w:r>
              <w:rPr>
                <w:rFonts w:ascii="Arial" w:cs="Arial" w:eastAsia="Arial" w:hAnsi="Arial"/>
                <w:sz w:val="14"/>
                <w:szCs w:val="14"/>
                <w:b w:val="1"/>
                <w:bCs w:val="1"/>
                <w:color w:val="auto"/>
              </w:rPr>
              <w:t>Change compared to</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2"/>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prior fiscal year end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4"/>
        </w:trPr>
        <w:tc>
          <w:tcPr>
            <w:tcW w:w="5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2017</w:t>
            </w:r>
          </w:p>
        </w:tc>
        <w:tc>
          <w:tcPr>
            <w:tcW w:w="480" w:type="dxa"/>
            <w:vAlign w:val="bottom"/>
          </w:tcPr>
          <w:p>
            <w:pPr>
              <w:spacing w:after="0"/>
              <w:rPr>
                <w:sz w:val="22"/>
                <w:szCs w:val="22"/>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January 31, 2017 (1)</w:t>
            </w:r>
          </w:p>
        </w:tc>
      </w:tr>
      <w:tr>
        <w:trPr>
          <w:trHeight w:val="229"/>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Subscriptions </w:t>
            </w:r>
            <w:r>
              <w:rPr>
                <w:rFonts w:ascii="Arial" w:cs="Arial" w:eastAsia="Arial" w:hAnsi="Arial"/>
                <w:sz w:val="14"/>
                <w:szCs w:val="14"/>
                <w:i w:val="1"/>
                <w:iCs w:val="1"/>
                <w:color w:val="auto"/>
              </w:rPr>
              <w:t>(in thousands)</w:t>
            </w: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176"/>
        </w:trPr>
        <w:tc>
          <w:tcPr>
            <w:tcW w:w="5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Maintenance plan</w:t>
            </w:r>
          </w:p>
        </w:tc>
        <w:tc>
          <w:tcPr>
            <w:tcW w:w="1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1,971.2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2,018.0</w:t>
            </w:r>
          </w:p>
        </w:tc>
      </w:tr>
      <w:tr>
        <w:trPr>
          <w:trHeight w:val="33"/>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232.4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1,087.1</w:t>
            </w:r>
          </w:p>
        </w:tc>
      </w:tr>
      <w:tr>
        <w:trPr>
          <w:trHeight w:val="284"/>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subscriptions</w:t>
            </w: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3,290.7</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3,105.1</w:t>
            </w:r>
          </w:p>
        </w:tc>
      </w:tr>
      <w:tr>
        <w:trPr>
          <w:trHeight w:val="311"/>
        </w:trPr>
        <w:tc>
          <w:tcPr>
            <w:tcW w:w="5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1,068.0</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Subscription plan ARR</w:t>
            </w:r>
          </w:p>
        </w:tc>
        <w:tc>
          <w:tcPr>
            <w:tcW w:w="18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691.9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571.4</w:t>
            </w:r>
          </w:p>
        </w:tc>
      </w:tr>
      <w:tr>
        <w:trPr>
          <w:trHeight w:val="3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ARR (2)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1,743.6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1,639.4</w:t>
            </w: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ARPS </w:t>
            </w:r>
            <w:r>
              <w:rPr>
                <w:rFonts w:ascii="Arial" w:cs="Arial" w:eastAsia="Arial" w:hAnsi="Arial"/>
                <w:sz w:val="14"/>
                <w:szCs w:val="14"/>
                <w:i w:val="1"/>
                <w:iCs w:val="1"/>
                <w:color w:val="auto"/>
              </w:rPr>
              <w:t>(ARR divided by number of Subscriptions)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Maintenance plan ARPS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529</w:t>
            </w:r>
          </w:p>
        </w:tc>
      </w:tr>
      <w:tr>
        <w:trPr>
          <w:trHeight w:val="33"/>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 ARPS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r>
      <w:tr>
        <w:trPr>
          <w:trHeight w:val="237"/>
        </w:trPr>
        <w:tc>
          <w:tcPr>
            <w:tcW w:w="5580" w:type="dxa"/>
            <w:vAlign w:val="bottom"/>
          </w:tcPr>
          <w:p>
            <w:pPr>
              <w:ind w:left="360"/>
              <w:spacing w:after="0"/>
              <w:rPr>
                <w:sz w:val="20"/>
                <w:szCs w:val="20"/>
                <w:color w:val="auto"/>
              </w:rPr>
            </w:pPr>
            <w:r>
              <w:rPr>
                <w:rFonts w:ascii="Arial" w:cs="Arial" w:eastAsia="Arial" w:hAnsi="Arial"/>
                <w:sz w:val="16"/>
                <w:szCs w:val="16"/>
                <w:color w:val="auto"/>
              </w:rPr>
              <w:t>Total ARPS (3)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6"/>
                <w:szCs w:val="16"/>
                <w:color w:val="auto"/>
              </w:rPr>
              <w:t>— %</w:t>
            </w: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249"/>
        </w:trPr>
        <w:tc>
          <w:tcPr>
            <w:tcW w:w="558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ind w:left="420" w:hanging="412"/>
        <w:spacing w:after="0"/>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Prior periods have been adjusted to conform with the current period's presentation.</w:t>
      </w:r>
    </w:p>
    <w:p>
      <w:pPr>
        <w:spacing w:after="0" w:line="9" w:lineRule="exact"/>
        <w:rPr>
          <w:rFonts w:ascii="Arial" w:cs="Arial" w:eastAsia="Arial" w:hAnsi="Arial"/>
          <w:sz w:val="16"/>
          <w:szCs w:val="16"/>
          <w:color w:val="auto"/>
        </w:rPr>
      </w:pPr>
    </w:p>
    <w:p>
      <w:pPr>
        <w:ind w:left="420" w:right="80" w:hanging="412"/>
        <w:spacing w:after="0" w:line="246"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Condensed Consolidated Statement of Operations.</w:t>
      </w:r>
    </w:p>
    <w:p>
      <w:pPr>
        <w:ind w:left="420" w:right="40" w:hanging="412"/>
        <w:spacing w:after="0" w:line="25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are small variances between ARR and total subscriptions due in part to the inherent limitation with collecting all subscriptions information. For example, Buzzsaw and Constructware are included with ARR but not in total subscriptions due to these inherent limitations. We do not view these variances as meaningful to amounts or quarterly comparisons presented here for ARPS.</w:t>
      </w:r>
    </w:p>
    <w:p>
      <w:pPr>
        <w:spacing w:after="0" w:line="158"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Maintenance plan subscriptions decreased approximately 46.8 thousand from the end of fiscal 2017, primarily as a result of the discontinuation of new maintenance agreement sales for most new products. The rate of decline will vary based on the number of maintenance plans that come up for renewal, the renewal rate, and our ability to incentivize customers to switch over to enterprise business arrangements or product subscriptions.</w:t>
      </w:r>
    </w:p>
    <w:p>
      <w:pPr>
        <w:spacing w:after="0" w:line="16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Subscription plan subscriptions increased 21% or approximately 232.4 thousand as of April 30, 2017 as compared to the end of fiscal 2017, primarily driven by product subscriptions, followed by cloud subscriptions. Subscription plan subscriptions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line="259" w:lineRule="auto"/>
        <w:rPr>
          <w:sz w:val="20"/>
          <w:szCs w:val="20"/>
          <w:color w:val="auto"/>
        </w:rPr>
      </w:pPr>
      <w:r>
        <w:rPr>
          <w:rFonts w:ascii="Arial" w:cs="Arial" w:eastAsia="Arial" w:hAnsi="Arial"/>
          <w:sz w:val="18"/>
          <w:szCs w:val="18"/>
          <w:color w:val="auto"/>
        </w:rPr>
        <w:t>also benefited from growth in flexible enterprise business arrangement subscriptions. As a result of the way we count flexible enterprise business arrangement subscriptions, the growth in the first quarter of fiscal 2018 benefited from the record number of flexible enterprise business arrangement transactions in the previous quarter. Also contributing to the growth in subscription plan subscriptions was a promotion aimed at converting legacy non-subscribers, resulting in approximately 26.4 thousand product subscriptions.</w:t>
      </w:r>
    </w:p>
    <w:p>
      <w:pPr>
        <w:spacing w:after="0" w:line="187"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Total ARR increased 6% as of April 30, 2017 as compared to the fourth quarter of fiscal 2017, primarily due to a 21% increase in subscription plan ARR driven by growth in all subscription plan types, led by product subscription. The increase was partially offset by a 2% decrease in maintenance plan ARR.</w:t>
      </w:r>
    </w:p>
    <w:p>
      <w:pPr>
        <w:spacing w:after="0" w:line="20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ARPS as of April 30, 2017 was $530, a slight increase compared to the fourth quarter of fiscal 2017 due to an increase in product subscription ARPS, which was offset by decreases in both enterprise and cloud ARPS.</w:t>
      </w:r>
    </w:p>
    <w:p>
      <w:pPr>
        <w:spacing w:after="0" w:line="279" w:lineRule="exact"/>
        <w:rPr>
          <w:sz w:val="20"/>
          <w:szCs w:val="20"/>
          <w:color w:val="auto"/>
        </w:rPr>
      </w:pPr>
    </w:p>
    <w:p>
      <w:pPr>
        <w:ind w:right="500" w:firstLine="405"/>
        <w:spacing w:after="0" w:line="259" w:lineRule="auto"/>
        <w:rPr>
          <w:sz w:val="20"/>
          <w:szCs w:val="20"/>
          <w:color w:val="auto"/>
        </w:rPr>
      </w:pPr>
      <w:r>
        <w:rPr>
          <w:rFonts w:ascii="Arial" w:cs="Arial" w:eastAsia="Arial" w:hAnsi="Arial"/>
          <w:sz w:val="18"/>
          <w:szCs w:val="18"/>
          <w:color w:val="auto"/>
        </w:rPr>
        <w:t>Our ARPS is affected by various factors including short-term shifts in subscription term-length, geography and product mix, pricing changes, and foreign currency. Going forward the ARPS calculation will continue to be extremely sensitive to short-term shifts in term-length, geography mix and promotions. We expect to see ARPS fluctuate up or down on a quarterly basis and we do not expect it will increase evenly throughout the year. As we complete our business model transition, we expect all of these impacts to start to stabilize.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Germany, Japan, the United Kingdom, and Canada.</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revenue was negatively impacted by foreign exchange rate changes during the three months ended April 30, 2017 as compared to the same period in the prior fiscal year. Had applicable exchange rates from the three months ended April 30, 2016 been in effect during the three months ended April 30, 2017 and had we excluded foreign exchange hedge gains and losses from the three months ended April 30, 2017, net revenue would have decreased 4%, on a constant currency basis during the three months ended April 30, 2017 as compared to the same period in the prior fiscal year.</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total spend, defined as cost of revenue plus operating expenses, during the three months ended April 30, 2017 decreased 9%, on an as reported basis and on a constant currency basis, as compared to the same period in the prior fiscal year. Constant currency is calculated by keeping applicable exchange rates from the three months ended April 30, 2016 in effect during the three months ended April 30, 2017 and excluding foreign exchange hedge gains and losses from the three months ended April 30, 2017.</w:t>
      </w:r>
    </w:p>
    <w:p>
      <w:pPr>
        <w:spacing w:after="0" w:line="18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Deferred Revenue and Unbilled Deferred Revenue</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Our deferred revenue balance at April 30, 2017 was $1.8 billion and primarily relates to software agreements invoiced for which the revenue has not yet been recognized but will be recognized as revenue ratably over the life of the contracts. The term of our subscription contracts is typically between one and three years.</w:t>
      </w:r>
    </w:p>
    <w:p>
      <w:pPr>
        <w:spacing w:after="0" w:line="18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define unbilled deferred revenue as contractually stated or committed orders under multi-year billing plans for subscription, services, license and maintenance for which the associated revenue has not been recognized and the customer has not been invoiced. Unbilled deferred revenue is not included on our Condensed Consolidated Balance Sheet until invoiced to the customer.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4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April 30, 2017</w:t>
            </w:r>
          </w:p>
        </w:tc>
        <w:tc>
          <w:tcPr>
            <w:tcW w:w="0" w:type="dxa"/>
            <w:vAlign w:val="bottom"/>
          </w:tcPr>
          <w:p>
            <w:pPr>
              <w:spacing w:after="0"/>
              <w:rPr>
                <w:sz w:val="1"/>
                <w:szCs w:val="1"/>
                <w:color w:val="auto"/>
              </w:rPr>
            </w:pPr>
          </w:p>
        </w:tc>
      </w:tr>
      <w:tr>
        <w:trPr>
          <w:trHeight w:val="236"/>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1,801.5</w:t>
            </w:r>
          </w:p>
        </w:tc>
        <w:tc>
          <w:tcPr>
            <w:tcW w:w="0" w:type="dxa"/>
            <w:vAlign w:val="bottom"/>
          </w:tcPr>
          <w:p>
            <w:pPr>
              <w:spacing w:after="0"/>
              <w:rPr>
                <w:sz w:val="1"/>
                <w:szCs w:val="1"/>
                <w:color w:val="auto"/>
              </w:rPr>
            </w:pPr>
          </w:p>
        </w:tc>
      </w:tr>
      <w:tr>
        <w:trPr>
          <w:trHeight w:val="224"/>
        </w:trPr>
        <w:tc>
          <w:tcPr>
            <w:tcW w:w="9940" w:type="dxa"/>
            <w:vAlign w:val="bottom"/>
          </w:tcPr>
          <w:p>
            <w:pPr>
              <w:ind w:left="380"/>
              <w:spacing w:after="0"/>
              <w:rPr>
                <w:sz w:val="20"/>
                <w:szCs w:val="20"/>
                <w:color w:val="auto"/>
              </w:rPr>
            </w:pPr>
            <w:r>
              <w:rPr>
                <w:rFonts w:ascii="Arial" w:cs="Arial" w:eastAsia="Arial" w:hAnsi="Arial"/>
                <w:sz w:val="16"/>
                <w:szCs w:val="16"/>
                <w:color w:val="auto"/>
              </w:rPr>
              <w:t>Unbilled deferred revenue (1) (2)</w:t>
            </w:r>
          </w:p>
        </w:tc>
        <w:tc>
          <w:tcPr>
            <w:tcW w:w="22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1,831.5</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80" w:hanging="412"/>
        <w:spacing w:after="0" w:line="249"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is our first quarter presenting this metric and we are not able to provide historical information at this time. Comparative information will not be available until our first quarter of fiscal 2019.</w:t>
      </w:r>
    </w:p>
    <w:p>
      <w:pPr>
        <w:ind w:left="420" w:right="140" w:hanging="412"/>
        <w:spacing w:after="0" w:line="257"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Subsequent to furnishing the preliminary financial statements on Form 8-K on May 18, 2017 for the first quarter of fiscal 2018, we identified adjustments resulting in a $3.0 million increase to the unbilled deferred balance reported.</w:t>
      </w:r>
    </w:p>
    <w:p>
      <w:pPr>
        <w:spacing w:after="0" w:line="182"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We expect that the amount of unbilled deferred revenue and deferred revenue will change from quarter to quarter for several reasons, including the specific timing, duration and size of large customer subscription and support agreements, varying billing cycles of such agreements, the specific timing of customer renewals, foreign currency fluctuations and the timing of when unbilled deferred revenue is recognized as revenue.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At April 30, 2017, we had $2.1 billion in cash, cash equivalents and marketable securities. We completed the three months ended April 30, 2017 with lower accounts receivable and higher deferred revenue balances as compared to the fiscal year ended January 31, 2017.</w:t>
      </w:r>
    </w:p>
    <w:p>
      <w:pPr>
        <w:spacing w:after="0" w:line="17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cash flow from operations decreased 73% to $45.2 million for the three months ended April 30, 2017 compared to $164.4 million for the three months ended April 30, 2016.</w:t>
      </w:r>
    </w:p>
    <w:p>
      <w:pPr>
        <w:spacing w:after="0" w:line="170" w:lineRule="exact"/>
        <w:rPr>
          <w:sz w:val="20"/>
          <w:szCs w:val="20"/>
          <w:color w:val="auto"/>
        </w:rPr>
      </w:pPr>
    </w:p>
    <w:p>
      <w:pPr>
        <w:ind w:right="800" w:firstLine="405"/>
        <w:spacing w:after="0" w:line="308" w:lineRule="auto"/>
        <w:rPr>
          <w:sz w:val="20"/>
          <w:szCs w:val="20"/>
          <w:color w:val="auto"/>
        </w:rPr>
      </w:pPr>
      <w:r>
        <w:rPr>
          <w:rFonts w:ascii="Arial" w:cs="Arial" w:eastAsia="Arial" w:hAnsi="Arial"/>
          <w:sz w:val="17"/>
          <w:szCs w:val="17"/>
          <w:color w:val="auto"/>
        </w:rPr>
        <w:t>We repurchased 2.2 million shares of our common stock for $192.0 million during the three months ended April 30, 2017. Comparatively, we repurchased 1.8 million shares of our common stock for $100.1 million during the three months ended April 30, 2016.</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Further discussion regarding the balance sheet and cash flow activities are discussed below under the heading “Liquidity and Capital Resources.”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380" w:type="dxa"/>
            <w:vAlign w:val="bottom"/>
          </w:tcPr>
          <w:p>
            <w:pPr>
              <w:spacing w:after="0"/>
              <w:rPr>
                <w:sz w:val="14"/>
                <w:szCs w:val="14"/>
                <w:color w:val="auto"/>
              </w:rPr>
            </w:pPr>
          </w:p>
        </w:tc>
        <w:tc>
          <w:tcPr>
            <w:tcW w:w="23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Change compared to</w:t>
            </w:r>
          </w:p>
        </w:tc>
        <w:tc>
          <w:tcPr>
            <w:tcW w:w="180" w:type="dxa"/>
            <w:vAlign w:val="bottom"/>
          </w:tcPr>
          <w:p>
            <w:pPr>
              <w:spacing w:after="0"/>
              <w:rPr>
                <w:sz w:val="14"/>
                <w:szCs w:val="14"/>
                <w:color w:val="auto"/>
              </w:rPr>
            </w:pPr>
          </w:p>
        </w:tc>
        <w:tc>
          <w:tcPr>
            <w:tcW w:w="118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92"/>
        </w:trPr>
        <w:tc>
          <w:tcPr>
            <w:tcW w:w="5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b w:val="1"/>
                <w:bCs w:val="1"/>
                <w:color w:val="auto"/>
                <w:w w:val="93"/>
              </w:rPr>
              <w:t>prior fiscal year</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64"/>
        </w:trPr>
        <w:tc>
          <w:tcPr>
            <w:tcW w:w="59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2"/>
                <w:szCs w:val="2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April 30, 2017</w:t>
            </w:r>
          </w:p>
        </w:tc>
        <w:tc>
          <w:tcPr>
            <w:tcW w:w="380" w:type="dxa"/>
            <w:vAlign w:val="bottom"/>
          </w:tcPr>
          <w:p>
            <w:pPr>
              <w:spacing w:after="0"/>
              <w:rPr>
                <w:sz w:val="22"/>
                <w:szCs w:val="22"/>
                <w:color w:val="auto"/>
              </w:rPr>
            </w:pPr>
          </w:p>
        </w:tc>
        <w:tc>
          <w:tcPr>
            <w:tcW w:w="980" w:type="dxa"/>
            <w:vAlign w:val="bottom"/>
          </w:tcPr>
          <w:p>
            <w:pPr>
              <w:jc w:val="right"/>
              <w:ind w:right="56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April 30, 2016</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9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Maintenance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284.4</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 (1)</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17"/>
        </w:trPr>
        <w:tc>
          <w:tcPr>
            <w:tcW w:w="5920" w:type="dxa"/>
            <w:vAlign w:val="bottom"/>
          </w:tcPr>
          <w:p>
            <w:pPr>
              <w:ind w:left="580"/>
              <w:spacing w:after="0"/>
              <w:rPr>
                <w:sz w:val="20"/>
                <w:szCs w:val="20"/>
                <w:color w:val="auto"/>
              </w:rPr>
            </w:pPr>
            <w:r>
              <w:rPr>
                <w:rFonts w:ascii="Arial" w:cs="Arial" w:eastAsia="Arial" w:hAnsi="Arial"/>
                <w:sz w:val="16"/>
                <w:szCs w:val="16"/>
                <w:color w:val="auto"/>
              </w:rPr>
              <w:t>Total maintenance and subscription revenue</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437.0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369.9</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 (1)</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244"/>
        </w:trPr>
        <w:tc>
          <w:tcPr>
            <w:tcW w:w="59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485.7</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511.9</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60" w:hanging="412"/>
        <w:spacing w:after="0" w:line="26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 See Note 1, "Basis of Presentation", of our condensed consolidated financial statements for additional information.</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Maintenance and Subscription Revenue</w:t>
      </w:r>
    </w:p>
    <w:p>
      <w:pPr>
        <w:spacing w:after="0" w:line="22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Maintenance revenue consists of renewal fees for existing maintenance plan agreements. Our maintenance plans provide our customers with a cost effective and predictable budgetary option to obtain the productivity benefits of our new releases and enhancements when and if released during the term of their contracts. Under our maintenance plan, customers are eligible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38" w:right="239" w:bottom="1440" w:gutter="0" w:footer="0" w:header="0"/>
        </w:sectPr>
      </w:pPr>
    </w:p>
    <w:bookmarkStart w:id="30" w:name="page31"/>
    <w:bookmarkEnd w:id="30"/>
    <w:p>
      <w:pPr>
        <w:ind w:right="100"/>
        <w:spacing w:after="0" w:line="255" w:lineRule="auto"/>
        <w:rPr>
          <w:sz w:val="20"/>
          <w:szCs w:val="20"/>
          <w:color w:val="auto"/>
        </w:rPr>
      </w:pPr>
      <w:r>
        <w:rPr>
          <w:rFonts w:ascii="Arial" w:cs="Arial" w:eastAsia="Arial" w:hAnsi="Arial"/>
          <w:sz w:val="18"/>
          <w:szCs w:val="18"/>
          <w:color w:val="auto"/>
        </w:rPr>
        <w:t>receive unspecified upgrades, when and if available, and technical support. We recognize maintenance revenue over the term of the agreements, generally between one and three years. Subscription revenue consists of our term-based product subscriptions, cloud service offerings, and flexible enterprise business arrangements. Note that with the change in our condensed consolidated statement of operations in the first quarter of fiscal 2018, our term-based product subscriptions and flexible enterprise business arrangements are classified and presented in a single line item. Revenue from these arrangements is recognized ratably over the contract term. Revenue for our cloud service offerings is recognized ratably over the contract term commencing with the date our service is made available to customers.</w:t>
      </w:r>
    </w:p>
    <w:p>
      <w:pPr>
        <w:spacing w:after="0" w:line="19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7% decrease in maintenance revenue during the three months ended April 30, 2017, as compared to the three months ended April 30, 2016, was primarily attributable to the discontinuation of new maintenance agreements for most new products. We expect maintenance revenue will slowly decline; however, the rate of decline will vary based on the number of renewals, the renewal rate, and our ability to incentivize maintenance plan customers to switch over to subscription plan offerings.</w:t>
      </w:r>
    </w:p>
    <w:p>
      <w:pPr>
        <w:spacing w:after="0" w:line="187" w:lineRule="exact"/>
        <w:rPr>
          <w:sz w:val="20"/>
          <w:szCs w:val="20"/>
          <w:color w:val="auto"/>
        </w:rPr>
      </w:pPr>
    </w:p>
    <w:p>
      <w:pPr>
        <w:ind w:right="180" w:firstLine="432"/>
        <w:spacing w:after="0" w:line="274" w:lineRule="auto"/>
        <w:rPr>
          <w:sz w:val="20"/>
          <w:szCs w:val="20"/>
          <w:color w:val="auto"/>
        </w:rPr>
      </w:pPr>
      <w:r>
        <w:rPr>
          <w:rFonts w:ascii="Arial" w:cs="Arial" w:eastAsia="Arial" w:hAnsi="Arial"/>
          <w:sz w:val="17"/>
          <w:szCs w:val="17"/>
          <w:color w:val="auto"/>
        </w:rPr>
        <w:t>Subscription revenue increased 103% during the three months ended April 30, 2017, as compared to the three months ended April 30, 2016, primarily driven by a 227% increase in product subscription revenue and a 32% increase in revenue from flexible enterprise business agreements.</w:t>
      </w:r>
    </w:p>
    <w:p>
      <w:pPr>
        <w:ind w:left="260"/>
        <w:spacing w:after="0"/>
        <w:rPr>
          <w:sz w:val="20"/>
          <w:szCs w:val="20"/>
          <w:color w:val="auto"/>
        </w:rPr>
      </w:pPr>
      <w:r>
        <w:rPr>
          <w:rFonts w:ascii="Arial" w:cs="Arial" w:eastAsia="Arial" w:hAnsi="Arial"/>
          <w:sz w:val="18"/>
          <w:szCs w:val="18"/>
          <w:i w:val="1"/>
          <w:iCs w:val="1"/>
          <w:color w:val="auto"/>
        </w:rPr>
        <w:t>License and Other Revenue</w:t>
      </w:r>
    </w:p>
    <w:p>
      <w:pPr>
        <w:spacing w:after="0" w:line="21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License and other revenue consists of (1) perpetual license revenue and (2) other revenue. Perpetual license revenue includes software license revenue from the sale of perpetual licenses and Creative Finishing. Other revenue includes revenue such as consulting and training, and is recognized over time as the services are performed.</w:t>
      </w:r>
    </w:p>
    <w:p>
      <w:pPr>
        <w:spacing w:after="0" w:line="181"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License and other revenue decreased 66% during the three months ended April 30, 2017, as compared to the three months ended April 30, 2016 primarily due to a decrease in license revenue. The decrease in license revenue is a result of the business model transition, resulting in an 80% decrease in revenue from perpetual licenses as we have discontinued selling perpetual seats for most of our product offerings. Within license and other revenue, there was a 20% decrease in other revenue during the three months ended April 30, 2017, as compared to the three months ended April 30, 2016 driven by a decline in consulting revenue. Other revenue represented 6% and 7% of total net revenue for the three months ended April 30, 2017 and 2016, respectively.</w:t>
      </w:r>
    </w:p>
    <w:p>
      <w:pPr>
        <w:spacing w:after="0" w:line="37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Product Family</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Product Family:</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Architecture, Engineering and Construction ("AEC")</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 ("MFG")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AutoCAD and AutoCAD LT ("ACAD")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 ("M&amp;E")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(1)</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780" w:type="dxa"/>
            <w:vAlign w:val="bottom"/>
          </w:tcPr>
          <w:p>
            <w:pPr>
              <w:spacing w:after="0"/>
              <w:rPr>
                <w:sz w:val="14"/>
                <w:szCs w:val="14"/>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Change compared to</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Three Months</w:t>
            </w:r>
          </w:p>
        </w:tc>
      </w:tr>
      <w:tr>
        <w:trPr>
          <w:trHeight w:val="192"/>
        </w:trPr>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prior fiscal year</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180" w:type="dxa"/>
            <w:vAlign w:val="bottom"/>
          </w:tcPr>
          <w:p>
            <w:pPr>
              <w:spacing w:after="0"/>
              <w:rPr>
                <w:sz w:val="22"/>
                <w:szCs w:val="2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April 30, 2017</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April 30, 2016</w:t>
            </w:r>
          </w:p>
        </w:tc>
      </w:tr>
      <w:tr>
        <w:trPr>
          <w:trHeight w:val="507"/>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right"/>
              <w:ind w:right="58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218.9</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158.0</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85.9</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35.0</w:t>
            </w:r>
          </w:p>
        </w:tc>
      </w:tr>
      <w:tr>
        <w:trPr>
          <w:trHeight w:val="270"/>
        </w:trPr>
        <w:tc>
          <w:tcPr>
            <w:tcW w:w="180" w:type="dxa"/>
            <w:vAlign w:val="bottom"/>
          </w:tcPr>
          <w:p>
            <w:pPr>
              <w:spacing w:after="0"/>
              <w:rPr>
                <w:sz w:val="23"/>
                <w:szCs w:val="23"/>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14.1</w:t>
            </w:r>
          </w:p>
        </w:tc>
      </w:tr>
      <w:tr>
        <w:trPr>
          <w:trHeight w:val="33"/>
        </w:trPr>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485.7</w:t>
            </w:r>
          </w:p>
        </w:tc>
        <w:tc>
          <w:tcPr>
            <w:tcW w:w="100" w:type="dxa"/>
            <w:vAlign w:val="bottom"/>
          </w:tcPr>
          <w:p>
            <w:pPr>
              <w:spacing w:after="0"/>
              <w:rPr>
                <w:sz w:val="20"/>
                <w:szCs w:val="20"/>
                <w:color w:val="auto"/>
              </w:rPr>
            </w:pPr>
          </w:p>
        </w:tc>
        <w:tc>
          <w:tcPr>
            <w:tcW w:w="78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-1196340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-844550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-501650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-158750</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4860" w:space="720"/>
            <w:col w:w="5840"/>
          </w:cols>
          <w:pgMar w:left="240" w:top="5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6393815</wp:posOffset>
            </wp:positionH>
            <wp:positionV relativeFrom="paragraph">
              <wp:posOffset>-130175</wp:posOffset>
            </wp:positionV>
            <wp:extent cx="857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-130175</wp:posOffset>
            </wp:positionV>
            <wp:extent cx="1783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w:t>
      </w:r>
    </w:p>
    <w:p>
      <w:pPr>
        <w:spacing w:after="0" w:line="20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Our product offerings are focused in four primary product families: AEC, MFG, ACAD, and M&amp;E. During the business model transition, revenue has been and will be negatively impacted as more revenue is recognized ratably rather than upfront and as new product offerings generally have a lower initial purchase price. As part of the transition, we discontinued selling new perpetual licenses of most individual software products and new perpetual licenses of suites in fiscal 2017. These broad impacts are reflected in the drivers below.</w:t>
      </w:r>
    </w:p>
    <w:p>
      <w:pPr>
        <w:spacing w:after="0" w:line="187"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During the three months ended April 30, 2017, net revenue for the AEC product family decreased by 7% as compared to the same period in the prior fiscal year primarily due to 29% decrease in revenue from our AEC suites, partially offset by a 12% increase from individual subscription product offerings.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type w:val="continuous"/>
        </w:sectPr>
      </w:pPr>
    </w:p>
    <w:bookmarkStart w:id="31" w:name="page32"/>
    <w:bookmarkEnd w:id="31"/>
    <w:p>
      <w:pPr>
        <w:ind w:right="140" w:firstLine="432"/>
        <w:spacing w:after="0" w:line="308" w:lineRule="auto"/>
        <w:rPr>
          <w:sz w:val="20"/>
          <w:szCs w:val="20"/>
          <w:color w:val="auto"/>
        </w:rPr>
      </w:pPr>
      <w:r>
        <w:rPr>
          <w:rFonts w:ascii="Arial" w:cs="Arial" w:eastAsia="Arial" w:hAnsi="Arial"/>
          <w:sz w:val="17"/>
          <w:szCs w:val="17"/>
          <w:color w:val="auto"/>
        </w:rPr>
        <w:t>During the three months ended April 30, 2017, net revenue for the MFG product family decreased by 10% as compared to the same period in the prior fiscal year primarily due to a 27% decrease in our MFG suites as well as 1% decrease in individual subscription product offerings.</w:t>
      </w:r>
    </w:p>
    <w:p>
      <w:pPr>
        <w:spacing w:after="0" w:line="14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During the three months ended April 30, 2017, net revenue for the ACAD product family increased by 7%, as compared to the same period in the prior fiscal year primarily due to a 31% increase in AutoCAD LT, partially offset by a 4% decrease in AutoCAD.</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During the three months ended April 30, 2017, net revenue for the M&amp;E product family increased by 4% as compared to the same period in the prior fiscal year, primarily due to an 11% increase in Animation, partially offset by a 38% decrease in Creative Finishing.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jc w:val="right"/>
        <w:ind w:right="1660"/>
        <w:spacing w:after="0"/>
        <w:rPr>
          <w:sz w:val="20"/>
          <w:szCs w:val="20"/>
          <w:color w:val="auto"/>
        </w:rPr>
      </w:pPr>
      <w:r>
        <w:rPr>
          <w:rFonts w:ascii="Arial" w:cs="Arial" w:eastAsia="Arial" w:hAnsi="Arial"/>
          <w:sz w:val="16"/>
          <w:szCs w:val="16"/>
          <w:color w:val="auto"/>
        </w:rPr>
        <w:t>Europe, Middle East and Africa ("EMEA")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Asia Pacific ("APAC")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 (1)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5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As a % of Net</w:t>
            </w:r>
          </w:p>
        </w:tc>
        <w:tc>
          <w:tcPr>
            <w:tcW w:w="140" w:type="dxa"/>
            <w:vAlign w:val="bottom"/>
          </w:tcPr>
          <w:p>
            <w:pPr>
              <w:spacing w:after="0"/>
              <w:rPr>
                <w:sz w:val="14"/>
                <w:szCs w:val="14"/>
                <w:color w:val="auto"/>
              </w:rPr>
            </w:pPr>
          </w:p>
        </w:tc>
        <w:tc>
          <w:tcPr>
            <w:tcW w:w="120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As a % of Net</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2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Ended April 30,</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Ended April 30,</w:t>
            </w: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507"/>
        </w:trPr>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210.1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217.7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189.7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202.6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85.9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91.6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485.7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511.9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-891540</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-539750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-196850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4860" w:space="720"/>
            <w:col w:w="5840"/>
          </w:cols>
          <w:pgMar w:left="240" w:top="800" w:right="239" w:bottom="1440" w:gutter="0" w:footer="0" w:header="0"/>
          <w:type w:val="continuous"/>
        </w:sectPr>
      </w:pPr>
    </w:p>
    <w:p>
      <w:pPr>
        <w:spacing w:after="0" w:line="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Net revenue in the Americas geography decreased by 3% on an as reported basis and 4% on a constant currency basis during the three months ended April 30, 2017, as compared to the same period in the prior fiscal year. Net revenue in the Americas attributable to the United States was approximately 86% and 85% for the three months ended April 30, 2017 and 2016, respectively.</w:t>
      </w:r>
    </w:p>
    <w:p>
      <w:pPr>
        <w:spacing w:after="0" w:line="18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International net revenue represented 63% and 64% of our net revenue for the three months ended April 30, 2017 and 2016, respectively. Net revenue in the EMEA geography decreased by 6% on an as reported basis and 3% on a constant currency basis during the three months ended April 30, 2017 as compared to the same period in the prior fiscal year. Net revenue in the APAC geography decreased by 6% on an as reported basis and on a constant currency basis during the three months ended April 30, 2017 as compared to the same period in the prior fiscal year.</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Weak global economic conditions that have been characterized by restructuring of sovereign debt, high unemployment, and volatility in the financial markets may impact our future financial results. Additionally, during the business model transition, revenue has been and will be negatively impacted as more revenue is recognized ratably rather than upfront and as new product offerings generally have a lower initial purchase price. This transition has a particular impact to emerging economies as sales of perpetual licenses have historically comprised a greater percentage of total emerging economy sales in comparison to mature markets.</w:t>
      </w:r>
    </w:p>
    <w:p>
      <w:pPr>
        <w:spacing w:after="0" w:line="18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Net revenue in emerging economies decreased by 8% on an as reported basis and 7% on a constant currency basis during the three months ended April 30, 2017, as compared to the same period in the prior fiscal year. Revenue from emerging economies represented 10% and 11% of net revenue for the three months ended April 30, 2017 and 2016,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i w:val="1"/>
          <w:iCs w:val="1"/>
          <w:color w:val="auto"/>
        </w:rPr>
        <w:t>Cost of Revenue and Operating Expenses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Maintenance and subscription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License and other (1)</w:t>
      </w:r>
    </w:p>
    <w:p>
      <w:pPr>
        <w:spacing w:after="0" w:line="86" w:lineRule="exact"/>
        <w:rPr>
          <w:sz w:val="20"/>
          <w:szCs w:val="20"/>
          <w:color w:val="auto"/>
        </w:rPr>
      </w:pPr>
    </w:p>
    <w:p>
      <w:pPr>
        <w:jc w:val="right"/>
        <w:ind w:right="1700"/>
        <w:spacing w:after="0"/>
        <w:rPr>
          <w:sz w:val="20"/>
          <w:szCs w:val="20"/>
          <w:color w:val="auto"/>
        </w:rPr>
      </w:pPr>
      <w:r>
        <w:rPr>
          <w:rFonts w:ascii="Arial" w:cs="Arial" w:eastAsia="Arial" w:hAnsi="Arial"/>
          <w:sz w:val="16"/>
          <w:szCs w:val="16"/>
          <w:color w:val="auto"/>
        </w:rPr>
        <w:t>Amortization of developed technology (1)</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a percentage of net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Change compared to</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3"/>
              </w:rPr>
              <w:t>prior fiscal year</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2017</w:t>
            </w:r>
          </w:p>
        </w:tc>
        <w:tc>
          <w:tcPr>
            <w:tcW w:w="3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80"/>
              <w:spacing w:after="0"/>
              <w:rPr>
                <w:sz w:val="20"/>
                <w:szCs w:val="20"/>
                <w:color w:val="auto"/>
              </w:rPr>
            </w:pPr>
            <w:r>
              <w:rPr>
                <w:rFonts w:ascii="Arial" w:cs="Arial" w:eastAsia="Arial" w:hAnsi="Arial"/>
                <w:sz w:val="14"/>
                <w:szCs w:val="14"/>
                <w:b w:val="1"/>
                <w:bCs w:val="1"/>
                <w:color w:val="auto"/>
              </w:rPr>
              <w:t>April 30, 2016</w:t>
            </w:r>
          </w:p>
        </w:tc>
        <w:tc>
          <w:tcPr>
            <w:tcW w:w="0" w:type="dxa"/>
            <w:vAlign w:val="bottom"/>
          </w:tcPr>
          <w:p>
            <w:pPr>
              <w:spacing w:after="0"/>
              <w:rPr>
                <w:sz w:val="1"/>
                <w:szCs w:val="1"/>
                <w:color w:val="auto"/>
              </w:rPr>
            </w:pPr>
          </w:p>
        </w:tc>
      </w:tr>
      <w:tr>
        <w:trPr>
          <w:trHeight w:val="507"/>
        </w:trPr>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24"/>
                <w:szCs w:val="24"/>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-1042035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-690245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-347345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780" w:space="720"/>
            <w:col w:w="5920"/>
          </w:cols>
          <w:pgMar w:left="240" w:top="584" w:right="239" w:bottom="1440" w:gutter="0" w:footer="0" w:header="0"/>
        </w:sect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60" w:hanging="412"/>
        <w:spacing w:after="0" w:line="263"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periods have been adjusted to conform with current period's presentation. See Note 1, Basis of Presentation, of our condensed consolidated financial statements for additional information.</w:t>
      </w:r>
    </w:p>
    <w:p>
      <w:pPr>
        <w:spacing w:after="0" w:line="177"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Cost of maintenance and subscription revenue includes the labor costs of providing product support to our maintenance and subscription customers, including allocated IT and facilities costs, shipping and handling costs, professional services fees related to operating our network and cloud infrastructure,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Cost of maintenance and subscription revenue increased 18% during the three months ended April 30, 2017 as compared to the same period in the prior fiscal year, primarily due to increases in employee related costs slightly offset by lower cloud-related costs.</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Cost of license and other revenue includes labor costs associated with product setup and fulfillment for perpetual licenses and costs of consulting and training services contracts and collaborative project management services contracts. Cost of license and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jc w:val="both"/>
        <w:ind w:right="340" w:firstLine="432"/>
        <w:spacing w:after="0" w:line="312" w:lineRule="auto"/>
        <w:rPr>
          <w:sz w:val="20"/>
          <w:szCs w:val="20"/>
          <w:color w:val="auto"/>
        </w:rPr>
      </w:pPr>
      <w:r>
        <w:rPr>
          <w:rFonts w:ascii="Arial" w:cs="Arial" w:eastAsia="Arial" w:hAnsi="Arial"/>
          <w:sz w:val="16"/>
          <w:szCs w:val="16"/>
          <w:color w:val="auto"/>
        </w:rPr>
        <w:t>Cost of license and other revenue decreased 47% for the three months ended April 30, 2017, as compared to the same period in the prior fiscal year, primarily due to lower employee related costs from reduced headcount associated with license and other revenue products and services, and decreases in direct material costs as a result of the business model transition, as we generally no longer fulfill perpetual license orders.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Amortization of developed technology decreased 57% for the three months ended April 30, 2017, as compared to the same period in the prior fiscal year, as previously acquired developed technology continues to become fully amortized. In addition, there were no acquisitions during the three months ended April 30, 2017, as compared to the same period in the prior fiscal year.</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expect cost of revenue to decrease in absolute dollars and remain flat as a percentage of net revenue during the second quarter of fiscal 2018, as compared to the second quarter of fiscal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type w:val="continuous"/>
        </w:sectPr>
      </w:pPr>
    </w:p>
    <w:bookmarkStart w:id="33" w:name="page34"/>
    <w:bookmarkEnd w:id="33"/>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Change compared to prior fiscal year</w:t>
            </w: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April 30, 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April 30, 2016</w:t>
            </w: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255.7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6%  $</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240.8</w:t>
            </w: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r>
    </w:tbl>
    <w:p>
      <w:pPr>
        <w:spacing w:after="0" w:line="23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payment processing fees, the cost of supplies and equipment, gains and losses on our operating expense cash flow hedges, and allocated IT and facilities costs.</w:t>
      </w:r>
    </w:p>
    <w:p>
      <w:pPr>
        <w:spacing w:after="0" w:line="18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Marketing and sales expenses increased 6% for the three months ended April 30, 2017 as compared to the same period in the prior fiscal year, primarily due to increases in employee-related costs and stock-based compensation expense on increased headcount.</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expect marketing and sales expenses to increase in absolute dollars and as a percentage of net revenue during the second quarter of fiscal 2018, as compared to the second quarter of fiscal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4"/>
                <w:szCs w:val="14"/>
                <w:b w:val="1"/>
                <w:bCs w:val="1"/>
                <w:color w:val="auto"/>
                <w:w w:val="96"/>
              </w:rPr>
              <w:t>Change compared to prior fiscal year</w:t>
            </w: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2017</w:t>
            </w:r>
          </w:p>
        </w:tc>
        <w:tc>
          <w:tcPr>
            <w:tcW w:w="200" w:type="dxa"/>
            <w:vAlign w:val="bottom"/>
          </w:tcPr>
          <w:p>
            <w:pPr>
              <w:spacing w:after="0"/>
              <w:rPr>
                <w:sz w:val="22"/>
                <w:szCs w:val="22"/>
                <w:color w:val="auto"/>
              </w:rPr>
            </w:pPr>
          </w:p>
        </w:tc>
        <w:tc>
          <w:tcPr>
            <w:tcW w:w="1140" w:type="dxa"/>
            <w:vAlign w:val="bottom"/>
          </w:tcPr>
          <w:p>
            <w:pPr>
              <w:jc w:val="right"/>
              <w:ind w:right="56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460" w:type="dxa"/>
            <w:vAlign w:val="bottom"/>
          </w:tcPr>
          <w:p>
            <w:pPr>
              <w:jc w:val="right"/>
              <w:ind w:right="64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82"/>
              <w:spacing w:after="0"/>
              <w:rPr>
                <w:sz w:val="20"/>
                <w:szCs w:val="20"/>
                <w:color w:val="auto"/>
              </w:rPr>
            </w:pPr>
            <w:r>
              <w:rPr>
                <w:rFonts w:ascii="Arial" w:cs="Arial" w:eastAsia="Arial" w:hAnsi="Arial"/>
                <w:sz w:val="14"/>
                <w:szCs w:val="14"/>
                <w:b w:val="1"/>
                <w:bCs w:val="1"/>
                <w:color w:val="auto"/>
              </w:rPr>
              <w:t>April 30, 2016</w:t>
            </w:r>
          </w:p>
        </w:tc>
      </w:tr>
      <w:tr>
        <w:trPr>
          <w:trHeight w:val="236"/>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193.5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2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Research and development expenses decreased 3% during the three months ended April 30, 2017 as compared to the same period in the prior fiscal year, primarily due to a decrease in employee related costs on lower headcount and a decrease in professional fees, partially offset by an increase in stock-based compensation expense.</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expect research and development expenses to increase in absolute dollars and as a percentage of net revenue during the second quarter of fiscal 2018, as compared to the second quarter of fiscal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w w:val="90"/>
              </w:rPr>
              <w:t>Change compared to</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3"/>
              </w:rPr>
              <w:t>prior fiscal year</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April 30, 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April 30, 2016</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5%  $</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General and administrative expenses include salaries, bonuses, benefits and stock-based compensation expense for our finance, human resources and legal employees, as well as professional fees for legal and accounting services, certain foreign business taxes, gains and losses on our operating expense cash flow hedges, expense of travel, entertainment and training, IT and facilities costs, and the cost of supplies and equipment.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right="220" w:firstLine="432"/>
        <w:spacing w:after="0" w:line="264" w:lineRule="auto"/>
        <w:rPr>
          <w:sz w:val="20"/>
          <w:szCs w:val="20"/>
          <w:color w:val="auto"/>
        </w:rPr>
      </w:pPr>
      <w:r>
        <w:rPr>
          <w:rFonts w:ascii="Arial" w:cs="Arial" w:eastAsia="Arial" w:hAnsi="Arial"/>
          <w:sz w:val="18"/>
          <w:szCs w:val="18"/>
          <w:color w:val="auto"/>
        </w:rPr>
        <w:t>General and administrative expenses increased 5% during the three months ended April 30, 2017, as compared to the same period in the prior fiscal year, primarily due to costs associated with the transition of our former CEO, partially offset by a decrease in professional fees and a decrease in employee-related costs on lower headcount.</w:t>
      </w:r>
    </w:p>
    <w:p>
      <w:pPr>
        <w:spacing w:after="0" w:line="18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expect general and administrative expenses to slightly increase in absolute dollars and as a percentage of net revenue during the second quarter of fiscal 2018, as compared to the second quarter of fiscal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compared to</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April 30, 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April 30, 2016</w:t>
            </w:r>
          </w:p>
        </w:tc>
        <w:tc>
          <w:tcPr>
            <w:tcW w:w="0" w:type="dxa"/>
            <w:vAlign w:val="bottom"/>
          </w:tcPr>
          <w:p>
            <w:pPr>
              <w:spacing w:after="0"/>
              <w:rPr>
                <w:sz w:val="1"/>
                <w:szCs w:val="1"/>
                <w:color w:val="auto"/>
              </w:rPr>
            </w:pPr>
          </w:p>
        </w:tc>
      </w:tr>
      <w:tr>
        <w:trPr>
          <w:trHeight w:val="23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color w:val="auto"/>
              </w:rPr>
              <w:t>(28)%  $</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Amortization of purchased intangibles decreased 28% during the three months ended April 30, 2017, as compared to the same period in the prior fiscal year, as previously acquired intangible assets continue to become fully amortized. In addition, there were no acquisitions during the three months ended April 30, 2017, as compared to the same period in the prior fiscal year.</w:t>
      </w:r>
    </w:p>
    <w:p>
      <w:pPr>
        <w:spacing w:after="0" w:line="18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expect amortization of purchased intangibles to decrease in absolute dollars and as a percentage of net revenue during the second quarter of fiscal 2018, as compared to the second quarter of fiscal 2017.</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(Benefits) Charges and Other Facility Exit Costs,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Change compared to</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4"/>
                <w:szCs w:val="14"/>
                <w:b w:val="1"/>
                <w:bCs w:val="1"/>
                <w:color w:val="auto"/>
                <w:w w:val="93"/>
              </w:rPr>
              <w:t>prior fiscal year</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2"/>
                <w:szCs w:val="2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April 30, 2017</w:t>
            </w:r>
          </w:p>
        </w:tc>
        <w:tc>
          <w:tcPr>
            <w:tcW w:w="380" w:type="dxa"/>
            <w:vAlign w:val="bottom"/>
          </w:tcPr>
          <w:p>
            <w:pPr>
              <w:spacing w:after="0"/>
              <w:rPr>
                <w:sz w:val="22"/>
                <w:szCs w:val="22"/>
                <w:color w:val="auto"/>
              </w:rPr>
            </w:pPr>
          </w:p>
        </w:tc>
        <w:tc>
          <w:tcPr>
            <w:tcW w:w="980" w:type="dxa"/>
            <w:vAlign w:val="bottom"/>
          </w:tcPr>
          <w:p>
            <w:pPr>
              <w:jc w:val="right"/>
              <w:ind w:right="56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60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182"/>
              <w:spacing w:after="0"/>
              <w:rPr>
                <w:sz w:val="20"/>
                <w:szCs w:val="20"/>
                <w:color w:val="auto"/>
              </w:rPr>
            </w:pPr>
            <w:r>
              <w:rPr>
                <w:rFonts w:ascii="Arial" w:cs="Arial" w:eastAsia="Arial" w:hAnsi="Arial"/>
                <w:sz w:val="14"/>
                <w:szCs w:val="14"/>
                <w:b w:val="1"/>
                <w:bCs w:val="1"/>
                <w:color w:val="auto"/>
              </w:rPr>
              <w:t>April 30, 2016</w:t>
            </w:r>
          </w:p>
        </w:tc>
        <w:tc>
          <w:tcPr>
            <w:tcW w:w="0" w:type="dxa"/>
            <w:vAlign w:val="bottom"/>
          </w:tcPr>
          <w:p>
            <w:pPr>
              <w:spacing w:after="0"/>
              <w:rPr>
                <w:sz w:val="1"/>
                <w:szCs w:val="1"/>
                <w:color w:val="auto"/>
              </w:rPr>
            </w:pPr>
          </w:p>
        </w:tc>
      </w:tr>
      <w:tr>
        <w:trPr>
          <w:trHeight w:val="236"/>
        </w:trPr>
        <w:tc>
          <w:tcPr>
            <w:tcW w:w="5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Restructuring (benefits) charges and other facility exit costs, net</w:t>
            </w:r>
          </w:p>
        </w:tc>
        <w:tc>
          <w:tcPr>
            <w:tcW w:w="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ind w:right="563"/>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3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As a percentage of net revenue</w:t>
            </w:r>
          </w:p>
        </w:tc>
        <w:tc>
          <w:tcPr>
            <w:tcW w:w="200" w:type="dxa"/>
            <w:vAlign w:val="bottom"/>
          </w:tcPr>
          <w:p>
            <w:pPr>
              <w:spacing w:after="0"/>
              <w:rPr>
                <w:sz w:val="20"/>
                <w:szCs w:val="20"/>
                <w:color w:val="auto"/>
              </w:rPr>
            </w:pPr>
          </w:p>
        </w:tc>
        <w:tc>
          <w:tcPr>
            <w:tcW w:w="1340" w:type="dxa"/>
            <w:vAlign w:val="bottom"/>
            <w:gridSpan w:val="2"/>
          </w:tcPr>
          <w:p>
            <w:pPr>
              <w:ind w:left="88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9"/>
        </w:trPr>
        <w:tc>
          <w:tcPr>
            <w:tcW w:w="5540" w:type="dxa"/>
            <w:vAlign w:val="bottom"/>
            <w:gridSpan w:val="2"/>
          </w:tcPr>
          <w:p>
            <w:pPr>
              <w:ind w:left="60"/>
              <w:spacing w:after="0"/>
              <w:rPr>
                <w:sz w:val="20"/>
                <w:szCs w:val="20"/>
                <w:color w:val="auto"/>
              </w:rPr>
            </w:pPr>
            <w:r>
              <w:rPr>
                <w:rFonts w:ascii="Arial" w:cs="Arial" w:eastAsia="Arial" w:hAnsi="Arial"/>
                <w:sz w:val="18"/>
                <w:szCs w:val="18"/>
                <w:color w:val="auto"/>
              </w:rPr>
              <w:t>____________________</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5280" w:type="dxa"/>
            <w:vAlign w:val="bottom"/>
          </w:tcPr>
          <w:p>
            <w:pPr>
              <w:ind w:left="160"/>
              <w:spacing w:after="0"/>
              <w:rPr>
                <w:sz w:val="20"/>
                <w:szCs w:val="20"/>
                <w:color w:val="auto"/>
              </w:rPr>
            </w:pPr>
            <w:r>
              <w:rPr>
                <w:rFonts w:ascii="Arial" w:cs="Arial" w:eastAsia="Arial" w:hAnsi="Arial"/>
                <w:sz w:val="16"/>
                <w:szCs w:val="16"/>
                <w:color w:val="auto"/>
              </w:rPr>
              <w:t>Percentage is not meaningful.</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Restructuring (benefits) charges and other facility exit costs, net decreased $52.6 million during the three months ended April 30, 2017, as compared to the same period in the prior fiscal year, as the majority of the Fiscal 2017 Plan was recognized during the first quarter of fiscal 2017. See Note 13, "Restructuring (Benefits) Charges and Other Facility Exit Costs, Net" in the Notes to Condensed Consolidated Financial Statements for additional information.</w:t>
      </w:r>
    </w:p>
    <w:p>
      <w:pPr>
        <w:sectPr>
          <w:pgSz w:w="11900" w:h="16838" w:orient="portrait"/>
          <w:cols w:equalWidth="0" w:num="1">
            <w:col w:w="11420"/>
          </w:cols>
          <w:pgMar w:left="240" w:top="800" w:right="239" w:bottom="1440" w:gutter="0" w:footer="0" w:header="0"/>
        </w:sectPr>
      </w:pP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components of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strategic investments and dispositions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800" w:right="239" w:bottom="1440" w:gutter="0" w:footer="0" w:header="0"/>
          <w:type w:val="continuous"/>
        </w:sectPr>
      </w:pPr>
    </w:p>
    <w:p>
      <w:pPr>
        <w:spacing w:after="0" w:line="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Interest and other expense, net decreased $1.8 million during the three months ended April 30, 2017, as compared to the same period in the prior fiscal year, primarily due to realized gains on the disposition of certain intangible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type w:val="continuous"/>
        </w:sectPr>
      </w:pPr>
    </w:p>
    <w:bookmarkStart w:id="35" w:name="page36"/>
    <w:bookmarkEnd w:id="35"/>
    <w:p>
      <w:pPr>
        <w:ind w:left="420"/>
        <w:spacing w:after="0"/>
        <w:rPr>
          <w:sz w:val="20"/>
          <w:szCs w:val="20"/>
          <w:color w:val="auto"/>
        </w:rPr>
      </w:pPr>
      <w:r>
        <w:rPr>
          <w:rFonts w:ascii="Arial" w:cs="Arial" w:eastAsia="Arial" w:hAnsi="Arial"/>
          <w:sz w:val="15"/>
          <w:szCs w:val="15"/>
          <w:color w:val="auto"/>
        </w:rPr>
        <w:t>Interest expense and investment income fluctuates based on average cash, marketable securities and debt balances, average maturities and interest rates.</w:t>
      </w:r>
    </w:p>
    <w:p>
      <w:pPr>
        <w:spacing w:after="0" w:line="26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Income tax expense was $8.2 million and $14.4 million for the three months ended April 30, 2017 and 2016, respectively. Income tax expense consists primarily of foreign taxes and U.S. tax expense related to indefinite-lived intangibles.</w:t>
      </w:r>
    </w:p>
    <w:p>
      <w:pPr>
        <w:spacing w:after="0" w:line="170"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it was not more likely than not that the Company would realize the U.S. federal and state deferred tax assets and recorded a full valuation allowance. As we continually strive to optimize our overall business model, tax planning strategies may become feasible whereby management may determine that it is more likely than not that the federal and state deferred tax assets will be realized; as a result, we will continue to evaluate the realizability of our net deferred tax assets each quarter, both in the U.S. and in foreign jurisdictions, based on all available evidence, both positive and negative.</w:t>
      </w:r>
    </w:p>
    <w:p>
      <w:pPr>
        <w:spacing w:after="0" w:line="18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of April 30, 2017, we had $263.9 million of gross unrecognized tax benefits, excluding interest, of which approximately $249.9 million represents the amount of unrecognized tax benefits that would impact the effective tax rate, if recognized. However, this rate impact would be $31.9 million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APAC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Internal Revenue Service has started an examination of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80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months ended April 30, 2017 and 2016, our gross profit, gross margin, loss from operations, operating margin, net loss, diluted net loss per share and diluted shares used in per share calculation on a GAAP and non-GAAP basis were as follows (in millions except for gross margin, operating margin, and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64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r>
      <w:tr>
        <w:trPr>
          <w:trHeight w:val="196"/>
        </w:trPr>
        <w:tc>
          <w:tcPr>
            <w:tcW w:w="8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7"/>
                <w:szCs w:val="17"/>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94"/>
              </w:rPr>
              <w:t>407.5</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9"/>
              </w:rPr>
              <w:t>419.5</w:t>
            </w:r>
          </w:p>
        </w:tc>
      </w:tr>
      <w:tr>
        <w:trPr>
          <w:trHeight w:val="237"/>
        </w:trPr>
        <w:tc>
          <w:tcPr>
            <w:tcW w:w="82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00"/>
              <w:spacing w:after="0"/>
              <w:rPr>
                <w:sz w:val="20"/>
                <w:szCs w:val="20"/>
                <w:color w:val="auto"/>
              </w:rPr>
            </w:pPr>
            <w:r>
              <w:rPr>
                <w:rFonts w:ascii="Arial" w:cs="Arial" w:eastAsia="Arial" w:hAnsi="Arial"/>
                <w:sz w:val="16"/>
                <w:szCs w:val="16"/>
                <w:color w:val="auto"/>
                <w:w w:val="94"/>
              </w:rPr>
              <w:t>416.1</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433.8</w:t>
            </w:r>
          </w:p>
        </w:tc>
      </w:tr>
      <w:tr>
        <w:trPr>
          <w:trHeight w:val="33"/>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84 %</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37"/>
        </w:trPr>
        <w:tc>
          <w:tcPr>
            <w:tcW w:w="82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9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86 %</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33"/>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6"/>
              </w:rPr>
              <w:t>(119.6)</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0"/>
              </w:rPr>
              <w:t>(149.7)</w:t>
            </w:r>
          </w:p>
        </w:tc>
      </w:tr>
      <w:tr>
        <w:trPr>
          <w:trHeight w:val="237"/>
        </w:trPr>
        <w:tc>
          <w:tcPr>
            <w:tcW w:w="8200" w:type="dxa"/>
            <w:vAlign w:val="bottom"/>
          </w:tcPr>
          <w:p>
            <w:pPr>
              <w:ind w:left="40"/>
              <w:spacing w:after="0"/>
              <w:rPr>
                <w:sz w:val="20"/>
                <w:szCs w:val="20"/>
                <w:color w:val="auto"/>
              </w:rPr>
            </w:pPr>
            <w:r>
              <w:rPr>
                <w:rFonts w:ascii="Arial" w:cs="Arial" w:eastAsia="Arial" w:hAnsi="Arial"/>
                <w:sz w:val="16"/>
                <w:szCs w:val="16"/>
                <w:color w:val="auto"/>
              </w:rPr>
              <w:t>Non-GAAP loss from operations</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(39.5)</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(27.0)</w:t>
            </w:r>
          </w:p>
        </w:tc>
      </w:tr>
      <w:tr>
        <w:trPr>
          <w:trHeight w:val="33"/>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82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6"/>
              </w:rPr>
              <w:t>(129.6)</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0"/>
              </w:rPr>
              <w:t>(167.7)</w:t>
            </w:r>
          </w:p>
        </w:tc>
      </w:tr>
      <w:tr>
        <w:trPr>
          <w:trHeight w:val="237"/>
        </w:trPr>
        <w:tc>
          <w:tcPr>
            <w:tcW w:w="8200" w:type="dxa"/>
            <w:vAlign w:val="bottom"/>
          </w:tcPr>
          <w:p>
            <w:pPr>
              <w:ind w:left="40"/>
              <w:spacing w:after="0"/>
              <w:rPr>
                <w:sz w:val="20"/>
                <w:szCs w:val="20"/>
                <w:color w:val="auto"/>
              </w:rPr>
            </w:pPr>
            <w:r>
              <w:rPr>
                <w:rFonts w:ascii="Arial" w:cs="Arial" w:eastAsia="Arial" w:hAnsi="Arial"/>
                <w:sz w:val="16"/>
                <w:szCs w:val="16"/>
                <w:color w:val="auto"/>
              </w:rPr>
              <w:t>Non-GAAP net loss</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(34.8)</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(23.0)</w:t>
            </w:r>
          </w:p>
        </w:tc>
      </w:tr>
      <w:tr>
        <w:trPr>
          <w:trHeight w:val="33"/>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(1)</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(0.59)</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(0.75)</w:t>
            </w:r>
          </w:p>
        </w:tc>
      </w:tr>
      <w:tr>
        <w:trPr>
          <w:trHeight w:val="237"/>
        </w:trPr>
        <w:tc>
          <w:tcPr>
            <w:tcW w:w="8200" w:type="dxa"/>
            <w:vAlign w:val="bottom"/>
          </w:tcPr>
          <w:p>
            <w:pPr>
              <w:ind w:left="40"/>
              <w:spacing w:after="0"/>
              <w:rPr>
                <w:sz w:val="20"/>
                <w:szCs w:val="20"/>
                <w:color w:val="auto"/>
              </w:rPr>
            </w:pPr>
            <w:r>
              <w:rPr>
                <w:rFonts w:ascii="Arial" w:cs="Arial" w:eastAsia="Arial" w:hAnsi="Arial"/>
                <w:sz w:val="16"/>
                <w:szCs w:val="16"/>
                <w:color w:val="auto"/>
              </w:rPr>
              <w:t>Non-GAAP diluted net loss per share (1)</w:t>
            </w: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(0.16)</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(0.10)</w:t>
            </w:r>
          </w:p>
        </w:tc>
      </w:tr>
      <w:tr>
        <w:trPr>
          <w:trHeight w:val="33"/>
        </w:trPr>
        <w:tc>
          <w:tcPr>
            <w:tcW w:w="8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94"/>
              </w:rPr>
              <w:t>219.9</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9"/>
              </w:rPr>
              <w:t>224.4</w:t>
            </w:r>
          </w:p>
        </w:tc>
      </w:tr>
      <w:tr>
        <w:trPr>
          <w:trHeight w:val="237"/>
        </w:trPr>
        <w:tc>
          <w:tcPr>
            <w:tcW w:w="820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920" w:type="dxa"/>
            <w:vAlign w:val="bottom"/>
          </w:tcPr>
          <w:p>
            <w:pPr>
              <w:spacing w:after="0"/>
              <w:rPr>
                <w:sz w:val="20"/>
                <w:szCs w:val="20"/>
                <w:color w:val="auto"/>
              </w:rPr>
            </w:pPr>
          </w:p>
        </w:tc>
        <w:tc>
          <w:tcPr>
            <w:tcW w:w="680" w:type="dxa"/>
            <w:vAlign w:val="bottom"/>
          </w:tcPr>
          <w:p>
            <w:pPr>
              <w:jc w:val="right"/>
              <w:ind w:right="200"/>
              <w:spacing w:after="0"/>
              <w:rPr>
                <w:sz w:val="20"/>
                <w:szCs w:val="20"/>
                <w:color w:val="auto"/>
              </w:rPr>
            </w:pPr>
            <w:r>
              <w:rPr>
                <w:rFonts w:ascii="Arial" w:cs="Arial" w:eastAsia="Arial" w:hAnsi="Arial"/>
                <w:sz w:val="16"/>
                <w:szCs w:val="16"/>
                <w:color w:val="auto"/>
                <w:w w:val="94"/>
              </w:rPr>
              <w:t>219.9</w:t>
            </w:r>
          </w:p>
        </w:tc>
        <w:tc>
          <w:tcPr>
            <w:tcW w:w="98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w w:val="99"/>
              </w:rPr>
              <w:t>224.4</w:t>
            </w:r>
          </w:p>
        </w:tc>
      </w:tr>
      <w:tr>
        <w:trPr>
          <w:trHeight w:val="249"/>
        </w:trPr>
        <w:tc>
          <w:tcPr>
            <w:tcW w:w="8200" w:type="dxa"/>
            <w:vAlign w:val="bottom"/>
          </w:tcPr>
          <w:p>
            <w:pPr>
              <w:spacing w:after="0"/>
              <w:rPr>
                <w:sz w:val="20"/>
                <w:szCs w:val="20"/>
                <w:color w:val="auto"/>
              </w:rPr>
            </w:pPr>
            <w:r>
              <w:rPr>
                <w:rFonts w:ascii="Arial" w:cs="Arial" w:eastAsia="Arial" w:hAnsi="Arial"/>
                <w:sz w:val="18"/>
                <w:szCs w:val="18"/>
                <w:color w:val="auto"/>
              </w:rPr>
              <w:t>_______________</w:t>
            </w:r>
          </w:p>
        </w:tc>
        <w:tc>
          <w:tcPr>
            <w:tcW w:w="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r>
    </w:tbl>
    <w:p>
      <w:pPr>
        <w:ind w:left="420" w:right="200" w:hanging="412"/>
        <w:spacing w:after="0" w:line="263"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loss per share was computed independently for each of the periods presented; therefore the sum of the net loss per share amount for the quarters may not equal the total for the year.</w:t>
      </w:r>
    </w:p>
    <w:p>
      <w:pPr>
        <w:spacing w:after="0" w:line="17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Reconciliation of GAAP Financial Measures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(benefits) charges and other facility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loss from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(benefits) charges and other facility exit costs,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CEO transition costs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(benefits) charges and other facility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on strategic investments and dispositions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 effect of non-GAAP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net loss</w:t>
      </w: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040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r>
      <w:tr>
        <w:trPr>
          <w:trHeight w:val="190"/>
        </w:trPr>
        <w:tc>
          <w:tcPr>
            <w:tcW w:w="380" w:type="dxa"/>
            <w:vAlign w:val="bottom"/>
          </w:tcPr>
          <w:p>
            <w:pPr>
              <w:spacing w:after="0"/>
              <w:rPr>
                <w:sz w:val="16"/>
                <w:szCs w:val="16"/>
                <w:color w:val="auto"/>
              </w:rPr>
            </w:pPr>
          </w:p>
        </w:tc>
        <w:tc>
          <w:tcPr>
            <w:tcW w:w="17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(Unaudited)</w:t>
            </w:r>
          </w:p>
        </w:tc>
        <w:tc>
          <w:tcPr>
            <w:tcW w:w="1080" w:type="dxa"/>
            <w:vAlign w:val="bottom"/>
          </w:tcPr>
          <w:p>
            <w:pPr>
              <w:spacing w:after="0"/>
              <w:rPr>
                <w:sz w:val="16"/>
                <w:szCs w:val="16"/>
                <w:color w:val="auto"/>
              </w:rPr>
            </w:pPr>
          </w:p>
        </w:tc>
      </w:tr>
      <w:tr>
        <w:trPr>
          <w:trHeight w:val="249"/>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407.5</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419.5</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3.4</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10.9</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416.1</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433.8</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270"/>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(149.7)</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51.6</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10.9</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7.9</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52.3</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(27.0)</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70"/>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380" w:type="dxa"/>
            <w:vAlign w:val="bottom"/>
          </w:tcPr>
          <w:p>
            <w:pPr>
              <w:spacing w:after="0"/>
              <w:rPr>
                <w:sz w:val="23"/>
                <w:szCs w:val="23"/>
                <w:color w:val="auto"/>
              </w:rPr>
            </w:pP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4"/>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(167.7)</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51.6</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10.9</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7.9</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52.3</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(0.5)</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24.4</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(23.0)</w:t>
            </w:r>
          </w:p>
        </w:tc>
      </w:tr>
      <w:tr>
        <w:trPr>
          <w:trHeight w:val="33"/>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80" w:space="720"/>
            <w:col w:w="3220"/>
          </w:cols>
          <w:pgMar w:left="240" w:top="580"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(3)</w:t>
            </w:r>
          </w:p>
        </w:tc>
        <w:tc>
          <w:tcPr>
            <w:tcW w:w="800" w:type="dxa"/>
            <w:vAlign w:val="bottom"/>
            <w:tcBorders>
              <w:bottom w:val="single" w:sz="8" w:color="CCEEFF"/>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(0.59)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0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0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(1)</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Restructuring (benefits) charges and other facility exit costs, net</w:t>
            </w:r>
          </w:p>
        </w:tc>
        <w:tc>
          <w:tcPr>
            <w:tcW w:w="8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on strategic investments and dispositions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Discrete tax items</w:t>
            </w: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5"/>
              </w:rPr>
              <w:t>(0.03)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Non-GAAP diluted net (loss) per share (3)</w:t>
            </w:r>
          </w:p>
        </w:tc>
        <w:tc>
          <w:tcPr>
            <w:tcW w:w="800" w:type="dxa"/>
            <w:vAlign w:val="bottom"/>
            <w:tcBorders>
              <w:top w:val="single" w:sz="8" w:color="auto"/>
            </w:tcBorders>
          </w:tcPr>
          <w:p>
            <w:pPr>
              <w:jc w:val="right"/>
              <w:ind w:right="623"/>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(0.16)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20" w:hanging="412"/>
        <w:spacing w:after="0" w:line="249"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CEO transition costs include stock-based compensation of $7.8 million related to the acceleration of eligible stock awards in conjunction with the Company's former CEO's transition agreement.</w:t>
      </w:r>
    </w:p>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5" w:lineRule="exact"/>
        <w:rPr>
          <w:rFonts w:ascii="Arial" w:cs="Arial" w:eastAsia="Arial" w:hAnsi="Arial"/>
          <w:sz w:val="16"/>
          <w:szCs w:val="16"/>
          <w:color w:val="auto"/>
        </w:rPr>
      </w:pPr>
    </w:p>
    <w:p>
      <w:pPr>
        <w:ind w:left="420" w:right="200" w:hanging="412"/>
        <w:spacing w:after="0" w:line="257" w:lineRule="auto"/>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loss per share was computed independently for each of the periods presented; therefore the sum of the net loss per share amount for the quarters may not equal the total for the year.</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 upon his departure under the terms of his transition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his severance payment and the continued vesting of his performance stock units, legal fees incurred with the transition, and recruiting costs related to the search for a new CEO from our non-GAAP measures because they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Restructuring charges and other facility exit costs (benefits), net. </w:t>
      </w:r>
      <w:r>
        <w:rPr>
          <w:rFonts w:ascii="Arial" w:cs="Arial" w:eastAsia="Arial" w:hAnsi="Arial"/>
          <w:sz w:val="18"/>
          <w:szCs w:val="18"/>
          <w:color w:val="auto"/>
        </w:rPr>
        <w:t>These expenses are associated with realigning our business strategies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88"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i w:val="1"/>
          <w:iCs w:val="1"/>
          <w:color w:val="auto"/>
        </w:rPr>
        <w:t xml:space="preserve">Loss (gain) on strategic investments and dispositions. </w:t>
      </w:r>
      <w:r>
        <w:rPr>
          <w:rFonts w:ascii="Arial" w:cs="Arial" w:eastAsia="Arial" w:hAnsi="Arial"/>
          <w:sz w:val="18"/>
          <w:szCs w:val="18"/>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6" w:right="239" w:bottom="1440" w:gutter="0" w:footer="0" w:header="0"/>
        </w:sectPr>
      </w:pPr>
    </w:p>
    <w:bookmarkStart w:id="39" w:name="page40"/>
    <w:bookmarkEnd w:id="39"/>
    <w:p>
      <w:pPr>
        <w:ind w:right="460"/>
        <w:spacing w:after="0" w:line="312" w:lineRule="auto"/>
        <w:rPr>
          <w:sz w:val="20"/>
          <w:szCs w:val="20"/>
          <w:color w:val="auto"/>
        </w:rPr>
      </w:pPr>
      <w:r>
        <w:rPr>
          <w:rFonts w:ascii="Arial" w:cs="Arial" w:eastAsia="Arial" w:hAnsi="Arial"/>
          <w:sz w:val="16"/>
          <w:szCs w:val="16"/>
          <w:color w:val="auto"/>
        </w:rPr>
        <w:t>unrealized gains and losses on the derivative components,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4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6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i w:val="1"/>
          <w:iCs w:val="1"/>
          <w:color w:val="auto"/>
        </w:rPr>
        <w:t xml:space="preserve">Income tax effects on the difference between GAAP and non-GAAP costs and expenses. </w:t>
      </w:r>
      <w:r>
        <w:rPr>
          <w:rFonts w:ascii="Arial" w:cs="Arial" w:eastAsia="Arial" w:hAnsi="Arial"/>
          <w:sz w:val="16"/>
          <w:szCs w:val="16"/>
          <w:color w:val="auto"/>
        </w:rPr>
        <w:t>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expenses, primarily due to stock-based compensation, amortization of purchased intangibles and restructuring charges and other facilities exit costs (benefits) for GAAP and non-GAAP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Our primary source of cash is from the sale and maintenance of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At April 30, 2017, our principal sources of liquidity were cash, cash equivalents and marketable securities totaling $2.1 billion and net accounts receivable of $231.5 million. Net of our senior notes, we have cash, cash equivalents, and marketable securities totaling $584.2 million at April 30, 2017.</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June 2015, we issued $450.0 million aggregate principal amount of 3.125% notes due June 15, 2020 and $300.0 million aggregate principal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4.375% notes due June 15, 2025. In December 2012, we issued $400.0 million aggregate principal amount of 1.95% notes due December 15,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$350.0 million aggregate principal amount of 3.6% notes due December 15, 2022 (all four series of notes collectively, the “Notes”). As of May 31, 2017,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$1.5 billion aggregate principal amount of Notes outstanding. In addition, we have a line of credit facility that permits unsecured short-term borrowings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up to $400.0 million with a May 2020 maturity date. This credit agreement contains customary covenants that could restrict the imposition of liens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Autodesk’s assets, and restrict the Company’s ability to incur additional indebtedness or make dispositions of assets if Autodesk fails to maintain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covenants. As the result of a forecasted inability to comply with the credit agreement's minimum interest coverage ratio in the first quarter of fiscal 2018,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renegotiated the credit agreement financial covenants in April 2017. The financial covenants now consist of a maximum debt to total cash ratio,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fixed charge coverage ratio through April 30, 2018, and after April 30, 2018, a minimum interest coverage ratio. As of May 31, 2017, we have no amounts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outstanding under the credit facility. Borrowings under the credit facility and the net proceeds from the offering of the Notes are available for general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corporate purposes.</w:t>
      </w:r>
    </w:p>
    <w:p>
      <w:pPr>
        <w:spacing w:after="0" w:line="21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0" w:name="page41"/>
    <w:bookmarkEnd w:id="40"/>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April 30, 2017,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2017.</w:t>
      </w:r>
    </w:p>
    <w:p>
      <w:pPr>
        <w:spacing w:after="0" w:line="181"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April 30, 2017, approximately 80%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Our intent is that amounts related to foreign earnings permanently reinvested outside the U.S. will remain outside the United States. We expect to meet our U.S. liquidity needs through ongoing cash flows, foreign cash for which U.S. federal income taxes have been provided, external borrowings, or a combination. We regularly review our capital structure and consider a variety of potential financing alternatives and planning strategies to ensure we have the proper liquidity available in the locations in which it is needed.</w:t>
      </w:r>
    </w:p>
    <w:p>
      <w:pPr>
        <w:spacing w:after="0" w:line="16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r>
      <w:tr>
        <w:trPr>
          <w:trHeight w:val="23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164.4</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(230.2)</w:t>
            </w:r>
          </w:p>
        </w:tc>
      </w:tr>
      <w:tr>
        <w:trPr>
          <w:trHeight w:val="33"/>
        </w:trPr>
        <w:tc>
          <w:tcPr>
            <w:tcW w:w="9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9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33"/>
        </w:trPr>
        <w:tc>
          <w:tcPr>
            <w:tcW w:w="9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Net cash provided by operating activities of $45.2 million for the three months ended April 30, 2017 consisted of $94.8 million of non-cash expenses, including stock-based compensation expense, depreciation, amortization and accretion expense, and $73.0 million of cash flow provided by changes in operating assets and liabilities, offsetting our net loss of $129.6 million.</w:t>
      </w:r>
    </w:p>
    <w:p>
      <w:pPr>
        <w:spacing w:after="0" w:line="181"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primary working capital source of cash was a decrease in accounts receivable. The primary working capital uses of cash were decreases in accrued compensation and other accrued liabilities. Our days sales outstanding in accounts receivables was 43 at April 30, 2017 compared to 86 at January 31, 2017. The days sales outstanding decrease relates primarily to seasonal billings linearity.</w:t>
      </w:r>
    </w:p>
    <w:p>
      <w:pPr>
        <w:spacing w:after="0" w:line="181"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Net cash provided by investing was $258.5 million for the three months ended April 30, 2017 and was primarily due to the sale and maturities of marketable securities. These cash inflows were partially offset by purchases of marketable securities and capital expenditures.</w:t>
      </w:r>
    </w:p>
    <w:p>
      <w:pPr>
        <w:spacing w:after="0" w:line="14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At April 30, 2017, our short-term investment portfolio had an estimated fair value of $471.1 million and a cost basis of $466.9 million. The portfolio fair value consists of $204.9 million invested in corporate debt securities, $81.3 million invested in commercial paper, $36.9 million invested in municipal bonds, $30.9 million invested in asset backed securities, $25.4 million invested in U.S. government securities, $19.7 million invested in certificates of deposit, $12.0 million invested in sovereign debt, and $7.5 million invested in agency bonds.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right="160" w:firstLine="405"/>
        <w:spacing w:after="0" w:line="342" w:lineRule="auto"/>
        <w:rPr>
          <w:sz w:val="20"/>
          <w:szCs w:val="20"/>
          <w:color w:val="auto"/>
        </w:rPr>
      </w:pPr>
      <w:r>
        <w:rPr>
          <w:rFonts w:ascii="Arial" w:cs="Arial" w:eastAsia="Arial" w:hAnsi="Arial"/>
          <w:sz w:val="16"/>
          <w:szCs w:val="16"/>
          <w:color w:val="auto"/>
        </w:rPr>
        <w:t>At April 30, 2017, $52.5 million of short-term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Net cash used in financing activities was $178.8 million for the three months ended April 30, 2017 and was primarily due to repurchases of our common stock and payments for taxes related to net share settlement of equity awards. These cash outflows were offset in part by cash proceeds from issuance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three months ended April 30, 2017, we repurchased 2.2 million shares of our common stock. At April 30, 2017, 24.4 million shares remained available for repurchase under the repurchase program approved by the Board of Directors. These programs do not have a fixed expiration date. See Note 15, “Common Stock Repurchase Program,” in the Notes to Condensed Consolidated Financial Statements for further discussion.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April 30, 2017:</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 February 28</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84.65</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0.7</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March 1 - March 31</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85.49</w:t>
            </w:r>
          </w:p>
        </w:tc>
        <w:tc>
          <w:tcPr>
            <w:tcW w:w="120" w:type="dxa"/>
            <w:vAlign w:val="bottom"/>
          </w:tcPr>
          <w:p>
            <w:pPr>
              <w:spacing w:after="0"/>
              <w:rPr>
                <w:sz w:val="20"/>
                <w:szCs w:val="20"/>
                <w:color w:val="auto"/>
              </w:rPr>
            </w:pPr>
          </w:p>
        </w:tc>
        <w:tc>
          <w:tcPr>
            <w:tcW w:w="216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2260" w:type="dxa"/>
            <w:vAlign w:val="bottom"/>
            <w:gridSpan w:val="2"/>
          </w:tcPr>
          <w:p>
            <w:pPr>
              <w:jc w:val="right"/>
              <w:ind w:right="28"/>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86.61</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0.5</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85.48</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80" w:hanging="412"/>
        <w:spacing w:after="0" w:line="257"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amounts correspond to the plans approved by the Board of Directors in September 2016 and June 2012 that each authorized the repurchase of 30.0 million shares. These plans do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2017,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i w:val="1"/>
          <w:iCs w:val="1"/>
          <w:color w:val="auto"/>
        </w:rPr>
        <w:t>Annualized Recurring Revenue (ARR)—</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54"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ind w:left="420"/>
        <w:spacing w:after="0"/>
        <w:rPr>
          <w:sz w:val="20"/>
          <w:szCs w:val="20"/>
          <w:color w:val="auto"/>
        </w:rPr>
      </w:pPr>
      <w:r>
        <w:rPr>
          <w:rFonts w:ascii="Arial" w:cs="Arial" w:eastAsia="Arial" w:hAnsi="Arial"/>
          <w:sz w:val="17"/>
          <w:szCs w:val="17"/>
          <w:i w:val="1"/>
          <w:iCs w:val="1"/>
          <w:color w:val="auto"/>
        </w:rPr>
        <w:t>Annualized Revenue Per Subscription (ARPS)—</w:t>
      </w:r>
      <w:r>
        <w:rPr>
          <w:rFonts w:ascii="Arial" w:cs="Arial" w:eastAsia="Arial" w:hAnsi="Arial"/>
          <w:sz w:val="17"/>
          <w:szCs w:val="17"/>
          <w:color w:val="auto"/>
        </w:rPr>
        <w:t>Is calculated by dividing our annualized recurring revenue by the total number of subscriptions.</w:t>
      </w:r>
    </w:p>
    <w:p>
      <w:pPr>
        <w:spacing w:after="0" w:line="233" w:lineRule="exact"/>
        <w:rPr>
          <w:sz w:val="20"/>
          <w:szCs w:val="20"/>
          <w:color w:val="auto"/>
        </w:rPr>
      </w:pPr>
    </w:p>
    <w:p>
      <w:pPr>
        <w:ind w:right="220" w:firstLine="405"/>
        <w:spacing w:after="0" w:line="266" w:lineRule="auto"/>
        <w:rPr>
          <w:sz w:val="20"/>
          <w:szCs w:val="20"/>
          <w:color w:val="auto"/>
        </w:rPr>
      </w:pPr>
      <w:r>
        <w:rPr>
          <w:rFonts w:ascii="Arial" w:cs="Arial" w:eastAsia="Arial" w:hAnsi="Arial"/>
          <w:sz w:val="18"/>
          <w:szCs w:val="18"/>
          <w:i w:val="1"/>
          <w:iCs w:val="1"/>
          <w:color w:val="auto"/>
        </w:rPr>
        <w:t>Building Information Modeling (BIM)</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0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6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i w:val="1"/>
          <w:iCs w:val="1"/>
          <w:color w:val="auto"/>
        </w:rPr>
        <w:t>Flexible Enterprise Business Arrangements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seats to a broad pool of Autodesk products over a defined contract term.</w:t>
      </w:r>
    </w:p>
    <w:p>
      <w:pPr>
        <w:spacing w:after="0" w:line="166"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i w:val="1"/>
          <w:iCs w:val="1"/>
          <w:color w:val="auto"/>
        </w:rPr>
        <w:t>Industry Collections</w:t>
      </w:r>
      <w:r>
        <w:rPr>
          <w:rFonts w:ascii="Arial" w:cs="Arial" w:eastAsia="Arial" w:hAnsi="Arial"/>
          <w:sz w:val="16"/>
          <w:szCs w:val="16"/>
          <w:color w:val="auto"/>
        </w:rPr>
        <w:t>—Autodesk industry collections are a combination of products and services that target a specific user objective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Industry Collections consist of: Autodesk Architecture, Engineering and Construction Collection, Autodesk Product Design Collection, and Autodesk Media and Entertainment Collection. Autodesk introduced industry collections effective August 1, 2016 to replace its suites.</w:t>
      </w:r>
    </w:p>
    <w:p>
      <w:pPr>
        <w:spacing w:after="0" w:line="143" w:lineRule="exact"/>
        <w:rPr>
          <w:sz w:val="20"/>
          <w:szCs w:val="20"/>
          <w:color w:val="auto"/>
        </w:rPr>
      </w:pPr>
    </w:p>
    <w:p>
      <w:pPr>
        <w:jc w:val="both"/>
        <w:ind w:right="540" w:firstLine="405"/>
        <w:spacing w:after="0" w:line="266" w:lineRule="auto"/>
        <w:rPr>
          <w:sz w:val="20"/>
          <w:szCs w:val="20"/>
          <w:color w:val="auto"/>
        </w:rPr>
      </w:pPr>
      <w:r>
        <w:rPr>
          <w:rFonts w:ascii="Arial" w:cs="Arial" w:eastAsia="Arial" w:hAnsi="Arial"/>
          <w:sz w:val="18"/>
          <w:szCs w:val="18"/>
          <w:i w:val="1"/>
          <w:iCs w:val="1"/>
          <w:color w:val="auto"/>
        </w:rPr>
        <w:t>License and Other Revenue</w:t>
      </w:r>
      <w:r>
        <w:rPr>
          <w:rFonts w:ascii="Arial" w:cs="Arial" w:eastAsia="Arial" w:hAnsi="Arial"/>
          <w:sz w:val="18"/>
          <w:szCs w:val="18"/>
          <w:b w:val="1"/>
          <w:bCs w:val="1"/>
          <w:color w:val="auto"/>
        </w:rPr>
        <w:t>—</w:t>
      </w:r>
      <w:r>
        <w:rPr>
          <w:rFonts w:ascii="Arial" w:cs="Arial" w:eastAsia="Arial" w:hAnsi="Arial"/>
          <w:sz w:val="18"/>
          <w:szCs w:val="18"/>
          <w:color w:val="auto"/>
        </w:rPr>
        <w:t>Represents (1) perpetual license revenue and (2) other revenue. Perpetual license revenue includes software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the sale of perpetual licenses, and Creative Finishing. Other revenue includes revenue such as standalone consulting and training, and is recognized over time as the services are performed.</w:t>
      </w:r>
    </w:p>
    <w:p>
      <w:pPr>
        <w:spacing w:after="0" w:line="176"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Maintenance Plans</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between one and three years.</w:t>
      </w:r>
    </w:p>
    <w:p>
      <w:pPr>
        <w:spacing w:after="0" w:line="180"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180" w:lineRule="exact"/>
        <w:rPr>
          <w:sz w:val="20"/>
          <w:szCs w:val="20"/>
          <w:color w:val="auto"/>
        </w:rPr>
      </w:pPr>
    </w:p>
    <w:p>
      <w:pPr>
        <w:ind w:right="600" w:firstLine="392"/>
        <w:spacing w:after="0" w:line="347"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b w:val="1"/>
          <w:bCs w:val="1"/>
          <w:color w:val="auto"/>
        </w:rPr>
        <w:t>—</w:t>
      </w:r>
      <w:r>
        <w:rPr>
          <w:rFonts w:ascii="Arial" w:cs="Arial" w:eastAsia="Arial" w:hAnsi="Arial"/>
          <w:sz w:val="16"/>
          <w:szCs w:val="16"/>
          <w:color w:val="auto"/>
        </w:rPr>
        <w:t>Includes subscription fees from term-based product subscriptions, flexible enterprise business arrangements and all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as part of a bundled subscription agreement accounted for as a single unit of accounting. (i.e. cloud services, maintenance, and consulting).</w:t>
      </w:r>
    </w:p>
    <w:p>
      <w:pPr>
        <w:spacing w:after="0" w:line="116" w:lineRule="exact"/>
        <w:rPr>
          <w:sz w:val="20"/>
          <w:szCs w:val="20"/>
          <w:color w:val="auto"/>
        </w:rPr>
      </w:pPr>
    </w:p>
    <w:p>
      <w:pPr>
        <w:ind w:right="60" w:firstLine="405"/>
        <w:spacing w:after="0" w:line="298"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b w:val="1"/>
          <w:bCs w:val="1"/>
          <w:color w:val="auto"/>
        </w:rPr>
        <w:t>—</w:t>
      </w:r>
      <w:r>
        <w:rPr>
          <w:rFonts w:ascii="Arial" w:cs="Arial" w:eastAsia="Arial" w:hAnsi="Arial"/>
          <w:sz w:val="16"/>
          <w:szCs w:val="16"/>
          <w:color w:val="auto"/>
        </w:rPr>
        <w:t>Consists of subscriptions from our maintenance plans and subscription plan offerings that are active and paid as of the quarter end</w:t>
      </w:r>
      <w:r>
        <w:rPr>
          <w:rFonts w:ascii="Arial" w:cs="Arial" w:eastAsia="Arial" w:hAnsi="Arial"/>
          <w:sz w:val="16"/>
          <w:szCs w:val="16"/>
          <w:i w:val="1"/>
          <w:iCs w:val="1"/>
          <w:color w:val="auto"/>
        </w:rPr>
        <w:t xml:space="preserve"> </w:t>
      </w:r>
      <w:r>
        <w:rPr>
          <w:rFonts w:ascii="Arial" w:cs="Arial" w:eastAsia="Arial" w:hAnsi="Arial"/>
          <w:sz w:val="16"/>
          <w:szCs w:val="16"/>
          <w:color w:val="auto"/>
        </w:rPr>
        <w:t>date. For certain cloud service offerings and flexible enterprise business arrangements,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Unbilled deferred revenue</w:t>
      </w:r>
      <w:r>
        <w:rPr>
          <w:rFonts w:ascii="Arial" w:cs="Arial" w:eastAsia="Arial" w:hAnsi="Arial"/>
          <w:sz w:val="18"/>
          <w:szCs w:val="18"/>
          <w:b w:val="1"/>
          <w:bCs w:val="1"/>
          <w:color w:val="auto"/>
        </w:rPr>
        <w:t>—</w:t>
      </w:r>
      <w:r>
        <w:rPr>
          <w:rFonts w:ascii="Arial" w:cs="Arial" w:eastAsia="Arial" w:hAnsi="Arial"/>
          <w:sz w:val="18"/>
          <w:szCs w:val="18"/>
          <w:color w:val="auto"/>
        </w:rPr>
        <w:t>Unbilled deferred revenue represents contractually stated or committed orders under multi-year billing plans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services, license and maintenance for which the associated revenue has not been recognized and the customer has not been invoiced. Unbilled deferred revenue is not included on our Consolidated Balance Sheet until invoiced to the customer.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800" w:right="259" w:bottom="1440" w:gutter="0" w:footer="0" w:header="0"/>
        </w:sectPr>
      </w:pPr>
    </w:p>
    <w:bookmarkStart w:id="43" w:name="page44"/>
    <w:bookmarkEnd w:id="43"/>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2017 and January 31, 2017,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$606.1 million and $640.0 million at April 30, 2017 and January 31, 2017, respectively.</w:t>
      </w:r>
    </w:p>
    <w:p>
      <w:pPr>
        <w:spacing w:after="0" w:line="1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April 30, 2017 indicated that a hypothetical 10% appreciation of the U.S. dollar from its value at April 30, 2017 and January 31, 2017 would increase the fair value of our foreign currency contracts by $53.1 million and $60.9 million, respectively. A hypothetical 10% depreciation of the dollar from its value at April 30, 2017 and January 31, 2017 would decrease the fair value of our foreign currency contracts by $37.4 million and $32.5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April 30, 2017, we had $1.6 billion of cash equivalents and marketable securities, including $471.1 million classified as short-term marketable securities and $264.4 million classified as long-term marketable securities. If interest rates were to move up or down by 50 or 100 basis points over a twelve month period, the market value change of our marketable securities would have an unrealized gain or loss of $2.4 million and $4.8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4, "Financial Instruments," for further discussion regarding our privately held investments.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right="60" w:firstLine="8"/>
        <w:spacing w:after="0" w:line="252"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Co-CEOs and CFO, to allow timely decisions regarding required disclosure. We conducted an evaluation, under the supervision and with the participation of our Co-CEOs and CFO, of the effectiveness of the design and operation of our disclosure controls and procedures as of the end of the period covered by this Quarterly Report on Form 10-Q. Based upon this evaluation, our Co-CEOs and CFO have concluded that our disclosure controls and procedures were effective to meet the objective for which they were designed and operated at the reasonable assurance level.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0" w:right="259" w:bottom="1440" w:gutter="0" w:footer="0" w:header="0"/>
        </w:sectPr>
      </w:pPr>
    </w:p>
    <w:bookmarkStart w:id="44" w:name="page45"/>
    <w:bookmarkEnd w:id="44"/>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Co-CEOs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392"/>
        <w:spacing w:after="0" w:line="297" w:lineRule="auto"/>
        <w:rPr>
          <w:sz w:val="20"/>
          <w:szCs w:val="20"/>
          <w:color w:val="auto"/>
        </w:rPr>
      </w:pPr>
      <w:r>
        <w:rPr>
          <w:rFonts w:ascii="Arial" w:cs="Arial" w:eastAsia="Arial" w:hAnsi="Arial"/>
          <w:sz w:val="16"/>
          <w:szCs w:val="16"/>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As of April 30, 2017, management believes it has sufficient evidence to conclude that the changes listed below, which were initiated over the course of the last 18 months and were designed to remediate the material weakness, have been completely implemented and the material weakness has been remediated. Changes designed to remediate the material weakness that were implemented include the following:</w:t>
      </w:r>
    </w:p>
    <w:p>
      <w:pPr>
        <w:spacing w:after="0" w:line="15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enhanced our technical accounting review for complex income tax considerations;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enhanced our income tax controls to include specific activities to ensure proper classification of deferred taxes;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supplemented our accounting and tax professionals with the engagement of an internationally recognized accounting firm to assist us in the technical review regarding the application of tax rules around deferred tax assets and liabilities; and</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reorganized the structure of our tax function, including hiring new tax personnel, to enhance the level of documentation, technical oversight, and review.</w:t>
      </w:r>
    </w:p>
    <w:p>
      <w:pPr>
        <w:spacing w:after="0" w:line="17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Other than with respect to the remediation efforts described above, there were no changes in our internal control over financial reporting (as such term is defined in Rules 13a-15(f) and 15d-15(f) under the Exchange Act) during the quarter ended April 30, 2017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584" w:right="2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right="120" w:firstLine="392"/>
        <w:spacing w:after="0" w:line="293"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were characterized by mixed global economic conditions, volatile credit markets, volatile exchange rates, relatively high unemployment, increased government deficit spending and debt levels, uncertainty about certain governments' abilities to repay such debt or to address certain fiscal issues, and volatility in many financial instrument markets. If economic growth in countries where we do business slows, such as in Japan or in emerging economies,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65" w:lineRule="exact"/>
        <w:rPr>
          <w:sz w:val="20"/>
          <w:szCs w:val="20"/>
          <w:color w:val="auto"/>
        </w:rPr>
      </w:pPr>
    </w:p>
    <w:p>
      <w:pPr>
        <w:ind w:right="220" w:firstLine="392"/>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392"/>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ind w:right="20" w:firstLine="405"/>
        <w:spacing w:after="0" w:line="286" w:lineRule="auto"/>
        <w:rPr>
          <w:sz w:val="20"/>
          <w:szCs w:val="20"/>
          <w:color w:val="auto"/>
        </w:rPr>
      </w:pPr>
      <w:r>
        <w:rPr>
          <w:rFonts w:ascii="Arial" w:cs="Arial" w:eastAsia="Arial" w:hAnsi="Arial"/>
          <w:sz w:val="17"/>
          <w:szCs w:val="17"/>
          <w:color w:val="auto"/>
        </w:rPr>
        <w:t>In addition, in June 2016, voters in the United Kingdom approved an advisory referendum to withdraw from the European Union (commonly referred to as “Brexit”). The Brexit vote and the perceptions as to the impact of the withdrawal of the United Kingdom from the European Union may adversely affect business activity, political stability and economic conditions in the United Kingdom, the European Union and elsewhere.</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It is uncertain at this time how the new U.S. President, Administration and Congress will affect our business, including potentially through increased import tariffs and other influences on U.S. trade relations with other countries, such as Mexico and China. The imposition of tariffs or other trade barriers could increase our costs and reduce the competitiveness of our offerings in certain markets. In addition, other countries may change their own policies on business and foreign investment in companies in their respective countries.</w:t>
      </w:r>
    </w:p>
    <w:p>
      <w:pPr>
        <w:spacing w:after="0" w:line="18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Geopolitical trends toward nationalism and protectionism and the weakening or dissolution of international trade pacts may increase the cost of, or otherwise interfere with, conducting business. Uncertainty about current and future economic and political conditions on us, our customers and partners, makes it difficult for us to forecast operating results and to make decisions about future investments.</w:t>
      </w:r>
    </w:p>
    <w:p>
      <w:pPr>
        <w:spacing w:after="0" w:line="181" w:lineRule="exact"/>
        <w:rPr>
          <w:sz w:val="20"/>
          <w:szCs w:val="20"/>
          <w:color w:val="auto"/>
        </w:rPr>
      </w:pPr>
    </w:p>
    <w:p>
      <w:pPr>
        <w:ind w:right="320" w:firstLine="392"/>
        <w:spacing w:after="0" w:line="277" w:lineRule="auto"/>
        <w:rPr>
          <w:sz w:val="20"/>
          <w:szCs w:val="20"/>
          <w:color w:val="auto"/>
        </w:rPr>
      </w:pPr>
      <w:r>
        <w:rPr>
          <w:rFonts w:ascii="Arial" w:cs="Arial" w:eastAsia="Arial" w:hAnsi="Arial"/>
          <w:sz w:val="18"/>
          <w:szCs w:val="18"/>
          <w:color w:val="auto"/>
        </w:rPr>
        <w:t>Further macro-economic degradation, a slower economic recovery in industries important to our business or adverse exchange rate movements, may adversely affect our business, financial results and financial condition.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To address the industry transition from personal computer to cloud, mobile, and social computing, we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Also, on June 1, 2017, we will commence a program to incentivize maintenance plan customers to move to subscription plan offerings. Through this program we will offer discounts to those maintenance plan customers that move to subscription plan offerings, while at the same time increasing maintenance plan pricing over time for customers that remain on maintenance.</w:t>
      </w:r>
    </w:p>
    <w:p>
      <w:pPr>
        <w:spacing w:after="0" w:line="193"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billings, gross margin, operating margin, net income (loss), earnings (loss) per share, deferred revenue, and cash flow from operations will be impacted as more revenue is recognized ratably rather than upfront and as new offerings bring a wider variety of price points.</w:t>
      </w:r>
    </w:p>
    <w:p>
      <w:pPr>
        <w:spacing w:after="0" w:line="193"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risks and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spacing w:after="0" w:line="253" w:lineRule="auto"/>
        <w:rPr>
          <w:sz w:val="20"/>
          <w:szCs w:val="20"/>
          <w:color w:val="auto"/>
        </w:rPr>
      </w:pPr>
      <w:r>
        <w:rPr>
          <w:rFonts w:ascii="Arial" w:cs="Arial" w:eastAsia="Arial" w:hAnsi="Arial"/>
          <w:sz w:val="18"/>
          <w:szCs w:val="18"/>
          <w:color w:val="auto"/>
        </w:rPr>
        <w:t>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9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services. We want customers using individual Autodesk products to expand their portfolio with our other offerings and cloud-based services, and we are taking steps to accelerate this migration. At times, sales of licenses of our AutoCAD and AutoCAD LT or individual Autodesk flagship products have decreased without a corresponding increase in industry collections or cloud-based services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product subscription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6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ind w:right="20" w:firstLine="392"/>
        <w:spacing w:after="0" w:line="256" w:lineRule="auto"/>
        <w:rPr>
          <w:sz w:val="20"/>
          <w:szCs w:val="20"/>
          <w:color w:val="auto"/>
        </w:rPr>
      </w:pPr>
      <w:r>
        <w:rPr>
          <w:rFonts w:ascii="Arial" w:cs="Arial" w:eastAsia="Arial" w:hAnsi="Arial"/>
          <w:sz w:val="18"/>
          <w:szCs w:val="18"/>
          <w:color w:val="auto"/>
        </w:rPr>
        <w:t>The discontinuance of our perpetual licenses for most individual software products on February 1, 2016 and for perpetual suites on August 1, 2016 has and will continue to result in the loss of future upfront licensing revenue. This also has frozen the growth of our maintenance revenue because there will be no further opportunities to attach maintenance licensing.</w:t>
      </w:r>
    </w:p>
    <w:p>
      <w:pPr>
        <w:ind w:right="20"/>
        <w:spacing w:after="0" w:line="252" w:lineRule="auto"/>
        <w:rPr>
          <w:sz w:val="20"/>
          <w:szCs w:val="20"/>
          <w:color w:val="auto"/>
        </w:rPr>
      </w:pPr>
      <w:r>
        <w:rPr>
          <w:rFonts w:ascii="Arial" w:cs="Arial" w:eastAsia="Arial" w:hAnsi="Arial"/>
          <w:sz w:val="18"/>
          <w:szCs w:val="18"/>
          <w:color w:val="auto"/>
        </w:rPr>
        <w:t>Also, on June 1, 2017, we will commence a maintenance to subscription loyalty program to encourage maintenance customers to move to subscriptions. As a result, we expect our maintenance revenue to decline over time, but it may decline more quickly than anticipated due to low maintenance renewals. At the same time, our subscription (formerly new model) revenue may not grow as rapidly as anticipated. Our subscription pricing allows customers to use our offerings at a lower initial cost when compared to the sale of a perpetual license. Although our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12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38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International net revenue represented 63% and 64% of our net revenue for the three months ended April 30, 2017 and 2016,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w:t>
      </w:r>
    </w:p>
    <w:p>
      <w:pPr>
        <w:spacing w:after="0" w:line="192"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49" w:name="page50"/>
    <w:bookmarkEnd w:id="49"/>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of our business partners also have international operations and are subject to the risks described above.</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Brexit vote has exacerbated and may further exacerbate many of the risks and uncertainties described above. The proposed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9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shipment of certain products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w:t>
      </w:r>
    </w:p>
    <w:p>
      <w:pPr>
        <w:spacing w:after="0" w:line="18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Violations of U.S. sanctions or export control laws can result in fines or penalties, including civil penalties of up to $284,582 or twice the value of the transaction, whichever is greater, per violation. In the event of criminal knowing and willful violations of these laws, fines of up to $1 million per violation and possible incarceration for responsible employees and managers could be imposed.</w:t>
      </w:r>
    </w:p>
    <w:p>
      <w:pPr>
        <w:spacing w:after="0" w:line="18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While we have extensive compliance procedures in place, licensing of our product offerings may have been made in potential violation of the export control and economic sanctions laws. We filed a Voluntary Self Disclosure in December 2016 with the U.S. Treasury Department’s Office of Foreign Assets Control (“OFAC”) with respect to the sale of certain licenses in an aggregate amount of less than $700,000. We are currently waiting for OFAC to complete its review of this matter. We could be subject to monetary penalties or other sanctions by OFAC in connection with its review of this issue.</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Actions that we are taking to restructure our business in alignment with our business model transition strategy may be costly and may not be as effective as anticipated.</w:t>
      </w:r>
    </w:p>
    <w:p>
      <w:pPr>
        <w:spacing w:after="0" w:line="170"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During the first quarter of fiscal 2017, we commenced a company-wide restructuring plan to accelerate the Company’s move to the cloud and its transition to a subscription-based business model. Through the restructuring, we sought to reduce expenses, streamline the organization, and reallocate resources to align more closely with the Company’s needs going forward. As a result of these actions, we incurred additional costs in the short term that had the effect of reducing our operating margins. If we are unable to realize the expected outcomes from the restructuring efforts, our business and operating results may be harmed.</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800" w:right="299" w:bottom="1440" w:gutter="0" w:footer="0" w:header="0"/>
        </w:sectPr>
      </w:pPr>
    </w:p>
    <w:bookmarkStart w:id="50" w:name="page51"/>
    <w:bookmarkEnd w:id="50"/>
    <w:p>
      <w:pPr>
        <w:ind w:right="78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2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For example, the June 23, 2016 announcement of Brexit caused significant volatility in global stock markets and currency exchange rate fluctuations that resulted in the strengthening of the U.S. dollar against foreign currencies in which we conduct business. Our exposure to adverse movements in foreign currency exchange rates could have a material adverse impact on our financial results and cash flows.</w:t>
      </w:r>
    </w:p>
    <w:p>
      <w:pPr>
        <w:spacing w:after="0" w:line="15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584" w:right="279" w:bottom="1440" w:gutter="0" w:footer="0" w:header="0"/>
        </w:sectPr>
      </w:pPr>
    </w:p>
    <w:bookmarkStart w:id="51" w:name="page52"/>
    <w:bookmarkEnd w:id="51"/>
    <w:p>
      <w:pPr>
        <w:ind w:right="36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For example, cyber attacks could make our customers hesitant to adopt our cloud-based hosted subscription services, which could negatively impact our business model transition. If any of the foregoing were to occur, our reputation may suffer, customers may stop buying our products or services, we could face lawsuits and potential liability, and our financial performance could be negatively impacted.</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Changes in laws or regulations related to the Internet, local data storage or related to privacy and data security concerns may impact our business or expose us to increased liability.</w:t>
      </w:r>
    </w:p>
    <w:p>
      <w:pPr>
        <w:spacing w:after="0" w:line="17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 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Other countries, including Canada and several Latin American and Asian countries, have constitutional protections for, or have adopted legislation protecting, individuals' personal information. Additionally, some federal, state, or foreign governmental bodies have established laws that seek to censor the transmission of certain types of content over the Internet or require that individuals be provided with the ability to permanently delete all electronic personal information, such as the German Multimedia Law of 1997 and the California “Eraser law” for minors. Additionally, some foreign governmental bodies (such as Russia and China) have established laws or have proposed laws that seek to require local data storage.</w:t>
      </w:r>
    </w:p>
    <w:p>
      <w:pPr>
        <w:spacing w:after="0" w:line="173"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In addition, new laws and industry self-regulatory codes have been enacted and more are being considered that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w:t>
      </w:r>
    </w:p>
    <w:p>
      <w:pPr>
        <w:spacing w:after="0" w:line="147"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us to implement additional technological safeguards.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4" w:right="259" w:bottom="1440" w:gutter="0" w:footer="0" w:header="0"/>
        </w:sectPr>
      </w:pPr>
    </w:p>
    <w:bookmarkStart w:id="52" w:name="page53"/>
    <w:bookmarkEnd w:id="52"/>
    <w:p>
      <w:pPr>
        <w:ind w:right="220" w:firstLine="392"/>
        <w:spacing w:after="0" w:line="297" w:lineRule="auto"/>
        <w:rPr>
          <w:sz w:val="20"/>
          <w:szCs w:val="20"/>
          <w:color w:val="auto"/>
        </w:rPr>
      </w:pPr>
      <w:r>
        <w:rPr>
          <w:rFonts w:ascii="Arial" w:cs="Arial" w:eastAsia="Arial" w:hAnsi="Arial"/>
          <w:sz w:val="16"/>
          <w:szCs w:val="16"/>
          <w:color w:val="auto"/>
        </w:rPr>
        <w:t>In addition, in October 2015 the European Court of Justice issued a ruling immediately invalidating the U.S.-EU Safe Harbor Framework, which facilitated personal data transfers to the U.S. in compliance with applicable EU data protection laws. In February 2016, the European Commission and the United States agreed on a new framework for transatlantic data flows: the EU-U.S. Privacy Shield. We rely on other legal mechanisms for data transfer and continue to comply with the previous U.S.-EU Safe Harbor Framework and U.S.-Swiss Safe Harbor Framework as set forth by the U.S. Department of Commerce regarding the collection, use, and retention of personal information from European Union member countries and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could impact our new business models and expose us to increased liability.</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Governments, privacy advocates and class action attorneys are increasingly scrutinizing how companies collect, process, use, store, share or transmit personal data. Any perception of our practices or products as an invasion of privacy, whether or not consistent with current regulations and industry practices, may subject us to public criticism, class action lawsuits, reputational harm or claims by regulators, industry groups or other third parties, all of which could disrupt our business and expose us to increased liability.</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and processing of data; any interruption or delay in service from these third parties, breaches of security or privacy could expose us to liability, harm our reputation and adversely impact our financial performance.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increasingly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months ended April 30, 2017 and 2016, approximately 70% and 75%,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Tech Data accounted for 30% of our total net revenue for the three months ended April 30, 2017, as compared to 29% of our total net revenue for the three months ended April 30, 2016.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ind w:firstLine="39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if decreases in maintenance revenue are not offset by increases in subscription revenue, our future revenue and financial results will be negatively impacted.</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maintenance customers have no obligation to renew their maintenance contracts after the expiration of their maintenance period, which is typically one year. The discontinuance of our perpetual licenses for most individual software products on February 1, 2016 and for perpetual suites on August 1, 2016 resulted in the loss of future maintenance attach opportunities. Also, on June 1, 2017, we will commence a maintenance to subscription loyalty program to encourage maintenance customers to move to subscriptions. As a result, we expect customer renewal rates will decline or fluctuate over time as a result of a number of factors, including the overall global economy, the health of their businesses, the perceived value of the maintenance program and planned maintenance pricing increases. If our non-renewing maintenance customers do not transition to our subscriptions, our future revenue and financial results will be negatively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perpetual licenses and the introduction of our maintenance to subscription program;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80"/>
          </w:cols>
          <w:pgMar w:left="240" w:top="800" w:right="379" w:bottom="1440" w:gutter="0" w:footer="0" w:header="0"/>
        </w:sectPr>
      </w:pPr>
    </w:p>
    <w:bookmarkStart w:id="55" w:name="page56"/>
    <w:bookmarkEnd w:id="55"/>
    <w:p>
      <w:pPr>
        <w:ind w:right="24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collections, if these products are not successful, our revenue will be adversely affected.</w:t>
      </w:r>
    </w:p>
    <w:p>
      <w:pPr>
        <w:spacing w:after="0" w:line="17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derive a substantial portion of our net revenue from sales of licenses of a limited number of our products, including AutoCAD software, products based on AutoCAD, which include our collections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2017, combined revenue from our AutoCAD and AutoCAD LT products, not including collections (formerly suites) having AutoCAD or AutoCAD LT as a component, represented 19% of total net revenue compared to 17% during the three months ended April 30,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0" w:right="239" w:bottom="1440" w:gutter="0" w:footer="0" w:header="0"/>
        </w:sectPr>
      </w:pPr>
    </w:p>
    <w:bookmarkStart w:id="56" w:name="page57"/>
    <w:bookmarkEnd w:id="56"/>
    <w:p>
      <w:pPr>
        <w:ind w:right="80"/>
        <w:spacing w:after="0" w:line="264" w:lineRule="auto"/>
        <w:rPr>
          <w:sz w:val="20"/>
          <w:szCs w:val="20"/>
          <w:color w:val="auto"/>
        </w:rPr>
      </w:pPr>
      <w:r>
        <w:rPr>
          <w:rFonts w:ascii="Arial" w:cs="Arial" w:eastAsia="Arial" w:hAnsi="Arial"/>
          <w:sz w:val="18"/>
          <w:szCs w:val="18"/>
          <w:color w:val="auto"/>
        </w:rPr>
        <w:t>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81"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Although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7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100" w:firstLine="392"/>
        <w:spacing w:after="0" w:line="297" w:lineRule="auto"/>
        <w:rPr>
          <w:sz w:val="20"/>
          <w:szCs w:val="20"/>
          <w:color w:val="auto"/>
        </w:rPr>
      </w:pPr>
      <w:r>
        <w:rPr>
          <w:rFonts w:ascii="Arial" w:cs="Arial" w:eastAsia="Arial" w:hAnsi="Arial"/>
          <w:sz w:val="16"/>
          <w:szCs w:val="16"/>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As of April 30, 2017, management believes it has sufficient evidence to conclude that the changes listed below, which were initiated over the course of the last 18 months and were designed to remediate the material weakness, have been completely implemented and the material weakness has been remediated. Changes designed to remediate the material weakness that were implemented include the following: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enhanced our technical accounting review for complex income tax considerations;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enhanced our income tax controls to include specific activities to ensure proper classification of deferred taxes;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supplemented our accounting and tax professionals with the engagement of an internationally recognized accounting firm to assist us in the technical review regarding the application of tax rules around deferred tax assets and liabilities; and</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reorganized the structure of our tax function, including hiring new tax personnel, to enhance the level of documentation, technical oversight, and review.</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If our management or auditor identifies one or more material weaknesses in our internal control over financial reporting, we would be unable to assert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shortfalls in our expected financial results, including net revenue, ARR, ARPS, earnings, subscriptions, or other key performance metrics;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CEO transition may cause uncertainty regarding the future of our business and impact employee hiring and retention.</w:t>
      </w:r>
    </w:p>
    <w:p>
      <w:pPr>
        <w:spacing w:after="0" w:line="22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Carl Bass resigned as our President and CEO effective February 8, 2017 after having held such positions for over ten years. In connection with Mr. Bass’ resignation, the Board has instituted a CEO search to consider candidates inside and outside Autodesk and has formed an Interim Office of the Chief Executive to oversee the company’s day-to-day operations. The CEO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584" w:right="279" w:bottom="1440" w:gutter="0" w:footer="0" w:header="0"/>
        </w:sectPr>
      </w:pPr>
    </w:p>
    <w:bookmarkStart w:id="58" w:name="page59"/>
    <w:bookmarkEnd w:id="58"/>
    <w:p>
      <w:pPr>
        <w:ind w:right="100"/>
        <w:spacing w:after="0" w:line="277" w:lineRule="auto"/>
        <w:rPr>
          <w:sz w:val="20"/>
          <w:szCs w:val="20"/>
          <w:color w:val="auto"/>
        </w:rPr>
      </w:pPr>
      <w:r>
        <w:rPr>
          <w:rFonts w:ascii="Arial" w:cs="Arial" w:eastAsia="Arial" w:hAnsi="Arial"/>
          <w:sz w:val="18"/>
          <w:szCs w:val="18"/>
          <w:color w:val="auto"/>
        </w:rPr>
        <w:t>transition, and any related speculation and uncertainty regarding our future business strategy and direction in connection with the search and the appointment of a permanent CEO, may cause or result in:</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 of our business and to our relationships with our customers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distraction of our employees and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recruiting, hiring, motivating and retaining talented and skilled personnel, including a permanent CEO;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stock price volatility.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ind w:right="320"/>
        <w:spacing w:after="0" w:line="277" w:lineRule="auto"/>
        <w:rPr>
          <w:sz w:val="20"/>
          <w:szCs w:val="20"/>
          <w:color w:val="auto"/>
        </w:rPr>
      </w:pPr>
      <w:r>
        <w:rPr>
          <w:rFonts w:ascii="Arial" w:cs="Arial" w:eastAsia="Arial" w:hAnsi="Arial"/>
          <w:sz w:val="18"/>
          <w:szCs w:val="18"/>
          <w:color w:val="auto"/>
        </w:rPr>
        <w:t>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6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FASB and IASB may result in different accounting principles under GAAP that may result in materially different financial results for us in areas including, but not limited to principles for recognizing revenue and lease accounting.</w:t>
      </w:r>
    </w:p>
    <w:p>
      <w:pPr>
        <w:spacing w:after="0" w:line="19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Furthermore, in May 2014, FASB issued ASU 2014-09, Revenue from Contracts with Customers, which supersedes nearly all existing revenue recognition guidance under U.S. GAAP. This standard establishes a principle for recognizing revenue upon the transfer of promised goods or services to customers, in an amount that reflects the expected consideration received in exchange for those goods or services. The standard also provides guidance on the recognition of costs related to obtaining and fulfilling customer contracts. In August 2015, FASB subsequently issued ASU 2015-14, which deferred the effectiveness of ASU 2014-09, so that it will now be effective for annual reporting periods beginning after December 15, 2017, including interim periods within that reporting period. The revised effective date for the Company under the new standard will be the beginning of fiscal 2019. We are assessing the impact on our consolidated financial statements, defining our operational requirements, and implementing changes to our policies, procedures and systems. This new standard is both technical and complex, and we expect to incur significant ongoing costs to implement and maintain compliance with this new standard. In addition, there may be greater uncertainty with respect to projecting revenue results from future operations as we work through the new revenue recognition standard.</w:t>
      </w:r>
    </w:p>
    <w:p>
      <w:pPr>
        <w:spacing w:after="0" w:line="17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It is not clear whether we have the proper systems and controls in place to accommodate such changes and the impact that any such changes may have on our consolidated financial position, results of operations and cash flows. Adoption of ASU 2014-09 along with any other changes in accounting principles or interpretations could have a significant effect on our reported financial results and could affect the reporting of transactions completed before the announcement of a change. Any difficulties in the implementation of new or changed accounting standards including ASU 2014-09 could cause us to fail to meet our financial reporting obligations. If our estimates relating to our critical accounting policies are based on assumptions or judgments that change or prove to be incorrect, our operating results could fall below expectations of securities analysts and investors, resulting in a decline in our stock price. In addition, as we evolve and change our business and sales models, we are currently unable to determine how these potential changes may impact our new models, particularly in the area of revenue recognition.</w:t>
      </w:r>
    </w:p>
    <w:p>
      <w:pPr>
        <w:spacing w:after="0" w:line="179"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We are investing in resources to update and improve our information technology systems. Should our investments not succeed, or if delays or other issues with new or existing internal technology systems disrupt our operations, our business model transition could be compromised and our business could be harmed.</w:t>
      </w:r>
    </w:p>
    <w:p>
      <w:pPr>
        <w:spacing w:after="0" w:line="124"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and environments in order to meet the growing and evolving requirements of our business and customers. In particular, our transition to cloud-based products and a subscription only business model requires considerable investment in the development of technologies, and back office systems for technical, financial, compliance and sales resources to enable a scalable organization.</w:t>
      </w:r>
    </w:p>
    <w:p>
      <w:pPr>
        <w:spacing w:after="0" w:line="188" w:lineRule="exact"/>
        <w:rPr>
          <w:sz w:val="20"/>
          <w:szCs w:val="20"/>
          <w:color w:val="auto"/>
        </w:rPr>
      </w:pPr>
    </w:p>
    <w:p>
      <w:pPr>
        <w:ind w:right="320" w:firstLine="392"/>
        <w:spacing w:after="0" w:line="264"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revenue, errors in our accounting and financial reporting or damage to our reputation and could compromise our business model transition.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Increasingly, governmental tax authorities are scrutinizing corporate tax strategies.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61" w:name="page62"/>
    <w:bookmarkEnd w:id="61"/>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80" w:firstLine="392"/>
        <w:spacing w:after="0" w:line="269" w:lineRule="auto"/>
        <w:rPr>
          <w:sz w:val="20"/>
          <w:szCs w:val="20"/>
          <w:color w:val="auto"/>
        </w:rPr>
      </w:pPr>
      <w:r>
        <w:rPr>
          <w:rFonts w:ascii="Arial" w:cs="Arial" w:eastAsia="Arial" w:hAnsi="Arial"/>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we determined that it was more likely than not that the Company would not realize our U.S. deferred tax assets and established a valuation allowance against our U.S. deferred tax assets. We continued to have a full valuation allowance against our U.S. deferred tax assets in fiscal 2017 and increased the amount of the valuation allowance to include deferred tax assets generated in fiscal 2017, including deferred tax assets that were established as a result of the adoption of ASU 2016-09 in the second quarter of fiscal 2017.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$1.5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right="80" w:firstLine="392"/>
        <w:spacing w:after="0" w:line="276" w:lineRule="auto"/>
        <w:rPr>
          <w:sz w:val="20"/>
          <w:szCs w:val="20"/>
          <w:color w:val="auto"/>
        </w:rPr>
      </w:pPr>
      <w:r>
        <w:rPr>
          <w:rFonts w:ascii="Arial" w:cs="Arial" w:eastAsia="Arial" w:hAnsi="Arial"/>
          <w:sz w:val="17"/>
          <w:szCs w:val="17"/>
          <w:color w:val="auto"/>
        </w:rPr>
        <w:t>In June 2015, we issued 3.125% notes due June 15, 2020 in an aggregate principal amount of $450.0 million and 4.375% notes due June 15, 2025 in an aggregate principal amount of $300.0 million. In December 2012, we issued 1.95% notes due December 15, 2017 in an aggregate principal amount of $400.0 million and 3.6% notes due December 15, 2022 in an aggregate principal amount of $350.0 million. As the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3"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April 30, 2017,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01" w:right="239" w:bottom="1440" w:gutter="0" w:footer="0" w:header="0"/>
        </w:sectPr>
      </w:pPr>
    </w:p>
    <w:bookmarkStart w:id="62" w:name="page63"/>
    <w:bookmarkEnd w:id="62"/>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This credit agreement contains customary covenants that could restrict the imposition of liens on Autodesk’s assets, and restrict the Company’s ability to incur additional indebtedness or make dispositions of assets if Autodesk fails to maintain the financial covenants. As the result of a forecasted inability to comply with the credit agreement minimum interest coverage ratio in the first quarter of fiscal 2018, the Company renegotiated the credit agreement's financial covenants in April 2017. The financial covenants now consist of a maximum debt to total cash ratio, a fixed charge coverage ratio through April 30, 2018, and after April 30, 2018 a minimum interest coverage ratio.</w:t>
      </w:r>
    </w:p>
    <w:p>
      <w:pPr>
        <w:spacing w:after="0" w:line="188"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2017.</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340" w:type="dxa"/>
            <w:vAlign w:val="bottom"/>
          </w:tcPr>
          <w:p>
            <w:pPr>
              <w:ind w:left="4900"/>
              <w:spacing w:after="0"/>
              <w:rPr>
                <w:sz w:val="20"/>
                <w:szCs w:val="20"/>
                <w:color w:val="auto"/>
              </w:rPr>
            </w:pPr>
            <w:r>
              <w:rPr>
                <w:rFonts w:ascii="Arial" w:cs="Arial" w:eastAsia="Arial" w:hAnsi="Arial"/>
                <w:sz w:val="16"/>
                <w:szCs w:val="16"/>
                <w:color w:val="auto"/>
              </w:rPr>
              <w:t>Description</w:t>
            </w:r>
          </w:p>
        </w:tc>
      </w:tr>
      <w:tr>
        <w:trPr>
          <w:trHeight w:val="618"/>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24"/>
                <w:szCs w:val="24"/>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3"/>
              </w:rPr>
              <w:t>Amended and Restated Bylaws of the Registrant (</w:t>
            </w:r>
            <w:r>
              <w:rPr>
                <w:rFonts w:ascii="Arial" w:cs="Arial" w:eastAsia="Arial" w:hAnsi="Arial"/>
                <w:sz w:val="16"/>
                <w:szCs w:val="16"/>
                <w:i w:val="1"/>
                <w:iCs w:val="1"/>
                <w:color w:val="auto"/>
                <w:w w:val="93"/>
              </w:rPr>
              <w:t>incorporated by reference to Exhibit 3.1 filed with the Registrant’s Current Report on Form 8-K filed on</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i w:val="1"/>
                <w:iCs w:val="1"/>
                <w:color w:val="auto"/>
              </w:rPr>
              <w:t>February 7, 2017</w:t>
            </w:r>
            <w:r>
              <w:rPr>
                <w:rFonts w:ascii="Arial" w:cs="Arial" w:eastAsia="Arial" w:hAnsi="Arial"/>
                <w:sz w:val="16"/>
                <w:szCs w:val="16"/>
                <w:color w:val="auto"/>
              </w:rPr>
              <w:t>)</w:t>
            </w:r>
          </w:p>
        </w:tc>
      </w:tr>
      <w:tr>
        <w:trPr>
          <w:trHeight w:val="631"/>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4"/>
                <w:szCs w:val="24"/>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4"/>
              </w:rPr>
              <w:t>Registrant's 2012 Outside Directors' Stock Plan, as amended and restated (</w:t>
            </w:r>
            <w:r>
              <w:rPr>
                <w:rFonts w:ascii="Arial" w:cs="Arial" w:eastAsia="Arial" w:hAnsi="Arial"/>
                <w:sz w:val="16"/>
                <w:szCs w:val="16"/>
                <w:i w:val="1"/>
                <w:iCs w:val="1"/>
                <w:color w:val="auto"/>
                <w:w w:val="94"/>
              </w:rPr>
              <w:t>incorporated by reference to Exhibit 10.18 filed with the Registrant’s Annual</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i w:val="1"/>
                <w:iCs w:val="1"/>
                <w:color w:val="auto"/>
              </w:rPr>
              <w:t>Report on Form 10-K filed on March 21, 2017</w:t>
            </w:r>
            <w:r>
              <w:rPr>
                <w:rFonts w:ascii="Arial" w:cs="Arial" w:eastAsia="Arial" w:hAnsi="Arial"/>
                <w:sz w:val="16"/>
                <w:szCs w:val="16"/>
                <w:color w:val="auto"/>
              </w:rPr>
              <w:t>)</w:t>
            </w:r>
          </w:p>
        </w:tc>
      </w:tr>
      <w:tr>
        <w:trPr>
          <w:trHeight w:val="617"/>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1"/>
              </w:rPr>
              <w:t>Transition and Separation Agreement, dated February 6, 2017, by and between the Registrant and Carl Bass (</w:t>
            </w:r>
            <w:r>
              <w:rPr>
                <w:rFonts w:ascii="Arial" w:cs="Arial" w:eastAsia="Arial" w:hAnsi="Arial"/>
                <w:sz w:val="16"/>
                <w:szCs w:val="16"/>
                <w:i w:val="1"/>
                <w:iCs w:val="1"/>
                <w:color w:val="auto"/>
                <w:w w:val="91"/>
              </w:rPr>
              <w:t>incorporated by reference to Exhibit 10.1 filed</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i w:val="1"/>
                <w:iCs w:val="1"/>
                <w:color w:val="auto"/>
              </w:rPr>
              <w:t>with the Registrant’s Current Report on Form 8-K filed on February 7, 2017</w:t>
            </w:r>
            <w:r>
              <w:rPr>
                <w:rFonts w:ascii="Arial" w:cs="Arial" w:eastAsia="Arial" w:hAnsi="Arial"/>
                <w:sz w:val="16"/>
                <w:szCs w:val="16"/>
                <w:color w:val="auto"/>
              </w:rPr>
              <w:t>)</w:t>
            </w:r>
          </w:p>
        </w:tc>
      </w:tr>
      <w:tr>
        <w:trPr>
          <w:trHeight w:val="779"/>
        </w:trPr>
        <w:tc>
          <w:tcPr>
            <w:tcW w:w="700" w:type="dxa"/>
            <w:vAlign w:val="bottom"/>
          </w:tcPr>
          <w:p>
            <w:pPr>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24"/>
                <w:szCs w:val="24"/>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1"/>
              </w:rPr>
              <w:t>Participants, target awards and payout formulas for fiscal year 2018 under the Registrant's Executive Incentive Plan (</w:t>
            </w:r>
            <w:r>
              <w:rPr>
                <w:rFonts w:ascii="Arial" w:cs="Arial" w:eastAsia="Arial" w:hAnsi="Arial"/>
                <w:sz w:val="16"/>
                <w:szCs w:val="16"/>
                <w:i w:val="1"/>
                <w:iCs w:val="1"/>
                <w:color w:val="auto"/>
                <w:w w:val="91"/>
              </w:rPr>
              <w:t>incorporated by reference to Item 5.02</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i w:val="1"/>
                <w:iCs w:val="1"/>
                <w:color w:val="auto"/>
              </w:rPr>
              <w:t>of the Registrant's Current Report on Form 8-K filed on March 17, 2017</w:t>
            </w:r>
            <w:r>
              <w:rPr>
                <w:rFonts w:ascii="Arial" w:cs="Arial" w:eastAsia="Arial" w:hAnsi="Arial"/>
                <w:sz w:val="16"/>
                <w:szCs w:val="16"/>
                <w:color w:val="auto"/>
              </w:rPr>
              <w:t>)</w:t>
            </w:r>
          </w:p>
        </w:tc>
      </w:tr>
      <w:tr>
        <w:trPr>
          <w:trHeight w:val="617"/>
        </w:trPr>
        <w:tc>
          <w:tcPr>
            <w:tcW w:w="700" w:type="dxa"/>
            <w:vAlign w:val="bottom"/>
          </w:tcPr>
          <w:p>
            <w:pPr>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24"/>
                <w:szCs w:val="24"/>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3"/>
              </w:rPr>
              <w:t>Agreement, dated February 6, 2017, by and among the Registrant, Sachem Head Capital Management LP, Uncas GP LLC, and Sachem Head GP LLC</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incorporated by reference to Exhibit 99.1 filed with the Registrant’s Current Report on Form 8-K filed on February 7, 2017</w:t>
            </w:r>
            <w:r>
              <w:rPr>
                <w:rFonts w:ascii="Arial" w:cs="Arial" w:eastAsia="Arial" w:hAnsi="Arial"/>
                <w:sz w:val="16"/>
                <w:szCs w:val="16"/>
                <w:color w:val="auto"/>
              </w:rPr>
              <w:t>)</w:t>
            </w:r>
          </w:p>
        </w:tc>
      </w:tr>
      <w:tr>
        <w:trPr>
          <w:trHeight w:val="631"/>
        </w:trPr>
        <w:tc>
          <w:tcPr>
            <w:tcW w:w="700" w:type="dxa"/>
            <w:vAlign w:val="bottom"/>
          </w:tcPr>
          <w:p>
            <w:pPr>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24"/>
                <w:szCs w:val="24"/>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w w:val="92"/>
              </w:rPr>
              <w:t>Letter Amendment No. 1, dated April 26, 2017, to the Amended and Restated Credit Agreement, dated as of May 29, 2015, by and among the Registrant,</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the lenders from time to time party thereto and Citibank, N.A. as administrative agent</w:t>
            </w:r>
          </w:p>
        </w:tc>
      </w:tr>
      <w:tr>
        <w:trPr>
          <w:trHeight w:val="459"/>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Certification of Co-Chief Executive Officers pursuant to Rule 13a-14(a) of the Securities Exchange Act of 1934</w:t>
            </w:r>
          </w:p>
        </w:tc>
      </w:tr>
      <w:tr>
        <w:trPr>
          <w:trHeight w:val="446"/>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Certification of Co-Chief Executive Officers pursuant to Rule 13a-14(a) of the Securities Exchange Act of 1934</w:t>
            </w:r>
          </w:p>
        </w:tc>
      </w:tr>
      <w:tr>
        <w:trPr>
          <w:trHeight w:val="635"/>
        </w:trPr>
        <w:tc>
          <w:tcPr>
            <w:tcW w:w="700" w:type="dxa"/>
            <w:vAlign w:val="bottom"/>
          </w:tcPr>
          <w:p>
            <w:pPr>
              <w:spacing w:after="0"/>
              <w:rPr>
                <w:sz w:val="20"/>
                <w:szCs w:val="20"/>
                <w:color w:val="auto"/>
              </w:rPr>
            </w:pPr>
            <w:r>
              <w:rPr>
                <w:rFonts w:ascii="Arial" w:cs="Arial" w:eastAsia="Arial" w:hAnsi="Arial"/>
                <w:sz w:val="16"/>
                <w:szCs w:val="16"/>
                <w:color w:val="auto"/>
              </w:rPr>
              <w:t>31.3</w:t>
            </w:r>
          </w:p>
        </w:tc>
        <w:tc>
          <w:tcPr>
            <w:tcW w:w="320" w:type="dxa"/>
            <w:vAlign w:val="bottom"/>
          </w:tcPr>
          <w:p>
            <w:pPr>
              <w:spacing w:after="0"/>
              <w:rPr>
                <w:sz w:val="24"/>
                <w:szCs w:val="24"/>
                <w:color w:val="auto"/>
              </w:rPr>
            </w:pPr>
          </w:p>
        </w:tc>
        <w:tc>
          <w:tcPr>
            <w:tcW w:w="10340" w:type="dxa"/>
            <w:vAlign w:val="bottom"/>
          </w:tcPr>
          <w:p>
            <w:pPr>
              <w:ind w:left="28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42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340" w:type="dxa"/>
            <w:vAlign w:val="bottom"/>
          </w:tcPr>
          <w:p>
            <w:pPr>
              <w:ind w:left="240"/>
              <w:spacing w:after="0"/>
              <w:rPr>
                <w:sz w:val="20"/>
                <w:szCs w:val="20"/>
                <w:color w:val="auto"/>
              </w:rPr>
            </w:pPr>
            <w:r>
              <w:rPr>
                <w:rFonts w:ascii="Arial" w:cs="Arial" w:eastAsia="Arial" w:hAnsi="Arial"/>
                <w:sz w:val="16"/>
                <w:szCs w:val="16"/>
                <w:color w:val="auto"/>
                <w:w w:val="95"/>
              </w:rPr>
              <w:t>Certification of Co-Chief Executive Officers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4"/>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340" w:type="dxa"/>
            <w:vAlign w:val="bottom"/>
          </w:tcPr>
          <w:p>
            <w:pPr>
              <w:ind w:left="240"/>
              <w:spacing w:after="0"/>
              <w:rPr>
                <w:sz w:val="20"/>
                <w:szCs w:val="20"/>
                <w:color w:val="auto"/>
              </w:rPr>
            </w:pPr>
            <w:r>
              <w:rPr>
                <w:rFonts w:ascii="Arial" w:cs="Arial" w:eastAsia="Arial" w:hAnsi="Arial"/>
                <w:sz w:val="16"/>
                <w:szCs w:val="16"/>
                <w:color w:val="auto"/>
                <w:w w:val="95"/>
              </w:rPr>
              <w:t>XBRL Instance Document - the instance document does not appear in the Interactive Data File because its XBRL tags are embedded within the Inline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tcPr>
          <w:p>
            <w:pPr>
              <w:ind w:left="240"/>
              <w:spacing w:after="0"/>
              <w:rPr>
                <w:sz w:val="20"/>
                <w:szCs w:val="20"/>
                <w:color w:val="auto"/>
              </w:rPr>
            </w:pPr>
            <w:r>
              <w:rPr>
                <w:rFonts w:ascii="Arial" w:cs="Arial" w:eastAsia="Arial" w:hAnsi="Arial"/>
                <w:sz w:val="16"/>
                <w:szCs w:val="16"/>
                <w:color w:val="auto"/>
              </w:rPr>
              <w:t>XBRL document</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340" w:type="dxa"/>
            <w:vAlign w:val="bottom"/>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340" w:type="dxa"/>
            <w:vAlign w:val="bottom"/>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340" w:type="dxa"/>
            <w:vAlign w:val="bottom"/>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340" w:type="dxa"/>
            <w:vAlign w:val="bottom"/>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340" w:type="dxa"/>
            <w:vAlign w:val="bottom"/>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ind w:left="720" w:hanging="685"/>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ind w:left="720" w:right="120" w:hanging="685"/>
        <w:spacing w:after="0" w:line="335" w:lineRule="auto"/>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580" w:right="259" w:bottom="1440" w:gutter="0" w:footer="0" w:header="0"/>
          <w:type w:val="continuous"/>
        </w:sectPr>
      </w:pPr>
    </w:p>
    <w:bookmarkStart w:id="64" w:name="page65"/>
    <w:bookmarkEnd w:id="64"/>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31,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720"/>
          </w:cols>
          <w:pgMar w:left="240" w:top="580" w:right="9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color w:val="auto"/>
        </w:rPr>
        <w:t>Exhibit 10.5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 AMENDMENT NO. 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Dated as of April 26,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the banks, financial institutions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and other institutional lenders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(collectively, the “Lenders”) party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the Credit Agreement referred to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below and to Citibank, N.A., as agent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“Agent”) for the Lenders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560" w:firstLine="1297"/>
        <w:spacing w:after="0" w:line="250" w:lineRule="auto"/>
        <w:rPr>
          <w:sz w:val="20"/>
          <w:szCs w:val="20"/>
          <w:color w:val="auto"/>
        </w:rPr>
      </w:pPr>
      <w:r>
        <w:rPr>
          <w:rFonts w:ascii="Arial" w:cs="Arial" w:eastAsia="Arial" w:hAnsi="Arial"/>
          <w:sz w:val="20"/>
          <w:szCs w:val="20"/>
          <w:color w:val="auto"/>
        </w:rPr>
        <w:t>We refer to the Amended and Restated Credit Agreement dated as of May 29, 2015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undersigned, the Lenders party thereto and the Agent. Capitalized terms not otherwise defined in this Letter Amendment have the same meanings as specified in the Credit Agreement.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It is hereby agreed by you and us as follows: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Credit Agreement is, effective as of the date of this Letter Amendment, hereby amended as follows:</w:t>
      </w:r>
    </w:p>
    <w:p>
      <w:pPr>
        <w:spacing w:after="0" w:line="229" w:lineRule="exact"/>
        <w:rPr>
          <w:sz w:val="20"/>
          <w:szCs w:val="20"/>
          <w:color w:val="auto"/>
        </w:rPr>
      </w:pPr>
    </w:p>
    <w:p>
      <w:pPr>
        <w:ind w:right="320" w:firstLine="1305"/>
        <w:spacing w:after="0" w:line="267" w:lineRule="auto"/>
        <w:tabs>
          <w:tab w:leader="none" w:pos="2164"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definition of “Lender Insolvency Event” in Section 1.01 is amended by inserting the phrase “the subject of a Bail-In Action (as defined in Section 8.15) or” immediately before the phrase “the subject of a bankruptcy, bankruptcy, insolvency, reorganization, liquidation or similar proceeding.”</w:t>
      </w:r>
    </w:p>
    <w:p>
      <w:pPr>
        <w:spacing w:after="0" w:line="2" w:lineRule="exact"/>
        <w:rPr>
          <w:rFonts w:ascii="Arial" w:cs="Arial" w:eastAsia="Arial" w:hAnsi="Arial"/>
          <w:sz w:val="20"/>
          <w:szCs w:val="20"/>
          <w:color w:val="auto"/>
        </w:rPr>
      </w:pPr>
    </w:p>
    <w:p>
      <w:pPr>
        <w:ind w:left="2180" w:hanging="875"/>
        <w:spacing w:after="0"/>
        <w:tabs>
          <w:tab w:leader="none" w:pos="21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Section 1.01 is amended by deleting the definition of “Consolidated Shareholders’ Equity”.</w:t>
      </w:r>
    </w:p>
    <w:p>
      <w:pPr>
        <w:spacing w:after="0" w:line="26" w:lineRule="exact"/>
        <w:rPr>
          <w:rFonts w:ascii="Arial" w:cs="Arial" w:eastAsia="Arial" w:hAnsi="Arial"/>
          <w:sz w:val="20"/>
          <w:szCs w:val="20"/>
          <w:color w:val="auto"/>
        </w:rPr>
      </w:pPr>
    </w:p>
    <w:p>
      <w:pPr>
        <w:ind w:left="2180" w:hanging="875"/>
        <w:spacing w:after="0"/>
        <w:tabs>
          <w:tab w:leader="none" w:pos="21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Section 5.03(a) is amended and restated in full to read as follows:</w:t>
      </w:r>
    </w:p>
    <w:p>
      <w:pPr>
        <w:spacing w:after="0" w:line="20" w:lineRule="exact"/>
        <w:rPr>
          <w:sz w:val="20"/>
          <w:szCs w:val="20"/>
          <w:color w:val="auto"/>
        </w:rPr>
      </w:pPr>
    </w:p>
    <w:p>
      <w:pPr>
        <w:ind w:left="660" w:right="60" w:firstLine="648"/>
        <w:spacing w:after="0" w:line="253" w:lineRule="auto"/>
        <w:rPr>
          <w:sz w:val="20"/>
          <w:szCs w:val="20"/>
          <w:color w:val="auto"/>
        </w:rPr>
      </w:pPr>
      <w:r>
        <w:rPr>
          <w:rFonts w:ascii="Arial" w:cs="Arial" w:eastAsia="Arial" w:hAnsi="Arial"/>
          <w:sz w:val="20"/>
          <w:szCs w:val="20"/>
          <w:u w:val="single" w:color="auto"/>
          <w:color w:val="auto"/>
        </w:rPr>
        <w:t>Debt to Total Cash Ratio</w:t>
      </w:r>
      <w:r>
        <w:rPr>
          <w:rFonts w:ascii="Arial" w:cs="Arial" w:eastAsia="Arial" w:hAnsi="Arial"/>
          <w:sz w:val="20"/>
          <w:szCs w:val="20"/>
          <w:color w:val="auto"/>
        </w:rPr>
        <w:t>. Maintain, at all times, a ratio of (i) Consolidated Covenant Debt to (ii) the sum of 100% of Domestic Cash plus 65% of Foreign Cash of not greater than the ratio set opposite each period set forth below:</w:t>
      </w:r>
    </w:p>
    <w:p>
      <w:pPr>
        <w:spacing w:after="0" w:line="315" w:lineRule="exact"/>
        <w:rPr>
          <w:sz w:val="20"/>
          <w:szCs w:val="20"/>
          <w:color w:val="auto"/>
        </w:rPr>
      </w:pPr>
    </w:p>
    <w:tbl>
      <w:tblPr>
        <w:tblLayout w:type="fixed"/>
        <w:tblInd w:w="810" w:type="dxa"/>
        <w:tblCellMar>
          <w:top w:w="0" w:type="dxa"/>
          <w:left w:w="0" w:type="dxa"/>
          <w:bottom w:w="0" w:type="dxa"/>
          <w:right w:w="0" w:type="dxa"/>
        </w:tblCellMar>
      </w:tblPr>
      <w:tr>
        <w:trPr>
          <w:trHeight w:val="274"/>
        </w:trPr>
        <w:tc>
          <w:tcPr>
            <w:tcW w:w="6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Period</w:t>
            </w:r>
          </w:p>
        </w:tc>
        <w:tc>
          <w:tcPr>
            <w:tcW w:w="3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Ratio</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April 30, 2017</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2.00:1.0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July 31, 2017</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2.00:1.0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October 31, 2017</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2.00:1.0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January 31, 2018</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April 30, 2018</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July 31, 2018</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October 31, 2018</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January 31, 2019</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April 30, 2019</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2.60:1.0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July 31, 2019 and thereafter</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2.00:1.0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798" w:right="239" w:bottom="1440" w:gutter="0" w:footer="0" w:header="0"/>
        </w:sectPr>
      </w:pPr>
    </w:p>
    <w:bookmarkStart w:id="66" w:name="page67"/>
    <w:bookmarkEnd w:id="66"/>
    <w:p>
      <w:pPr>
        <w:ind w:left="4" w:right="12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Cash</w:t>
      </w:r>
      <w:r>
        <w:rPr>
          <w:rFonts w:ascii="Arial" w:cs="Arial" w:eastAsia="Arial" w:hAnsi="Arial"/>
          <w:sz w:val="20"/>
          <w:szCs w:val="20"/>
          <w:color w:val="auto"/>
        </w:rPr>
        <w:t>” means unrestricted cash and cash equivalents held by the Borrower and its Subsidiaries, and funds available on demand by the Borrower and its Subsidiaries (including but not limited to time deposits), in each case in the United States or any foreign jurisdiction if such cash, cash equivalents or funds are available for use in the United States without deduction for any taxes. For the avoidance of doubt, “Domestic Cash” shall not include the proceeds of (x) any Debt incurred after April 26, 2017 in excess of $350,000,000 or (y) any Advances.</w:t>
      </w:r>
    </w:p>
    <w:p>
      <w:pPr>
        <w:spacing w:after="0" w:line="19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Cash</w:t>
      </w:r>
      <w:r>
        <w:rPr>
          <w:rFonts w:ascii="Arial" w:cs="Arial" w:eastAsia="Arial" w:hAnsi="Arial"/>
          <w:sz w:val="18"/>
          <w:szCs w:val="18"/>
          <w:color w:val="auto"/>
        </w:rPr>
        <w:t>” means unrestricted cash and cash equivalents held by the Borrower and its Subsidiaries that is not Domestic</w:t>
      </w:r>
    </w:p>
    <w:p>
      <w:pPr>
        <w:spacing w:after="0" w:line="39" w:lineRule="exact"/>
        <w:rPr>
          <w:sz w:val="20"/>
          <w:szCs w:val="20"/>
          <w:color w:val="auto"/>
        </w:rPr>
      </w:pPr>
    </w:p>
    <w:p>
      <w:pPr>
        <w:ind w:left="4"/>
        <w:spacing w:after="0"/>
        <w:rPr>
          <w:sz w:val="20"/>
          <w:szCs w:val="20"/>
          <w:color w:val="auto"/>
        </w:rPr>
      </w:pPr>
      <w:r>
        <w:rPr>
          <w:rFonts w:ascii="Arial" w:cs="Arial" w:eastAsia="Arial" w:hAnsi="Arial"/>
          <w:sz w:val="20"/>
          <w:szCs w:val="20"/>
          <w:color w:val="auto"/>
        </w:rPr>
        <w:t>Cash.</w:t>
      </w:r>
    </w:p>
    <w:p>
      <w:pPr>
        <w:spacing w:after="0" w:line="200" w:lineRule="exact"/>
        <w:rPr>
          <w:sz w:val="20"/>
          <w:szCs w:val="20"/>
          <w:color w:val="auto"/>
        </w:rPr>
      </w:pPr>
    </w:p>
    <w:p>
      <w:pPr>
        <w:ind w:left="4" w:right="8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 deposits, securities and other investments classified in accordance with generally accepted accounting principles as cash equivalents or marketable securities.</w:t>
      </w:r>
    </w:p>
    <w:p>
      <w:pPr>
        <w:spacing w:after="0" w:line="190" w:lineRule="exact"/>
        <w:rPr>
          <w:sz w:val="20"/>
          <w:szCs w:val="20"/>
          <w:color w:val="auto"/>
        </w:rPr>
      </w:pPr>
    </w:p>
    <w:p>
      <w:pPr>
        <w:ind w:left="2184" w:hanging="887"/>
        <w:spacing w:after="0"/>
        <w:tabs>
          <w:tab w:leader="none" w:pos="2184" w:val="left"/>
        </w:tabs>
        <w:numPr>
          <w:ilvl w:val="0"/>
          <w:numId w:val="41"/>
        </w:numPr>
        <w:rPr>
          <w:rFonts w:ascii="Arial" w:cs="Arial" w:eastAsia="Arial" w:hAnsi="Arial"/>
          <w:sz w:val="20"/>
          <w:szCs w:val="20"/>
          <w:color w:val="auto"/>
        </w:rPr>
      </w:pPr>
      <w:r>
        <w:rPr>
          <w:rFonts w:ascii="Arial" w:cs="Arial" w:eastAsia="Arial" w:hAnsi="Arial"/>
          <w:sz w:val="20"/>
          <w:szCs w:val="20"/>
          <w:color w:val="auto"/>
        </w:rPr>
        <w:t>Section 5.03(b) is amended and restated in full to read as follows:</w:t>
      </w:r>
    </w:p>
    <w:p>
      <w:pPr>
        <w:spacing w:after="0" w:line="243"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Maintain, as at the end of each fiscal quarter of the Borrower, a ratio of (i) Consolidated Cash Flow to</w:t>
      </w:r>
    </w:p>
    <w:p>
      <w:pPr>
        <w:spacing w:after="0" w:line="39" w:lineRule="exact"/>
        <w:rPr>
          <w:sz w:val="20"/>
          <w:szCs w:val="20"/>
          <w:color w:val="auto"/>
        </w:rPr>
      </w:pPr>
    </w:p>
    <w:p>
      <w:pPr>
        <w:ind w:left="4" w:right="540" w:hanging="4"/>
        <w:spacing w:after="0" w:line="244" w:lineRule="auto"/>
        <w:tabs>
          <w:tab w:leader="none" w:pos="295"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Consolidated Interest Expense, in each case, for the most recently completed four consecutive fiscal quarters of the Borrower ending on or prior to such date, of at least the ratio set opposite each period set forth below:</w:t>
      </w:r>
    </w:p>
    <w:p>
      <w:pPr>
        <w:spacing w:after="0" w:line="324" w:lineRule="exact"/>
        <w:rPr>
          <w:sz w:val="20"/>
          <w:szCs w:val="20"/>
          <w:color w:val="auto"/>
        </w:rPr>
      </w:pPr>
    </w:p>
    <w:tbl>
      <w:tblPr>
        <w:tblLayout w:type="fixed"/>
        <w:tblInd w:w="154" w:type="dxa"/>
        <w:tblCellMar>
          <w:top w:w="0" w:type="dxa"/>
          <w:left w:w="0" w:type="dxa"/>
          <w:bottom w:w="0" w:type="dxa"/>
          <w:right w:w="0" w:type="dxa"/>
        </w:tblCellMar>
      </w:tblPr>
      <w:tr>
        <w:trPr>
          <w:trHeight w:val="274"/>
        </w:trPr>
        <w:tc>
          <w:tcPr>
            <w:tcW w:w="6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Period</w:t>
            </w:r>
          </w:p>
        </w:tc>
        <w:tc>
          <w:tcPr>
            <w:tcW w:w="3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Ratio</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quarters ended April 30, 2018 or earlier</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Not applicable</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July 31, 2018</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2.50:1.0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54"/>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Fiscal quarter ended October 31, 2018 and thereafter</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3.00:1.0</w:t>
            </w:r>
          </w:p>
        </w:tc>
      </w:tr>
      <w:tr>
        <w:trPr>
          <w:trHeight w:val="23"/>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ind w:left="2164" w:hanging="867"/>
        <w:spacing w:after="0"/>
        <w:tabs>
          <w:tab w:leader="none" w:pos="2164" w:val="left"/>
        </w:tabs>
        <w:numPr>
          <w:ilvl w:val="0"/>
          <w:numId w:val="43"/>
        </w:numPr>
        <w:rPr>
          <w:rFonts w:ascii="Arial" w:cs="Arial" w:eastAsia="Arial" w:hAnsi="Arial"/>
          <w:sz w:val="20"/>
          <w:szCs w:val="20"/>
          <w:color w:val="auto"/>
        </w:rPr>
      </w:pPr>
      <w:r>
        <w:rPr>
          <w:rFonts w:ascii="Arial" w:cs="Arial" w:eastAsia="Arial" w:hAnsi="Arial"/>
          <w:sz w:val="20"/>
          <w:szCs w:val="20"/>
          <w:color w:val="auto"/>
        </w:rPr>
        <w:t>Section 5.03 is amended by adding a new Section 5.03(c) to read as follows:</w:t>
      </w:r>
    </w:p>
    <w:p>
      <w:pPr>
        <w:spacing w:after="0" w:line="243"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Maintain, at all times from and after April 30, 2017 until and including April 30, 2018, a ratio of</w:t>
      </w:r>
    </w:p>
    <w:p>
      <w:pPr>
        <w:spacing w:after="0" w:line="39" w:lineRule="exact"/>
        <w:rPr>
          <w:sz w:val="20"/>
          <w:szCs w:val="20"/>
          <w:color w:val="auto"/>
        </w:rPr>
      </w:pPr>
    </w:p>
    <w:p>
      <w:pPr>
        <w:ind w:left="4" w:right="20" w:hanging="4"/>
        <w:spacing w:after="0" w:line="271" w:lineRule="auto"/>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sum of 100% of Domestic Cash plus 65% of Foreign Cash to (ii) the sum of, without duplication (A) Consolidated Interest Expense, (B) Federal, state, local and foreign income taxes payable by the Borrower and its Subsidiaries, (C) expenditures in respect of the purchase or other acquisition of any fixed or capital asset (excluding normal replacements and maintenance which are properly charged to current operations), (D) the principal amount of Consolidated Covenant Debt of the Borrower and its Subsidiaries having a maturity within one year of the date of determination and (E) the principal amount of the current portion of long-term Consolidated Covenant Debt of the Borrower and its Subsidiaries, in each case for (A), (B) and (C) of this clause (ii), for the most recently completed four consecutive fiscal quarters of the Borrower ending on or prior to such date, of greater than 1.00:1.0.</w:t>
      </w:r>
    </w:p>
    <w:p>
      <w:pPr>
        <w:spacing w:after="0" w:line="184" w:lineRule="exact"/>
        <w:rPr>
          <w:rFonts w:ascii="Arial" w:cs="Arial" w:eastAsia="Arial" w:hAnsi="Arial"/>
          <w:sz w:val="18"/>
          <w:szCs w:val="18"/>
          <w:color w:val="auto"/>
        </w:rPr>
      </w:pPr>
    </w:p>
    <w:p>
      <w:pPr>
        <w:ind w:left="2144" w:hanging="847"/>
        <w:spacing w:after="0"/>
        <w:tabs>
          <w:tab w:leader="none" w:pos="21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A new Section 8.15 is added to read as follows:</w:t>
      </w:r>
    </w:p>
    <w:p>
      <w:pPr>
        <w:spacing w:after="0" w:line="243" w:lineRule="exact"/>
        <w:rPr>
          <w:sz w:val="20"/>
          <w:szCs w:val="20"/>
          <w:color w:val="auto"/>
        </w:rPr>
      </w:pPr>
    </w:p>
    <w:p>
      <w:pPr>
        <w:ind w:left="4" w:right="60" w:firstLine="648"/>
        <w:spacing w:after="0" w:line="244" w:lineRule="auto"/>
        <w:rPr>
          <w:sz w:val="20"/>
          <w:szCs w:val="20"/>
          <w:color w:val="auto"/>
        </w:rPr>
      </w:pPr>
      <w:r>
        <w:rPr>
          <w:rFonts w:ascii="Arial" w:cs="Arial" w:eastAsia="Arial" w:hAnsi="Arial"/>
          <w:sz w:val="20"/>
          <w:szCs w:val="20"/>
          <w:color w:val="auto"/>
        </w:rPr>
        <w:t xml:space="preserve">SECTION 8.15. </w:t>
      </w:r>
      <w:r>
        <w:rPr>
          <w:rFonts w:ascii="Arial" w:cs="Arial" w:eastAsia="Arial" w:hAnsi="Arial"/>
          <w:sz w:val="20"/>
          <w:szCs w:val="20"/>
          <w:u w:val="single" w:color="auto"/>
          <w:color w:val="auto"/>
        </w:rPr>
        <w:t>Acknowledgement and Consent to Bail-In of EEA Financial Institutions</w:t>
      </w:r>
      <w:r>
        <w:rPr>
          <w:rFonts w:ascii="Arial" w:cs="Arial" w:eastAsia="Arial" w:hAnsi="Arial"/>
          <w:sz w:val="20"/>
          <w:szCs w:val="20"/>
          <w:color w:val="auto"/>
        </w:rPr>
        <w:t>. Notwithstanding anything to the contrary in this Agreement or in any other agreement, arrangement or understanding among any such parties, each party hereto acknowledges that any liability of any EEA Financial Institution arising under this Agreement, to the extent such liability is unsecured, may be subject to the Write-Down and Conversion Powers of an EEA Resolution Authority and agrees and consents to, and acknowledges and agrees to be bound by:</w:t>
      </w:r>
    </w:p>
    <w:p>
      <w:pPr>
        <w:spacing w:after="0" w:line="195" w:lineRule="exact"/>
        <w:rPr>
          <w:sz w:val="20"/>
          <w:szCs w:val="20"/>
          <w:color w:val="auto"/>
        </w:rPr>
      </w:pPr>
    </w:p>
    <w:p>
      <w:pPr>
        <w:ind w:left="4" w:right="20" w:firstLine="645"/>
        <w:spacing w:after="0" w:line="260" w:lineRule="auto"/>
        <w:tabs>
          <w:tab w:leader="none" w:pos="107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6" w:lineRule="exact"/>
        <w:rPr>
          <w:rFonts w:ascii="Arial" w:cs="Arial" w:eastAsia="Arial" w:hAnsi="Arial"/>
          <w:sz w:val="20"/>
          <w:szCs w:val="20"/>
          <w:color w:val="auto"/>
        </w:rPr>
      </w:pPr>
    </w:p>
    <w:p>
      <w:pPr>
        <w:ind w:left="1084" w:hanging="435"/>
        <w:spacing w:after="0"/>
        <w:tabs>
          <w:tab w:leader="none" w:pos="1084"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ectPr>
          <w:pgSz w:w="11900" w:h="16838" w:orient="portrait"/>
          <w:cols w:equalWidth="0" w:num="1">
            <w:col w:w="10744"/>
          </w:cols>
          <w:pgMar w:left="896" w:top="582" w:right="259" w:bottom="1440" w:gutter="0" w:footer="0" w:header="0"/>
        </w:sectPr>
      </w:pPr>
    </w:p>
    <w:bookmarkStart w:id="67" w:name="page68"/>
    <w:bookmarkEnd w:id="67"/>
    <w:p>
      <w:pPr>
        <w:ind w:left="1680" w:hanging="375"/>
        <w:spacing w:after="0"/>
        <w:tabs>
          <w:tab w:leader="none" w:pos="16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ind w:left="660" w:firstLine="645"/>
        <w:spacing w:after="0" w:line="246" w:lineRule="auto"/>
        <w:tabs>
          <w:tab w:leader="none" w:pos="1748"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660" w:right="120" w:firstLine="645"/>
        <w:spacing w:after="0" w:line="260" w:lineRule="auto"/>
        <w:tabs>
          <w:tab w:leader="none" w:pos="1803"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7" w:lineRule="exact"/>
        <w:rPr>
          <w:sz w:val="20"/>
          <w:szCs w:val="20"/>
          <w:color w:val="auto"/>
        </w:rPr>
      </w:pPr>
    </w:p>
    <w:p>
      <w:pPr>
        <w:ind w:left="660" w:right="160" w:firstLine="648"/>
        <w:spacing w:after="0" w:line="260" w:lineRule="auto"/>
        <w:rPr>
          <w:sz w:val="20"/>
          <w:szCs w:val="20"/>
          <w:color w:val="auto"/>
        </w:rPr>
      </w:pPr>
      <w:r>
        <w:rPr>
          <w:rFonts w:ascii="Arial" w:cs="Arial" w:eastAsia="Arial" w:hAnsi="Arial"/>
          <w:sz w:val="20"/>
          <w:szCs w:val="20"/>
          <w:color w:val="auto"/>
        </w:rPr>
        <w:t>As used in this Agreement, the following terms shall have the following meanings (such meanings to be equally applicable to both the singular and plural forms of the terms defined):</w:t>
      </w:r>
    </w:p>
    <w:p>
      <w:pPr>
        <w:spacing w:after="0" w:line="177" w:lineRule="exact"/>
        <w:rPr>
          <w:sz w:val="20"/>
          <w:szCs w:val="20"/>
          <w:color w:val="auto"/>
        </w:rPr>
      </w:pPr>
    </w:p>
    <w:p>
      <w:pPr>
        <w:ind w:left="660"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ind w:left="66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left="6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7" w:lineRule="exact"/>
        <w:rPr>
          <w:sz w:val="20"/>
          <w:szCs w:val="20"/>
          <w:color w:val="auto"/>
        </w:rPr>
      </w:pPr>
    </w:p>
    <w:p>
      <w:pPr>
        <w:ind w:left="660" w:right="3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ind w:left="660" w:right="1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660" w:right="7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Market Association</w:t>
      </w:r>
      <w:r>
        <w:rPr>
          <w:rFonts w:ascii="Arial" w:cs="Arial" w:eastAsia="Arial" w:hAnsi="Arial"/>
          <w:sz w:val="20"/>
          <w:szCs w:val="20"/>
          <w:color w:val="auto"/>
        </w:rPr>
        <w:t>” means the London trade association, which is the self-described authoritative voice of the syndicated loan markets in Europe, the Middle East and Africa.</w:t>
      </w:r>
    </w:p>
    <w:p>
      <w:pPr>
        <w:spacing w:after="0" w:line="177" w:lineRule="exact"/>
        <w:rPr>
          <w:sz w:val="20"/>
          <w:szCs w:val="20"/>
          <w:color w:val="auto"/>
        </w:rPr>
      </w:pPr>
    </w:p>
    <w:p>
      <w:pPr>
        <w:ind w:left="660" w:right="1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6" w:lineRule="exact"/>
        <w:rPr>
          <w:sz w:val="20"/>
          <w:szCs w:val="20"/>
          <w:color w:val="auto"/>
        </w:rPr>
      </w:pPr>
    </w:p>
    <w:p>
      <w:pPr>
        <w:ind w:firstLine="1297"/>
        <w:spacing w:after="0" w:line="244" w:lineRule="auto"/>
        <w:rPr>
          <w:sz w:val="20"/>
          <w:szCs w:val="20"/>
          <w:color w:val="auto"/>
        </w:rPr>
      </w:pPr>
      <w:r>
        <w:rPr>
          <w:rFonts w:ascii="Arial" w:cs="Arial" w:eastAsia="Arial" w:hAnsi="Arial"/>
          <w:sz w:val="20"/>
          <w:szCs w:val="20"/>
          <w:color w:val="auto"/>
        </w:rPr>
        <w:t>The Borrower represents and warrants that (i) the representations and warranties set forth in Section 4.01 of the Credit Agreement (except the representations and warranties set forth in subsection (e)(ii) thereof and in subsection (f)(i) thereof) are correct on and as of the date hereof, as though made on and as of the date hereof (except to the extent such representations and warranties specifically relate to an earlier date, in which case such representations and warranties shall have been true and correct on and as of such earlier date), and (ii) no Event of Default or Default has occurred and is continuing.</w:t>
      </w:r>
    </w:p>
    <w:p>
      <w:pPr>
        <w:sectPr>
          <w:pgSz w:w="11900" w:h="16838" w:orient="portrait"/>
          <w:cols w:equalWidth="0" w:num="1">
            <w:col w:w="11400"/>
          </w:cols>
          <w:pgMar w:left="240" w:top="582" w:right="259" w:bottom="1440" w:gutter="0" w:footer="0" w:header="0"/>
        </w:sectPr>
      </w:pPr>
    </w:p>
    <w:bookmarkStart w:id="68" w:name="page69"/>
    <w:bookmarkEnd w:id="68"/>
    <w:p>
      <w:pPr>
        <w:ind w:firstLine="1297"/>
        <w:spacing w:after="0" w:line="244" w:lineRule="auto"/>
        <w:rPr>
          <w:sz w:val="20"/>
          <w:szCs w:val="20"/>
          <w:color w:val="auto"/>
        </w:rPr>
      </w:pPr>
      <w:r>
        <w:rPr>
          <w:rFonts w:ascii="Arial" w:cs="Arial" w:eastAsia="Arial" w:hAnsi="Arial"/>
          <w:sz w:val="20"/>
          <w:szCs w:val="20"/>
          <w:color w:val="auto"/>
        </w:rPr>
        <w:t>This Letter Amendment shall become effective as of the date first above written when, and only when, the Agent shall have received counterparts of this Letter Amendment executed by the Borrower, the Agent and the Required Lenders and the Borrower shall have paid to the Agent, for the account of each Lender that approves this Letter Amendment on or before April 26, 2017, an amendment fee equal to 0.05% of the Commitment of each such approving Lender. This Letter Amendment is subject to the provisions of Section 8.01 of the Credit Agreement.</w:t>
      </w:r>
    </w:p>
    <w:p>
      <w:pPr>
        <w:spacing w:after="0" w:line="195" w:lineRule="exact"/>
        <w:rPr>
          <w:sz w:val="20"/>
          <w:szCs w:val="20"/>
          <w:color w:val="auto"/>
        </w:rPr>
      </w:pPr>
    </w:p>
    <w:p>
      <w:pPr>
        <w:ind w:right="220" w:firstLine="1297"/>
        <w:spacing w:after="0" w:line="246" w:lineRule="auto"/>
        <w:rPr>
          <w:sz w:val="20"/>
          <w:szCs w:val="20"/>
          <w:color w:val="auto"/>
        </w:rPr>
      </w:pPr>
      <w:r>
        <w:rPr>
          <w:rFonts w:ascii="Arial" w:cs="Arial" w:eastAsia="Arial" w:hAnsi="Arial"/>
          <w:sz w:val="20"/>
          <w:szCs w:val="20"/>
          <w:color w:val="auto"/>
        </w:rPr>
        <w:t>On and after the effectiveness of this Letter Amendment, each reference in the Credit Agreement to “this Agreement”, “hereunder”, “hereof” or words of like import referring to the Credit Agreement, and each reference in the Notes to “the Credit Agreement”, “thereunder”, “thereof” or words of like import referring to the Credit Agreement, shall mean and be a reference to the Credit Agreement, as amended by this Letter Amendment.</w:t>
      </w:r>
    </w:p>
    <w:p>
      <w:pPr>
        <w:spacing w:after="0" w:line="192"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The Credit Agreement and the Notes, as specifically amended by this Letter Amendment, are and shall continue to be in full force and effect and are hereby in all respects ratified and confirmed. The execution, delivery and effectiveness of this Letter Amendment shall not, except as expressly provided herein, operate as a waiver of any right, power or remedy of any Lender or the Agent under the Credit Agreement, nor constitute a waiver of any provision of the Credit Agreement.</w:t>
      </w:r>
    </w:p>
    <w:p>
      <w:pPr>
        <w:spacing w:after="0" w:line="192" w:lineRule="exact"/>
        <w:rPr>
          <w:sz w:val="20"/>
          <w:szCs w:val="20"/>
          <w:color w:val="auto"/>
        </w:rPr>
      </w:pPr>
    </w:p>
    <w:p>
      <w:pPr>
        <w:ind w:right="260" w:firstLine="1297"/>
        <w:spacing w:after="0" w:line="316" w:lineRule="auto"/>
        <w:rPr>
          <w:sz w:val="20"/>
          <w:szCs w:val="20"/>
          <w:color w:val="auto"/>
        </w:rPr>
      </w:pPr>
      <w:r>
        <w:rPr>
          <w:rFonts w:ascii="Arial" w:cs="Arial" w:eastAsia="Arial" w:hAnsi="Arial"/>
          <w:sz w:val="18"/>
          <w:szCs w:val="18"/>
          <w:color w:val="auto"/>
        </w:rPr>
        <w:t>If you agree to the terms and provisions hereof, please evidence such agreement by executing and returning at least two counterparts of this Letter Amendment to Susan L. Hobart, Shearman &amp; Sterling LLP, 599 Lexington Avenue, New York, New York 10022.</w:t>
      </w:r>
    </w:p>
    <w:p>
      <w:pPr>
        <w:spacing w:after="0" w:line="130" w:lineRule="exact"/>
        <w:rPr>
          <w:sz w:val="20"/>
          <w:szCs w:val="20"/>
          <w:color w:val="auto"/>
        </w:rPr>
      </w:pPr>
    </w:p>
    <w:p>
      <w:pPr>
        <w:ind w:firstLine="1297"/>
        <w:spacing w:after="0" w:line="263" w:lineRule="auto"/>
        <w:rPr>
          <w:sz w:val="20"/>
          <w:szCs w:val="20"/>
          <w:color w:val="auto"/>
        </w:rPr>
      </w:pPr>
      <w:r>
        <w:rPr>
          <w:rFonts w:ascii="Arial" w:cs="Arial" w:eastAsia="Arial" w:hAnsi="Arial"/>
          <w:sz w:val="19"/>
          <w:szCs w:val="19"/>
          <w:color w:val="auto"/>
        </w:rPr>
        <w:t>This Letter Amendment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Letter Amendment by telecopier or electronic communications shall be effective as delivery of a manually executed counterpart of this Letter Amendment.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360"/>
          </w:cols>
          <w:pgMar w:left="240" w:top="582" w:right="299" w:bottom="1440" w:gutter="0" w:footer="0" w:header="0"/>
        </w:sectPr>
      </w:pPr>
    </w:p>
    <w:bookmarkStart w:id="69" w:name="page70"/>
    <w:bookmarkEnd w:id="69"/>
    <w:p>
      <w:pPr>
        <w:ind w:left="3900" w:hanging="2592"/>
        <w:spacing w:after="0" w:line="486" w:lineRule="auto"/>
        <w:rPr>
          <w:sz w:val="20"/>
          <w:szCs w:val="20"/>
          <w:color w:val="auto"/>
        </w:rPr>
      </w:pPr>
      <w:r>
        <w:rPr>
          <w:rFonts w:ascii="Arial" w:cs="Arial" w:eastAsia="Arial" w:hAnsi="Arial"/>
          <w:sz w:val="20"/>
          <w:szCs w:val="20"/>
          <w:color w:val="auto"/>
        </w:rPr>
        <w:t>This Letter Amendment shall be governed by, and construed in accordance with, the laws of the State of New York. Very truly yours,</w:t>
      </w:r>
    </w:p>
    <w:p>
      <w:pPr>
        <w:spacing w:after="0" w:line="6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AUTODESK, INC.</w:t>
      </w:r>
    </w:p>
    <w:p>
      <w:pPr>
        <w:spacing w:after="0" w:line="324" w:lineRule="exact"/>
        <w:rPr>
          <w:sz w:val="20"/>
          <w:szCs w:val="20"/>
          <w:color w:val="auto"/>
        </w:rPr>
      </w:pPr>
    </w:p>
    <w:p>
      <w:pPr>
        <w:ind w:left="3900"/>
        <w:spacing w:after="0"/>
        <w:tabs>
          <w:tab w:leader="none" w:pos="43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Kirsten Nordlof</w:t>
      </w:r>
    </w:p>
    <w:p>
      <w:pPr>
        <w:spacing w:after="0" w:line="3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Kirsten Nordlof</w:t>
      </w:r>
    </w:p>
    <w:p>
      <w:pPr>
        <w:spacing w:after="0" w:line="3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Vice President and Treasurer</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Agreed as of the date first above written: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CITIBANK, N.A.,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Agent and as Lender</w:t>
      </w:r>
    </w:p>
    <w:p>
      <w:pPr>
        <w:spacing w:after="0" w:line="21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Susan M. Olsen</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 Susan M. Olsen</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 Vice President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U.S. BANK NATIONAL ASSOCIATION</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20"/>
                <w:szCs w:val="20"/>
                <w:color w:val="auto"/>
              </w:rPr>
              <w:t>By</w:t>
            </w:r>
          </w:p>
        </w:tc>
        <w:tc>
          <w:tcPr>
            <w:tcW w:w="2520" w:type="dxa"/>
            <w:vAlign w:val="bottom"/>
            <w:gridSpan w:val="4"/>
          </w:tcPr>
          <w:p>
            <w:pPr>
              <w:ind w:left="100"/>
              <w:spacing w:after="0"/>
              <w:rPr>
                <w:sz w:val="20"/>
                <w:szCs w:val="20"/>
                <w:color w:val="auto"/>
              </w:rPr>
            </w:pPr>
            <w:r>
              <w:rPr>
                <w:rFonts w:ascii="Arial" w:cs="Arial" w:eastAsia="Arial" w:hAnsi="Arial"/>
                <w:sz w:val="20"/>
                <w:szCs w:val="20"/>
                <w:color w:val="auto"/>
              </w:rPr>
              <w:t>/s/ Matt S. Scullin</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tcPr>
          <w:p>
            <w:pPr>
              <w:spacing w:after="0" w:line="20" w:lineRule="exact"/>
              <w:rPr>
                <w:sz w:val="1"/>
                <w:szCs w:val="1"/>
                <w:color w:val="auto"/>
              </w:rPr>
            </w:pPr>
          </w:p>
        </w:tc>
      </w:tr>
      <w:tr>
        <w:trPr>
          <w:trHeight w:val="57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3"/>
          </w:tcPr>
          <w:p>
            <w:pPr>
              <w:ind w:left="220"/>
              <w:spacing w:after="0"/>
              <w:rPr>
                <w:sz w:val="20"/>
                <w:szCs w:val="20"/>
                <w:color w:val="auto"/>
              </w:rPr>
            </w:pPr>
            <w:r>
              <w:rPr>
                <w:rFonts w:ascii="Arial" w:cs="Arial" w:eastAsia="Arial" w:hAnsi="Arial"/>
                <w:sz w:val="20"/>
                <w:szCs w:val="20"/>
                <w:color w:val="auto"/>
              </w:rPr>
              <w:t>Name: Matt S. Scullin</w:t>
            </w:r>
          </w:p>
        </w:tc>
      </w:tr>
      <w:tr>
        <w:trPr>
          <w:trHeight w:val="55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3"/>
          </w:tcPr>
          <w:p>
            <w:pPr>
              <w:ind w:left="220"/>
              <w:spacing w:after="0"/>
              <w:rPr>
                <w:sz w:val="20"/>
                <w:szCs w:val="20"/>
                <w:color w:val="auto"/>
              </w:rPr>
            </w:pPr>
            <w:r>
              <w:rPr>
                <w:rFonts w:ascii="Arial" w:cs="Arial" w:eastAsia="Arial" w:hAnsi="Arial"/>
                <w:sz w:val="20"/>
                <w:szCs w:val="20"/>
                <w:color w:val="auto"/>
              </w:rPr>
              <w:t>Title: Vice President</w:t>
            </w:r>
          </w:p>
        </w:tc>
      </w:tr>
      <w:tr>
        <w:trPr>
          <w:trHeight w:val="554"/>
        </w:trPr>
        <w:tc>
          <w:tcPr>
            <w:tcW w:w="2860" w:type="dxa"/>
            <w:vAlign w:val="bottom"/>
            <w:gridSpan w:val="5"/>
          </w:tcPr>
          <w:p>
            <w:pPr>
              <w:spacing w:after="0"/>
              <w:rPr>
                <w:sz w:val="20"/>
                <w:szCs w:val="20"/>
                <w:color w:val="auto"/>
              </w:rPr>
            </w:pPr>
            <w:r>
              <w:rPr>
                <w:rFonts w:ascii="Arial" w:cs="Arial" w:eastAsia="Arial" w:hAnsi="Arial"/>
                <w:sz w:val="20"/>
                <w:szCs w:val="20"/>
                <w:color w:val="auto"/>
              </w:rPr>
              <w:t>BANK OF AMERICA, N.A.</w:t>
            </w:r>
          </w:p>
        </w:tc>
      </w:tr>
      <w:tr>
        <w:trPr>
          <w:trHeight w:val="617"/>
        </w:trPr>
        <w:tc>
          <w:tcPr>
            <w:tcW w:w="340" w:type="dxa"/>
            <w:vAlign w:val="bottom"/>
          </w:tcPr>
          <w:p>
            <w:pPr>
              <w:spacing w:after="0"/>
              <w:rPr>
                <w:sz w:val="20"/>
                <w:szCs w:val="20"/>
                <w:color w:val="auto"/>
              </w:rPr>
            </w:pPr>
            <w:r>
              <w:rPr>
                <w:rFonts w:ascii="Arial" w:cs="Arial" w:eastAsia="Arial" w:hAnsi="Arial"/>
                <w:sz w:val="20"/>
                <w:szCs w:val="20"/>
                <w:color w:val="auto"/>
              </w:rPr>
              <w:t>By</w:t>
            </w:r>
          </w:p>
        </w:tc>
        <w:tc>
          <w:tcPr>
            <w:tcW w:w="2520" w:type="dxa"/>
            <w:vAlign w:val="bottom"/>
            <w:gridSpan w:val="4"/>
          </w:tcPr>
          <w:p>
            <w:pPr>
              <w:ind w:left="100"/>
              <w:spacing w:after="0"/>
              <w:rPr>
                <w:sz w:val="20"/>
                <w:szCs w:val="20"/>
                <w:color w:val="auto"/>
              </w:rPr>
            </w:pPr>
            <w:r>
              <w:rPr>
                <w:rFonts w:ascii="Arial" w:cs="Arial" w:eastAsia="Arial" w:hAnsi="Arial"/>
                <w:sz w:val="20"/>
                <w:szCs w:val="20"/>
                <w:color w:val="auto"/>
              </w:rPr>
              <w:t>/s/ Mukesh Singh</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7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3"/>
          </w:tcPr>
          <w:p>
            <w:pPr>
              <w:ind w:left="220"/>
              <w:spacing w:after="0"/>
              <w:rPr>
                <w:sz w:val="20"/>
                <w:szCs w:val="20"/>
                <w:color w:val="auto"/>
              </w:rPr>
            </w:pPr>
            <w:r>
              <w:rPr>
                <w:rFonts w:ascii="Arial" w:cs="Arial" w:eastAsia="Arial" w:hAnsi="Arial"/>
                <w:sz w:val="20"/>
                <w:szCs w:val="20"/>
                <w:color w:val="auto"/>
              </w:rPr>
              <w:t>Name: Mukesh Singh</w:t>
            </w:r>
          </w:p>
        </w:tc>
      </w:tr>
      <w:tr>
        <w:trPr>
          <w:trHeight w:val="55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3"/>
          </w:tcPr>
          <w:p>
            <w:pPr>
              <w:ind w:left="220"/>
              <w:spacing w:after="0"/>
              <w:rPr>
                <w:sz w:val="20"/>
                <w:szCs w:val="20"/>
                <w:color w:val="auto"/>
              </w:rPr>
            </w:pPr>
            <w:r>
              <w:rPr>
                <w:rFonts w:ascii="Arial" w:cs="Arial" w:eastAsia="Arial" w:hAnsi="Arial"/>
                <w:sz w:val="20"/>
                <w:szCs w:val="20"/>
                <w:color w:val="auto"/>
              </w:rPr>
              <w:t>Title: Director</w:t>
            </w:r>
          </w:p>
        </w:tc>
      </w:tr>
      <w:tr>
        <w:trPr>
          <w:trHeight w:val="554"/>
        </w:trPr>
        <w:tc>
          <w:tcPr>
            <w:tcW w:w="2860" w:type="dxa"/>
            <w:vAlign w:val="bottom"/>
            <w:gridSpan w:val="5"/>
          </w:tcPr>
          <w:p>
            <w:pPr>
              <w:spacing w:after="0"/>
              <w:rPr>
                <w:sz w:val="20"/>
                <w:szCs w:val="20"/>
                <w:color w:val="auto"/>
              </w:rPr>
            </w:pPr>
            <w:r>
              <w:rPr>
                <w:rFonts w:ascii="Arial" w:cs="Arial" w:eastAsia="Arial" w:hAnsi="Arial"/>
                <w:sz w:val="20"/>
                <w:szCs w:val="20"/>
                <w:color w:val="auto"/>
                <w:w w:val="95"/>
              </w:rPr>
              <w:t>JPMORGAN CHASE BANK, N.A.</w:t>
            </w:r>
          </w:p>
        </w:tc>
      </w:tr>
      <w:tr>
        <w:trPr>
          <w:trHeight w:val="617"/>
        </w:trPr>
        <w:tc>
          <w:tcPr>
            <w:tcW w:w="340" w:type="dxa"/>
            <w:vAlign w:val="bottom"/>
          </w:tcPr>
          <w:p>
            <w:pPr>
              <w:spacing w:after="0"/>
              <w:rPr>
                <w:sz w:val="20"/>
                <w:szCs w:val="20"/>
                <w:color w:val="auto"/>
              </w:rPr>
            </w:pPr>
            <w:r>
              <w:rPr>
                <w:rFonts w:ascii="Arial" w:cs="Arial" w:eastAsia="Arial" w:hAnsi="Arial"/>
                <w:sz w:val="20"/>
                <w:szCs w:val="20"/>
                <w:color w:val="auto"/>
              </w:rPr>
              <w:t>By</w:t>
            </w:r>
          </w:p>
        </w:tc>
        <w:tc>
          <w:tcPr>
            <w:tcW w:w="2520" w:type="dxa"/>
            <w:vAlign w:val="bottom"/>
            <w:gridSpan w:val="4"/>
          </w:tcPr>
          <w:p>
            <w:pPr>
              <w:ind w:left="100"/>
              <w:spacing w:after="0"/>
              <w:rPr>
                <w:sz w:val="20"/>
                <w:szCs w:val="20"/>
                <w:color w:val="auto"/>
              </w:rPr>
            </w:pPr>
            <w:r>
              <w:rPr>
                <w:rFonts w:ascii="Arial" w:cs="Arial" w:eastAsia="Arial" w:hAnsi="Arial"/>
                <w:sz w:val="20"/>
                <w:szCs w:val="20"/>
                <w:color w:val="auto"/>
              </w:rPr>
              <w:t>/s/ Caitlin Stewart</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7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3"/>
          </w:tcPr>
          <w:p>
            <w:pPr>
              <w:ind w:left="220"/>
              <w:spacing w:after="0"/>
              <w:rPr>
                <w:sz w:val="20"/>
                <w:szCs w:val="20"/>
                <w:color w:val="auto"/>
              </w:rPr>
            </w:pPr>
            <w:r>
              <w:rPr>
                <w:rFonts w:ascii="Arial" w:cs="Arial" w:eastAsia="Arial" w:hAnsi="Arial"/>
                <w:sz w:val="20"/>
                <w:szCs w:val="20"/>
                <w:color w:val="auto"/>
              </w:rPr>
              <w:t>Name: Caitlin Stewart</w:t>
            </w:r>
          </w:p>
        </w:tc>
      </w:tr>
    </w:tbl>
    <w:p>
      <w:pPr>
        <w:sectPr>
          <w:pgSz w:w="11900" w:h="16838" w:orient="portrait"/>
          <w:cols w:equalWidth="0" w:num="1">
            <w:col w:w="10460"/>
          </w:cols>
          <w:pgMar w:left="240" w:top="582" w:right="119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4"/>
          </w:tcPr>
          <w:p>
            <w:pPr>
              <w:ind w:left="220"/>
              <w:spacing w:after="0"/>
              <w:rPr>
                <w:sz w:val="20"/>
                <w:szCs w:val="20"/>
                <w:color w:val="auto"/>
              </w:rPr>
            </w:pPr>
            <w:r>
              <w:rPr>
                <w:rFonts w:ascii="Arial" w:cs="Arial" w:eastAsia="Arial" w:hAnsi="Arial"/>
                <w:sz w:val="20"/>
                <w:szCs w:val="20"/>
                <w:color w:val="auto"/>
              </w:rPr>
              <w:t>Title: Vice President</w:t>
            </w:r>
          </w:p>
        </w:tc>
      </w:tr>
      <w:tr>
        <w:trPr>
          <w:trHeight w:val="554"/>
        </w:trPr>
        <w:tc>
          <w:tcPr>
            <w:tcW w:w="4440" w:type="dxa"/>
            <w:vAlign w:val="bottom"/>
            <w:gridSpan w:val="6"/>
          </w:tcPr>
          <w:p>
            <w:pPr>
              <w:spacing w:after="0"/>
              <w:rPr>
                <w:sz w:val="20"/>
                <w:szCs w:val="20"/>
                <w:color w:val="auto"/>
              </w:rPr>
            </w:pPr>
            <w:r>
              <w:rPr>
                <w:rFonts w:ascii="Arial" w:cs="Arial" w:eastAsia="Arial" w:hAnsi="Arial"/>
                <w:sz w:val="20"/>
                <w:szCs w:val="20"/>
                <w:color w:val="auto"/>
                <w:w w:val="96"/>
              </w:rPr>
              <w:t>WELLS FARGO BANK, NATIONAL ASSOCIATION</w:t>
            </w:r>
          </w:p>
        </w:tc>
      </w:tr>
      <w:tr>
        <w:trPr>
          <w:trHeight w:val="617"/>
        </w:trPr>
        <w:tc>
          <w:tcPr>
            <w:tcW w:w="340" w:type="dxa"/>
            <w:vAlign w:val="bottom"/>
          </w:tcPr>
          <w:p>
            <w:pPr>
              <w:spacing w:after="0"/>
              <w:rPr>
                <w:sz w:val="20"/>
                <w:szCs w:val="20"/>
                <w:color w:val="auto"/>
              </w:rPr>
            </w:pPr>
            <w:r>
              <w:rPr>
                <w:rFonts w:ascii="Arial" w:cs="Arial" w:eastAsia="Arial" w:hAnsi="Arial"/>
                <w:sz w:val="20"/>
                <w:szCs w:val="20"/>
                <w:color w:val="auto"/>
              </w:rPr>
              <w:t>By</w:t>
            </w:r>
          </w:p>
        </w:tc>
        <w:tc>
          <w:tcPr>
            <w:tcW w:w="4100" w:type="dxa"/>
            <w:vAlign w:val="bottom"/>
            <w:gridSpan w:val="5"/>
          </w:tcPr>
          <w:p>
            <w:pPr>
              <w:ind w:left="100"/>
              <w:spacing w:after="0"/>
              <w:rPr>
                <w:sz w:val="20"/>
                <w:szCs w:val="20"/>
                <w:color w:val="auto"/>
              </w:rPr>
            </w:pPr>
            <w:r>
              <w:rPr>
                <w:rFonts w:ascii="Arial" w:cs="Arial" w:eastAsia="Arial" w:hAnsi="Arial"/>
                <w:sz w:val="20"/>
                <w:szCs w:val="20"/>
                <w:color w:val="auto"/>
              </w:rPr>
              <w:t>/s/ Jason Auguste</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57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20"/>
              <w:spacing w:after="0"/>
              <w:rPr>
                <w:sz w:val="20"/>
                <w:szCs w:val="20"/>
                <w:color w:val="auto"/>
              </w:rPr>
            </w:pPr>
            <w:r>
              <w:rPr>
                <w:rFonts w:ascii="Arial" w:cs="Arial" w:eastAsia="Arial" w:hAnsi="Arial"/>
                <w:sz w:val="20"/>
                <w:szCs w:val="20"/>
                <w:color w:val="auto"/>
              </w:rPr>
              <w:t>Name: Jason Auguste</w:t>
            </w:r>
          </w:p>
        </w:tc>
      </w:tr>
      <w:tr>
        <w:trPr>
          <w:trHeight w:val="55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20"/>
              <w:spacing w:after="0"/>
              <w:rPr>
                <w:sz w:val="20"/>
                <w:szCs w:val="20"/>
                <w:color w:val="auto"/>
              </w:rPr>
            </w:pPr>
            <w:r>
              <w:rPr>
                <w:rFonts w:ascii="Arial" w:cs="Arial" w:eastAsia="Arial" w:hAnsi="Arial"/>
                <w:sz w:val="20"/>
                <w:szCs w:val="20"/>
                <w:color w:val="auto"/>
              </w:rPr>
              <w:t>Title: Vice President</w:t>
            </w:r>
          </w:p>
        </w:tc>
      </w:tr>
      <w:tr>
        <w:trPr>
          <w:trHeight w:val="554"/>
        </w:trPr>
        <w:tc>
          <w:tcPr>
            <w:tcW w:w="4440" w:type="dxa"/>
            <w:vAlign w:val="bottom"/>
            <w:gridSpan w:val="6"/>
          </w:tcPr>
          <w:p>
            <w:pPr>
              <w:spacing w:after="0"/>
              <w:rPr>
                <w:sz w:val="20"/>
                <w:szCs w:val="20"/>
                <w:color w:val="auto"/>
              </w:rPr>
            </w:pPr>
            <w:r>
              <w:rPr>
                <w:rFonts w:ascii="Arial" w:cs="Arial" w:eastAsia="Arial" w:hAnsi="Arial"/>
                <w:sz w:val="20"/>
                <w:szCs w:val="20"/>
                <w:color w:val="auto"/>
              </w:rPr>
              <w:t>MORGAN STANLEY BANK, N.A.</w:t>
            </w:r>
          </w:p>
        </w:tc>
      </w:tr>
      <w:tr>
        <w:trPr>
          <w:trHeight w:val="617"/>
        </w:trPr>
        <w:tc>
          <w:tcPr>
            <w:tcW w:w="340" w:type="dxa"/>
            <w:vAlign w:val="bottom"/>
          </w:tcPr>
          <w:p>
            <w:pPr>
              <w:spacing w:after="0"/>
              <w:rPr>
                <w:sz w:val="20"/>
                <w:szCs w:val="20"/>
                <w:color w:val="auto"/>
              </w:rPr>
            </w:pPr>
            <w:r>
              <w:rPr>
                <w:rFonts w:ascii="Arial" w:cs="Arial" w:eastAsia="Arial" w:hAnsi="Arial"/>
                <w:sz w:val="20"/>
                <w:szCs w:val="20"/>
                <w:color w:val="auto"/>
              </w:rPr>
              <w:t>By</w:t>
            </w:r>
          </w:p>
        </w:tc>
        <w:tc>
          <w:tcPr>
            <w:tcW w:w="4100" w:type="dxa"/>
            <w:vAlign w:val="bottom"/>
            <w:gridSpan w:val="5"/>
          </w:tcPr>
          <w:p>
            <w:pPr>
              <w:ind w:left="100"/>
              <w:spacing w:after="0"/>
              <w:rPr>
                <w:sz w:val="20"/>
                <w:szCs w:val="20"/>
                <w:color w:val="auto"/>
              </w:rPr>
            </w:pPr>
            <w:r>
              <w:rPr>
                <w:rFonts w:ascii="Arial" w:cs="Arial" w:eastAsia="Arial" w:hAnsi="Arial"/>
                <w:sz w:val="20"/>
                <w:szCs w:val="20"/>
                <w:color w:val="auto"/>
              </w:rPr>
              <w:t>/s/ Phillip Magdaleno</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57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20"/>
              <w:spacing w:after="0"/>
              <w:rPr>
                <w:sz w:val="20"/>
                <w:szCs w:val="20"/>
                <w:color w:val="auto"/>
              </w:rPr>
            </w:pPr>
            <w:r>
              <w:rPr>
                <w:rFonts w:ascii="Arial" w:cs="Arial" w:eastAsia="Arial" w:hAnsi="Arial"/>
                <w:sz w:val="20"/>
                <w:szCs w:val="20"/>
                <w:color w:val="auto"/>
              </w:rPr>
              <w:t>Name: Phillip Magdaleno</w:t>
            </w:r>
          </w:p>
        </w:tc>
      </w:tr>
      <w:tr>
        <w:trPr>
          <w:trHeight w:val="55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20"/>
              <w:spacing w:after="0"/>
              <w:rPr>
                <w:sz w:val="20"/>
                <w:szCs w:val="20"/>
                <w:color w:val="auto"/>
              </w:rPr>
            </w:pPr>
            <w:r>
              <w:rPr>
                <w:rFonts w:ascii="Arial" w:cs="Arial" w:eastAsia="Arial" w:hAnsi="Arial"/>
                <w:sz w:val="20"/>
                <w:szCs w:val="20"/>
                <w:color w:val="auto"/>
              </w:rPr>
              <w:t>Title: Authorized Signatory</w:t>
            </w:r>
          </w:p>
        </w:tc>
      </w:tr>
      <w:tr>
        <w:trPr>
          <w:trHeight w:val="554"/>
        </w:trPr>
        <w:tc>
          <w:tcPr>
            <w:tcW w:w="4440" w:type="dxa"/>
            <w:vAlign w:val="bottom"/>
            <w:gridSpan w:val="6"/>
          </w:tcPr>
          <w:p>
            <w:pPr>
              <w:spacing w:after="0"/>
              <w:rPr>
                <w:sz w:val="20"/>
                <w:szCs w:val="20"/>
                <w:color w:val="auto"/>
              </w:rPr>
            </w:pPr>
            <w:r>
              <w:rPr>
                <w:rFonts w:ascii="Arial" w:cs="Arial" w:eastAsia="Arial" w:hAnsi="Arial"/>
                <w:sz w:val="20"/>
                <w:szCs w:val="20"/>
                <w:color w:val="auto"/>
              </w:rPr>
              <w:t>THE BANK OF TOKYO-MITSUBISHI UFJ, LTD.</w:t>
            </w:r>
          </w:p>
        </w:tc>
      </w:tr>
      <w:tr>
        <w:trPr>
          <w:trHeight w:val="617"/>
        </w:trPr>
        <w:tc>
          <w:tcPr>
            <w:tcW w:w="340" w:type="dxa"/>
            <w:vAlign w:val="bottom"/>
          </w:tcPr>
          <w:p>
            <w:pPr>
              <w:spacing w:after="0"/>
              <w:rPr>
                <w:sz w:val="20"/>
                <w:szCs w:val="20"/>
                <w:color w:val="auto"/>
              </w:rPr>
            </w:pPr>
            <w:r>
              <w:rPr>
                <w:rFonts w:ascii="Arial" w:cs="Arial" w:eastAsia="Arial" w:hAnsi="Arial"/>
                <w:sz w:val="20"/>
                <w:szCs w:val="20"/>
                <w:color w:val="auto"/>
              </w:rPr>
              <w:t>By</w:t>
            </w:r>
          </w:p>
        </w:tc>
        <w:tc>
          <w:tcPr>
            <w:tcW w:w="4100" w:type="dxa"/>
            <w:vAlign w:val="bottom"/>
            <w:gridSpan w:val="5"/>
          </w:tcPr>
          <w:p>
            <w:pPr>
              <w:ind w:left="100"/>
              <w:spacing w:after="0"/>
              <w:rPr>
                <w:sz w:val="20"/>
                <w:szCs w:val="20"/>
                <w:color w:val="auto"/>
              </w:rPr>
            </w:pPr>
            <w:r>
              <w:rPr>
                <w:rFonts w:ascii="Arial" w:cs="Arial" w:eastAsia="Arial" w:hAnsi="Arial"/>
                <w:sz w:val="20"/>
                <w:szCs w:val="20"/>
                <w:color w:val="auto"/>
              </w:rPr>
              <w:t>/s/ Lillian Kim</w:t>
            </w: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r>
      <w:tr>
        <w:trPr>
          <w:trHeight w:val="57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20"/>
              <w:spacing w:after="0"/>
              <w:rPr>
                <w:sz w:val="20"/>
                <w:szCs w:val="20"/>
                <w:color w:val="auto"/>
              </w:rPr>
            </w:pPr>
            <w:r>
              <w:rPr>
                <w:rFonts w:ascii="Arial" w:cs="Arial" w:eastAsia="Arial" w:hAnsi="Arial"/>
                <w:sz w:val="20"/>
                <w:szCs w:val="20"/>
                <w:color w:val="auto"/>
              </w:rPr>
              <w:t>Name: Lillian Kim</w:t>
            </w:r>
          </w:p>
        </w:tc>
      </w:tr>
      <w:tr>
        <w:trPr>
          <w:trHeight w:val="55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20"/>
              <w:spacing w:after="0"/>
              <w:rPr>
                <w:sz w:val="20"/>
                <w:szCs w:val="20"/>
                <w:color w:val="auto"/>
              </w:rPr>
            </w:pPr>
            <w:r>
              <w:rPr>
                <w:rFonts w:ascii="Arial" w:cs="Arial" w:eastAsia="Arial" w:hAnsi="Arial"/>
                <w:sz w:val="20"/>
                <w:szCs w:val="20"/>
                <w:color w:val="auto"/>
              </w:rPr>
              <w:t>Title: Director</w:t>
            </w:r>
          </w:p>
        </w:tc>
      </w:tr>
    </w:tbl>
    <w:p>
      <w:pPr>
        <w:sectPr>
          <w:pgSz w:w="11900" w:h="16838" w:orient="portrait"/>
          <w:cols w:equalWidth="0" w:num="1">
            <w:col w:w="10219"/>
          </w:cols>
          <w:pgMar w:left="240" w:top="582"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2017</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Co-CEO, Chief Marketing Officer and SVP, BSM</w:t>
      </w:r>
    </w:p>
    <w:p>
      <w:pPr>
        <w:sectPr>
          <w:pgSz w:w="11900" w:h="16838" w:orient="portrait"/>
          <w:cols w:equalWidth="0" w:num="1">
            <w:col w:w="11420"/>
          </w:cols>
          <w:pgMar w:left="240" w:top="66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Amar Hanspal, certify that:</w:t>
      </w:r>
    </w:p>
    <w:p>
      <w:pPr>
        <w:spacing w:after="0" w:line="17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2017</w:t>
      </w:r>
    </w:p>
    <w:p>
      <w:pPr>
        <w:spacing w:after="0" w:line="252"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AMAR HANSPAL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Amar Hanspal</w:t>
      </w:r>
    </w:p>
    <w:p>
      <w:pPr>
        <w:spacing w:after="0" w:line="86"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Co-CEO, Chief Product Officer and SVP, PDG</w:t>
      </w:r>
    </w:p>
    <w:p>
      <w:pPr>
        <w:sectPr>
          <w:pgSz w:w="11900" w:h="16838" w:orient="portrait"/>
          <w:cols w:equalWidth="0" w:num="1">
            <w:col w:w="11420"/>
          </w:cols>
          <w:pgMar w:left="240" w:top="104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2017</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April 30, 2017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May 31, 2017</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Co-CEO, Chief Marketing Officer and SVP, BSM</w:t>
      </w:r>
    </w:p>
    <w:p>
      <w:pPr>
        <w:spacing w:after="0" w:line="34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my knowledge, I, Amar Hanspal, certify, pursuant to 18 U.S.C. Section 1350, as adopted pursuant to Section 906 of the Sarbanes-Oxley Act of 2002, that the Quarterly Report of Autodesk, Inc. on Form 10-Q for the quarterly period ended April 30, 2017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May 31, 2017</w:t>
      </w:r>
    </w:p>
    <w:p>
      <w:pPr>
        <w:spacing w:after="0" w:line="252"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AMAR HANSPAL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Amar Hanspal</w:t>
      </w:r>
    </w:p>
    <w:p>
      <w:pPr>
        <w:spacing w:after="0" w:line="86"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Co-CEO, Chief Product Officer and SVP, PDG</w:t>
      </w:r>
    </w:p>
    <w:p>
      <w:pPr>
        <w:spacing w:after="0" w:line="34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April 30, 2017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May 31, 2017</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lowerRoman"/>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lowerRoman"/>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4"/>
    </w:lvl>
  </w:abstractNum>
  <w:abstractNum w:abstractNumId="41">
    <w:nsid w:val="7A6D8D3C"/>
    <w:multiLevelType w:val="hybridMultilevel"/>
    <w:lvl w:ilvl="0">
      <w:lvlJc w:val="left"/>
      <w:lvlText w:val="(%1)"/>
      <w:numFmt w:val="lowerRoman"/>
      <w:start w:val="2"/>
    </w:lvl>
  </w:abstractNum>
  <w:abstractNum w:abstractNumId="42">
    <w:nsid w:val="4B588F54"/>
    <w:multiLevelType w:val="hybridMultilevel"/>
    <w:lvl w:ilvl="0">
      <w:lvlJc w:val="left"/>
      <w:lvlText w:val="(%1)"/>
      <w:numFmt w:val="lowerLetter"/>
      <w:start w:val="5"/>
    </w:lvl>
  </w:abstractNum>
  <w:abstractNum w:abstractNumId="43">
    <w:nsid w:val="542289EC"/>
    <w:multiLevelType w:val="hybridMultilevel"/>
    <w:lvl w:ilvl="0">
      <w:lvlJc w:val="left"/>
      <w:lvlText w:val="(%1)"/>
      <w:numFmt w:val="lowerLetter"/>
      <w:start w:val="9"/>
    </w:lvl>
    <w:lvl w:ilvl="1">
      <w:lvlJc w:val="left"/>
      <w:lvlText w:val="(%2)"/>
      <w:numFmt w:val="lowerLetter"/>
      <w:start w:val="6"/>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Roman"/>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2019-12-29T05:58:15Z</dcterms:created>
  <dcterms:modified xsi:type="dcterms:W3CDTF">2019-12-29T05:58:15Z</dcterms:modified>
</cp:coreProperties>
</file>