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1726703.xml.htm"/>
      <w:bookmarkStart w:id="1" w:name="kswkform4_178172670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Anagnost Andrew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MARKET, SUITE 400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Autodesk,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ADSK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2"/>
        <w:gridCol w:w="902"/>
        <w:gridCol w:w="771"/>
        <w:gridCol w:w="599"/>
        <w:gridCol w:w="347"/>
        <w:gridCol w:w="842"/>
        <w:gridCol w:w="452"/>
        <w:gridCol w:w="838"/>
        <w:gridCol w:w="1190"/>
        <w:gridCol w:w="993"/>
        <w:gridCol w:w="91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2,460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202.66</w:t>
            </w:r>
            <w:r>
              <w:rPr/>
              <w:t xml:space="preserve"> </w:t>
            </w:r>
          </w:p>
        </w:tc>
        <w:tc>
          <w:tcPr>
            <w:tcW w:w="11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202,963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total securities beneficially owned includes 85,344 shares of unvested Restricted Stock Units.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Melissa Hoge, Attorney-in-Fact for Andrew Anagnost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61768" TargetMode="External"/><Relationship Id="rId5" Type="http://schemas.openxmlformats.org/officeDocument/2006/relationships/hyperlink" Target="http://www.sec.gov/cgi-bin/browse-edgar?action=getcompany&amp;CIK=000076939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576</Words>
  <Characters>3157</Characters>
  <CharactersWithSpaces>3673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