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-220345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38" w:lineRule="exact"/>
        <w:rPr>
          <w:sz w:val="24"/>
          <w:szCs w:val="24"/>
          <w:color w:val="auto"/>
        </w:rPr>
      </w:pPr>
    </w:p>
    <w:p>
      <w:pPr>
        <w:ind w:left="720" w:right="120" w:hanging="685"/>
        <w:spacing w:after="0" w:line="251"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39"/>
        <w:spacing w:after="0"/>
        <w:rPr>
          <w:sz w:val="20"/>
          <w:szCs w:val="20"/>
          <w:color w:val="auto"/>
        </w:rPr>
      </w:pPr>
      <w:r>
        <w:rPr>
          <w:rFonts w:ascii="Times New Roman" w:cs="Times New Roman" w:eastAsia="Times New Roman" w:hAnsi="Times New Roman"/>
          <w:sz w:val="18"/>
          <w:szCs w:val="18"/>
          <w:color w:val="auto"/>
        </w:rPr>
        <w:t>For the quarterly period ended October 31, 2019</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4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0"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6" w:lineRule="exact"/>
        <w:rPr>
          <w:sz w:val="24"/>
          <w:szCs w:val="24"/>
          <w:color w:val="auto"/>
        </w:rPr>
      </w:pPr>
    </w:p>
    <w:p>
      <w:pPr>
        <w:ind w:left="4020"/>
        <w:spacing w:after="0"/>
        <w:tabs>
          <w:tab w:leader="none" w:pos="67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4"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Commission File Number: 0-14338</w:t>
      </w:r>
    </w:p>
    <w:p>
      <w:pPr>
        <w:spacing w:after="0" w:line="200" w:lineRule="exact"/>
        <w:rPr>
          <w:sz w:val="24"/>
          <w:szCs w:val="24"/>
          <w:color w:val="auto"/>
        </w:rPr>
      </w:pP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526"/>
        </w:trPr>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20" w:type="dxa"/>
            <w:vAlign w:val="bottom"/>
            <w:gridSpan w:val="3"/>
          </w:tcPr>
          <w:p>
            <w:pPr>
              <w:jc w:val="center"/>
              <w:ind w:right="2820"/>
              <w:spacing w:after="0"/>
              <w:rPr>
                <w:sz w:val="20"/>
                <w:szCs w:val="20"/>
                <w:color w:val="auto"/>
              </w:rPr>
            </w:pPr>
            <w:r>
              <w:rPr>
                <w:rFonts w:ascii="Times New Roman" w:cs="Times New Roman" w:eastAsia="Times New Roman" w:hAnsi="Times New Roman"/>
                <w:sz w:val="43"/>
                <w:szCs w:val="43"/>
                <w:b w:val="1"/>
                <w:bCs w:val="1"/>
                <w:color w:val="auto"/>
              </w:rPr>
              <w:t>AUTODESK, INC.</w:t>
            </w:r>
          </w:p>
        </w:tc>
      </w:tr>
      <w:tr>
        <w:trPr>
          <w:trHeight w:val="190"/>
        </w:trPr>
        <w:tc>
          <w:tcPr>
            <w:tcW w:w="2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2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75"/>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0" w:type="dxa"/>
            <w:vAlign w:val="bottom"/>
            <w:gridSpan w:val="2"/>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94-2819853</w:t>
            </w:r>
          </w:p>
        </w:tc>
      </w:tr>
      <w:tr>
        <w:trPr>
          <w:trHeight w:val="178"/>
        </w:trPr>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80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5"/>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111 McInnis Parkway,</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70"/>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Rafael,</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9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94903</w:t>
            </w:r>
          </w:p>
        </w:tc>
        <w:tc>
          <w:tcPr>
            <w:tcW w:w="2540" w:type="dxa"/>
            <w:vAlign w:val="bottom"/>
          </w:tcPr>
          <w:p>
            <w:pPr>
              <w:spacing w:after="0"/>
              <w:rPr>
                <w:sz w:val="23"/>
                <w:szCs w:val="23"/>
                <w:color w:val="auto"/>
              </w:rPr>
            </w:pPr>
          </w:p>
        </w:tc>
      </w:tr>
      <w:tr>
        <w:trPr>
          <w:trHeight w:val="220"/>
        </w:trPr>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80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9"/>
        </w:trPr>
        <w:tc>
          <w:tcPr>
            <w:tcW w:w="2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20" w:type="dxa"/>
            <w:vAlign w:val="bottom"/>
          </w:tcPr>
          <w:p>
            <w:pPr>
              <w:jc w:val="center"/>
              <w:ind w:left="895"/>
              <w:spacing w:after="0"/>
              <w:rPr>
                <w:sz w:val="20"/>
                <w:szCs w:val="20"/>
                <w:color w:val="auto"/>
              </w:rPr>
            </w:pPr>
            <w:r>
              <w:rPr>
                <w:rFonts w:ascii="Times New Roman" w:cs="Times New Roman" w:eastAsia="Times New Roman" w:hAnsi="Times New Roman"/>
                <w:sz w:val="18"/>
                <w:szCs w:val="18"/>
                <w:b w:val="1"/>
                <w:bCs w:val="1"/>
                <w:color w:val="auto"/>
                <w:w w:val="99"/>
              </w:rPr>
              <w:t>(415) 507-5000</w:t>
            </w:r>
          </w:p>
        </w:tc>
        <w:tc>
          <w:tcPr>
            <w:tcW w:w="126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190"/>
        </w:trPr>
        <w:tc>
          <w:tcPr>
            <w:tcW w:w="2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2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253"/>
        </w:trPr>
        <w:tc>
          <w:tcPr>
            <w:tcW w:w="3500" w:type="dxa"/>
            <w:vAlign w:val="bottom"/>
            <w:gridSpan w:val="2"/>
          </w:tcPr>
          <w:p>
            <w:pPr>
              <w:spacing w:after="0"/>
              <w:rPr>
                <w:sz w:val="22"/>
                <w:szCs w:val="22"/>
                <w:color w:val="auto"/>
              </w:rPr>
            </w:pPr>
          </w:p>
        </w:tc>
        <w:tc>
          <w:tcPr>
            <w:tcW w:w="3180" w:type="dxa"/>
            <w:vAlign w:val="bottom"/>
            <w:tcBorders>
              <w:bottom w:val="single" w:sz="8" w:color="auto"/>
            </w:tcBorders>
            <w:gridSpan w:val="2"/>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540" w:type="dxa"/>
            <w:vAlign w:val="bottom"/>
          </w:tcPr>
          <w:p>
            <w:pPr>
              <w:spacing w:after="0"/>
              <w:rPr>
                <w:sz w:val="22"/>
                <w:szCs w:val="22"/>
                <w:color w:val="auto"/>
              </w:rPr>
            </w:pPr>
          </w:p>
        </w:tc>
      </w:tr>
      <w:tr>
        <w:trPr>
          <w:trHeight w:val="426"/>
        </w:trPr>
        <w:tc>
          <w:tcPr>
            <w:tcW w:w="6680" w:type="dxa"/>
            <w:vAlign w:val="bottom"/>
            <w:gridSpan w:val="4"/>
          </w:tcPr>
          <w:p>
            <w:pPr>
              <w:jc w:val="center"/>
              <w:ind w:right="2415"/>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78"/>
        </w:trPr>
        <w:tc>
          <w:tcPr>
            <w:tcW w:w="3760" w:type="dxa"/>
            <w:vAlign w:val="bottom"/>
            <w:gridSpan w:val="3"/>
          </w:tcPr>
          <w:p>
            <w:pPr>
              <w:jc w:val="center"/>
              <w:ind w:left="296"/>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gridSpan w:val="2"/>
          </w:tcPr>
          <w:p>
            <w:pPr>
              <w:jc w:val="center"/>
              <w:ind w:left="358"/>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0"/>
        </w:trPr>
        <w:tc>
          <w:tcPr>
            <w:tcW w:w="3760" w:type="dxa"/>
            <w:vAlign w:val="bottom"/>
            <w:gridSpan w:val="3"/>
          </w:tcPr>
          <w:p>
            <w:pPr>
              <w:jc w:val="center"/>
              <w:ind w:left="296"/>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9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7"/>
              </w:rPr>
              <w:t>ADSK</w:t>
            </w:r>
          </w:p>
        </w:tc>
        <w:tc>
          <w:tcPr>
            <w:tcW w:w="3800" w:type="dxa"/>
            <w:vAlign w:val="bottom"/>
            <w:gridSpan w:val="2"/>
          </w:tcPr>
          <w:p>
            <w:pPr>
              <w:jc w:val="center"/>
              <w:ind w:left="358"/>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-2606675</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5"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60" w:firstLine="432"/>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159" w:right="27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5" w:lineRule="exact"/>
        <w:rPr>
          <w:sz w:val="20"/>
          <w:szCs w:val="20"/>
          <w:color w:val="auto"/>
        </w:rPr>
      </w:pPr>
    </w:p>
    <w:p>
      <w:pPr>
        <w:ind w:right="120" w:firstLine="432"/>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64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30, 2019, registrant had outstanding 220,033,002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87" w:right="3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AUTODESK, INC. FORM 10-Q</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Times New Roman" w:cs="Times New Roman" w:eastAsia="Times New Roman" w:hAnsi="Times New Roman"/>
                <w:sz w:val="18"/>
                <w:szCs w:val="18"/>
                <w:b w:val="1"/>
                <w:bCs w:val="1"/>
                <w:color w:val="0000FF"/>
                <w:w w:val="99"/>
              </w:rPr>
            </w:pPr>
            <w:hyperlink w:anchor="page4">
              <w:r>
                <w:rPr>
                  <w:rFonts w:ascii="Times New Roman" w:cs="Times New Roman" w:eastAsia="Times New Roman" w:hAnsi="Times New Roman"/>
                  <w:sz w:val="18"/>
                  <w:szCs w:val="18"/>
                  <w:b w:val="1"/>
                  <w:bCs w:val="1"/>
                  <w:color w:val="0000FF"/>
                  <w:w w:val="99"/>
                </w:rPr>
                <w:t>PART I. FINANCIAL INFORMATION</w:t>
              </w:r>
            </w:hyperlink>
          </w:p>
        </w:tc>
        <w:tc>
          <w:tcPr>
            <w:tcW w:w="2960" w:type="dxa"/>
            <w:vAlign w:val="bottom"/>
            <w:gridSpan w:val="6"/>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80" w:type="dxa"/>
            <w:vAlign w:val="bottom"/>
            <w:gridSpan w:val="23"/>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Nine Months Ended October 31, 2019 and 2018</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(Loss) for the Three and Nine Months Ended October 31,</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7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2019 and 2018</w:t>
              </w:r>
            </w:hyperlink>
          </w:p>
        </w:tc>
        <w:tc>
          <w:tcPr>
            <w:tcW w:w="220" w:type="dxa"/>
            <w:vAlign w:val="bottom"/>
          </w:tcPr>
          <w:p>
            <w:pPr>
              <w:spacing w:after="0"/>
              <w:rPr>
                <w:sz w:val="17"/>
                <w:szCs w:val="17"/>
                <w:color w:val="auto"/>
              </w:rPr>
            </w:pPr>
          </w:p>
        </w:tc>
        <w:tc>
          <w:tcPr>
            <w:tcW w:w="1480" w:type="dxa"/>
            <w:vAlign w:val="bottom"/>
            <w:gridSpan w:val="4"/>
          </w:tcPr>
          <w:p>
            <w:pPr>
              <w:jc w:val="right"/>
              <w:ind w:right="20"/>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Balance Sheets as of October 31, 2019 and January 31, 2019</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for the Nine Months Ended October 31, 2019 and 2018</w:t>
              </w:r>
            </w:hyperlink>
          </w:p>
        </w:tc>
        <w:tc>
          <w:tcPr>
            <w:tcW w:w="12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Notes to Condensed Consolidated Financial Statements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8</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80" w:type="dxa"/>
            <w:vAlign w:val="bottom"/>
            <w:gridSpan w:val="23"/>
          </w:tcPr>
          <w:p>
            <w:pPr>
              <w:spacing w:after="0"/>
              <w:rPr>
                <w:rFonts w:ascii="Times New Roman" w:cs="Times New Roman" w:eastAsia="Times New Roman" w:hAnsi="Times New Roman"/>
                <w:sz w:val="18"/>
                <w:szCs w:val="18"/>
                <w:b w:val="1"/>
                <w:bCs w:val="1"/>
                <w:color w:val="0000FF"/>
              </w:rPr>
            </w:pPr>
            <w:hyperlink w:anchor="page33">
              <w:r>
                <w:rPr>
                  <w:rFonts w:ascii="Times New Roman" w:cs="Times New Roman" w:eastAsia="Times New Roman" w:hAnsi="Times New Roman"/>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33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19"/>
          </w:tcPr>
          <w:p>
            <w:pPr>
              <w:spacing w:after="0"/>
              <w:rPr>
                <w:rFonts w:ascii="Times New Roman" w:cs="Times New Roman" w:eastAsia="Times New Roman" w:hAnsi="Times New Roman"/>
                <w:sz w:val="18"/>
                <w:szCs w:val="18"/>
                <w:b w:val="1"/>
                <w:bCs w:val="1"/>
                <w:color w:val="0000FF"/>
              </w:rPr>
            </w:pPr>
            <w:hyperlink w:anchor="page54">
              <w:r>
                <w:rPr>
                  <w:rFonts w:ascii="Times New Roman" w:cs="Times New Roman" w:eastAsia="Times New Roman" w:hAnsi="Times New Roman"/>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54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5"/>
          </w:tcPr>
          <w:p>
            <w:pPr>
              <w:spacing w:after="0"/>
              <w:rPr>
                <w:rFonts w:ascii="Times New Roman" w:cs="Times New Roman" w:eastAsia="Times New Roman" w:hAnsi="Times New Roman"/>
                <w:sz w:val="18"/>
                <w:szCs w:val="18"/>
                <w:b w:val="1"/>
                <w:bCs w:val="1"/>
                <w:color w:val="0000FF"/>
              </w:rPr>
            </w:pPr>
            <w:hyperlink w:anchor="page55">
              <w:r>
                <w:rPr>
                  <w:rFonts w:ascii="Times New Roman" w:cs="Times New Roman" w:eastAsia="Times New Roman" w:hAnsi="Times New Roman"/>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55</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gridSpan w:val="12"/>
          </w:tcPr>
          <w:p>
            <w:pPr>
              <w:jc w:val="center"/>
              <w:ind w:right="2960"/>
              <w:spacing w:after="0"/>
              <w:rPr>
                <w:rFonts w:ascii="Times New Roman" w:cs="Times New Roman" w:eastAsia="Times New Roman" w:hAnsi="Times New Roman"/>
                <w:sz w:val="18"/>
                <w:szCs w:val="18"/>
                <w:b w:val="1"/>
                <w:bCs w:val="1"/>
                <w:color w:val="0000FF"/>
                <w:w w:val="98"/>
              </w:rPr>
            </w:pPr>
            <w:hyperlink w:anchor="page56">
              <w:r>
                <w:rPr>
                  <w:rFonts w:ascii="Times New Roman" w:cs="Times New Roman" w:eastAsia="Times New Roman" w:hAnsi="Times New Roman"/>
                  <w:sz w:val="18"/>
                  <w:szCs w:val="18"/>
                  <w:b w:val="1"/>
                  <w:bCs w:val="1"/>
                  <w:color w:val="0000FF"/>
                  <w:w w:val="98"/>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5"/>
          </w:tcPr>
          <w:p>
            <w:pPr>
              <w:spacing w:after="0"/>
              <w:rPr>
                <w:rFonts w:ascii="Times New Roman" w:cs="Times New Roman" w:eastAsia="Times New Roman" w:hAnsi="Times New Roman"/>
                <w:sz w:val="18"/>
                <w:szCs w:val="18"/>
                <w:b w:val="1"/>
                <w:bCs w:val="1"/>
                <w:color w:val="0000FF"/>
                <w:w w:val="98"/>
              </w:rPr>
            </w:pPr>
            <w:hyperlink w:anchor="page56">
              <w:r>
                <w:rPr>
                  <w:rFonts w:ascii="Times New Roman" w:cs="Times New Roman" w:eastAsia="Times New Roman" w:hAnsi="Times New Roman"/>
                  <w:sz w:val="18"/>
                  <w:szCs w:val="18"/>
                  <w:b w:val="1"/>
                  <w:bCs w:val="1"/>
                  <w:color w:val="0000FF"/>
                  <w:w w:val="98"/>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400" w:type="dxa"/>
            <w:vAlign w:val="bottom"/>
            <w:gridSpan w:val="5"/>
          </w:tcPr>
          <w:p>
            <w:pPr>
              <w:spacing w:after="0"/>
              <w:rPr>
                <w:rFonts w:ascii="Times New Roman" w:cs="Times New Roman" w:eastAsia="Times New Roman" w:hAnsi="Times New Roman"/>
                <w:sz w:val="18"/>
                <w:szCs w:val="18"/>
                <w:b w:val="1"/>
                <w:bCs w:val="1"/>
                <w:color w:val="0000FF"/>
              </w:rPr>
            </w:pPr>
            <w:hyperlink w:anchor="page56">
              <w:r>
                <w:rPr>
                  <w:rFonts w:ascii="Times New Roman" w:cs="Times New Roman" w:eastAsia="Times New Roman" w:hAnsi="Times New Roman"/>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80" w:type="dxa"/>
            <w:vAlign w:val="bottom"/>
            <w:gridSpan w:val="23"/>
          </w:tcPr>
          <w:p>
            <w:pPr>
              <w:spacing w:after="0"/>
              <w:rPr>
                <w:rFonts w:ascii="Times New Roman" w:cs="Times New Roman" w:eastAsia="Times New Roman" w:hAnsi="Times New Roman"/>
                <w:sz w:val="18"/>
                <w:szCs w:val="18"/>
                <w:b w:val="1"/>
                <w:bCs w:val="1"/>
                <w:color w:val="0000FF"/>
              </w:rPr>
            </w:pPr>
            <w:hyperlink w:anchor="page71">
              <w:r>
                <w:rPr>
                  <w:rFonts w:ascii="Times New Roman" w:cs="Times New Roman" w:eastAsia="Times New Roman" w:hAnsi="Times New Roman"/>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71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440" w:type="dxa"/>
            <w:vAlign w:val="bottom"/>
            <w:gridSpan w:val="10"/>
          </w:tcPr>
          <w:p>
            <w:pPr>
              <w:spacing w:after="0"/>
              <w:rPr>
                <w:rFonts w:ascii="Times New Roman" w:cs="Times New Roman" w:eastAsia="Times New Roman" w:hAnsi="Times New Roman"/>
                <w:sz w:val="18"/>
                <w:szCs w:val="18"/>
                <w:b w:val="1"/>
                <w:bCs w:val="1"/>
                <w:color w:val="0000FF"/>
                <w:w w:val="98"/>
              </w:rPr>
            </w:pPr>
            <w:hyperlink w:anchor="page71">
              <w:r>
                <w:rPr>
                  <w:rFonts w:ascii="Times New Roman" w:cs="Times New Roman" w:eastAsia="Times New Roman" w:hAnsi="Times New Roman"/>
                  <w:sz w:val="18"/>
                  <w:szCs w:val="18"/>
                  <w:b w:val="1"/>
                  <w:bCs w:val="1"/>
                  <w:color w:val="0000FF"/>
                  <w:w w:val="98"/>
                </w:rPr>
                <w:t>Defaults Upon Senior Securities</w:t>
              </w:r>
            </w:hyperlink>
          </w:p>
        </w:tc>
        <w:tc>
          <w:tcPr>
            <w:tcW w:w="2120" w:type="dxa"/>
            <w:vAlign w:val="bottom"/>
            <w:gridSpan w:val="4"/>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71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440" w:type="dxa"/>
            <w:vAlign w:val="bottom"/>
            <w:gridSpan w:val="10"/>
          </w:tcPr>
          <w:p>
            <w:pPr>
              <w:spacing w:after="0"/>
              <w:rPr>
                <w:rFonts w:ascii="Times New Roman" w:cs="Times New Roman" w:eastAsia="Times New Roman" w:hAnsi="Times New Roman"/>
                <w:sz w:val="18"/>
                <w:szCs w:val="18"/>
                <w:b w:val="1"/>
                <w:bCs w:val="1"/>
                <w:color w:val="0000FF"/>
              </w:rPr>
            </w:pPr>
            <w:hyperlink w:anchor="page71">
              <w:r>
                <w:rPr>
                  <w:rFonts w:ascii="Times New Roman" w:cs="Times New Roman" w:eastAsia="Times New Roman" w:hAnsi="Times New Roman"/>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71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gridSpan w:val="6"/>
          </w:tcPr>
          <w:p>
            <w:pPr>
              <w:spacing w:after="0"/>
              <w:rPr>
                <w:rFonts w:ascii="Times New Roman" w:cs="Times New Roman" w:eastAsia="Times New Roman" w:hAnsi="Times New Roman"/>
                <w:sz w:val="18"/>
                <w:szCs w:val="18"/>
                <w:b w:val="1"/>
                <w:bCs w:val="1"/>
                <w:color w:val="0000FF"/>
                <w:w w:val="98"/>
              </w:rPr>
            </w:pPr>
            <w:hyperlink w:anchor="page71">
              <w:r>
                <w:rPr>
                  <w:rFonts w:ascii="Times New Roman" w:cs="Times New Roman" w:eastAsia="Times New Roman" w:hAnsi="Times New Roman"/>
                  <w:sz w:val="18"/>
                  <w:szCs w:val="18"/>
                  <w:b w:val="1"/>
                  <w:bCs w:val="1"/>
                  <w:color w:val="0000FF"/>
                  <w:w w:val="98"/>
                </w:rPr>
                <w:t>Other Information</w:t>
              </w:r>
            </w:hyperlink>
          </w:p>
        </w:tc>
        <w:tc>
          <w:tcPr>
            <w:tcW w:w="380" w:type="dxa"/>
            <w:vAlign w:val="bottom"/>
            <w:gridSpan w:val="2"/>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71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Pr>
          <w:p>
            <w:pPr>
              <w:spacing w:after="0"/>
              <w:rPr>
                <w:rFonts w:ascii="Times New Roman" w:cs="Times New Roman" w:eastAsia="Times New Roman" w:hAnsi="Times New Roman"/>
                <w:sz w:val="18"/>
                <w:szCs w:val="18"/>
                <w:b w:val="1"/>
                <w:bCs w:val="1"/>
                <w:color w:val="0000FF"/>
                <w:w w:val="96"/>
              </w:rPr>
            </w:pPr>
            <w:hyperlink w:anchor="page72">
              <w:r>
                <w:rPr>
                  <w:rFonts w:ascii="Times New Roman" w:cs="Times New Roman" w:eastAsia="Times New Roman" w:hAnsi="Times New Roman"/>
                  <w:sz w:val="18"/>
                  <w:szCs w:val="18"/>
                  <w:b w:val="1"/>
                  <w:bCs w:val="1"/>
                  <w:color w:val="0000FF"/>
                  <w:w w:val="96"/>
                </w:rPr>
                <w:t>Exhibits</w:t>
              </w:r>
            </w:hyperlink>
          </w:p>
        </w:tc>
        <w:tc>
          <w:tcPr>
            <w:tcW w:w="800" w:type="dxa"/>
            <w:vAlign w:val="bottom"/>
            <w:gridSpan w:val="5"/>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72</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Times New Roman" w:cs="Times New Roman" w:eastAsia="Times New Roman" w:hAnsi="Times New Roman"/>
                <w:sz w:val="18"/>
                <w:szCs w:val="18"/>
                <w:b w:val="1"/>
                <w:bCs w:val="1"/>
                <w:color w:val="0000FF"/>
                <w:w w:val="97"/>
              </w:rPr>
            </w:pPr>
            <w:hyperlink w:anchor="page73">
              <w:r>
                <w:rPr>
                  <w:rFonts w:ascii="Times New Roman" w:cs="Times New Roman" w:eastAsia="Times New Roman" w:hAnsi="Times New Roman"/>
                  <w:sz w:val="18"/>
                  <w:szCs w:val="18"/>
                  <w:b w:val="1"/>
                  <w:bCs w:val="1"/>
                  <w:color w:val="0000FF"/>
                  <w:w w:val="97"/>
                </w:rPr>
                <w:t>Signatures</w:t>
              </w:r>
            </w:hyperlink>
          </w:p>
        </w:tc>
        <w:tc>
          <w:tcPr>
            <w:tcW w:w="8160" w:type="dxa"/>
            <w:vAlign w:val="bottom"/>
            <w:gridSpan w:val="21"/>
          </w:tcPr>
          <w:p>
            <w:pPr>
              <w:spacing w:after="0"/>
              <w:rPr>
                <w:sz w:val="24"/>
                <w:szCs w:val="24"/>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73</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4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Subscription</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715.0</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481.3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1,974.5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1,252.3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Maintenance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497.7</w:t>
            </w:r>
          </w:p>
        </w:tc>
        <w:tc>
          <w:tcPr>
            <w:tcW w:w="0" w:type="dxa"/>
            <w:vAlign w:val="bottom"/>
          </w:tcPr>
          <w:p>
            <w:pPr>
              <w:spacing w:after="0"/>
              <w:rPr>
                <w:sz w:val="1"/>
                <w:szCs w:val="1"/>
                <w:color w:val="auto"/>
              </w:rPr>
            </w:pPr>
          </w:p>
        </w:tc>
      </w:tr>
      <w:tr>
        <w:trPr>
          <w:trHeight w:val="217"/>
        </w:trPr>
        <w:tc>
          <w:tcPr>
            <w:tcW w:w="56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806.2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631.4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2,281.2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1,750.0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17"/>
        </w:trPr>
        <w:tc>
          <w:tcPr>
            <w:tcW w:w="5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net revenue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1,832.5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Cost of other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technology</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cost of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208.9</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763.2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588.6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2,133.3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1,623.6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Marketing and sales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863.1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1,688.9</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tcBorders>
              <w:top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Basic net income (loss) per share</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Weighted average shares used in computing basic net income (loss) per share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shares used in computing diluted net income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4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56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reclassifications: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 gain on derivative instruments (net of tax effect of $0.4, ($1.1), ($1.6)</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and ($2.9), respectively)</w:t>
            </w:r>
          </w:p>
        </w:tc>
        <w:tc>
          <w:tcPr>
            <w:tcW w:w="9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r>
      <w:tr>
        <w:trPr>
          <w:trHeight w:val="216"/>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net unrealized gain on available-for-sale debt securities (net of tax</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effect of ($0.1), ($0.1), ($0.4) and ($0.1), respectively)</w:t>
            </w:r>
          </w:p>
        </w:tc>
        <w:tc>
          <w:tcPr>
            <w:tcW w:w="90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defined benefit pension items (net of tax effect of $0.3, ($1.3), $0.8</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and ($2.8), respectively)</w:t>
            </w:r>
          </w:p>
        </w:tc>
        <w:tc>
          <w:tcPr>
            <w:tcW w:w="9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r>
      <w:tr>
        <w:trPr>
          <w:trHeight w:val="216"/>
        </w:trPr>
        <w:tc>
          <w:tcPr>
            <w:tcW w:w="5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change in cumulative foreign currency translation gain (loss) (net of tax</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effect of $0.1, $0.0, $0.1 and $0.5, respectively)</w:t>
            </w:r>
          </w:p>
        </w:tc>
        <w:tc>
          <w:tcPr>
            <w:tcW w:w="90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33"/>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4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90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4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09"/>
        </w:trPr>
        <w:tc>
          <w:tcPr>
            <w:tcW w:w="8120" w:type="dxa"/>
            <w:vAlign w:val="bottom"/>
            <w:tcBorders>
              <w:top w:val="single" w:sz="8" w:color="CCEEFF"/>
            </w:tcBorders>
            <w:shd w:val="clear" w:color="auto" w:fill="CCEEFF"/>
          </w:tcPr>
          <w:p>
            <w:pPr>
              <w:ind w:left="37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886.0</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Marketable securities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67.6</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474.3</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192.1</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1,620.0</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equipment, software, furniture and leasehold improvements, net</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149.7</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Developed technologies,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105.6</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2,450.8</w:t>
            </w: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65.3</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337.8</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5,036.6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4,729.2</w:t>
            </w:r>
          </w:p>
        </w:tc>
      </w:tr>
      <w:tr>
        <w:trPr>
          <w:trHeight w:val="73"/>
        </w:trPr>
        <w:tc>
          <w:tcPr>
            <w:tcW w:w="8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28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101.6</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280.8</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1,763.3</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notes payable,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142.3</w:t>
            </w:r>
          </w:p>
        </w:tc>
      </w:tr>
      <w:tr>
        <w:trPr>
          <w:trHeight w:val="217"/>
        </w:trPr>
        <w:tc>
          <w:tcPr>
            <w:tcW w:w="8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2,840.2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2,301.2</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328.1</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income taxes payable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deferred income taxes</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79.8</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notes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2,087.7</w:t>
            </w:r>
          </w:p>
        </w:tc>
      </w:tr>
      <w:tr>
        <w:trPr>
          <w:trHeight w:val="224"/>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121.8</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and additional paid-in capital</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2,071.5</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24"/>
        </w:trPr>
        <w:tc>
          <w:tcPr>
            <w:tcW w:w="8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(2,147.4)</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r>
      <w:tr>
        <w:trPr>
          <w:trHeight w:val="21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5,036.6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4,729.2</w:t>
            </w:r>
          </w:p>
        </w:tc>
      </w:tr>
      <w:tr>
        <w:trPr>
          <w:trHeight w:val="33"/>
        </w:trPr>
        <w:tc>
          <w:tcPr>
            <w:tcW w:w="8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49"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35"/>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Pr>
          <w:p>
            <w:pPr>
              <w:spacing w:after="0"/>
              <w:rPr>
                <w:sz w:val="19"/>
                <w:szCs w:val="19"/>
                <w:color w:val="auto"/>
              </w:rPr>
            </w:pP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175.5</w:t>
            </w: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w:t>
            </w:r>
          </w:p>
        </w:tc>
      </w:tr>
      <w:tr>
        <w:trPr>
          <w:trHeight w:val="224"/>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37"/>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r>
      <w:tr>
        <w:trPr>
          <w:trHeight w:val="204"/>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w:t>
            </w: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24"/>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194.9</w:t>
            </w:r>
          </w:p>
        </w:tc>
      </w:tr>
      <w:tr>
        <w:trPr>
          <w:trHeight w:val="224"/>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24"/>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204"/>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activities:</w:t>
            </w: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w:t>
            </w:r>
          </w:p>
        </w:tc>
      </w:tr>
      <w:tr>
        <w:trPr>
          <w:trHeight w:val="224"/>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r>
      <w:tr>
        <w:trPr>
          <w:trHeight w:val="224"/>
        </w:trPr>
        <w:tc>
          <w:tcPr>
            <w:tcW w:w="8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 of debt</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r>
      <w:tr>
        <w:trPr>
          <w:trHeight w:val="217"/>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24"/>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886.0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1,078.0</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956.2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cash flow disclosure: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24"/>
        </w:trPr>
        <w:tc>
          <w:tcPr>
            <w:tcW w:w="8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8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Fair value of common stock issued as consideration for business combination</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44.8</w:t>
            </w:r>
          </w:p>
        </w:tc>
      </w:tr>
      <w:tr>
        <w:trPr>
          <w:trHeight w:val="33"/>
        </w:trPr>
        <w:tc>
          <w:tcPr>
            <w:tcW w:w="8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549" w:right="2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AUTODESK,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(Tables in millions, except share and per share data, or as otherwise noted)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Basis of Presentation</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Autodesk, Inc. (“Autodesk,” “we,” “us,” “our,” or the “Company”) as of October 31, 2019, and for the three and nine months ended October 31, 2019 and 2018,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2019, are not necessarily indicative of the results for the entire fiscal year ending January 31, 2020, or for any other period. Further, the balance sheet as of January 31, 2019,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2019.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2019, filed on March 25,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Recently Issued Accounting Standards</w:t>
      </w:r>
    </w:p>
    <w:p>
      <w:pPr>
        <w:spacing w:after="0" w:line="229" w:lineRule="exact"/>
        <w:rPr>
          <w:sz w:val="20"/>
          <w:szCs w:val="20"/>
          <w:color w:val="auto"/>
        </w:rPr>
      </w:pPr>
    </w:p>
    <w:p>
      <w:pPr>
        <w:ind w:right="400" w:firstLine="432"/>
        <w:spacing w:after="0" w:line="313" w:lineRule="auto"/>
        <w:rPr>
          <w:sz w:val="20"/>
          <w:szCs w:val="20"/>
          <w:color w:val="auto"/>
        </w:rPr>
      </w:pPr>
      <w:r>
        <w:rPr>
          <w:rFonts w:ascii="Times New Roman" w:cs="Times New Roman" w:eastAsia="Times New Roman" w:hAnsi="Times New Roman"/>
          <w:sz w:val="17"/>
          <w:szCs w:val="17"/>
          <w:color w:val="auto"/>
        </w:rPr>
        <w:t>With the exception of those discussed below, there have been no recent changes in accounting pronouncements issued by the Financial Accounting Standards Board (“FASB”) or adopted by the Company during the nine months ended October 31, 2019, that are applicable to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standards adopted</w:t>
      </w:r>
    </w:p>
    <w:p>
      <w:pPr>
        <w:spacing w:after="0" w:line="227"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Autodesk adopted ASU No. 2017-12, "Derivatives and Hedging (Topic 815): Targeted Improvements to Accounting for Hedging Activities" on February 1, 2019. The amendment helps simplify certain aspects of hedge accounting and results in a more accurate portrayal of the economics of an entity’s risk management activities in its financial statements. For cash flow and net investment hedges as of the adoption date, the guidance required a modified retrospective approach. The amended presentation and disclosure guidance is required only prospectively. The transition impact was immaterial and no substantive changes were made to Autodesk’s current processes, accounting, or disclosures for cash flow hedges.</w:t>
      </w:r>
    </w:p>
    <w:p>
      <w:pPr>
        <w:spacing w:after="0" w:line="18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Autodesk adopted ASU No. 2018-02, “Income Statement-Reporting Comprehensive Income (Topic 220): Reclassification of Certain Tax Effects from Accumulated Other Comprehensive Income” on February 1, 2019. The amendment allows entities the option to reclassify tax effects stranded in accumulated other comprehensive income as a result of the U.S. Tax Cuts and Jobs Act (the "Tax Act") to retained earnings. Upon adoption, the amount reclassified from other comprehensive loss to stockholders' deficit was not material.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FASB issued ASU No. 2016-02, Leases (ASC Topic 842) to increase transparency and comparability among organizations by recognizing lease assets and lease liabilities on the balance sheet and disclosing key information about leasing transactions. The new standard requires entities to reflect the net present value of all future fixed lease payments for both operating and finance leases on the balance sheet. It also requires entities to disclose fixed and variable lease payments separately and by lease type (operating vs. finance leases). In addition, FASB issued ASU No. 2018-10 and 2018-11 and ASU No. 2018-20 to help provide accommodations and interpretive clarifications on various issues raised by stakeholders. ASU No. 2018-10 clarifies ambiguous or potentially conflicting guidance in ASU No. 2016-02. ASU No. 2018-11 provides an additional transition option to apply ASU No. 2016-02 upon adoption of the new standard.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49"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Adoption and policy elections</w:t>
      </w:r>
    </w:p>
    <w:p>
      <w:pPr>
        <w:spacing w:after="0" w:line="22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Autodesk adopted ASU No. 2016-02 as of February 1, 2019, using the modified retrospective method permitted under ASU No. 2018-11 for all existing leases which does not include retrospectively adjusting prior periods presented in the financial statements. Under ASU No. 2016-02, as the lessee, Autodesk recognized a right-of-use ("ROU") asset and offsetting lease liability for leases that existed on adoption. The asset and liability were measured at present value of all future fixed lease payments, discounted using the Company’s incremental borrowing rate. Autodesk has elected to opt for the practical expedients: to not reassess whether any existing contracts are leases or contain a lease; to not reassess the lease classification of existing leases; and to not reassess initial direct costs for existing leases. Autodesk has elected to combine lease and non-lease components for new leases post adoption for all lease assets.</w:t>
      </w:r>
    </w:p>
    <w:p>
      <w:pPr>
        <w:spacing w:after="0" w:line="18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Autodesk determines if an arrangement is a lease at inception. Operating leases are included in “Operating lease right-of-use assets”, “Operating lease liabilities”, and “Long-term operating lease liabilities” in the Condensed Consolidated Balance Sheets.</w:t>
      </w:r>
    </w:p>
    <w:p>
      <w:pPr>
        <w:spacing w:after="0" w:line="162"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color w:val="auto"/>
        </w:rPr>
        <w:t>Operating lease ROU assets represent Autodesk’s right to use an underlying asset for the lease term and operating lease liabilities represent the Company’s obligation to make lease payments arising from the lease. Operating lease ROU assets and operating lease liabilities are recognized at commencement date based on the present value of lease payments over the lease term. As most of the Company’s leases do not provide an implicit rate, Autodesk uses its incremental borrowing rate, adjusted for local country-specific borrowing rates as applicable, based on the information available at commencement date in determining the present value of lease payments. The operating lease ROU assets include any adjustments for prepayments and any lease incentives. Options to extend or terminate the lease are considered in determining the lease term when it is reasonably certain that the option will be exercised. Lease expense for lease payments is recognized on a straight-line basis over the lease term.</w:t>
      </w:r>
    </w:p>
    <w:p>
      <w:pPr>
        <w:spacing w:after="0" w:line="18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Autodesk has lease agreements with lease and non-lease components. Autodesk accounts for the lease and non-lease components as a single lease component.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Quantitative effect of ASC Topic 842 adoption</w:t>
      </w:r>
    </w:p>
    <w:p>
      <w:pPr>
        <w:spacing w:after="0" w:line="22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Under the modified retrospective method, Autodesk recorded $(0.7) million to the opening balance of "Accumulated deficit" as of February 1, 2019. The comparative information has not been adjusted and continues to be reported as under previous accounting guidance. The adoption of ASU No. 2016-02 did not have a material impact to the Company’s condensed consolidated statement of operations or net cash provided by operating activities as of February 1, 2019.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53" w:right="239" w:bottom="1440" w:gutter="0" w:footer="0" w:header="0"/>
        </w:sectPr>
      </w:pPr>
    </w:p>
    <w:bookmarkStart w:id="9" w:name="page10"/>
    <w:bookmarkEnd w:id="9"/>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shows line items that were materially impacted by the adoption of ASC Topic 842 on February 1, 2019, on Autodesk’s Condensed Consolidated Balance Sheet: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Impact from the</w:t>
            </w:r>
          </w:p>
        </w:tc>
        <w:tc>
          <w:tcPr>
            <w:tcW w:w="140" w:type="dxa"/>
            <w:vAlign w:val="bottom"/>
          </w:tcPr>
          <w:p>
            <w:pPr>
              <w:spacing w:after="0"/>
              <w:rPr>
                <w:sz w:val="13"/>
                <w:szCs w:val="13"/>
                <w:color w:val="auto"/>
              </w:rPr>
            </w:pPr>
          </w:p>
        </w:tc>
        <w:tc>
          <w:tcPr>
            <w:tcW w:w="9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5"/>
        </w:trPr>
        <w:tc>
          <w:tcPr>
            <w:tcW w:w="742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adoption (1)</w:t>
            </w: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20" w:type="dxa"/>
            <w:vAlign w:val="bottom"/>
            <w:tcBorders>
              <w:top w:val="single" w:sz="8" w:color="CCEEFF"/>
            </w:tcBorders>
            <w:shd w:val="clear" w:color="auto" w:fill="CCEEFF"/>
          </w:tcPr>
          <w:p>
            <w:pPr>
              <w:ind w:left="3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1,614.1</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5,006.7</w:t>
            </w:r>
          </w:p>
        </w:tc>
        <w:tc>
          <w:tcPr>
            <w:tcW w:w="0" w:type="dxa"/>
            <w:vAlign w:val="bottom"/>
          </w:tcPr>
          <w:p>
            <w:pPr>
              <w:spacing w:after="0"/>
              <w:rPr>
                <w:sz w:val="1"/>
                <w:szCs w:val="1"/>
                <w:color w:val="auto"/>
              </w:rPr>
            </w:pPr>
          </w:p>
        </w:tc>
      </w:tr>
      <w:tr>
        <w:trPr>
          <w:trHeight w:val="224"/>
        </w:trPr>
        <w:tc>
          <w:tcPr>
            <w:tcW w:w="7420" w:type="dxa"/>
            <w:vAlign w:val="bottom"/>
          </w:tcPr>
          <w:p>
            <w:pPr>
              <w:ind w:left="194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137.4</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245.9</w:t>
            </w:r>
          </w:p>
        </w:tc>
        <w:tc>
          <w:tcPr>
            <w:tcW w:w="0" w:type="dxa"/>
            <w:vAlign w:val="bottom"/>
          </w:tcPr>
          <w:p>
            <w:pPr>
              <w:spacing w:after="0"/>
              <w:rPr>
                <w:sz w:val="1"/>
                <w:szCs w:val="1"/>
                <w:color w:val="auto"/>
              </w:rPr>
            </w:pPr>
          </w:p>
        </w:tc>
      </w:tr>
      <w:tr>
        <w:trPr>
          <w:trHeight w:val="33"/>
        </w:trPr>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(2,148.1)</w:t>
            </w:r>
          </w:p>
        </w:tc>
        <w:tc>
          <w:tcPr>
            <w:tcW w:w="0" w:type="dxa"/>
            <w:vAlign w:val="bottom"/>
          </w:tcPr>
          <w:p>
            <w:pPr>
              <w:spacing w:after="0"/>
              <w:rPr>
                <w:sz w:val="1"/>
                <w:szCs w:val="1"/>
                <w:color w:val="auto"/>
              </w:rPr>
            </w:pPr>
          </w:p>
        </w:tc>
      </w:tr>
      <w:tr>
        <w:trPr>
          <w:trHeight w:val="24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1700" w:hanging="412"/>
        <w:spacing w:after="0" w:line="489" w:lineRule="auto"/>
        <w:tabs>
          <w:tab w:leader="none" w:pos="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8"/>
          <w:szCs w:val="18"/>
          <w:color w:val="auto"/>
        </w:rPr>
        <w:t>doption of ASC Topic 842 did not have any other material impacts on Autodesk's condensed consolidated financial statements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See Note 13, "Leases" for disclosures under ASC Topic 842.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 not yet adopted</w:t>
      </w:r>
    </w:p>
    <w:p>
      <w:pPr>
        <w:spacing w:after="0" w:line="22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June 2016, FASB issued ASU No.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Revenue Recognition</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Autodesk’s revenue is divided into three categories: subscription revenue, maintenance revenue, and other revenue. Revenue is recognized when control for these offerings is transferred to our customers and in an amount that reflects the consideration we expect to be entitled to in exchange for products and services.</w:t>
      </w:r>
    </w:p>
    <w:p>
      <w:pPr>
        <w:spacing w:after="0" w:line="17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Our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w:t>
      </w:r>
    </w:p>
    <w:p>
      <w:pPr>
        <w:spacing w:after="0" w:line="18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For product subscriptions and enterprise business agreement ("EBA") subscriptions in which the desktop software and related cloud functionality are highly interrelated, the combined performance obligation is recognized ratably over the contract term as the obligation is delivered. For contracts involving distinct software licenses, the license performance obligation is satisfied at a point in time when control is transferred to the customer.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769" w:right="279" w:bottom="1440" w:gutter="0" w:footer="0" w:header="0"/>
        </w:sectPr>
      </w:pPr>
    </w:p>
    <w:bookmarkStart w:id="10" w:name="page11"/>
    <w:bookmarkEnd w:id="10"/>
    <w:p>
      <w:pPr>
        <w:ind w:firstLine="405"/>
        <w:spacing w:after="0" w:line="282" w:lineRule="auto"/>
        <w:rPr>
          <w:sz w:val="20"/>
          <w:szCs w:val="20"/>
          <w:color w:val="auto"/>
        </w:rPr>
      </w:pPr>
      <w:r>
        <w:rPr>
          <w:rFonts w:ascii="Times New Roman" w:cs="Times New Roman" w:eastAsia="Times New Roman" w:hAnsi="Times New Roman"/>
          <w:sz w:val="18"/>
          <w:szCs w:val="18"/>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6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84"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As part of the indirect channel model, we have a partner incentive program that uses quarterly attainment of monetary rewards to motivate distributors and resellers to achieve mutually agreed upon business goals in a specified time period. 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maintenance revenue in the current period. These incentive balances do not require significant assumptions or judgments. Depending on how the payments are made, the reserves associated with the partner incentive program are recorded on the balance sheet as either contra accounts receivable or accounts payable.</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Autodesk recognizes revenue from the sale of (1) product subscriptions, cloud service offerings, and EBAs, (2) renewal fees for existing maintenance plan agreements that were initially purchased with a perpetual software license, and (3) consulting, training and other goods and services. The three categories are presented as line items on Autodesk's unaudited Condensed Consolidated Statements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53" w:right="239" w:bottom="1440" w:gutter="0" w:footer="0" w:header="0"/>
        </w:sectPr>
      </w:pPr>
    </w:p>
    <w:bookmarkStart w:id="11" w:name="page12"/>
    <w:bookmarkEnd w:id="11"/>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Information regarding the components of Autodesk's net revenue from contracts with customers by geographic location, product family, and sales channel is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560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60"/>
        </w:trPr>
        <w:tc>
          <w:tcPr>
            <w:tcW w:w="56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Architecture, Engineering and Construction</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358.0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996.5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728.7</w:t>
            </w: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AutoCAD and AutoCAD LT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245.4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522.8</w:t>
            </w: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Manufacturing</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182.2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440.0</w:t>
            </w: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Media and Entertainment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127.1</w:t>
            </w: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842.7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 by geographic area:</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4"/>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Americas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6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U.S.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626.1</w:t>
            </w:r>
          </w:p>
        </w:tc>
      </w:tr>
      <w:tr>
        <w:trPr>
          <w:trHeight w:val="237"/>
        </w:trPr>
        <w:tc>
          <w:tcPr>
            <w:tcW w:w="56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Americas</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123.4</w:t>
            </w: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Americas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349.3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749.5</w:t>
            </w: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329.6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735.7</w:t>
            </w: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Asia Pacific</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163.8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347.3</w:t>
            </w:r>
          </w:p>
        </w:tc>
      </w:tr>
      <w:tr>
        <w:trPr>
          <w:trHeight w:val="217"/>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880" w:type="dxa"/>
            <w:vAlign w:val="bottom"/>
            <w:tcBorders>
              <w:top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842.7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2,375.0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1,832.5</w:t>
            </w:r>
          </w:p>
        </w:tc>
      </w:tr>
      <w:tr>
        <w:trPr>
          <w:trHeight w:val="73"/>
        </w:trPr>
        <w:tc>
          <w:tcPr>
            <w:tcW w:w="56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78"/>
        </w:trPr>
        <w:tc>
          <w:tcPr>
            <w:tcW w:w="5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4"/>
        </w:trPr>
        <w:tc>
          <w:tcPr>
            <w:tcW w:w="5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Indirect</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586.6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1,315.5</w:t>
            </w: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Direct</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256.1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517.0</w:t>
            </w: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842.7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1,832.5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consist of total billed and unbilled deferred revenue. As of October 31, 2019, Autodesk had remaining performance obligations of $2.97 billion, which represents the total contract price allocated to remaining performance obligations, which are recognized over the next three years. We expect to recognize $2.05 billion or 69% of our remaining performance obligations as revenue during the next 12 months. We expect to recognize the remaining $918.9 million or 31% of our remaining performance obligations as revenue thereafter.</w:t>
      </w:r>
    </w:p>
    <w:p>
      <w:pPr>
        <w:spacing w:after="0" w:line="180"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We expect that the amount of remaining performance obligations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receive payments from customers based on a billing schedule as established in our contracts. Contract assets relate to performance completed in advance of scheduled billings. Contract assets were not material as of October 31, 2019. Deferred revenue relates to billings in advance of performance under the contract. The primary changes in our contract assets and deferred revenues are due to our performance under the contracts and billings.</w:t>
      </w:r>
    </w:p>
    <w:p>
      <w:pPr>
        <w:spacing w:after="0" w:line="17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Revenue recognized during the nine months ended October 31, 2019, that was included in the deferred revenue balances at January 31, 2019, was $1.58 billion. The satisfaction of performance obligations typically lags behind payments received under revenue contracts from customers, which may lead to an increase in our deferred revenue balance over time.</w:t>
      </w:r>
    </w:p>
    <w:p>
      <w:pPr>
        <w:sectPr>
          <w:pgSz w:w="11900" w:h="16838" w:orient="portrait"/>
          <w:cols w:equalWidth="0" w:num="1">
            <w:col w:w="11400"/>
          </w:cols>
          <w:pgMar w:left="240" w:top="553" w:right="25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553" w:right="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Concentration of Credit Risk</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as well as our Term Loan Agreement. See Note 12, "Borrowing Arrangements," in the Notes to Condensed Consolidated Financial Statements for further discussion.</w:t>
      </w:r>
    </w:p>
    <w:p>
      <w:pPr>
        <w:spacing w:after="0" w:line="184"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Total sales to the Company's largest distributor Tech Data Corporation and its global affiliates (“Tech Data”) accounted for 35% of Autodesk’s total net revenue for both the three and nine months ended October 31, 2019 and 2018. The majority of the net revenue from sales to Tech Data is for sales made outside of the United States. In addition, Tech Data accounted for 29% of trade accounts receivable at both October 31, 2019, and January 31, 2019, respectively. During the three and nine months ended October 31, 2019 and 2018, Ingram Micro Inc. ("Ingram Micro") accounted for 10% and 11% of Autodesk's total net revenue,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549"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Financial Instruments</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amortized cost, gross unrealized gains, gross unrealized losses, and fair value by significant investment category as of October 31, 2019 and January 31, 2019:</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(2)</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trading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contract assets (3)</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contract liabilities (4)</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484.0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489.4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446.5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w:t>
      </w:r>
    </w:p>
    <w:p>
      <w:pPr>
        <w:spacing w:after="0" w:line="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custody cash deposits and certificates of deposit.</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or “Other assets” in the accompanying Condensed Consolidated Balance Sheets.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2019</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2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trading securities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Convertible debt securities (3)</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contract liabilities (5)</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“Cash and cash equivalents” in the accompanying Condensed Consolidated Balance Sheets.</w:t>
      </w:r>
    </w:p>
    <w:p>
      <w:pPr>
        <w:spacing w:after="0" w:line="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corporate bonds, commercial paper, and common stock.</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Considered "available for sale" and included in “Other assets” in the accompanying Condensed Consolidated Balance Sheets.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“Other assets,” or “Other accrued liabilities” in the accompanying Condensed Consolidated Balance Sheets.</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49" w:right="259" w:bottom="1440" w:gutter="0" w:footer="0" w:header="0"/>
        </w:sectPr>
      </w:pPr>
    </w:p>
    <w:bookmarkStart w:id="14" w:name="page15"/>
    <w:bookmarkEnd w:id="14"/>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Autodesk classifies its marketable securities as either short-term or long-term based on each instrument’s underlying contractual maturity date. Generally,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53" w:lineRule="exact"/>
        <w:rPr>
          <w:sz w:val="20"/>
          <w:szCs w:val="20"/>
          <w:color w:val="auto"/>
        </w:rPr>
      </w:pPr>
    </w:p>
    <w:p>
      <w:pPr>
        <w:jc w:val="both"/>
        <w:ind w:right="420" w:firstLine="405"/>
        <w:spacing w:after="0" w:line="266" w:lineRule="auto"/>
        <w:rPr>
          <w:sz w:val="20"/>
          <w:szCs w:val="20"/>
          <w:color w:val="auto"/>
        </w:rPr>
      </w:pPr>
      <w:r>
        <w:rPr>
          <w:rFonts w:ascii="Times New Roman" w:cs="Times New Roman" w:eastAsia="Times New Roman" w:hAnsi="Times New Roman"/>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14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w:t>
      </w:r>
    </w:p>
    <w:p>
      <w:pPr>
        <w:spacing w:after="0" w:line="186" w:lineRule="exact"/>
        <w:rPr>
          <w:sz w:val="20"/>
          <w:szCs w:val="20"/>
          <w:color w:val="auto"/>
        </w:rPr>
      </w:pPr>
    </w:p>
    <w:p>
      <w:pPr>
        <w:ind w:right="80" w:firstLine="405"/>
        <w:spacing w:after="0" w:line="273" w:lineRule="auto"/>
        <w:rPr>
          <w:sz w:val="20"/>
          <w:szCs w:val="20"/>
          <w:color w:val="auto"/>
        </w:rPr>
      </w:pPr>
      <w:r>
        <w:rPr>
          <w:rFonts w:ascii="Times New Roman" w:cs="Times New Roman" w:eastAsia="Times New Roman" w:hAnsi="Times New Roman"/>
          <w:sz w:val="17"/>
          <w:szCs w:val="17"/>
          <w:color w:val="auto"/>
        </w:rPr>
        <w:t>Autodesk's cash equivalents, marketable securities and financial instruments are primarily classified within Level 1 or Level 2 of the fair value hierarchy. Autodesk values its securities on pricing from pricing vendors, who may use quoted prices in active markets for identical assets (Level 1) or inputs other than quoted prices that are observable either directly or indirectly in determining fair value (Level 2). Autodesk's Level 2 securities and derivatives are valued primarily using observable inputs other than quoted prices in active markets for identical assets and liabilities. The Company has elected to use the income approach to value derivatives using the observable Level 2 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 Autodesk's Level 3 securities consist of derivative contracts and convertible debt securities.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change in Autodesk’s Level 3 items for the nine months ended October 31, 2019, was as follows:</w:t>
      </w:r>
    </w:p>
    <w:p>
      <w:pPr>
        <w:spacing w:after="0" w:line="381"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p>
      <w:pPr>
        <w:spacing w:after="0" w:line="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Debt</w:t>
            </w:r>
          </w:p>
        </w:tc>
        <w:tc>
          <w:tcPr>
            <w:tcW w:w="320" w:type="dxa"/>
            <w:vAlign w:val="bottom"/>
          </w:tcPr>
          <w:p>
            <w:pPr>
              <w:spacing w:after="0"/>
              <w:rPr>
                <w:sz w:val="12"/>
                <w:szCs w:val="12"/>
                <w:color w:val="auto"/>
              </w:rPr>
            </w:pPr>
          </w:p>
        </w:tc>
        <w:tc>
          <w:tcPr>
            <w:tcW w:w="104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January 31, 2019</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Impairments</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Settlements</w:t>
            </w: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included in earnings (1)</w:t>
            </w: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included in OCI</w:t>
            </w:r>
          </w:p>
        </w:tc>
        <w:tc>
          <w:tcPr>
            <w:tcW w:w="6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October 31, 2019</w:t>
            </w:r>
          </w:p>
        </w:tc>
        <w:tc>
          <w:tcPr>
            <w:tcW w:w="68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Included in "Interest and other expense, net" in the accompanying Condensed Consolidated Statements of Operations.</w:t>
      </w:r>
    </w:p>
    <w:p>
      <w:pPr>
        <w:spacing w:after="0" w:line="203"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October 31, 2019 and January 31, 2019, Autodesk had no material unrealized losses, individually and in the aggregate, for securities that are in a continuous unrealized loss position for greater than twelve months.</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There was no gain or loss for the sales or redemptions of securities during the nine months ended October 31, 2019 and 2018. Gains and losses resulting from the sale or redemption of securities are recorded in “Interest and other expense, net” on the Company's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53" w:right="239" w:bottom="1440" w:gutter="0" w:footer="0" w:header="0"/>
        </w:sectPr>
      </w:pPr>
    </w:p>
    <w:bookmarkStart w:id="15" w:name="page16"/>
    <w:bookmarkEnd w:id="15"/>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Autodesk did not have any proceeds from the sale and maturity of marketable securities for the three months ended October 31, 2019. Proceeds from the sale and maturity of marketable securities for the nine months ended October 31, 2019 were $27.4 million and for the three and nine months ended October 31, 2018 were $109.6 million and $256.2 million, respectively.</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Non-marketable equity securities</w:t>
      </w:r>
    </w:p>
    <w:p>
      <w:pPr>
        <w:spacing w:after="0" w:line="22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of October 31, 2019 and January 31, 2019, Autodesk had $121.8 million and $111.6 million in direct investments in privately held companies, respectively. These non-marketable equity security investments do not have readily determined fair values, and Autodesk uses the measurement alternative to account for the adjustment to these investments in a given quarter.</w:t>
      </w:r>
    </w:p>
    <w:p>
      <w:pPr>
        <w:spacing w:after="0" w:line="17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Under the measurement alternative method, these investments are measured at cost, less any impairments, plus or minus changes resulting from observable price changes in orderly transactions for the identical or similar investment of the same issuer in the current period.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During the nine months ended October 31, 2019 and October 31, 2018, Autodesk recorded $2.5 million and $6.2 million, respectively, as an upward adjustment on certain of its privately held investments, reflected as a gain in "Interest and other expense, net" on the Company's Condensed Consolidated Statement of Operations. As of October 31, 2019, Autodesk has recorded $8.7 million in cumulative upward adjustments on its privately held investments.</w:t>
      </w:r>
    </w:p>
    <w:p>
      <w:pPr>
        <w:spacing w:after="0" w:line="18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Non-marketable equity securities investments are periodically assessed for impairment based on available information such as current cash positions, earnings and cash flow positions, earnings and cash flow forecasts, recent operational performance and any other readily available market data. Autodesk does not intend to sell these investments and it is not more likely than not that Autodesk will be required to sell the investment before recovery of the cost basis. If Autodesk determines that an impairment has occurred, Autodesk writes down the investment to its fair value. During the nine months ended October 31, 2019 and October 31, 2018, Autodesk recorded $4.3 million and $4.8 million, respectively, in impairments and negative adjustments on its privately held investments, reflected as a loss in "Interest and other expense, net" on the Company's Condensed Consolidated Statements of Operations. As of October 31, 2019, Autodesk has recorded $9.0 million in cumulative impairments and negative adjustments on its privately held investments. Autodesk does not consider the remaining investments to be impaired at October 31, 2019.</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British pounds, Canadian dollars, Australian dollars, Singapore dollars, Swiss francs, Swedish krona and Czech koruna. These instruments generally have maturities between one and twelve months in the future. Autodesk does not enter into derivative instrument transactions for trading or speculative purposes.</w:t>
      </w:r>
    </w:p>
    <w:p>
      <w:pPr>
        <w:spacing w:after="0" w:line="18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Foreign currency contracts designated as cash flow hedges</w:t>
      </w:r>
    </w:p>
    <w:p>
      <w:pPr>
        <w:spacing w:after="0" w:line="22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qualitatively thereafter considering transaction timing and probability and counterparty credit quality.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53" w:right="239" w:bottom="1440" w:gutter="0" w:footer="0" w:header="0"/>
        </w:sectPr>
      </w:pPr>
    </w:p>
    <w:bookmarkStart w:id="16" w:name="page17"/>
    <w:bookmarkEnd w:id="16"/>
    <w:p>
      <w:pPr>
        <w:ind w:right="700"/>
        <w:spacing w:after="0" w:line="282" w:lineRule="auto"/>
        <w:rPr>
          <w:sz w:val="20"/>
          <w:szCs w:val="20"/>
          <w:color w:val="auto"/>
        </w:rPr>
      </w:pPr>
      <w:r>
        <w:rPr>
          <w:rFonts w:ascii="Times New Roman" w:cs="Times New Roman" w:eastAsia="Times New Roman" w:hAnsi="Times New Roman"/>
          <w:sz w:val="18"/>
          <w:szCs w:val="18"/>
          <w:color w:val="auto"/>
        </w:rPr>
        <w:t>becomes probable that it will not occur, Autodesk reclassifies and discloses the gain or loss on the related cash flow hedge from “Accumulated other comprehensive loss” to “Interest and other expense, net” in the Company's Condensed Consolidated Financial Statements at that time.</w:t>
      </w:r>
    </w:p>
    <w:p>
      <w:pPr>
        <w:spacing w:after="0" w:line="1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notional amounts of these contracts are presented net settled and were $1.25 billion at October 31, 2019 and $803.5 million at January 31, 2019. Outstanding contracts are recognized as either assets or liabilities on the balance sheet at fair value. The majority of the net gain of $10.7 million remaining in “Accumulated other comprehensive loss” as of October 31, 2019 is expected to be recognized into earnings within the next twenty-four months.</w:t>
      </w:r>
    </w:p>
    <w:p>
      <w:pPr>
        <w:spacing w:after="0" w:line="17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nine months ended October 31, 2019:</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4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4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60" w:type="dxa"/>
            <w:vAlign w:val="bottom"/>
          </w:tcPr>
          <w:p>
            <w:pPr>
              <w:spacing w:after="0"/>
              <w:rPr>
                <w:sz w:val="12"/>
                <w:szCs w:val="12"/>
                <w:color w:val="auto"/>
              </w:rPr>
            </w:pPr>
          </w:p>
        </w:tc>
        <w:tc>
          <w:tcPr>
            <w:tcW w:w="118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maintenance</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60" w:type="dxa"/>
            <w:vAlign w:val="bottom"/>
          </w:tcPr>
          <w:p>
            <w:pPr>
              <w:spacing w:after="0"/>
              <w:rPr>
                <w:sz w:val="16"/>
                <w:szCs w:val="16"/>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201"/>
        </w:trPr>
        <w:tc>
          <w:tcPr>
            <w:tcW w:w="2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amounts of income and expense line</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items presented in the condensed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 which the effects of cash flow</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715.0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91.2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84"/>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Gain (loss) on cash flow hedging</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Amount of gain (loss) reclassified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comprehensive income into</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387"/>
        </w:trPr>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4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14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Cost of subscription</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60" w:type="dxa"/>
            <w:vAlign w:val="bottom"/>
          </w:tcPr>
          <w:p>
            <w:pPr>
              <w:spacing w:after="0"/>
              <w:rPr>
                <w:sz w:val="12"/>
                <w:szCs w:val="12"/>
                <w:color w:val="auto"/>
              </w:rPr>
            </w:pPr>
          </w:p>
        </w:tc>
        <w:tc>
          <w:tcPr>
            <w:tcW w:w="118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maintenance</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1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60" w:type="dxa"/>
            <w:vAlign w:val="bottom"/>
          </w:tcPr>
          <w:p>
            <w:pPr>
              <w:spacing w:after="0"/>
              <w:rPr>
                <w:sz w:val="16"/>
                <w:szCs w:val="16"/>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0" w:type="dxa"/>
            <w:vAlign w:val="bottom"/>
          </w:tcPr>
          <w:p>
            <w:pPr>
              <w:spacing w:after="0"/>
              <w:rPr>
                <w:sz w:val="1"/>
                <w:szCs w:val="1"/>
                <w:color w:val="auto"/>
              </w:rPr>
            </w:pPr>
          </w:p>
        </w:tc>
      </w:tr>
      <w:tr>
        <w:trPr>
          <w:trHeight w:val="201"/>
        </w:trPr>
        <w:tc>
          <w:tcPr>
            <w:tcW w:w="29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amounts of income and expense line</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items presented in the condensed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 which the effects of cash flow</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1,974.5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306.7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960.8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634.0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299.6</w:t>
            </w: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Gain (loss) on cash flow hedging</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Foreign exchange contracts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Amount of gain (loss) reclassified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comprehensive income into</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2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553" w:right="25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in “Interest and other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 The notional amounts of these foreign currency contracts are presented net settled and were $357.1 million at October 31, 2019 and $579.8 million at January 31, 2019.</w:t>
      </w:r>
    </w:p>
    <w:p>
      <w:pPr>
        <w:spacing w:after="0" w:line="18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fair values of derivative instruments in Autodesk’s Condensed Consolidated Balance Sheets were as follows as of October 31, 2019 and January 31,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64"/>
        </w:trPr>
        <w:tc>
          <w:tcPr>
            <w:tcW w:w="5600" w:type="dxa"/>
            <w:vAlign w:val="bottom"/>
            <w:tcBorders>
              <w:bottom w:val="single" w:sz="8" w:color="CCEEFF"/>
            </w:tcBorders>
          </w:tcPr>
          <w:p>
            <w:pPr>
              <w:spacing w:after="0"/>
              <w:rPr>
                <w:sz w:val="22"/>
                <w:szCs w:val="22"/>
                <w:color w:val="auto"/>
              </w:rPr>
            </w:pPr>
          </w:p>
        </w:tc>
        <w:tc>
          <w:tcPr>
            <w:tcW w:w="2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Derivative Assets</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r>
      <w:tr>
        <w:trPr>
          <w:trHeight w:val="33"/>
        </w:trPr>
        <w:tc>
          <w:tcPr>
            <w:tcW w:w="5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5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56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r>
      <w:tr>
        <w:trPr>
          <w:trHeight w:val="284"/>
        </w:trPr>
        <w:tc>
          <w:tcPr>
            <w:tcW w:w="56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Total derivative assets</w:t>
            </w:r>
          </w:p>
        </w:tc>
        <w:tc>
          <w:tcPr>
            <w:tcW w:w="2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Derivative Liabilities</w:t>
            </w:r>
          </w:p>
        </w:tc>
        <w:tc>
          <w:tcPr>
            <w:tcW w:w="2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contracts designated as cash flow hedges</w:t>
            </w:r>
          </w:p>
        </w:tc>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5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244"/>
        </w:trPr>
        <w:tc>
          <w:tcPr>
            <w:tcW w:w="56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5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Autodesk’s Condensed Consolidated Statements of Operations were as follows for the three and nine months ended October 31, 2019 and 2018 (amounts presented include any income tax effects):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Foreign Currency Contracts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22"/>
                <w:szCs w:val="22"/>
                <w:color w:val="auto"/>
              </w:rPr>
            </w:pPr>
          </w:p>
        </w:tc>
        <w:tc>
          <w:tcPr>
            <w:tcW w:w="2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shd w:val="clear" w:color="auto" w:fill="CCEEFF"/>
              </w:rPr>
              <w:t xml:space="preserve">Amount </w:t>
            </w:r>
            <w:r>
              <w:rPr>
                <w:rFonts w:ascii="Times New Roman" w:cs="Times New Roman" w:eastAsia="Times New Roman" w:hAnsi="Times New Roman"/>
                <w:sz w:val="16"/>
                <w:szCs w:val="16"/>
                <w:i w:val="1"/>
                <w:iCs w:val="1"/>
                <w:color w:val="auto"/>
              </w:rPr>
              <w:t>of (loss) gain recognized in accumulated other comprehensive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w w:val="87"/>
                <w:shd w:val="clear" w:color="auto" w:fill="CCEEFF"/>
              </w:rPr>
              <w:t>on</w:t>
            </w:r>
          </w:p>
        </w:tc>
        <w:tc>
          <w:tcPr>
            <w:tcW w:w="5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shd w:val="clear" w:color="auto" w:fill="CCEEFF"/>
              </w:rPr>
              <w:t>derivatives (effective portion)</w:t>
            </w:r>
          </w:p>
        </w:tc>
        <w:tc>
          <w:tcPr>
            <w:tcW w:w="6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4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Amount and location of gain (loss) reclassified from accumulated other</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60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600" w:type="dxa"/>
            <w:vAlign w:val="bottom"/>
            <w:gridSpan w:val="3"/>
          </w:tcPr>
          <w:p>
            <w:pPr>
              <w:ind w:left="200"/>
              <w:spacing w:after="0"/>
              <w:rPr>
                <w:sz w:val="20"/>
                <w:szCs w:val="20"/>
                <w:color w:val="auto"/>
              </w:rPr>
            </w:pPr>
            <w:r>
              <w:rPr>
                <w:rFonts w:ascii="Times New Roman" w:cs="Times New Roman" w:eastAsia="Times New Roman" w:hAnsi="Times New Roman"/>
                <w:sz w:val="16"/>
                <w:szCs w:val="16"/>
                <w:i w:val="1"/>
                <w:iCs w:val="1"/>
                <w:color w:val="auto"/>
              </w:rPr>
              <w:t>comprehensive loss into income (loss) (effective portion)</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7"/>
        </w:trPr>
        <w:tc>
          <w:tcPr>
            <w:tcW w:w="56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Cost of revenue</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gridSpan w:val="3"/>
          </w:tcPr>
          <w:p>
            <w:pPr>
              <w:ind w:left="7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74"/>
        </w:trPr>
        <w:tc>
          <w:tcPr>
            <w:tcW w:w="5600" w:type="dxa"/>
            <w:vAlign w:val="bottom"/>
            <w:gridSpan w:val="3"/>
            <w:shd w:val="clear" w:color="auto" w:fill="CCEEFF"/>
          </w:tcPr>
          <w:p>
            <w:pPr>
              <w:ind w:left="40"/>
              <w:spacing w:after="0" w:line="174" w:lineRule="exact"/>
              <w:rPr>
                <w:sz w:val="20"/>
                <w:szCs w:val="20"/>
                <w:color w:val="auto"/>
              </w:rPr>
            </w:pPr>
            <w:r>
              <w:rPr>
                <w:rFonts w:ascii="Times New Roman" w:cs="Times New Roman" w:eastAsia="Times New Roman" w:hAnsi="Times New Roman"/>
                <w:sz w:val="16"/>
                <w:szCs w:val="16"/>
                <w:i w:val="1"/>
                <w:iCs w:val="1"/>
                <w:color w:val="auto"/>
              </w:rPr>
              <w:t>Amount and location of gain recognized in income (loss) on derivatives (ineffective</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portion and amount excluded from effectiveness testing)</w:t>
            </w: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9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765" w:right="259" w:bottom="1440" w:gutter="0" w:footer="0" w:header="0"/>
        </w:sectPr>
      </w:pPr>
    </w:p>
    <w:bookmarkStart w:id="18" w:name="page19"/>
    <w:bookmarkEnd w:id="18"/>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The effects of derivatives not designated as hedging instruments on Autodesk’s Condensed Consolidated Statements of Operations were as follows for the three and nine months ended October 31, 2019 and 2018 (amounts presented include any income tax effects):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56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i w:val="1"/>
                <w:iCs w:val="1"/>
                <w:color w:val="auto"/>
              </w:rPr>
              <w:t>Amount and location of gain recognized on derivatives in 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10.7</w:t>
            </w:r>
          </w:p>
        </w:tc>
      </w:tr>
    </w:tbl>
    <w:p>
      <w:pPr>
        <w:spacing w:after="0" w:line="200" w:lineRule="exact"/>
        <w:rPr>
          <w:sz w:val="20"/>
          <w:szCs w:val="20"/>
          <w:color w:val="auto"/>
        </w:rPr>
      </w:pPr>
    </w:p>
    <w:p>
      <w:pPr>
        <w:spacing w:after="0" w:line="216" w:lineRule="exact"/>
        <w:rPr>
          <w:sz w:val="20"/>
          <w:szCs w:val="20"/>
          <w:color w:val="auto"/>
        </w:rPr>
      </w:pPr>
    </w:p>
    <w:p>
      <w:pPr>
        <w:ind w:left="220" w:right="8560" w:hanging="212"/>
        <w:spacing w:after="0" w:line="503" w:lineRule="auto"/>
        <w:tabs>
          <w:tab w:leader="none" w:pos="184"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Stock-based Compensation Expense </w:t>
      </w:r>
      <w:r>
        <w:rPr>
          <w:rFonts w:ascii="Times New Roman" w:cs="Times New Roman" w:eastAsia="Times New Roman" w:hAnsi="Times New Roman"/>
          <w:sz w:val="18"/>
          <w:szCs w:val="18"/>
          <w:i w:val="1"/>
          <w:iCs w:val="1"/>
          <w:color w:val="auto"/>
        </w:rPr>
        <w:t>Stock Options:</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October 31, 2019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2"/>
                <w:szCs w:val="12"/>
                <w:color w:val="auto"/>
              </w:rPr>
            </w:pPr>
          </w:p>
        </w:tc>
        <w:tc>
          <w:tcPr>
            <w:tcW w:w="1060" w:type="dxa"/>
            <w:vAlign w:val="bottom"/>
          </w:tcPr>
          <w:p>
            <w:pPr>
              <w:jc w:val="right"/>
              <w:ind w:right="283"/>
              <w:spacing w:after="0" w:line="149" w:lineRule="exact"/>
              <w:rPr>
                <w:sz w:val="20"/>
                <w:szCs w:val="20"/>
                <w:color w:val="auto"/>
              </w:rPr>
            </w:pPr>
            <w:r>
              <w:rPr>
                <w:rFonts w:ascii="Times New Roman" w:cs="Times New Roman" w:eastAsia="Times New Roman" w:hAnsi="Times New Roman"/>
                <w:sz w:val="14"/>
                <w:szCs w:val="14"/>
                <w:b w:val="1"/>
                <w:bCs w:val="1"/>
                <w:color w:val="auto"/>
              </w:rPr>
              <w:t>value (1)</w:t>
            </w:r>
          </w:p>
        </w:tc>
        <w:tc>
          <w:tcPr>
            <w:tcW w:w="0" w:type="dxa"/>
            <w:vAlign w:val="bottom"/>
          </w:tcPr>
          <w:p>
            <w:pPr>
              <w:spacing w:after="0"/>
              <w:rPr>
                <w:sz w:val="1"/>
                <w:szCs w:val="1"/>
                <w:color w:val="auto"/>
              </w:rPr>
            </w:pPr>
          </w:p>
        </w:tc>
      </w:tr>
      <w:tr>
        <w:trPr>
          <w:trHeight w:val="195"/>
        </w:trPr>
        <w:tc>
          <w:tcPr>
            <w:tcW w:w="5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 outstanding at January 31, 2019</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23.16</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Canceled/Forfeited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8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Options outstanding at October 31, 2019</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16"/>
                <w:szCs w:val="16"/>
                <w:color w:val="auto"/>
              </w:rPr>
              <w:t>24.66</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 vested and exercisable at October 31, 2019</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31.13</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Shares available for grant at October 31, 2019</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20" w:type="dxa"/>
            <w:vAlign w:val="bottom"/>
            <w:vMerge w:val="continue"/>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total pre-tax intrinsic value, based on Autodesk’s closing stock price of $147.36 per share as of October 31, 2019.</w:t>
      </w:r>
    </w:p>
    <w:p>
      <w:pPr>
        <w:spacing w:after="0" w:line="203"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As of October 31, 2019, compensation cost of $35.9 million related to non-vested stock options is expected to be recognized over a weighted average period of 2.2 years.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the pre-tax intrinsic value of options exercised during the nine months ended October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intrinsic value of options exercised (1)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intrinsic value of options exercised is calculated as the difference between the exercise price of the option and the market value of the stock on the date of exercise.</w:t>
      </w:r>
    </w:p>
    <w:p>
      <w:pPr>
        <w:spacing w:after="0" w:line="202"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69" w:right="239" w:bottom="1440" w:gutter="0" w:footer="0" w:header="0"/>
        </w:sectPr>
      </w:pPr>
    </w:p>
    <w:bookmarkStart w:id="19" w:name="page20"/>
    <w:bookmarkEnd w:id="19"/>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summary of restricted stock activity for the nine months ended October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Unvested restricted stock units at January 31, 2019</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Unvested restricted stock units at October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5"/>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4,287.4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120.07</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2,812.3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153.63</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109.19</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130.34</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156.69</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4,983.4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143.06</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620" w:space="720"/>
            <w:col w:w="3080"/>
          </w:cols>
          <w:pgMar w:left="240" w:top="767" w:right="239" w:bottom="1440" w:gutter="0" w:footer="0" w:header="0"/>
        </w:sect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420" w:right="340" w:hanging="412"/>
        <w:spacing w:after="0" w:line="263" w:lineRule="auto"/>
        <w:tabs>
          <w:tab w:leader="none" w:pos="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Autodesk's financial results and relative total stockholder return for the fiscal 2019 performance period. The performance stock units were attained at rates ranging from 105.2% to 122.5% of the target award.</w:t>
      </w:r>
    </w:p>
    <w:p>
      <w:pPr>
        <w:spacing w:after="0" w:line="172"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fair value of the shares vested during the nine months ended October 31, 2019 and 2018 was $277.3 million and $355.1 million, respectively.</w:t>
      </w:r>
    </w:p>
    <w:p>
      <w:pPr>
        <w:spacing w:after="0" w:line="225"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During the nine months ended October 31, 2019, Autodesk granted 2.2 million restricted stock units. Additionally, during the nine months ended October 31, 2019, Autodesk granted 0.3 million restricted stock units for which the ultimate number of shares earned is based on the Autodesk closing stock price on each vesting date. As these awards will be settled in a fixed dollar amount of shares, the awards are accounted for as a liability-classified award and are expensed using the straight-line method over the vesting period.</w:t>
      </w:r>
    </w:p>
    <w:p>
      <w:pPr>
        <w:spacing w:after="0" w:line="180"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restricted stock units of $73.8 million and $49.8 million during the three months ended October 31, 2019 and 2018, respectively. Autodesk recorded stock-based compensation expense related to restricted stock units of $192.4 million and $135.6 million during the nine months ended October 31, 2019 and 2018, respectively.</w:t>
      </w:r>
    </w:p>
    <w:p>
      <w:pPr>
        <w:spacing w:after="0" w:line="176"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During the nine months ended October 31, 2019, Autodesk granted 0.3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goals adopted by the Compensation and Human Resource Committee, as well as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188" w:lineRule="exact"/>
        <w:rPr>
          <w:sz w:val="20"/>
          <w:szCs w:val="20"/>
          <w:color w:val="auto"/>
        </w:rPr>
      </w:pPr>
    </w:p>
    <w:p>
      <w:pPr>
        <w:ind w:left="660" w:right="2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one, depending upon the achievement of the performance criteria for fiscal 2020 as well as 1-year Relative TSR (covering year one).</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Performance stock units are not considered outstanding stock at the time of grant, as the holders of these units are not entitled to any of the rights of a stockholder, including voting rights.</w:t>
      </w:r>
    </w:p>
    <w:p>
      <w:pPr>
        <w:spacing w:after="0" w:line="1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Autodesk recorded stock-based compensation expense related to performance stock units of $6.4 million and $7.5 million for the three months ended October 31, 2019 and 2018, respectively. Autodesk recorded stock-based compensation expense related to performance stock units of $18.6 million and $19.9 million for the nine months ended October 31, 2019 and 2018,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67" w:right="239" w:bottom="1440" w:gutter="0" w:footer="0" w:header="0"/>
          <w:type w:val="continuous"/>
        </w:sectPr>
      </w:pPr>
    </w:p>
    <w:bookmarkStart w:id="20" w:name="page21"/>
    <w:bookmarkEnd w:id="20"/>
    <w:p>
      <w:pPr>
        <w:ind w:left="220"/>
        <w:spacing w:after="0"/>
        <w:rPr>
          <w:sz w:val="20"/>
          <w:szCs w:val="20"/>
          <w:color w:val="auto"/>
        </w:rPr>
      </w:pPr>
      <w:r>
        <w:rPr>
          <w:rFonts w:ascii="Times New Roman" w:cs="Times New Roman" w:eastAsia="Times New Roman" w:hAnsi="Times New Roman"/>
          <w:sz w:val="18"/>
          <w:szCs w:val="18"/>
          <w:i w:val="1"/>
          <w:iCs w:val="1"/>
          <w:color w:val="auto"/>
        </w:rPr>
        <w:t>1998 Employee Qualified Stock Purchase Plan (“ESPP”)</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ESPP activity for the three and nine months ended October 31, 2019 and 2018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Issued shares (in millions)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price of issued shares</w:t>
            </w:r>
          </w:p>
        </w:tc>
        <w:tc>
          <w:tcPr>
            <w:tcW w:w="90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105.42</w:t>
            </w:r>
          </w:p>
        </w:tc>
        <w:tc>
          <w:tcPr>
            <w:tcW w:w="120" w:type="dxa"/>
            <w:vAlign w:val="bottom"/>
          </w:tcPr>
          <w:p>
            <w:pPr>
              <w:spacing w:after="0"/>
              <w:rPr>
                <w:sz w:val="20"/>
                <w:szCs w:val="20"/>
                <w:color w:val="auto"/>
              </w:rPr>
            </w:pP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92.50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102.20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90.25</w:t>
            </w:r>
          </w:p>
        </w:tc>
      </w:tr>
      <w:tr>
        <w:trPr>
          <w:trHeight w:val="33"/>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grant date fair value of awards granted under the ESPP (1)</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42.75</w:t>
            </w:r>
          </w:p>
        </w:tc>
      </w:tr>
      <w:tr>
        <w:trPr>
          <w:trHeight w:val="220"/>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420" w:hanging="412"/>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of the award grant date using the Black-Scholes Merton (“BSM") option pricing model.</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for the three and nine months ended October 31, 2019 and 2018, respectively,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subscription and maintenance revenue</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other revenue</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Marketing and sales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96"/>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w:t>
            </w:r>
          </w:p>
        </w:tc>
        <w:tc>
          <w:tcPr>
            <w:tcW w:w="98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6"/>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 related to stock awards and ESPP</w:t>
            </w:r>
          </w:p>
        </w:tc>
        <w:tc>
          <w:tcPr>
            <w:tcW w:w="980" w:type="dxa"/>
            <w:vAlign w:val="bottom"/>
            <w:tcBorders>
              <w:top w:val="single" w:sz="8" w:color="auto"/>
            </w:tcBorders>
            <w:vMerge w:val="restart"/>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8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28"/>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net of tax</w:t>
            </w: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67" w:right="2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 Assumptions</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76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expected lives (in years)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risk-free interest rates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expected lives (in years)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Range of risk-free interest rates</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 31, 2018</w:t>
            </w:r>
          </w:p>
        </w:tc>
        <w:tc>
          <w:tcPr>
            <w:tcW w:w="0" w:type="dxa"/>
            <w:vAlign w:val="bottom"/>
          </w:tcPr>
          <w:p>
            <w:pPr>
              <w:spacing w:after="0"/>
              <w:rPr>
                <w:sz w:val="1"/>
                <w:szCs w:val="1"/>
                <w:color w:val="auto"/>
              </w:rPr>
            </w:pPr>
          </w:p>
        </w:tc>
      </w:tr>
      <w:tr>
        <w:trPr>
          <w:trHeight w:val="149"/>
        </w:trPr>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00" w:type="dxa"/>
            <w:vAlign w:val="bottom"/>
            <w:vMerge w:val="restart"/>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5"/>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 (1)</w:t>
            </w:r>
          </w:p>
        </w:tc>
        <w:tc>
          <w:tcPr>
            <w:tcW w:w="1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 (1)</w:t>
            </w:r>
          </w:p>
        </w:tc>
        <w:tc>
          <w:tcPr>
            <w:tcW w:w="1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32.7 - 35.9%</w:t>
            </w: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32.7 - 34.6%</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10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1.7 - 1.9%</w:t>
            </w:r>
          </w:p>
        </w:tc>
        <w:tc>
          <w:tcPr>
            <w:tcW w:w="10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2.3 - 2.8%</w:t>
            </w:r>
          </w:p>
        </w:tc>
        <w:tc>
          <w:tcPr>
            <w:tcW w:w="0" w:type="dxa"/>
            <w:vAlign w:val="bottom"/>
          </w:tcPr>
          <w:p>
            <w:pPr>
              <w:spacing w:after="0"/>
              <w:rPr>
                <w:sz w:val="1"/>
                <w:szCs w:val="1"/>
                <w:color w:val="auto"/>
              </w:rPr>
            </w:pPr>
          </w:p>
        </w:tc>
      </w:tr>
      <w:tr>
        <w:trPr>
          <w:trHeight w:val="298"/>
        </w:trPr>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100" w:type="dxa"/>
            <w:vAlign w:val="bottom"/>
          </w:tcPr>
          <w:p>
            <w:pPr>
              <w:spacing w:after="0"/>
              <w:rPr>
                <w:sz w:val="24"/>
                <w:szCs w:val="24"/>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 31, 2018</w:t>
            </w:r>
          </w:p>
        </w:tc>
        <w:tc>
          <w:tcPr>
            <w:tcW w:w="0" w:type="dxa"/>
            <w:vAlign w:val="bottom"/>
          </w:tcPr>
          <w:p>
            <w:pPr>
              <w:spacing w:after="0"/>
              <w:rPr>
                <w:sz w:val="1"/>
                <w:szCs w:val="1"/>
                <w:color w:val="auto"/>
              </w:rPr>
            </w:pPr>
          </w:p>
        </w:tc>
      </w:tr>
      <w:tr>
        <w:trPr>
          <w:trHeight w:val="149"/>
        </w:trPr>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7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ESPP</w:t>
            </w:r>
          </w:p>
        </w:tc>
        <w:tc>
          <w:tcPr>
            <w:tcW w:w="1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 Stock</w:t>
            </w:r>
          </w:p>
        </w:tc>
        <w:tc>
          <w:tcPr>
            <w:tcW w:w="16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ESPP</w:t>
            </w:r>
          </w:p>
        </w:tc>
        <w:tc>
          <w:tcPr>
            <w:tcW w:w="0" w:type="dxa"/>
            <w:vAlign w:val="bottom"/>
          </w:tcPr>
          <w:p>
            <w:pPr>
              <w:spacing w:after="0"/>
              <w:rPr>
                <w:sz w:val="1"/>
                <w:szCs w:val="1"/>
                <w:color w:val="auto"/>
              </w:rPr>
            </w:pPr>
          </w:p>
        </w:tc>
      </w:tr>
      <w:tr>
        <w:trPr>
          <w:trHeight w:val="195"/>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2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32.7 - 39.7%</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32.7 - 37.5%</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10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0.5 - 2.0</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1.7 - 2.5%</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1.9 - 2.8%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-1753870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-1410335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-664210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-321310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620"/>
          </w:cols>
          <w:pgMar w:left="240" w:top="767" w:right="2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340" w:firstLine="8"/>
        <w:spacing w:after="0" w:line="263"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performance stock units granted for the three months ended October 31, 2019 and 2018 where the fair value was estimated by a Monte Carlo simulation model.</w:t>
      </w:r>
    </w:p>
    <w:p>
      <w:pPr>
        <w:spacing w:after="0" w:line="14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North American Technology Software Index with a market capitalization over $2.0 billion, depending on the award type.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Autodesk recognizes expense only for the stock-based awards that ultimately vest. Autodesk accounts for forfeitures of our stock-based awards as those forfeitures occur.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67"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7. Income Tax</w:t>
      </w:r>
    </w:p>
    <w:p>
      <w:pPr>
        <w:spacing w:after="0" w:line="229" w:lineRule="exact"/>
        <w:rPr>
          <w:sz w:val="20"/>
          <w:szCs w:val="20"/>
          <w:color w:val="auto"/>
        </w:rPr>
      </w:pPr>
    </w:p>
    <w:p>
      <w:pPr>
        <w:ind w:right="80" w:firstLine="467"/>
        <w:spacing w:after="0" w:line="258" w:lineRule="auto"/>
        <w:rPr>
          <w:sz w:val="20"/>
          <w:szCs w:val="20"/>
          <w:color w:val="auto"/>
        </w:rPr>
      </w:pPr>
      <w:r>
        <w:rPr>
          <w:rFonts w:ascii="Times New Roman" w:cs="Times New Roman" w:eastAsia="Times New Roman" w:hAnsi="Times New Roman"/>
          <w:sz w:val="18"/>
          <w:szCs w:val="18"/>
          <w:color w:val="auto"/>
        </w:rPr>
        <w:t>Autodesk had income tax expense of $29.7 million, relative to pre-tax income of $96.4 million for the three months ended October 31, 2019, and income tax expense of $35.2 million, relative to pre-tax income of $11.5 million for the three months ended October 31, 2018. Autodesk had income tax expense of $88.8 million, relative to pre-tax income of $171.5 million for the nine months ended October 31, 2019, and income tax expense of $69.8 million, relative to pre-tax loss of $75.7 million for the nine months ended October 31, 2018. Income tax expense for the three months ended October 31, 2019 decreased and nine months ended October 31, 2019 increased primarily due foreign earnings and withholding taxes.</w:t>
      </w:r>
    </w:p>
    <w:p>
      <w:pPr>
        <w:spacing w:after="0" w:line="197"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October 31, 2019.</w:t>
      </w:r>
    </w:p>
    <w:p>
      <w:pPr>
        <w:spacing w:after="0" w:line="18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As of October 31, 2019, the Company had $215.8 million of gross unrecognized tax benefits, of which $198.4 million would reduce our valuation allowance, if recognized. The remaining $17.4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Other Intangible Assets, Net</w:t>
      </w:r>
    </w:p>
    <w:p>
      <w:pPr>
        <w:spacing w:after="0" w:line="229"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49" w:right="239" w:bottom="1440" w:gutter="0" w:footer="0" w:header="0"/>
        </w:sect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2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647.0</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670.2</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533.1</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1,178.8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1,203.3</w:t>
            </w: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(922.5)</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225.2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280.8</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49" w:right="239" w:bottom="1440" w:gutter="0" w:footer="0" w:header="0"/>
          <w:type w:val="continuous"/>
        </w:sect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assets” in the accompanying Condensed Consolidated Balance Sheets.</w:t>
      </w:r>
    </w:p>
    <w:p>
      <w:pPr>
        <w:spacing w:after="0" w:line="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effects of foreign currency translation.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Goodwill</w:t>
      </w:r>
    </w:p>
    <w:p>
      <w:pPr>
        <w:spacing w:after="0" w:line="22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Goodwill consists of the excess of the consideration transferred over the fair value of net assets acquired in business combinations. The following table summarizes the changes in the carrying amount of goodwill for the nine months ended October 31, 2019:</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January 31, 2019</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2,600.0</w:t>
            </w:r>
          </w:p>
        </w:tc>
      </w:tr>
      <w:tr>
        <w:trPr>
          <w:trHeight w:val="224"/>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impairment losses as of January 31, 2019</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balance as of January 31, 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2,450.8</w:t>
            </w:r>
          </w:p>
        </w:tc>
      </w:tr>
      <w:tr>
        <w:trPr>
          <w:trHeight w:val="217"/>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foreign currency translation and measurement period adjustments (1)</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October 31, 2019</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2,443.6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right="180" w:firstLine="8"/>
        <w:spacing w:after="0" w:line="263" w:lineRule="auto"/>
        <w:tabs>
          <w:tab w:leader="none" w:pos="39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Measurement period adjustments reflect revisions made to the Company's preliminary determination of estimated fair value of assets and liabilities assumed during the nine months ending October 31, 2019.</w:t>
      </w:r>
    </w:p>
    <w:p>
      <w:pPr>
        <w:spacing w:after="0" w:line="146"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49" w:right="239" w:bottom="1440" w:gutter="0" w:footer="0" w:header="0"/>
          <w:type w:val="continuous"/>
        </w:sectPr>
      </w:pPr>
    </w:p>
    <w:bookmarkStart w:id="23" w:name="page24"/>
    <w:bookmarkEnd w:id="23"/>
    <w:p>
      <w:pPr>
        <w:ind w:firstLine="405"/>
        <w:spacing w:after="0" w:line="256" w:lineRule="auto"/>
        <w:rPr>
          <w:sz w:val="20"/>
          <w:szCs w:val="20"/>
          <w:color w:val="auto"/>
        </w:rPr>
      </w:pPr>
      <w:r>
        <w:rPr>
          <w:rFonts w:ascii="Times New Roman" w:cs="Times New Roman" w:eastAsia="Times New Roman" w:hAnsi="Times New Roman"/>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88"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was no goodwill impairment during the three and nine months ended October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Deferred Compensation</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At October 31, 2019, Autodesk had marketable securities totaling $68.3 million, all of which related to investments in debt and equity securities that are held in a rabbi trust under non-qualified deferred compensation plans. Of the $68.3 million related to the deferred compensation liability at October 31, 2019, $5.9 million was classified as current and $62.4 million was classified as non-current liabilities. Of the $60.3 million related to the deferred compensation liability at January 31, 2019, $5.0 million was classified as current and $55.3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27" w:lineRule="exact"/>
        <w:rPr>
          <w:sz w:val="20"/>
          <w:szCs w:val="20"/>
          <w:color w:val="auto"/>
        </w:rPr>
      </w:pPr>
    </w:p>
    <w:p>
      <w:pPr>
        <w:ind w:right="440" w:firstLine="405"/>
        <w:spacing w:after="0" w:line="255" w:lineRule="auto"/>
        <w:rPr>
          <w:sz w:val="20"/>
          <w:szCs w:val="20"/>
          <w:color w:val="auto"/>
        </w:rPr>
      </w:pPr>
      <w:r>
        <w:rPr>
          <w:rFonts w:ascii="Times New Roman" w:cs="Times New Roman" w:eastAsia="Times New Roman" w:hAnsi="Times New Roman"/>
          <w:sz w:val="18"/>
          <w:szCs w:val="18"/>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and "Other assets" on our Condensed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sales and marketing expenses in the Condensed Consolidated Statements of Operations.</w:t>
      </w:r>
    </w:p>
    <w:p>
      <w:pPr>
        <w:spacing w:after="0" w:line="18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ending balance of assets recognized from costs to obtain a contract with a customer was $75.9 million as of October 31, 2019 and $93.0 million as of January 31, 2019. Amortization expense related to assets recognized from costs to obtain a contract with a customer was $25.2 million and $75.4 million during the three and nine months ended October 31, 2019, respectively. Amortization expense related to assets recognized from costs to obtain a contract with a customer was $26.9 million and $80.0 million during the three and nine months ended October 31, 2018, respectively. Autodesk did not recognize any contract cost impairment losses during the nine months ended October 31, 2019 and 2018.</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553"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11. Computer Equipment, Software, Furniture and Leasehold Improvements,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35"/>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Computer hardware, at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190.2</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 software,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66.7</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Leasehold improvements, land and buildings, at cost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Furniture and equipment,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67.2</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571.9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Computer software, hardware, leasehold improvements, furniture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149.7</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Borrowing Arrangements</w:t>
      </w:r>
    </w:p>
    <w:p>
      <w:pPr>
        <w:spacing w:after="0" w:line="22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replaced and terminated Autodesk’s prior $400.0 million revolving credit facility.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 3.00:1.0 in the fiscal quarter ending January 31, 2020. At October 31, 2019,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October 31, 2019, Autodesk had no outstanding borrowings under the credit agreement.</w:t>
      </w:r>
    </w:p>
    <w:p>
      <w:pPr>
        <w:spacing w:after="0" w:line="18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December 2018, Autodesk also entered into a Term Loan Agreement by and among Autodesk, the lenders from time to time party thereto and Citibank, N.A., as agent, which provides for a delayed draw term loan facility in the aggregate principal amount of $500.0 million and was borrowed in full to consummate the PlanGrid, Inc. acquisition. The term loan bears interest, at Autodesk's option, at either (i) a floating rate per annum equal to the base rate plus a margin between 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Interest under the term loan was 2.911% at October 31, 2019. The Term Loan Agreement contains customary covenants that could, among other things, restrict the imposition of liens on Autodesk's assets and restrict Autodesk’s ability to incur additional indebtedness or make dispositions of assets if Autodesk fails to maintain the financial covenants. The Term Loan Agreement has the same financial covenants as those included in the credit agreement governing its revolving loan facility described above. The term loan will mature on December 2020 and will not be subject to amortization prior to the maturity date. As of October 31, 2019, $150.0 million remains outstanding under the term loan.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49" w:right="239" w:bottom="1440" w:gutter="0" w:footer="0" w:header="0"/>
        </w:sectPr>
      </w:pPr>
    </w:p>
    <w:bookmarkStart w:id="25" w:name="page26"/>
    <w:bookmarkEnd w:id="25"/>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$519.0 million as of October 31, 2019.</w:t>
      </w:r>
    </w:p>
    <w:p>
      <w:pPr>
        <w:spacing w:after="0" w:line="189" w:lineRule="exact"/>
        <w:rPr>
          <w:sz w:val="20"/>
          <w:szCs w:val="20"/>
          <w:color w:val="auto"/>
        </w:rPr>
      </w:pPr>
    </w:p>
    <w:p>
      <w:pPr>
        <w:jc w:val="both"/>
        <w:ind w:right="220" w:firstLine="405"/>
        <w:spacing w:after="0" w:line="255" w:lineRule="auto"/>
        <w:rPr>
          <w:sz w:val="20"/>
          <w:szCs w:val="20"/>
          <w:color w:val="auto"/>
        </w:rPr>
      </w:pPr>
      <w:r>
        <w:rPr>
          <w:rFonts w:ascii="Times New Roman" w:cs="Times New Roman" w:eastAsia="Times New Roman" w:hAnsi="Times New Roman"/>
          <w:sz w:val="18"/>
          <w:szCs w:val="18"/>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$781.6 million as of October 31, 2019. As of October 31, 2019, the $450.0 million 3.125% notes due June 15, 2020 are recorded in the Condensed Consolidated Balance Sheets under "Current portion of long-term notes payable, net," and the weighted average interest rate was 3.125%.</w:t>
      </w:r>
    </w:p>
    <w:p>
      <w:pPr>
        <w:spacing w:after="0" w:line="18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December 2012, Autodesk issued $400.0 million aggregate principal amount of 1.95% notes due December 15, 2017 ("$400.0 million 2012 Notes") and $350.0 million aggregate principal amount of 3.6% notes due December 15, 2022 ("$350.0 million 2012 Notes" and collectively with the $400.0 million 2012 Notes,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the $400.0 million 2012 Notes.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$350.0 million 2012 Notes was approximately $362.0 million as of October 31,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Leases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Autodesk has operating leases for real estate, vehicles and certain equipment. Leases have remaining lease terms of less than 1 year to 70 years, some of which include options to extend the lease with renewal terms from 1 year to 10 years and some of which include options to terminate the leases from less than 1 year to 11 years. Options to extend the lease are included in the lease liability if they are reasonably certain of being exercised. Options to terminate are considered in determining the lease liability if they are reasonably certain of being exercised. The Company’s lease contracts include obligations to pay for other services, such as operations and maintenance. The Company’s leases do not contain residual value guarantees or material restrictive covenants.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53" w:right="2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433"/>
        </w:trPr>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16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of other</w:t>
            </w: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Marketing and</w:t>
            </w:r>
          </w:p>
        </w:tc>
        <w:tc>
          <w:tcPr>
            <w:tcW w:w="16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operating cash flow information related to leases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250"/>
        </w:trPr>
        <w:tc>
          <w:tcPr>
            <w:tcW w:w="97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5"/>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operating leases included in operating cash flows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66.4</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operating lease liabilities arising from obtaining 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55.2</w:t>
            </w:r>
          </w:p>
        </w:tc>
      </w:tr>
      <w:tr>
        <w:trPr>
          <w:trHeight w:val="249"/>
        </w:trPr>
        <w:tc>
          <w:tcPr>
            <w:tcW w:w="9720" w:type="dxa"/>
            <w:vAlign w:val="bottom"/>
          </w:tcPr>
          <w:p>
            <w:pPr>
              <w:jc w:val="right"/>
              <w:ind w:right="8196"/>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ind w:right="300" w:firstLine="8"/>
        <w:spacing w:after="0" w:line="263" w:lineRule="auto"/>
        <w:tabs>
          <w:tab w:leader="none" w:pos="22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$8.9 million in variable lease payments not included in "Operating lease liabilities" and "Long-term operating lease liabilities" on the Condensed Consolidated Balance Sheet.</w:t>
      </w:r>
    </w:p>
    <w:p>
      <w:pPr>
        <w:spacing w:after="0" w:line="14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6 years at October 31, 2019. The weighted average discount rate was 3.78% at October 31, 2019.</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Fiscal year ending</w:t>
            </w: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2020 (remainder)</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r>
      <w:tr>
        <w:trPr>
          <w:trHeight w:val="224"/>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w:t>
            </w: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w:t>
            </w:r>
          </w:p>
        </w:tc>
      </w:tr>
      <w:tr>
        <w:trPr>
          <w:trHeight w:val="224"/>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w:t>
            </w: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w:t>
            </w:r>
          </w:p>
        </w:tc>
      </w:tr>
      <w:tr>
        <w:trPr>
          <w:trHeight w:val="224"/>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w:t>
            </w:r>
          </w:p>
        </w:tc>
      </w:tr>
      <w:tr>
        <w:trPr>
          <w:trHeight w:val="33"/>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339.8</w:t>
            </w:r>
          </w:p>
        </w:tc>
      </w:tr>
      <w:tr>
        <w:trPr>
          <w:trHeight w:val="224"/>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imputed interest</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r>
      <w:tr>
        <w:trPr>
          <w:trHeight w:val="33"/>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303.8</w:t>
            </w: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As of October 31, 2019, Autodesk has additional operating lease minimum lease payments of $159.0 million for executed leases that have not yet commenced, primarily for office locations.</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October 31, 2018, rent expense related to operating leases under previous accounting guidance was $15.0 million and $45.5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5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14. Commitments and Contingencies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2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Autodesk is involved in a variety of claims, suits, investigations, inquiries, and proceedings in the normal course of business including claims of alleged infringement of intellectual property rights, commercial, employment, tax,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549"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15. Stockholders' Deficit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stockholders' deficit by component, net of tax, as of October 31, 2019,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5"/>
                <w:szCs w:val="5"/>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gridSpan w:val="3"/>
            <w:vMerge w:val="continue"/>
          </w:tcPr>
          <w:p>
            <w:pPr>
              <w:spacing w:after="0"/>
              <w:rPr>
                <w:sz w:val="5"/>
                <w:szCs w:val="5"/>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5"/>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January 31, 2019</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Post-combination expense related to equity awards assumed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April 30, 2019</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2,123.1</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Post-combination expense related to equity awards assumed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July 31, 2019</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219.5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2,200.7</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Post-combination expense related to equity awards assumed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and retirement of common shares (1)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October 31, 2019</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40" w:hanging="412"/>
        <w:spacing w:after="0" w:line="254" w:lineRule="auto"/>
        <w:tabs>
          <w:tab w:leader="none" w:pos="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and nine months ended October 31, 2019, Autodesk repurchased 0.8 million and 1.7 million shares at an average repurchase price of $144.49 and $156.16 per share, respectively. At October 31, 2019, 15.7 million shares remained available for repurchase under the repurchase program approved by the Board of Directors.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49" w:right="23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color w:val="auto"/>
        </w:rPr>
        <w:t>Changes in stockholders' deficit by component, net of tax, as of January 31, 2019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 and additional paid-</w:t>
            </w: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68"/>
        </w:trPr>
        <w:tc>
          <w:tcPr>
            <w:tcW w:w="4660" w:type="dxa"/>
            <w:vAlign w:val="bottom"/>
          </w:tcPr>
          <w:p>
            <w:pPr>
              <w:spacing w:after="0"/>
              <w:rPr>
                <w:sz w:val="5"/>
                <w:szCs w:val="5"/>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5"/>
                <w:szCs w:val="5"/>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6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April 30, 2018</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2,001.0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for acquisition</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July 31, 2018</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2,012.5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October 31, 2018</w:t>
            </w:r>
          </w:p>
        </w:tc>
        <w:tc>
          <w:tcPr>
            <w:tcW w:w="10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2,009.1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accounting adjustment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and retirement of common shares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January 31, 2019</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60"/>
          </w:cols>
          <w:pgMar w:left="280" w:top="553"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16. Accumulated Other Comprehensive Loss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net of taxes, consisted of the following at October 31, 2019: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January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October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 Income (Loss) Per Share</w:t>
      </w:r>
    </w:p>
    <w:p>
      <w:pPr>
        <w:spacing w:after="0" w:line="22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using the weighted average number of shares of common stock outstanding for the period, excluding stock options and restricted stock units. Diluted net income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(loss)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Denominator:</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basic net income (loss) per share—weighted average shares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dilutive securities (1)</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dilutive net income (loss) per share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Basic net income (loss) per share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20" w:right="400" w:hanging="412"/>
        <w:spacing w:after="0" w:line="263" w:lineRule="auto"/>
        <w:tabs>
          <w:tab w:leader="none" w:pos="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dilutive securities of 2.7 million and 3.0 million shares in the three and nine months ended October 31, 2018, respectively, has been excluded from the calculation of diluted net income (loss) per share as those shares would have been anti-dilutive due to the net loss incurred during those periods.</w:t>
      </w:r>
    </w:p>
    <w:p>
      <w:pPr>
        <w:spacing w:after="0" w:line="14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computation of diluted net income (loss) per share does not include shares that are anti-dilutive under the treasury stock method because their exercise prices are higher than the average market value of Autodesk’s stock during the periods. For the three and nine months ended October 31, 2019, there were no potentially anti-dilutive shares excluded from the computation of diluted net income per share. For the three and nine months ended October 31, 2018, there were 0.7 million and 0.3 million potentially anti-dilutive shares excluded from the computation of diluted net loss per share,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49"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18. Segments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 Subsequent Events</w:t>
      </w:r>
    </w:p>
    <w:p>
      <w:pPr>
        <w:spacing w:after="0" w:line="2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November 19, 2019, Autodesk paid $50.0 million on the Term Loan Agreement. As of December 5, 2019, $100.0 million principal balance remains outstanding under the Term Loan Agreement. See Note 12 , "Borrowing Arrangements," for further discussion on the Term Loan Agreement terms.</w:t>
      </w:r>
    </w:p>
    <w:p>
      <w:pPr>
        <w:spacing w:after="0" w:line="162"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Effective December 1, 2019, Autodesk entered into an agreement with a third party cloud services provider. Under the agreement, Autodesk committed to spend an aggregate of $250.0 million through November 30, 2024 on cloud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549" w:right="259" w:bottom="1440" w:gutter="0" w:footer="0" w:header="0"/>
        </w:sectPr>
      </w:pPr>
    </w:p>
    <w:bookmarkStart w:id="32" w:name="page33"/>
    <w:bookmarkEnd w:id="3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Nine Months Ended October 31, 2019 and 2018” below; future revenue, operating expenses, recurring revenue, annualized recurring revenue, cash flow, net revenue retention rate and other future financial results (by product type and geography); the effectiveness of our efforts to successfully manage transitions to new industries; our ability to increase our subscription base; expected market trends, including the growth of cloud and mobile computing; the availability of credit; the effect of unemployment; the effects of global economic conditions;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7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176"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180"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To address this shift, Autodesk made a strategic decision to shift its business model from selling perpetual licenses and maintenance plans to selling subscriptions.</w:t>
      </w:r>
    </w:p>
    <w:p>
      <w:pPr>
        <w:spacing w:after="0" w:line="162"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Today, we offer subscriptions for individual products and Industry Collections, flexible enterprise business agreements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17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product subscriptions currently represent a hybrid of desktop software and cloud functionality, which provides a device-independent, collaborative design workflow for designers and their stakeholders. For example, our cloud offerings, including BIM 360, Shotgun, Fusion 360, and AutoCAD web and mobile, provide tools to streamline design, collaboration, building manufacturing and data management processes. We believe that customer adoption of these new offerings will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549" w:right="259" w:bottom="1440" w:gutter="0" w:footer="0" w:header="0"/>
        </w:sectPr>
      </w:pPr>
    </w:p>
    <w:bookmarkStart w:id="33" w:name="page34"/>
    <w:bookmarkEnd w:id="33"/>
    <w:p>
      <w:pPr>
        <w:ind w:right="300"/>
        <w:spacing w:after="0" w:line="282" w:lineRule="auto"/>
        <w:rPr>
          <w:sz w:val="20"/>
          <w:szCs w:val="20"/>
          <w:color w:val="auto"/>
        </w:rPr>
      </w:pPr>
      <w:r>
        <w:rPr>
          <w:rFonts w:ascii="Times New Roman" w:cs="Times New Roman" w:eastAsia="Times New Roman" w:hAnsi="Times New Roman"/>
          <w:sz w:val="18"/>
          <w:szCs w:val="18"/>
          <w:color w:val="auto"/>
        </w:rPr>
        <w:t>continue to grow as customers across a range of industries begin to take advantage of the scalable computing power and flexibility provided through these new services.</w:t>
      </w:r>
    </w:p>
    <w:p>
      <w:pPr>
        <w:spacing w:after="0" w:line="162"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Industry Collections provide our customers with increased access to a broader selection of Autodesk solutions and services that exceeds those previously available in suites — simplifying the customers' ability to get access to a complete set of tools for their industry.</w:t>
      </w:r>
    </w:p>
    <w:p>
      <w:pPr>
        <w:spacing w:after="0" w:line="162"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 discontinued the sale of new perpetual commercial licenses of most individual software products in 2016. Additionally, in June 2017, we commenced a three-year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w:t>
      </w:r>
    </w:p>
    <w:p>
      <w:pPr>
        <w:spacing w:after="0" w:line="18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To support our strategic priority of re-imagining construction, in fiscal 2019, we strengthened the foundation of our construction solutions with both organic and inorganic investments. In addition to investing in our BIM 360 portfolio, we acquired Assemble Systems, Inc. ("Assemble Systems") for quantity take off functionality, PlanGrid, Inc. ("PlanGrid") for document-centric workflows and field execution, and BuildingConnected, Inc. ("BuildingConnected") for bidding and estimation processes. The broadened product portfolio will help us expand our presence with general and sub-contractors, trades people, and building owners.</w:t>
      </w:r>
    </w:p>
    <w:p>
      <w:pPr>
        <w:spacing w:after="0" w:line="184"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part of our manufacturing strategy, we continue to attract both global manufacturing leaders and disruptive startups with our generative design and our Fusion 360 technology enhancements.</w:t>
      </w:r>
    </w:p>
    <w:p>
      <w:pPr>
        <w:spacing w:after="0" w:line="16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See Note 3, "Revenue Recognition" in the Notes to the unaudited Condensed Consolidated Financial Statements for further detail on net revenue by indirect and direct channel sales for the three and nine months ended October 31, 2019 and 2018.</w:t>
      </w:r>
    </w:p>
    <w:p>
      <w:pPr>
        <w:spacing w:after="0" w:line="184"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18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8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Autodesk is committed to helping fuel a lifelong passion for making with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553" w:right="259" w:bottom="1440" w:gutter="0" w:footer="0" w:header="0"/>
        </w:sectPr>
      </w:pPr>
    </w:p>
    <w:bookmarkStart w:id="34" w:name="page35"/>
    <w:bookmarkEnd w:id="34"/>
    <w:p>
      <w:pPr>
        <w:ind w:right="240"/>
        <w:spacing w:after="0" w:line="282" w:lineRule="auto"/>
        <w:rPr>
          <w:sz w:val="20"/>
          <w:szCs w:val="20"/>
          <w:color w:val="auto"/>
        </w:rPr>
      </w:pPr>
      <w:r>
        <w:rPr>
          <w:rFonts w:ascii="Times New Roman" w:cs="Times New Roman" w:eastAsia="Times New Roman" w:hAnsi="Times New Roman"/>
          <w:sz w:val="18"/>
          <w:szCs w:val="18"/>
          <w:color w:val="auto"/>
        </w:rPr>
        <w:t>Udemy and Coursera. Our intention is to make Autodesk software ubiquitous and the design and making software of choice for those poised to become the next generation of professional users.</w:t>
      </w:r>
    </w:p>
    <w:p>
      <w:pPr>
        <w:spacing w:after="0" w:line="162" w:lineRule="exact"/>
        <w:rPr>
          <w:sz w:val="20"/>
          <w:szCs w:val="20"/>
          <w:color w:val="auto"/>
        </w:rPr>
      </w:pPr>
    </w:p>
    <w:p>
      <w:pPr>
        <w:ind w:right="140" w:firstLine="432"/>
        <w:spacing w:after="0" w:line="273" w:lineRule="auto"/>
        <w:rPr>
          <w:sz w:val="20"/>
          <w:szCs w:val="20"/>
          <w:color w:val="auto"/>
        </w:rPr>
      </w:pPr>
      <w:r>
        <w:rPr>
          <w:rFonts w:ascii="Times New Roman" w:cs="Times New Roman" w:eastAsia="Times New Roman" w:hAnsi="Times New Roman"/>
          <w:sz w:val="17"/>
          <w:szCs w:val="17"/>
          <w:color w:val="auto"/>
        </w:rPr>
        <w:t>Our strategy includes improving our product functionality and expanding our product offerings through internal development as well as through the acquisition of products, technology, and businesses. For example, in fiscal 2019, we acquired Assemble Systems, a leading provider of key workflow software solutions, PlanGrid, a leading provider of construction productivity software, and BuildingConnected, a leading pre-construction platform. We believe that the acquisitions of Assemble Systems, PlanGrid and BuildingConnected will enable us to offer a more comprehensive, cloud-based construction platform.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17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To help our customers imagine, design, and make a better world, our sustainability initiatives focus our efforts on the areas where we can have the greatest positive impact: products and support, catalyzing impact and innovation in our future markets, and leading by example with our 100% renewable and sustainable business practices. Through our products and services, we are supporting our customers to better understand and improve the environmental performance of everything they make and mitigate the causes and effects of climate change.</w:t>
      </w:r>
    </w:p>
    <w:p>
      <w:pPr>
        <w:spacing w:after="0" w:line="18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We evaluate annualized recurring revenue ("ARR"), growth of billings, and remaining performance obligations in determining business momentum. To analyze progress, we have disaggregated our growth between the original maintenance model ("maintenance plan") and the subscription plan model. Maintenance plan subscriptions peaked in the fourth quarter of our fiscal 2016 as we discontinued selling new maintenance plan subscriptions in fiscal 2017, and we expect the number of these subscriptions to keep declining over time as maintenance plan customers continue to convert to our subscription plans.</w:t>
      </w:r>
    </w:p>
    <w:p>
      <w:pPr>
        <w:spacing w:after="0" w:line="1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strategy depends upon a number of assumptions, including: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and individuals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2019.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October 31, 2019, as compared to those disclosed in our Form 10-K for the fiscal year ended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2019. We believe these policies are the most critical to aid in fully understanding and evaluating our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Three and Nine Months Ended October 31, 2019 and 2018</w:t>
      </w:r>
    </w:p>
    <w:p>
      <w:pPr>
        <w:spacing w:after="0" w:line="202" w:lineRule="exact"/>
        <w:rPr>
          <w:sz w:val="20"/>
          <w:szCs w:val="20"/>
          <w:color w:val="auto"/>
        </w:rPr>
      </w:pPr>
    </w:p>
    <w:p>
      <w:pPr>
        <w:ind w:left="660" w:right="2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increased 28% and 30% to $842.7 million and $2.38 billion for the three and nine months ended October 31, 2019, respectively, compared to the same periods in the prior fiscal year.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53" w:right="239" w:bottom="1440" w:gutter="0" w:footer="0" w:header="0"/>
        </w:sectPr>
      </w:pPr>
    </w:p>
    <w:bookmarkStart w:id="35" w:name="page36"/>
    <w:bookmarkEnd w:id="35"/>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was $3.2 billion, an increase of 28% compared to the third quarter in the prior fiscal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plan ARR was $2.9 billion, an increase of 49% compared to the third quarter in the prior fiscal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$2.42 billion, an increase of 16% compared to the fourth quarter in the prior fiscal year.</w:t>
      </w:r>
    </w:p>
    <w:p>
      <w:pPr>
        <w:spacing w:after="0" w:line="6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performance obligations (short-term and long-term deferred revenue plus unbilled deferred revenue) was $2.97 billion, an increase of 11% compared to the fourth quarter in the prior fiscal year.</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Revenue Analysis</w:t>
      </w:r>
    </w:p>
    <w:p>
      <w:pPr>
        <w:spacing w:after="0" w:line="22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Net revenue increased during the three and nine months ended October 31, 2019, as compared to the same periods in the prior fiscal year, primarily due to the respective 49% and 58% increase in subscription revenue. This was partially offset by a 39% and 38% decrease in maintenance revenue during the three and nine months ended October 31, 2019, respectively, primarily as a result of the program to migrate customers from maintenance plans to subscription plans.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discussion of the drivers of these results, see below under the heading “Results of Operations.”</w:t>
      </w:r>
    </w:p>
    <w:p>
      <w:pPr>
        <w:spacing w:after="0" w:line="225"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Tech Data Corporation and its global affiliates (collectively, “Tech Data”). Total sales to Tech Data accounted for 35% of Autodesk’s total net revenue for both the three and nine months ended October 31, 2019 and 2018. During the three and nine months ended October 31, 2019 and 2018, Ingram Micro accounted for 10% and 11% of Autodesk's total net revenue, respectively. Our customers through Tech Data and Ingram Micro are the resellers and end users who purchase our software subscriptions and services.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Recurring Revenue and Net Revenue Retention Rate</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order to help better understand our financial performance, we use metrics such as recurring revenue, ARR and net revenue retention rate ("NR3"). Recurring revenue, ARR and NR3 are performance metrics and should be viewed independently of revenue and deferred revenue as recurring revenue, ARR and NR3 are not intended to be combined with those items. Our determination and presentation may differ from that of other companies. Please refer to the Glossary of Terms for the definitions of these metrics.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553" w:right="25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color w:val="auto"/>
        </w:rPr>
        <w:t>The following table outlines our recurring revenue metric for the three and nine months ended October 31, 2019 and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68"/>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 data)</w:t>
            </w:r>
          </w:p>
        </w:tc>
        <w:tc>
          <w:tcPr>
            <w:tcW w:w="15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0" w:type="dxa"/>
            <w:vAlign w:val="bottom"/>
          </w:tcPr>
          <w:p>
            <w:pPr>
              <w:spacing w:after="0"/>
              <w:rPr>
                <w:sz w:val="1"/>
                <w:szCs w:val="1"/>
                <w:color w:val="auto"/>
              </w:rPr>
            </w:pPr>
          </w:p>
        </w:tc>
      </w:tr>
      <w:tr>
        <w:trPr>
          <w:trHeight w:val="235"/>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Recurring Revenue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806.2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631.4</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481"/>
        </w:trPr>
        <w:tc>
          <w:tcPr>
            <w:tcW w:w="5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68"/>
        </w:trPr>
        <w:tc>
          <w:tcPr>
            <w:tcW w:w="554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0" w:type="dxa"/>
            <w:vAlign w:val="bottom"/>
          </w:tcPr>
          <w:p>
            <w:pPr>
              <w:spacing w:after="0"/>
              <w:rPr>
                <w:sz w:val="1"/>
                <w:szCs w:val="1"/>
                <w:color w:val="auto"/>
              </w:rPr>
            </w:pPr>
          </w:p>
        </w:tc>
      </w:tr>
      <w:tr>
        <w:trPr>
          <w:trHeight w:val="235"/>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Recurring Revenue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2,281.2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531.4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1,749.8</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 a percentage of net revenue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Times New Roman" w:cs="Times New Roman" w:eastAsia="Times New Roman" w:hAnsi="Times New Roman"/>
                <w:sz w:val="16"/>
                <w:szCs w:val="16"/>
                <w:color w:val="auto"/>
              </w:rPr>
              <w:t>N/A</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172"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outlines our ARR metric as of October 31, 2019, July 31, 2019, and January 31, 2019:</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13"/>
                <w:szCs w:val="13"/>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88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prior quarter end</w:t>
            </w:r>
          </w:p>
        </w:tc>
        <w:tc>
          <w:tcPr>
            <w:tcW w:w="100" w:type="dxa"/>
            <w:vAlign w:val="bottom"/>
          </w:tcPr>
          <w:p>
            <w:pPr>
              <w:spacing w:after="0"/>
              <w:rPr>
                <w:sz w:val="12"/>
                <w:szCs w:val="12"/>
                <w:color w:val="auto"/>
              </w:rPr>
            </w:pPr>
          </w:p>
        </w:tc>
        <w:tc>
          <w:tcPr>
            <w:tcW w:w="90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prior fiscal year end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88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0"/>
                <w:szCs w:val="10"/>
                <w:color w:val="auto"/>
              </w:rPr>
            </w:pPr>
          </w:p>
        </w:tc>
        <w:tc>
          <w:tcPr>
            <w:tcW w:w="60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9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3"/>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5"/>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Subscription plan ARR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2,860.0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205.2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2,654.8</w:t>
            </w:r>
          </w:p>
        </w:tc>
        <w:tc>
          <w:tcPr>
            <w:tcW w:w="120" w:type="dxa"/>
            <w:vAlign w:val="bottom"/>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2,860.0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659.9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2,200.1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Maintenance plan ARR</w:t>
            </w: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549.3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ARR (1)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3,224.6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3,068.8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2,749.4</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80" w:hanging="412"/>
        <w:spacing w:after="0" w:line="263" w:lineRule="auto"/>
        <w:tabs>
          <w:tab w:leader="none" w:pos="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business may cause variability in the comparison of ARR reported in this table above and ARR derived from the revenue reported in the Condensed Consolidated Statements of Operations.</w:t>
      </w:r>
    </w:p>
    <w:p>
      <w:pPr>
        <w:spacing w:after="0" w:line="335" w:lineRule="exact"/>
        <w:rPr>
          <w:sz w:val="20"/>
          <w:szCs w:val="20"/>
          <w:color w:val="auto"/>
        </w:rPr>
      </w:pPr>
    </w:p>
    <w:p>
      <w:pPr>
        <w:jc w:val="both"/>
        <w:ind w:right="200" w:firstLine="405"/>
        <w:spacing w:after="0" w:line="261" w:lineRule="auto"/>
        <w:rPr>
          <w:sz w:val="20"/>
          <w:szCs w:val="20"/>
          <w:color w:val="auto"/>
        </w:rPr>
      </w:pPr>
      <w:r>
        <w:rPr>
          <w:rFonts w:ascii="Times New Roman" w:cs="Times New Roman" w:eastAsia="Times New Roman" w:hAnsi="Times New Roman"/>
          <w:sz w:val="18"/>
          <w:szCs w:val="18"/>
          <w:color w:val="auto"/>
        </w:rPr>
        <w:t>Total ARR as of October 31, 2019 increased 5% as compared to July 31, 2019 and 17% as compared to the end of fiscal 2019, primarily due to an 8% and 30% increase, in the respective periods, in subscription plan ARR primarily driven by product subscriptions, including the maintenance-to-subscription ("M2S") program as well as from our acquisitions in the fourth quarter of fiscal year 2019. The increase was partially offset by a 12% and 34% decrease, in the respective periods, in maintenance plan ARR driven by the M2S program.</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NR3 was within the approximate range of 110% and 120% as of October 31, 2019 and 2018.</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Analysis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generate a significant amount of our revenue in the United States, Japan, Germany, the United Kingdom, and Finland.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53" w:right="23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8"/>
          <w:szCs w:val="18"/>
          <w:color w:val="auto"/>
        </w:rPr>
        <w:t>The following table shows the impact of foreign exchange rate changes on our net revenue and total spend: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Pr>
          <w:p>
            <w:pPr>
              <w:spacing w:after="0"/>
              <w:rPr>
                <w:sz w:val="16"/>
                <w:szCs w:val="16"/>
                <w:color w:val="auto"/>
              </w:rPr>
            </w:pPr>
          </w:p>
        </w:tc>
        <w:tc>
          <w:tcPr>
            <w:tcW w:w="488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4"/>
                <w:szCs w:val="14"/>
                <w:b w:val="1"/>
                <w:bCs w:val="1"/>
                <w:color w:val="auto"/>
              </w:rPr>
              <w:t>Three Months Ended October 31, 2019</w:t>
            </w:r>
          </w:p>
        </w:tc>
        <w:tc>
          <w:tcPr>
            <w:tcW w:w="100" w:type="dxa"/>
            <w:vAlign w:val="bottom"/>
          </w:tcPr>
          <w:p>
            <w:pPr>
              <w:spacing w:after="0"/>
              <w:rPr>
                <w:sz w:val="16"/>
                <w:szCs w:val="16"/>
                <w:color w:val="auto"/>
              </w:rPr>
            </w:pPr>
          </w:p>
        </w:tc>
        <w:tc>
          <w:tcPr>
            <w:tcW w:w="488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Nine Months Ended October 31, 2019</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Positive/Negative/Neutral</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Positive/Negative/Neutral</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740" w:type="dxa"/>
            <w:vAlign w:val="bottom"/>
            <w:gridSpan w:val="2"/>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impact from foreign</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 from foreign</w:t>
            </w:r>
          </w:p>
        </w:tc>
        <w:tc>
          <w:tcPr>
            <w:tcW w:w="0" w:type="dxa"/>
            <w:vAlign w:val="bottom"/>
          </w:tcPr>
          <w:p>
            <w:pPr>
              <w:spacing w:after="0"/>
              <w:rPr>
                <w:sz w:val="1"/>
                <w:szCs w:val="1"/>
                <w:color w:val="auto"/>
              </w:rPr>
            </w:pPr>
          </w:p>
        </w:tc>
      </w:tr>
      <w:tr>
        <w:trPr>
          <w:trHeight w:val="195"/>
        </w:trPr>
        <w:tc>
          <w:tcPr>
            <w:tcW w:w="15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prior fiscal year (1)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rate changes</w:t>
            </w:r>
          </w:p>
        </w:tc>
        <w:tc>
          <w:tcPr>
            <w:tcW w:w="0" w:type="dxa"/>
            <w:vAlign w:val="bottom"/>
          </w:tcPr>
          <w:p>
            <w:pPr>
              <w:spacing w:after="0"/>
              <w:rPr>
                <w:sz w:val="1"/>
                <w:szCs w:val="1"/>
                <w:color w:val="auto"/>
              </w:rPr>
            </w:pPr>
          </w:p>
        </w:tc>
      </w:tr>
      <w:tr>
        <w:trPr>
          <w:trHeight w:val="235"/>
        </w:trPr>
        <w:tc>
          <w:tcPr>
            <w:tcW w:w="1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Neutral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Neutral</w:t>
            </w:r>
          </w:p>
        </w:tc>
        <w:tc>
          <w:tcPr>
            <w:tcW w:w="0" w:type="dxa"/>
            <w:vAlign w:val="bottom"/>
          </w:tcPr>
          <w:p>
            <w:pPr>
              <w:spacing w:after="0"/>
              <w:rPr>
                <w:sz w:val="1"/>
                <w:szCs w:val="1"/>
                <w:color w:val="auto"/>
              </w:rPr>
            </w:pPr>
          </w:p>
        </w:tc>
      </w:tr>
      <w:tr>
        <w:trPr>
          <w:trHeight w:val="237"/>
        </w:trPr>
        <w:tc>
          <w:tcPr>
            <w:tcW w:w="1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spend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Positive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Positive</w:t>
            </w:r>
          </w:p>
        </w:tc>
        <w:tc>
          <w:tcPr>
            <w:tcW w:w="0" w:type="dxa"/>
            <w:vAlign w:val="bottom"/>
          </w:tcPr>
          <w:p>
            <w:pPr>
              <w:spacing w:after="0"/>
              <w:rPr>
                <w:sz w:val="1"/>
                <w:szCs w:val="1"/>
                <w:color w:val="auto"/>
              </w:rPr>
            </w:pPr>
          </w:p>
        </w:tc>
      </w:tr>
      <w:tr>
        <w:trPr>
          <w:trHeight w:val="249"/>
        </w:trPr>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refer to the Glossary of Terms for the definitions of our constant currency growth rates.</w:t>
      </w:r>
    </w:p>
    <w:p>
      <w:pPr>
        <w:spacing w:after="0" w:line="203"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Note 3, “Revenue Recognition” for more details on Autodesk's performance obligations.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6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January 31, 2019</w:t>
            </w:r>
          </w:p>
        </w:tc>
      </w:tr>
      <w:tr>
        <w:trPr>
          <w:trHeight w:val="235"/>
        </w:trPr>
        <w:tc>
          <w:tcPr>
            <w:tcW w:w="8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2,420.0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2,091.4</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Unbilled deferred revenue</w:t>
            </w:r>
          </w:p>
        </w:tc>
        <w:tc>
          <w:tcPr>
            <w:tcW w:w="1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591.0</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Remaining performance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2,682.4</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We expect that the amount of remaining performance obligations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Balance Sheet and Cash Flow Items</w:t>
      </w:r>
    </w:p>
    <w:p>
      <w:pPr>
        <w:spacing w:after="0" w:line="227"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At October 31, 2019, we had $1.02 billion in cash and marketable securities. Our cash flow from operations increased to $716.9 million for the nine months ended October 31, 2019, compared to $65.6 million for the nine months ended October 31, 2018. We repurchased 1.7 million shares of our common stock for $264.2 million during the nine months ended October 31, 2019. Comparatively, we repurchased 2.1 million shares of our common stock for $270.3 million during the nine months ended October 31, 2018. See further discussion regarding the balance sheet and cash flow activities under the heading “Liquidity and Capital Resources.”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53"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Revenue by Income Statement Presentation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Subscription revenue consists of our term-based product subscriptions, cloud service offerings, and flexible enterprise</w:t>
      </w:r>
    </w:p>
    <w:p>
      <w:pPr>
        <w:spacing w:after="0" w:line="27"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business arrangements. Revenue from these arrangements is recognized ratably over the contract term commencing with the date our service is made available to customers and when all other revenue recognition criteria have been satisfied.</w:t>
      </w:r>
    </w:p>
    <w:p>
      <w:pPr>
        <w:spacing w:after="0" w:line="180"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549" w:right="2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00" w:type="dxa"/>
            <w:vAlign w:val="bottom"/>
          </w:tcPr>
          <w:p>
            <w:pPr>
              <w:spacing w:after="0"/>
              <w:rPr>
                <w:sz w:val="13"/>
                <w:szCs w:val="13"/>
                <w:color w:val="auto"/>
              </w:rPr>
            </w:pPr>
          </w:p>
        </w:tc>
        <w:tc>
          <w:tcPr>
            <w:tcW w:w="1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60" w:type="dxa"/>
            <w:vAlign w:val="bottom"/>
          </w:tcPr>
          <w:p>
            <w:pPr>
              <w:spacing w:after="0"/>
              <w:rPr>
                <w:sz w:val="13"/>
                <w:szCs w:val="13"/>
                <w:color w:val="auto"/>
              </w:rPr>
            </w:pP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33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715.0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233.7</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481.3</w:t>
            </w:r>
          </w:p>
        </w:tc>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which benefited from the success of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M2S program. Also contributing to the increase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 growth in new product subscriptions, cloud</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offerings (which benefited from our</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in the fourth quarter of fiscal year</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 and EBA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Maintenance (1)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plan subscriptions to subscription</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806.2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174.8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631.4</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7.0</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181.8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12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00" w:type="dxa"/>
            <w:vAlign w:val="bottom"/>
          </w:tcPr>
          <w:p>
            <w:pPr>
              <w:spacing w:after="0"/>
              <w:rPr>
                <w:sz w:val="24"/>
                <w:szCs w:val="24"/>
                <w:color w:val="auto"/>
              </w:rPr>
            </w:pPr>
          </w:p>
        </w:tc>
        <w:tc>
          <w:tcPr>
            <w:tcW w:w="18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2"/>
                <w:szCs w:val="12"/>
                <w:color w:val="auto"/>
              </w:rPr>
            </w:pPr>
          </w:p>
        </w:tc>
        <w:tc>
          <w:tcPr>
            <w:tcW w:w="68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33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Subscription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1,974.5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722.2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1,252.3</w:t>
            </w:r>
          </w:p>
        </w:tc>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which benefited from the success of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M2S program. Also contributing to the increase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 growth in new product subscriptions, cloud</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offerings (which benefited from our</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in the fourth quarter of fiscal year</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 and EBA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Maintenance (1)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497.7</w:t>
            </w: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plan subscriptions to subscription</w:t>
            </w: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2,281.2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531.2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1,750.0</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2,375.0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542.5</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1,832.5</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60" w:hanging="412"/>
        <w:spacing w:after="0" w:line="263" w:lineRule="auto"/>
        <w:tabs>
          <w:tab w:leader="none" w:pos="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maintenance revenue will slowly decline; however, the rate of decline will vary based on the number of renewals, the renewal rate, and our ability to incentivize maintenance plan customers to switch over to subscription plan offerings.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97" w:right="23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i w:val="1"/>
          <w:iCs w:val="1"/>
          <w:color w:val="auto"/>
        </w:rPr>
        <w:t>Net Revenue by Product Family</w:t>
      </w:r>
    </w:p>
    <w:p>
      <w:pPr>
        <w:spacing w:after="0" w:line="22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Our product offerings are focused in four primary product families: Architecture, Engineering and Construction ("AEC"), AutoCAD and AutoCAD LT, Manufacturing ("MFG"), and Media and Entertainment ("M&amp;E").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20" w:type="dxa"/>
            <w:vAlign w:val="bottom"/>
          </w:tcPr>
          <w:p>
            <w:pPr>
              <w:spacing w:after="0"/>
              <w:rPr>
                <w:sz w:val="13"/>
                <w:szCs w:val="13"/>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2"/>
                <w:szCs w:val="12"/>
                <w:color w:val="auto"/>
              </w:rPr>
            </w:pPr>
          </w:p>
        </w:tc>
        <w:tc>
          <w:tcPr>
            <w:tcW w:w="376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AEC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AEC Collections,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PlanGrid, EBAs, and BIM 360.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AutoCAD and AutoCAD LT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both AutoCAD and</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216"/>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MFG</w:t>
            </w:r>
          </w:p>
        </w:tc>
        <w:tc>
          <w:tcPr>
            <w:tcW w:w="160" w:type="dxa"/>
            <w:vAlign w:val="bottom"/>
          </w:tcPr>
          <w:p>
            <w:pPr>
              <w:spacing w:after="0"/>
              <w:rPr>
                <w:sz w:val="18"/>
                <w:szCs w:val="18"/>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158.5</w:t>
            </w: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MFG Collections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EBAs.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M&amp;E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Maya, M&amp;E</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Collections, EBAs and 3DS Max.</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9"/>
                <w:szCs w:val="19"/>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220" w:type="dxa"/>
            <w:vAlign w:val="bottom"/>
          </w:tcPr>
          <w:p>
            <w:pPr>
              <w:spacing w:after="0"/>
              <w:rPr>
                <w:sz w:val="24"/>
                <w:szCs w:val="24"/>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2"/>
                <w:szCs w:val="12"/>
                <w:color w:val="auto"/>
              </w:rPr>
            </w:pPr>
          </w:p>
        </w:tc>
        <w:tc>
          <w:tcPr>
            <w:tcW w:w="68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 by Product Family:</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AEC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996.5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728.7</w:t>
            </w: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AEC Collections,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PlanGrid, EBAs, and BIM 360.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ACAD and AutoCAD LT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689.9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522.8</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both AutoCAD and</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AutoCAD LT.</w:t>
            </w:r>
          </w:p>
        </w:tc>
        <w:tc>
          <w:tcPr>
            <w:tcW w:w="0" w:type="dxa"/>
            <w:vAlign w:val="bottom"/>
          </w:tcPr>
          <w:p>
            <w:pPr>
              <w:spacing w:after="0"/>
              <w:rPr>
                <w:sz w:val="1"/>
                <w:szCs w:val="1"/>
                <w:color w:val="auto"/>
              </w:rPr>
            </w:pPr>
          </w:p>
        </w:tc>
      </w:tr>
      <w:tr>
        <w:trPr>
          <w:trHeight w:val="216"/>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MFG</w:t>
            </w:r>
          </w:p>
        </w:tc>
        <w:tc>
          <w:tcPr>
            <w:tcW w:w="160" w:type="dxa"/>
            <w:vAlign w:val="bottom"/>
          </w:tcPr>
          <w:p>
            <w:pPr>
              <w:spacing w:after="0"/>
              <w:rPr>
                <w:sz w:val="18"/>
                <w:szCs w:val="18"/>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440.0</w:t>
            </w: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MFG Collections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and EBAs.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M&amp;E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due to increases in revenue from M&amp;E Collections,</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Maya, 3DS Max, and EBAs.</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9"/>
                <w:szCs w:val="19"/>
                <w:color w:val="auto"/>
              </w:rPr>
            </w:pP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1,832.5</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51" w:right="239" w:bottom="1440" w:gutter="0" w:footer="0" w:header="0"/>
        </w:sectPr>
      </w:pPr>
    </w:p>
    <w:bookmarkStart w:id="41" w:name="page42"/>
    <w:bookmarkEnd w:id="41"/>
    <w:p>
      <w:pPr>
        <w:ind w:left="220"/>
        <w:spacing w:after="0"/>
        <w:rPr>
          <w:sz w:val="20"/>
          <w:szCs w:val="20"/>
          <w:color w:val="auto"/>
        </w:rPr>
      </w:pPr>
      <w:r>
        <w:rPr>
          <w:rFonts w:ascii="Times New Roman" w:cs="Times New Roman" w:eastAsia="Times New Roman" w:hAnsi="Times New Roman"/>
          <w:sz w:val="18"/>
          <w:szCs w:val="18"/>
          <w:i w:val="1"/>
          <w:iCs w:val="1"/>
          <w:color w:val="auto"/>
        </w:rPr>
        <w:t>Net Revenue by Geographic Area</w:t>
      </w:r>
    </w:p>
    <w:p>
      <w:pPr>
        <w:sectPr>
          <w:pgSz w:w="11900" w:h="16838" w:orient="portrait"/>
          <w:cols w:equalWidth="0" w:num="1">
            <w:col w:w="11420"/>
          </w:cols>
          <w:pgMar w:left="240" w:top="55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p>
      <w:pPr>
        <w:spacing w:after="0" w:line="52"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6"/>
          <w:szCs w:val="16"/>
          <w:color w:val="auto"/>
        </w:rPr>
        <w:t>Net Revenue:</w:t>
      </w:r>
    </w:p>
    <w:p>
      <w:pPr>
        <w:spacing w:after="0" w:line="1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Emerging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p>
      <w:pPr>
        <w:spacing w:after="0" w:line="79"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6"/>
          <w:szCs w:val="16"/>
          <w:color w:val="auto"/>
        </w:rPr>
        <w:t>Net Revenue:</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Emerging Economies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Constant currency data not provided at this level.</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6"/>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4"/>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prior fiscal year</w:t>
            </w:r>
          </w:p>
        </w:tc>
        <w:tc>
          <w:tcPr>
            <w:tcW w:w="16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6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 October 31,</w:t>
            </w:r>
          </w:p>
        </w:tc>
        <w:tc>
          <w:tcPr>
            <w:tcW w:w="0" w:type="dxa"/>
            <w:vAlign w:val="bottom"/>
          </w:tcPr>
          <w:p>
            <w:pPr>
              <w:spacing w:after="0"/>
              <w:rPr>
                <w:sz w:val="1"/>
                <w:szCs w:val="1"/>
                <w:color w:val="auto"/>
              </w:rPr>
            </w:pPr>
          </w:p>
        </w:tc>
      </w:tr>
      <w:tr>
        <w:trPr>
          <w:trHeight w:val="63"/>
        </w:trPr>
        <w:tc>
          <w:tcPr>
            <w:tcW w:w="1560" w:type="dxa"/>
            <w:vAlign w:val="bottom"/>
            <w:gridSpan w:val="2"/>
            <w:vMerge w:val="continue"/>
          </w:tcPr>
          <w:p>
            <w:pPr>
              <w:spacing w:after="0"/>
              <w:rPr>
                <w:sz w:val="5"/>
                <w:szCs w:val="5"/>
                <w:color w:val="auto"/>
              </w:rPr>
            </w:pPr>
          </w:p>
        </w:tc>
        <w:tc>
          <w:tcPr>
            <w:tcW w:w="4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1640" w:type="dxa"/>
            <w:vAlign w:val="bottom"/>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-8255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342900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287.3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125.9</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660.9</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80.7</w:t>
            </w:r>
          </w:p>
        </w:tc>
        <w:tc>
          <w:tcPr>
            <w:tcW w:w="0" w:type="dxa"/>
            <w:vAlign w:val="bottom"/>
          </w:tcPr>
          <w:p>
            <w:pPr>
              <w:spacing w:after="0"/>
              <w:rPr>
                <w:sz w:val="1"/>
                <w:szCs w:val="1"/>
                <w:color w:val="auto"/>
              </w:rPr>
            </w:pPr>
          </w:p>
        </w:tc>
      </w:tr>
      <w:tr>
        <w:trPr>
          <w:trHeight w:val="481"/>
        </w:trPr>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17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vMerge w:val="restart"/>
          </w:tcPr>
          <w:p>
            <w:pPr>
              <w:spacing w:after="0"/>
              <w:rPr>
                <w:sz w:val="5"/>
                <w:szCs w:val="5"/>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1640" w:type="dxa"/>
            <w:vAlign w:val="bottom"/>
            <w:tcBorders>
              <w:top w:val="single" w:sz="8" w:color="auto"/>
            </w:tcBorders>
            <w:vMerge w:val="restart"/>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October 31, 2018</w:t>
            </w:r>
          </w:p>
        </w:tc>
        <w:tc>
          <w:tcPr>
            <w:tcW w:w="0" w:type="dxa"/>
            <w:vAlign w:val="bottom"/>
          </w:tcPr>
          <w:p>
            <w:pPr>
              <w:spacing w:after="0"/>
              <w:rPr>
                <w:sz w:val="1"/>
                <w:szCs w:val="1"/>
                <w:color w:val="auto"/>
              </w:rPr>
            </w:pPr>
          </w:p>
        </w:tc>
      </w:tr>
      <w:tr>
        <w:trPr>
          <w:trHeight w:val="77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804.3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626.1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749.5</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735.7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113.7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347.3</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542.5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1,832.5</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66.8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-3503295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-3159760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-2808605</wp:posOffset>
            </wp:positionV>
            <wp:extent cx="72466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-1744980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-1393190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-1050290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-707390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-355600</wp:posOffset>
            </wp:positionV>
            <wp:extent cx="72466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4080" w:space="720"/>
            <w:col w:w="6620"/>
          </w:cols>
          <w:pgMar w:left="240" w:top="551" w:right="239" w:bottom="1440" w:gutter="0" w:footer="0" w:header="0"/>
          <w:type w:val="continuous"/>
        </w:sectPr>
      </w:pPr>
    </w:p>
    <w:p>
      <w:pPr>
        <w:spacing w:after="0" w:line="3" w:lineRule="exact"/>
        <w:rPr>
          <w:sz w:val="20"/>
          <w:szCs w:val="20"/>
          <w:color w:val="auto"/>
        </w:rPr>
      </w:pPr>
    </w:p>
    <w:p>
      <w:pPr>
        <w:ind w:right="160" w:firstLine="432"/>
        <w:spacing w:after="0" w:line="277" w:lineRule="auto"/>
        <w:rPr>
          <w:sz w:val="20"/>
          <w:szCs w:val="20"/>
          <w:color w:val="auto"/>
        </w:rPr>
      </w:pPr>
      <w:r>
        <w:rPr>
          <w:rFonts w:ascii="Times New Roman" w:cs="Times New Roman" w:eastAsia="Times New Roman" w:hAnsi="Times New Roman"/>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51" w:right="239" w:bottom="1440" w:gutter="0" w:footer="0" w:header="0"/>
          <w:type w:val="continuous"/>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i w:val="1"/>
          <w:iCs w:val="1"/>
          <w:color w:val="auto"/>
        </w:rPr>
        <w:t>Net Revenue by Sales Channel</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20" w:type="dxa"/>
            <w:vAlign w:val="bottom"/>
          </w:tcPr>
          <w:p>
            <w:pPr>
              <w:spacing w:after="0"/>
              <w:rPr>
                <w:sz w:val="13"/>
                <w:szCs w:val="13"/>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2"/>
                <w:szCs w:val="12"/>
                <w:color w:val="auto"/>
              </w:rPr>
            </w:pPr>
          </w:p>
        </w:tc>
        <w:tc>
          <w:tcPr>
            <w:tcW w:w="376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6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Indirect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586.6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477.0</w:t>
            </w: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Up due to an increase in subscription revenue offset by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lower maintenance plan subscriptions as we continue to</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migrate customers to subscriptions through the M2S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Direct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due to an increase in revenue from EBAs and our</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online Autodesk branded store as well as from our</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acquisitions in the fourth quarter of fiscal year 2019.</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842.7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660.9</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220" w:type="dxa"/>
            <w:vAlign w:val="bottom"/>
          </w:tcPr>
          <w:p>
            <w:pPr>
              <w:spacing w:after="0"/>
              <w:rPr>
                <w:sz w:val="24"/>
                <w:szCs w:val="24"/>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2"/>
                <w:szCs w:val="12"/>
                <w:color w:val="auto"/>
              </w:rPr>
            </w:pPr>
          </w:p>
        </w:tc>
        <w:tc>
          <w:tcPr>
            <w:tcW w:w="680" w:type="dxa"/>
            <w:vAlign w:val="bottom"/>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00" w:type="dxa"/>
            <w:vAlign w:val="bottom"/>
          </w:tcPr>
          <w:p>
            <w:pPr>
              <w:spacing w:after="0"/>
              <w:rPr>
                <w:sz w:val="12"/>
                <w:szCs w:val="12"/>
                <w:color w:val="auto"/>
              </w:rPr>
            </w:pPr>
          </w:p>
        </w:tc>
        <w:tc>
          <w:tcPr>
            <w:tcW w:w="376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Revenue by Sales Channel:</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Indirect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1,663.2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1,315.5</w:t>
            </w: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Up due to an increase in subscription revenue offset by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lower maintenance plan subscriptions as we continue to</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migrate customers to subscriptions through the M2S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Direct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711.8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shd w:val="clear" w:color="auto" w:fill="CCEEFF"/>
          </w:tcPr>
          <w:p>
            <w:pPr>
              <w:spacing w:after="0"/>
              <w:rPr>
                <w:sz w:val="18"/>
                <w:szCs w:val="18"/>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due to an increase in revenue from EBAs and our</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online Autodesk branded store as well as from our</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acquisitions in the fourth quarter of fiscal year 2019.</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Net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542.5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1,832.5</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Revenue and Operating Expenses</w:t>
      </w:r>
    </w:p>
    <w:p>
      <w:pPr>
        <w:spacing w:after="0" w:line="22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0"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0" w:lineRule="exact"/>
        <w:rPr>
          <w:sz w:val="20"/>
          <w:szCs w:val="20"/>
          <w:color w:val="auto"/>
        </w:rPr>
      </w:pPr>
    </w:p>
    <w:p>
      <w:pPr>
        <w:ind w:right="480" w:firstLine="432"/>
        <w:spacing w:after="0" w:line="266" w:lineRule="auto"/>
        <w:rPr>
          <w:sz w:val="20"/>
          <w:szCs w:val="20"/>
          <w:color w:val="auto"/>
        </w:rPr>
      </w:pPr>
      <w:r>
        <w:rPr>
          <w:rFonts w:ascii="Times New Roman" w:cs="Times New Roman" w:eastAsia="Times New Roman" w:hAnsi="Times New Roman"/>
          <w:sz w:val="18"/>
          <w:szCs w:val="18"/>
          <w:color w:val="auto"/>
        </w:rPr>
        <w:t>Cost of revenue, at least over the near term, is affected by labor costs, the volume and mix of product sales, fluctuations in consulting costs, amortization of developed technology, new customer support offerings, royalty rates for licensed technology embedded in our products and stock-based compensation expense.</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51" w:right="239" w:bottom="1440" w:gutter="0" w:footer="0" w:header="0"/>
        </w:sectPr>
      </w:pPr>
    </w:p>
    <w:bookmarkStart w:id="43" w:name="page44"/>
    <w:bookmarkEnd w:id="43"/>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76"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salaries, bonuses, acquisition-related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15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13"/>
                <w:szCs w:val="13"/>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5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49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Subscription and maintenance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Down primarily due to a decrease in variable costs associated with the</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support organization.</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 primarily due to an increase in employee-related costs due to higher</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developed technology</w:t>
            </w:r>
          </w:p>
        </w:tc>
        <w:tc>
          <w:tcPr>
            <w:tcW w:w="12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due to an increase in amortization expense from acquired developed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technologies as a result of our acquisitions in the fourth quarter of fiscal</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2019.</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cost of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Marketing and sales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33.1</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primarily due to an increase in employee-related costs driven by</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higher headcount as well as an increase in stock-based compensation</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driven by awards granted and assumed through our acquisitions</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the fourth quarter of fiscal year 2019.</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 primarily due to an increase in employee-related costs driven by</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higher headcount as well as an increase in stock-based compensation</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 driven by awards granted and assumed through our acquisitions</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the fourth quarter of fiscal year 2019.</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11.7</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primarily due to an increase in employee-related costs driven by</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higher headcount as well as an increase in stock-based compensation</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driven by awards granted and assumed through our acquisitions</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the fourth quarter of fiscal year 2019.</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 due to an increase in amortization expense from acquired purchased</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as a result of our acquisitions in the fourth quarter of fiscal</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2019.</w:t>
            </w:r>
          </w:p>
        </w:tc>
        <w:tc>
          <w:tcPr>
            <w:tcW w:w="0" w:type="dxa"/>
            <w:vAlign w:val="bottom"/>
          </w:tcPr>
          <w:p>
            <w:pPr>
              <w:spacing w:after="0"/>
              <w:rPr>
                <w:sz w:val="1"/>
                <w:szCs w:val="1"/>
                <w:color w:val="auto"/>
              </w:rPr>
            </w:pPr>
          </w:p>
        </w:tc>
      </w:tr>
      <w:tr>
        <w:trPr>
          <w:trHeight w:val="216"/>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12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Decreased as we substantially completed the actions authorized under the</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2018 restructuring plan.</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652.6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78.7</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573.9</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120" w:type="dxa"/>
            <w:vAlign w:val="bottom"/>
          </w:tcPr>
          <w:p>
            <w:pPr>
              <w:spacing w:after="0"/>
              <w:rPr>
                <w:sz w:val="24"/>
                <w:szCs w:val="24"/>
                <w:color w:val="auto"/>
              </w:rPr>
            </w:pPr>
          </w:p>
        </w:tc>
        <w:tc>
          <w:tcPr>
            <w:tcW w:w="15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compared to</w:t>
            </w:r>
          </w:p>
        </w:tc>
        <w:tc>
          <w:tcPr>
            <w:tcW w:w="140" w:type="dxa"/>
            <w:vAlign w:val="bottom"/>
          </w:tcPr>
          <w:p>
            <w:pPr>
              <w:spacing w:after="0"/>
              <w:rPr>
                <w:sz w:val="24"/>
                <w:szCs w:val="24"/>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54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2"/>
                <w:szCs w:val="12"/>
                <w:color w:val="auto"/>
              </w:rPr>
            </w:pPr>
          </w:p>
        </w:tc>
        <w:tc>
          <w:tcPr>
            <w:tcW w:w="49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Subscription and maintenance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due to an increase in cloud hosting and employee-related costs driven</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by higher headcount.</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9.6</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shd w:val="clear" w:color="auto" w:fill="CCEEFF"/>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 due to an increase in employee-related costs driven by higher</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developed technology</w:t>
            </w:r>
          </w:p>
        </w:tc>
        <w:tc>
          <w:tcPr>
            <w:tcW w:w="120" w:type="dxa"/>
            <w:vAlign w:val="bottom"/>
          </w:tcPr>
          <w:p>
            <w:pPr>
              <w:spacing w:after="0"/>
              <w:rPr>
                <w:sz w:val="18"/>
                <w:szCs w:val="18"/>
                <w:color w:val="auto"/>
              </w:rPr>
            </w:pPr>
          </w:p>
        </w:tc>
        <w:tc>
          <w:tcPr>
            <w:tcW w:w="6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15.6</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Up due to an increase in amortization expense from acquired developed</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technologies as a result of our acquisitions in the fourth quarter of fiscal</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 2019.</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cost of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32.8</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553"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53" w:right="239"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Operating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Marketing and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97.7</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863.1</w:t>
            </w: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 primarily due to increased employee-related costs driven by higher</w:t>
            </w:r>
          </w:p>
        </w:tc>
      </w:tr>
      <w:tr>
        <w:trPr>
          <w:trHeight w:val="203"/>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headcount as well as an increase in stock-based compensation expense</w:t>
            </w:r>
          </w:p>
        </w:tc>
      </w:tr>
      <w:tr>
        <w:trPr>
          <w:trHeight w:val="203"/>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driven by awards granted and assumed through our acquisitions in the</w:t>
            </w:r>
          </w:p>
        </w:tc>
      </w:tr>
      <w:tr>
        <w:trPr>
          <w:trHeight w:val="210"/>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fourth quarter of fiscal 2019.</w:t>
            </w:r>
          </w:p>
        </w:tc>
      </w:tr>
      <w:tr>
        <w:trPr>
          <w:trHeight w:val="33"/>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16"/>
        </w:trPr>
        <w:tc>
          <w:tcPr>
            <w:tcW w:w="3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534.6</w:t>
            </w: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Up primarily due to increased employee-related costs driven by higher</w:t>
            </w:r>
          </w:p>
        </w:tc>
      </w:t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headcount as well as an increase in stock-based compensation expense</w:t>
            </w:r>
          </w:p>
        </w:tc>
      </w:t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driven by awards granted and assumed through our acquisitions in the</w:t>
            </w:r>
          </w:p>
        </w:tc>
      </w:tr>
      <w:tr>
        <w:trPr>
          <w:trHeight w:val="223"/>
        </w:trPr>
        <w:tc>
          <w:tcPr>
            <w:tcW w:w="30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fourth quarter of fiscal 2019.</w:t>
            </w: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60.2</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25 %</w:t>
            </w: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239.4</w:t>
            </w: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Up primarily due to increased employee-related costs driven by higher</w:t>
            </w:r>
          </w:p>
        </w:tc>
      </w:tr>
      <w:tr>
        <w:trPr>
          <w:trHeight w:val="203"/>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headcount as well as an increase in stock-based compensation expense</w:t>
            </w:r>
          </w:p>
        </w:tc>
      </w:tr>
      <w:tr>
        <w:trPr>
          <w:trHeight w:val="203"/>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driven by awards granted and assumed through our acquisitions in the</w:t>
            </w:r>
          </w:p>
        </w:tc>
      </w:tr>
      <w:tr>
        <w:trPr>
          <w:trHeight w:val="210"/>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fourth quarter of fiscal 2019.</w:t>
            </w:r>
          </w:p>
        </w:tc>
      </w:tr>
      <w:tr>
        <w:trPr>
          <w:trHeight w:val="33"/>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16"/>
        </w:trPr>
        <w:tc>
          <w:tcPr>
            <w:tcW w:w="3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147 %</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Up due to an increase in amortization expense from acquired purchased</w:t>
            </w:r>
          </w:p>
        </w:tc>
      </w:t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intangibles as a result of our acquisitions in the fourth quarter of fiscal</w:t>
            </w:r>
          </w:p>
        </w:tc>
      </w:tr>
      <w:tr>
        <w:trPr>
          <w:trHeight w:val="223"/>
        </w:trPr>
        <w:tc>
          <w:tcPr>
            <w:tcW w:w="30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 2019.</w:t>
            </w:r>
          </w:p>
        </w:tc>
      </w:tr>
      <w:tr>
        <w:trPr>
          <w:trHeight w:val="216"/>
        </w:trPr>
        <w:tc>
          <w:tcPr>
            <w:tcW w:w="3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Decreased as we substantially completed the actions authorized under the</w:t>
            </w:r>
          </w:p>
        </w:tc>
      </w:tr>
      <w:tr>
        <w:trPr>
          <w:trHeight w:val="210"/>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fiscal 2018 restructuring plan.</w:t>
            </w:r>
          </w:p>
        </w:tc>
      </w:tr>
      <w:tr>
        <w:trPr>
          <w:trHeight w:val="33"/>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235.2</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1,688.9</w:t>
            </w:r>
          </w:p>
        </w:tc>
        <w:tc>
          <w:tcPr>
            <w:tcW w:w="5020" w:type="dxa"/>
            <w:vAlign w:val="bottom"/>
            <w:tcBorders>
              <w:bottom w:val="single" w:sz="8" w:color="CCEEFF"/>
            </w:tcBorders>
            <w:shd w:val="clear" w:color="auto" w:fill="CCEEFF"/>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Percentage is not meaningful.</w:t>
      </w:r>
    </w:p>
    <w:p>
      <w:pPr>
        <w:spacing w:after="0" w:line="203"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expectation for the absolute dollar change and percent of revenue change between the fourth quarter of fiscal 2020, as compared to the fourth quarter of fiscal 2019:</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net revenue impact</w:t>
            </w:r>
          </w:p>
        </w:tc>
      </w:tr>
      <w:tr>
        <w:trPr>
          <w:trHeight w:val="23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Decrease</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Decrease</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Increase</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Flat</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and Other Expense, Net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components of interest and other expense, net: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investment expense,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gain on foreign currency</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gain on strategic investments and dispositions,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05"/>
        <w:spacing w:after="0" w:line="277" w:lineRule="auto"/>
        <w:rPr>
          <w:sz w:val="20"/>
          <w:szCs w:val="20"/>
          <w:color w:val="auto"/>
        </w:rPr>
      </w:pPr>
      <w:r>
        <w:rPr>
          <w:rFonts w:ascii="Times New Roman" w:cs="Times New Roman" w:eastAsia="Times New Roman" w:hAnsi="Times New Roman"/>
          <w:sz w:val="17"/>
          <w:szCs w:val="17"/>
          <w:color w:val="auto"/>
        </w:rPr>
        <w:t>The Interest and other expense, net, negatively changed by $11.0 million and $27.3 million during the three and nine months ended October 31, 2019, respectively, as compared to the same periods in the prior fiscal year. This was primarily driven by an increase in interest expense resulting from our term loan entered into on December 17, 2018, with aggregate principal balance outstanding of $150.0 million as of October 31, 2019, losses in the current periods versus gains in previous periods for unrealized gains on our privately-held strategic investments and curtailment gains on our pension plans in the prior periods. The negative change was partially offset by mark-to-market gains in the current periods versus losses in the prior periods on marketable securities.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030" w:right="23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8"/>
          <w:szCs w:val="18"/>
          <w:color w:val="auto"/>
        </w:rPr>
        <w:t>Interest expense and investment income fluctuates based on average cash, marketable securities, debt balances, average maturities and interest rates.</w:t>
      </w:r>
    </w:p>
    <w:p>
      <w:pPr>
        <w:spacing w:after="0" w:line="22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7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Autodesk had an income tax expense of $29.7 million, relative to pre-tax income of $96.4 million for the three months ended October 31, 2019, and an income tax expense of $35.2 million, relative to pre-tax income of $11.5 million for the three months ended October 31, 2018. Autodesk had an income tax expense of $88.8 million, relative to pre-tax income of $171.5 million for the nine months ended October 31, 2019, and an income tax expense of 69.8 million, relative to pre-tax losses of $75.7 million for the nine months ended October 31, 2018. Income tax expense for the three months ended October 31, 2019 decreased and nine months ended October 31, 2019 increased primarily due to foreign earnings and withholding taxes.</w:t>
      </w:r>
    </w:p>
    <w:p>
      <w:pPr>
        <w:spacing w:after="0" w:line="18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October 31, 2019.</w:t>
      </w:r>
    </w:p>
    <w:p>
      <w:pPr>
        <w:spacing w:after="0" w:line="18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As we continually strive to optimize our overall business model and tax laws and regulations evolve, tax planning strategies may become feasible and prudent whereby management may determine that it is more likely than not that the foreign or U.S., federal or state deferred tax assets will be realized; therefore, we will continue to evaluate the evidence around our ability to utilize our net deferred tax assets each quarter, both in the U.S. and foreign jurisdictions, based on all available evidence, both positive and negative.</w:t>
      </w:r>
    </w:p>
    <w:p>
      <w:pPr>
        <w:spacing w:after="0" w:line="180"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As of October 31, 2019, we had $215.8 million of gross unrecognized tax benefits, of which $198.4 million would reduce our valuation allowance, if recognized. The remaining $17.4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7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anticipate that the U.S. Department of Treasury will continue to interpret or issue guidance on how provisions of the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76"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553"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under GAAP discussed above, we believe the following non-GAAP measures are useful to investors in evaluating our operating performance. For the three and nine months ended October 31, 2019 and 2018,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30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20" w:type="dxa"/>
            <w:vAlign w:val="bottom"/>
          </w:tcPr>
          <w:p>
            <w:pPr>
              <w:spacing w:after="0"/>
              <w:rPr>
                <w:sz w:val="16"/>
                <w:szCs w:val="16"/>
                <w:color w:val="auto"/>
              </w:rPr>
            </w:pPr>
          </w:p>
        </w:tc>
        <w:tc>
          <w:tcPr>
            <w:tcW w:w="25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54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763.2</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588.6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2,133.3</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1,623.6</w:t>
            </w: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gross profit</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776.6</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597.1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2,174.2</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1,646.6</w:t>
            </w: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gross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110.6</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209.2</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(65.3)</w:t>
            </w: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225.3</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543.7</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176.8</w:t>
            </w: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margin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operating margin</w:t>
            </w: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66.7</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82.7</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(145.5)</w:t>
            </w: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net income</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173.4</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417.5</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122.6</w:t>
            </w: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GAAP diluted net income (loss) per share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0.30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0.37</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(0.67)</w:t>
            </w: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0.78</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0.55</w:t>
            </w: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GAAP diluted weighted average shares used in per share calculation</w:t>
            </w:r>
          </w:p>
        </w:tc>
        <w:tc>
          <w:tcPr>
            <w:tcW w:w="8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221.9</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222.1</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218.7</w:t>
            </w:r>
          </w:p>
        </w:tc>
      </w:tr>
      <w:tr>
        <w:trPr>
          <w:trHeight w:val="23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diluted weighted average shares used in per share calculation</w:t>
            </w:r>
          </w:p>
        </w:tc>
        <w:tc>
          <w:tcPr>
            <w:tcW w:w="840" w:type="dxa"/>
            <w:vAlign w:val="bottom"/>
          </w:tcPr>
          <w:p>
            <w:pPr>
              <w:spacing w:after="0"/>
              <w:rPr>
                <w:sz w:val="20"/>
                <w:szCs w:val="20"/>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221.9</w:t>
            </w:r>
          </w:p>
        </w:tc>
        <w:tc>
          <w:tcPr>
            <w:tcW w:w="38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222.1</w:t>
            </w:r>
          </w:p>
        </w:tc>
        <w:tc>
          <w:tcPr>
            <w:tcW w:w="40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221.7</w:t>
            </w:r>
          </w:p>
        </w:tc>
      </w:tr>
    </w:tbl>
    <w:p>
      <w:pPr>
        <w:spacing w:after="0" w:line="231"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to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86"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65"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for gross margin, operating margin, and per share data):</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420" w:type="dxa"/>
            <w:vAlign w:val="bottom"/>
          </w:tcPr>
          <w:p>
            <w:pPr>
              <w:spacing w:after="0"/>
              <w:rPr>
                <w:sz w:val="16"/>
                <w:szCs w:val="16"/>
                <w:color w:val="auto"/>
              </w:rPr>
            </w:pPr>
          </w:p>
        </w:tc>
        <w:tc>
          <w:tcPr>
            <w:tcW w:w="252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48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763.2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588.6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2,133.3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1,623.6</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776.6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2,174.2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1,646.6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gross margin (1)</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8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110.6</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209.2</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CEO transition costs</w:t>
            </w:r>
          </w:p>
        </w:tc>
        <w:tc>
          <w:tcPr>
            <w:tcW w:w="84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225.3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176.8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Operating margin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840" w:type="dxa"/>
            <w:vAlign w:val="bottom"/>
          </w:tcPr>
          <w:p>
            <w:pPr>
              <w:spacing w:after="0"/>
              <w:rPr>
                <w:sz w:val="20"/>
                <w:szCs w:val="20"/>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8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7"/>
        </w:trPr>
        <w:tc>
          <w:tcPr>
            <w:tcW w:w="5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operating margin (1)</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73"/>
        </w:trPr>
        <w:tc>
          <w:tcPr>
            <w:tcW w:w="548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48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Net income (loss)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CEO transition costs</w:t>
            </w: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on strategic investments and dispositions, net</w:t>
            </w:r>
          </w:p>
        </w:tc>
        <w:tc>
          <w:tcPr>
            <w:tcW w:w="84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Discrete tax benefit (provision) items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8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net income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122.6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4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24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0.79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developed technologies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and other exit costs, net</w:t>
            </w:r>
          </w:p>
        </w:tc>
        <w:tc>
          <w:tcPr>
            <w:tcW w:w="8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(gain) on strategic investments and dispositions, net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Discrete tax benefit (provision) items</w:t>
            </w:r>
          </w:p>
        </w:tc>
        <w:tc>
          <w:tcPr>
            <w:tcW w:w="88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Non-GAAP diluted net income per share</w:t>
            </w:r>
          </w:p>
        </w:tc>
        <w:tc>
          <w:tcPr>
            <w:tcW w:w="880" w:type="dxa"/>
            <w:vAlign w:val="bottom"/>
            <w:tcBorders>
              <w:top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0.29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33"/>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may not sum due to rounding.</w:t>
      </w:r>
    </w:p>
    <w:p>
      <w:pPr>
        <w:spacing w:after="0" w:line="202"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non-GAAP financial measures may exclude the following:</w:t>
      </w:r>
    </w:p>
    <w:p>
      <w:pPr>
        <w:spacing w:after="0" w:line="223" w:lineRule="exact"/>
        <w:rPr>
          <w:sz w:val="20"/>
          <w:szCs w:val="20"/>
          <w:color w:val="auto"/>
        </w:rPr>
      </w:pPr>
    </w:p>
    <w:p>
      <w:pPr>
        <w:ind w:right="1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We exclude stock-based compensation expenses from non-GAAP measures primarily because they are non-cash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80" w:lineRule="exact"/>
        <w:rPr>
          <w:sz w:val="20"/>
          <w:szCs w:val="20"/>
          <w:color w:val="auto"/>
        </w:rPr>
      </w:pPr>
    </w:p>
    <w:p>
      <w:pPr>
        <w:ind w:right="1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Amortization of developed technologies and purchased intangibles. </w:t>
      </w:r>
      <w:r>
        <w:rPr>
          <w:rFonts w:ascii="Times New Roman" w:cs="Times New Roman" w:eastAsia="Times New Roman" w:hAnsi="Times New Roman"/>
          <w:sz w:val="18"/>
          <w:szCs w:val="18"/>
          <w:color w:val="auto"/>
        </w:rPr>
        <w:t>We incur amortization of acquisition-related developed technology and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83" w:lineRule="exact"/>
        <w:rPr>
          <w:sz w:val="20"/>
          <w:szCs w:val="20"/>
          <w:color w:val="auto"/>
        </w:rPr>
      </w:pPr>
    </w:p>
    <w:p>
      <w:pPr>
        <w:ind w:right="40"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CEO transition costs. </w:t>
      </w:r>
      <w:r>
        <w:rPr>
          <w:rFonts w:ascii="Times New Roman" w:cs="Times New Roman" w:eastAsia="Times New Roman" w:hAnsi="Times New Roman"/>
          <w:sz w:val="18"/>
          <w:szCs w:val="18"/>
          <w:color w:val="auto"/>
        </w:rPr>
        <w:t>We exclude amounts paid to the Company's former CEOs upon departure under the terms of their transition agreements,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0" w:lineRule="exact"/>
        <w:rPr>
          <w:sz w:val="20"/>
          <w:szCs w:val="20"/>
          <w:color w:val="auto"/>
        </w:rPr>
      </w:pPr>
    </w:p>
    <w:p>
      <w:pPr>
        <w:jc w:val="both"/>
        <w:ind w:right="4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This is a non-cash charge to write-down goodwill to fair value when there was an indication that the asset was impaired.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7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other exit costs, net. </w:t>
      </w:r>
      <w:r>
        <w:rPr>
          <w:rFonts w:ascii="Times New Roman" w:cs="Times New Roman" w:eastAsia="Times New Roman" w:hAnsi="Times New Roman"/>
          <w:sz w:val="18"/>
          <w:szCs w:val="18"/>
          <w:color w:val="auto"/>
        </w:rPr>
        <w:t>These expenses are associated with realigning our business strategies based on current economic conditions.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0"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Acquisition related costs. </w:t>
      </w:r>
      <w:r>
        <w:rPr>
          <w:rFonts w:ascii="Times New Roman" w:cs="Times New Roman" w:eastAsia="Times New Roman" w:hAnsi="Times New Roman"/>
          <w:sz w:val="18"/>
          <w:szCs w:val="18"/>
          <w:color w:val="auto"/>
        </w:rPr>
        <w:t>We exclude certain acquisition related costs, including due diligence costs, professional fees in connection with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financing costs, and certain integration 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77" w:right="239" w:bottom="1440" w:gutter="0" w:footer="0" w:header="0"/>
        </w:sectPr>
      </w:pPr>
    </w:p>
    <w:bookmarkStart w:id="49" w:name="page50"/>
    <w:bookmarkEnd w:id="49"/>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Loss (gain) on strategic investments and dispositions. </w:t>
      </w:r>
      <w:r>
        <w:rPr>
          <w:rFonts w:ascii="Times New Roman" w:cs="Times New Roman" w:eastAsia="Times New Roman" w:hAnsi="Times New Roman"/>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8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Discrete tax provision items. </w:t>
      </w:r>
      <w:r>
        <w:rPr>
          <w:rFonts w:ascii="Times New Roman" w:cs="Times New Roman" w:eastAsia="Times New Roman" w:hAnsi="Times New Roman"/>
          <w:sz w:val="18"/>
          <w:szCs w:val="18"/>
          <w:color w:val="auto"/>
        </w:rPr>
        <w:t>We exclude the GAAP tax provision, including discrete items, from the non-GAAP measure of net (loss)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78" w:lineRule="exact"/>
        <w:rPr>
          <w:sz w:val="20"/>
          <w:szCs w:val="20"/>
          <w:color w:val="auto"/>
        </w:rPr>
      </w:pPr>
    </w:p>
    <w:p>
      <w:pPr>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Establishment of a valuation allowance on certain net deferred tax assets. </w:t>
      </w:r>
      <w:r>
        <w:rPr>
          <w:rFonts w:ascii="Times New Roman" w:cs="Times New Roman" w:eastAsia="Times New Roman" w:hAnsi="Times New Roman"/>
          <w:sz w:val="18"/>
          <w:szCs w:val="18"/>
          <w:color w:val="auto"/>
        </w:rPr>
        <w:t>This is a non-cash charge to record a valuation allowance on certain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74" w:lineRule="exact"/>
        <w:rPr>
          <w:sz w:val="20"/>
          <w:szCs w:val="20"/>
          <w:color w:val="auto"/>
        </w:rPr>
      </w:pPr>
    </w:p>
    <w:p>
      <w:pPr>
        <w:ind w:right="2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effects on the difference between GAAP and non-GAAP costs and expenses. </w:t>
      </w:r>
      <w:r>
        <w:rPr>
          <w:rFonts w:ascii="Times New Roman" w:cs="Times New Roman" w:eastAsia="Times New Roman" w:hAnsi="Times New Roman"/>
          <w:sz w:val="18"/>
          <w:szCs w:val="18"/>
          <w:color w:val="auto"/>
        </w:rPr>
        <w:t>The income tax effects that are excluded from the non-GAAP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repay existing debt and invest in our growth initiatives, which include acquisitions of products, technology and businesses. See further discussion of these items below.</w:t>
      </w:r>
    </w:p>
    <w:p>
      <w:pPr>
        <w:spacing w:after="0" w:line="180"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At October 31, 2019, our principal sources of liquidity were cash, cash equivalents and marketable securities totaling $1.02 billion and net accounts receivable of $520.3 million.</w:t>
      </w:r>
    </w:p>
    <w:p>
      <w:pPr>
        <w:spacing w:after="0" w:line="162"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October 31, 2019, Autodesk had no outstanding borrowings on this line of credit. As of December 5, 2019, we have no amounts outstanding under the credit facility. See Part I, Item 1, Note 12, "Borrowing Arrangements," in the Notes to Condensed Consolidated Financial Statements for further discussion on our covenant requirements. If we are unable to remain in compliance with the covenants, we will not be able to draw on our credit facility.</w:t>
      </w:r>
    </w:p>
    <w:p>
      <w:pPr>
        <w:spacing w:after="0" w:line="18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On December 17, 2018, we also entered into a Term Loan Agreement which provided for a delayed draw term loan facility in the aggregate principal amount of $500.0 million. On December 19, 2018, we borrowed a $500.0 million term loan under the Term Loan Agreement in connection with the acquisition of PlanGrid, Inc. in December 2018. See Part I, Item 1, Note 12, "Borrowing Arrangements," in the Notes to Condensed Consolidated Financial Statements for further discussion on the Term Loan Agreement terms. At October 31, 2019, $150.0 million was outstanding under the Term Loan Agreement. As of December 5, 2019, $100.0 million remains outstanding under the Term Loan Agreement. See Part I , Item 1, Note 19 , "Subsequent Events," in the Notes to the Condensed Consolidated Financial Statements for further discussion.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the Term Loan Agreement, as of October 31, 2019, we have $1.60 billion aggregate principal amount of Notes outstanding,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$449.4 million is classified as "Current portion of long-term notes payable, net" in the Condensed Consolidated Balance Sheets in Part I, Item 1. See Part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Note 12, "Borrowing Arrangements," in the Notes to Condensed Consolidated Financial Statements for further discussion.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781" w:right="259" w:bottom="1440" w:gutter="0" w:footer="0" w:header="0"/>
        </w:sectPr>
      </w:pPr>
    </w:p>
    <w:bookmarkStart w:id="50" w:name="page51"/>
    <w:bookmarkEnd w:id="50"/>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 as well as our Term Loan Agreement.</w:t>
      </w:r>
    </w:p>
    <w:p>
      <w:pPr>
        <w:spacing w:after="0" w:line="176"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7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Our cash, cash equivalents, and marketable securities balances are concentrated in a few locations around the world, with substantial amounts held outside of the United States. As of October 31, 2019, approximately 63%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included a mandatory one-time tax on accumulated earnings of foreign subsidiaries and generally eliminated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8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716.9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39.7</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r>
      <w:tr>
        <w:trPr>
          <w:trHeight w:val="33"/>
        </w:trPr>
        <w:tc>
          <w:tcPr>
            <w:tcW w:w="8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of $716.9 million for the nine months ended October 31, 2019, includes $413.0 million of non-cash expenses, including stock-based compensation expense, and depreciation, amortization and accretion expense, an increase in changes in operating assets and liabilities of $221.2 million, and our net income of $82.7 million.</w:t>
      </w:r>
    </w:p>
    <w:p>
      <w:pPr>
        <w:spacing w:after="0" w:line="17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primary working capital source of cash was an increase in deferred revenue from $2.09 billion as of January 31, 2019, to $2.42 billion as of October 31, 2019. The primary working capital uses of cash was a decrease in accounts payable and accrued liabilities and an increase in accounts receivable.</w:t>
      </w:r>
    </w:p>
    <w:p>
      <w:pPr>
        <w:spacing w:after="0" w:line="162"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$42.7 million for the nine months ended October 31, 2019, primarily due to capital expenditures and purchases of marketable securities partially offset by the sale and maturities of marketable securities.</w:t>
      </w:r>
    </w:p>
    <w:p>
      <w:pPr>
        <w:spacing w:after="0" w:line="16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At October 31, 2019, our short-term investment portfolio had an estimated fair value of $68.3 million and a cost basis of $59.8 million. The portfolio fair value consists of short-term trading securities that were invested in a defined set of mutual funds as directed by the participants in our Deferred Compensation Plan (see Note 10, “Deferred Compensation,” in the Notes to the Condensed Consolidated Financial Statements for further discussion).</w:t>
      </w:r>
    </w:p>
    <w:p>
      <w:pPr>
        <w:spacing w:after="0" w:line="176"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$600.0 million for the nine months ended October 31, 2019, primary due to the repayment of debt and the repurchases of common stock. These cash outflows were offset in part by cash proceeds from the issuance of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69"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8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repurchase of common stock in open-market transactions during the three months ended October 31, 2019:</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(Shares in millions)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23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August 1 - August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144.32</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0.4</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September 1 - September 30</w:t>
            </w:r>
          </w:p>
        </w:tc>
        <w:tc>
          <w:tcPr>
            <w:tcW w:w="1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144.51</w:t>
            </w:r>
          </w:p>
        </w:tc>
        <w:tc>
          <w:tcPr>
            <w:tcW w:w="120" w:type="dxa"/>
            <w:vAlign w:val="bottom"/>
          </w:tcPr>
          <w:p>
            <w:pPr>
              <w:spacing w:after="0"/>
              <w:rPr>
                <w:sz w:val="20"/>
                <w:szCs w:val="20"/>
                <w:color w:val="auto"/>
              </w:rPr>
            </w:pPr>
          </w:p>
        </w:tc>
        <w:tc>
          <w:tcPr>
            <w:tcW w:w="21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0.1</w:t>
            </w:r>
          </w:p>
        </w:tc>
        <w:tc>
          <w:tcPr>
            <w:tcW w:w="226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October 1 - October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144.73</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0.3</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0.8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144.49</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represents shares purchased in open-market transactions under the stock repurchase plan approved by the Board of Directors.</w:t>
      </w:r>
    </w:p>
    <w:p>
      <w:pPr>
        <w:spacing w:after="0" w:line="9" w:lineRule="exact"/>
        <w:rPr>
          <w:rFonts w:ascii="Times New Roman" w:cs="Times New Roman" w:eastAsia="Times New Roman" w:hAnsi="Times New Roman"/>
          <w:sz w:val="16"/>
          <w:szCs w:val="16"/>
          <w:color w:val="auto"/>
        </w:rPr>
      </w:pPr>
    </w:p>
    <w:p>
      <w:pPr>
        <w:jc w:val="both"/>
        <w:ind w:left="420" w:right="260" w:hanging="412"/>
        <w:spacing w:after="0" w:line="257" w:lineRule="auto"/>
        <w:tabs>
          <w:tab w:leader="none" w:pos="4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correspond to the plan approved by the Board of Directors in September 2016 that authorized the repurchase of 30.0 million shares. The plan does not have a fixed expiration date. See Note 15, “Stockholders' Deficit,” in the Notes to the unaudited Condensed Consolidated Financial Statements for further discussion.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31, 2019,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Annualized Recurring Revenue (ARR): </w:t>
      </w:r>
      <w:r>
        <w:rPr>
          <w:rFonts w:ascii="Times New Roman" w:cs="Times New Roman" w:eastAsia="Times New Roman" w:hAnsi="Times New Roman"/>
          <w:sz w:val="18"/>
          <w:szCs w:val="18"/>
          <w:color w:val="auto"/>
        </w:rPr>
        <w:t>Represents the annualized value of our average monthly recurring revenue for the preceding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Billings: </w:t>
      </w:r>
      <w:r>
        <w:rPr>
          <w:rFonts w:ascii="Times New Roman" w:cs="Times New Roman" w:eastAsia="Times New Roman" w:hAnsi="Times New Roman"/>
          <w:sz w:val="18"/>
          <w:szCs w:val="18"/>
          <w:color w:val="auto"/>
        </w:rPr>
        <w:t>Total revenue plus the net change in deferred revenue from the beginning to the end of the period.</w:t>
      </w:r>
    </w:p>
    <w:p>
      <w:pPr>
        <w:spacing w:after="0" w:line="225"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Cloud Service Offerings: </w:t>
      </w:r>
      <w:r>
        <w:rPr>
          <w:rFonts w:ascii="Times New Roman" w:cs="Times New Roman" w:eastAsia="Times New Roman" w:hAnsi="Times New Roman"/>
          <w:sz w:val="18"/>
          <w:szCs w:val="18"/>
          <w:color w:val="auto"/>
        </w:rPr>
        <w:t>Represents individual term-based offerings deployed through web browser technologies or in a hybrid software and cloud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configuration. Cloud service offerings that are bundled with other product offerings are not captured as a separate cloud service offering.</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Constant Currency (CC) Growth Rates: </w:t>
      </w:r>
      <w:r>
        <w:rPr>
          <w:rFonts w:ascii="Times New Roman" w:cs="Times New Roman" w:eastAsia="Times New Roman" w:hAnsi="Times New Roman"/>
          <w:sz w:val="18"/>
          <w:szCs w:val="18"/>
          <w:color w:val="auto"/>
        </w:rPr>
        <w:t>We attempt to represent the changes in the underlying business operations by eliminating fluctuations caused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Core Business: </w:t>
      </w:r>
      <w:r>
        <w:rPr>
          <w:rFonts w:ascii="Times New Roman" w:cs="Times New Roman" w:eastAsia="Times New Roman" w:hAnsi="Times New Roman"/>
          <w:sz w:val="18"/>
          <w:szCs w:val="18"/>
          <w:color w:val="auto"/>
        </w:rPr>
        <w:t>Represents the combination of maintenance, product, and EBA.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49" w:right="239" w:bottom="1440" w:gutter="0" w:footer="0" w:header="0"/>
        </w:sectPr>
      </w:pPr>
    </w:p>
    <w:bookmarkStart w:id="52" w:name="page53"/>
    <w:bookmarkEnd w:id="52"/>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Business Agreements (EBAs): </w:t>
      </w:r>
      <w:r>
        <w:rPr>
          <w:rFonts w:ascii="Times New Roman" w:cs="Times New Roman" w:eastAsia="Times New Roman" w:hAnsi="Times New Roman"/>
          <w:sz w:val="18"/>
          <w:szCs w:val="18"/>
          <w:color w:val="auto"/>
        </w:rPr>
        <w:t>Represents programs providing enterprise customers with token-based access or a fixed maximum number of seats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broad pool of Autodesk products over a defined contract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Cash flow from operating activities minus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Industry Collections: </w:t>
      </w:r>
      <w:r>
        <w:rPr>
          <w:rFonts w:ascii="Times New Roman" w:cs="Times New Roman" w:eastAsia="Times New Roman" w:hAnsi="Times New Roman"/>
          <w:sz w:val="18"/>
          <w:szCs w:val="18"/>
          <w:color w:val="auto"/>
        </w:rPr>
        <w:t>Autodesk Industry Collections are a combination of products and services that target a specific user objective and support a set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workflows for that objective. Our Industry Collections consist of: Autodesk Architecture, Engineering and Construction Collection, Autodesk Product Design</w:t>
      </w:r>
    </w:p>
    <w:p>
      <w:pPr>
        <w:spacing w:after="0" w:line="9" w:lineRule="exact"/>
        <w:rPr>
          <w:sz w:val="20"/>
          <w:szCs w:val="20"/>
          <w:color w:val="auto"/>
        </w:rPr>
      </w:pPr>
    </w:p>
    <w:p>
      <w:pPr>
        <w:ind w:right="100" w:firstLine="8"/>
        <w:spacing w:after="0" w:line="261" w:lineRule="auto"/>
        <w:tabs>
          <w:tab w:leader="none" w:pos="1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Collection, and Autodesk Media and Entertainment Collection. We introduced Industry Collections effective August 1, 2016 to replace our suites.</w:t>
      </w:r>
    </w:p>
    <w:p>
      <w:pPr>
        <w:spacing w:after="0" w:line="1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Maintenance Plan: </w:t>
      </w:r>
      <w:r>
        <w:rPr>
          <w:rFonts w:ascii="Times New Roman" w:cs="Times New Roman" w:eastAsia="Times New Roman" w:hAnsi="Times New Roman"/>
          <w:sz w:val="18"/>
          <w:szCs w:val="18"/>
          <w:color w:val="auto"/>
        </w:rPr>
        <w:t>Our maintenance plans provide our customers with a cost effective and predictable budgetary option to obtain the productivity benefits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Rate (NR3): </w:t>
      </w:r>
      <w:r>
        <w:rPr>
          <w:rFonts w:ascii="Times New Roman" w:cs="Times New Roman" w:eastAsia="Times New Roman" w:hAnsi="Times New Roman"/>
          <w:sz w:val="18"/>
          <w:szCs w:val="18"/>
          <w:color w:val="auto"/>
        </w:rPr>
        <w:t>Measures the year-over-year change in ARR for the population of customers that existed one year ago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Net revenue retention rate is calculated by dividing the current period ARR related to base customers by the total ARR from one year ago. ARR is based on USD reported revenue, and fluctuations caused by changes in foreign currency exchange rates and hedge gains or losses have not been eliminated. ARR related to acquired companies is excluded from the calculation for at least one year from integration.</w:t>
      </w:r>
    </w:p>
    <w:p>
      <w:pPr>
        <w:spacing w:after="0" w:line="18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Consists of revenue from consulting, training and other services, and is recognized over time as the services are performed. Other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includes software license revenue from the sale of products that do not incorporate substantial cloud services and is recognized up front.</w:t>
      </w:r>
    </w:p>
    <w:p>
      <w:pPr>
        <w:spacing w:after="0" w:line="158"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Subscription: </w:t>
      </w:r>
      <w:r>
        <w:rPr>
          <w:rFonts w:ascii="Times New Roman" w:cs="Times New Roman" w:eastAsia="Times New Roman" w:hAnsi="Times New Roman"/>
          <w:sz w:val="18"/>
          <w:szCs w:val="18"/>
          <w:color w:val="auto"/>
        </w:rPr>
        <w:t>Provides customers the most flexible, cost-effective way to access and manage 3D design, engineering, and entertainment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Our product subscriptions currently represent a hybrid of desktop and SaaS functionality, which provides a device-independent, collaborative design workflow for designers and their stakeholders.</w:t>
      </w:r>
    </w:p>
    <w:p>
      <w:pPr>
        <w:spacing w:after="0" w:line="174"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Recurring Revenue: </w:t>
      </w:r>
      <w:r>
        <w:rPr>
          <w:rFonts w:ascii="Times New Roman" w:cs="Times New Roman" w:eastAsia="Times New Roman" w:hAnsi="Times New Roman"/>
          <w:sz w:val="18"/>
          <w:szCs w:val="18"/>
          <w:color w:val="auto"/>
        </w:rPr>
        <w:t>Consists of the revenue for the period from our traditional maintenance plans and revenue from our subscription plan offerings.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w:t>
      </w:r>
      <w:r>
        <w:rPr>
          <w:rFonts w:ascii="Times New Roman" w:cs="Times New Roman" w:eastAsia="Times New Roman" w:hAnsi="Times New Roman"/>
          <w:sz w:val="18"/>
          <w:szCs w:val="18"/>
          <w:color w:val="auto"/>
        </w:rPr>
        <w:t>The sum of total short-term, long-term, and unbilled deferred revenue. Current remaining performance obligations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revenue we expect to recognize in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Spend</w:t>
      </w:r>
      <w:r>
        <w:rPr>
          <w:rFonts w:ascii="Times New Roman" w:cs="Times New Roman" w:eastAsia="Times New Roman" w:hAnsi="Times New Roman"/>
          <w:sz w:val="18"/>
          <w:szCs w:val="18"/>
          <w:color w:val="auto"/>
        </w:rPr>
        <w:t>: The sum of cost of revenue and operating expenses.</w:t>
      </w:r>
    </w:p>
    <w:p>
      <w:pPr>
        <w:spacing w:after="0" w:line="225"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Subscription Plan: </w:t>
      </w:r>
      <w:r>
        <w:rPr>
          <w:rFonts w:ascii="Times New Roman" w:cs="Times New Roman" w:eastAsia="Times New Roman" w:hAnsi="Times New Roman"/>
          <w:sz w:val="18"/>
          <w:szCs w:val="18"/>
          <w:color w:val="auto"/>
        </w:rPr>
        <w:t>Comprises our term-based product subscriptions, cloud service offerings, and EBAs. Subscriptions represent a combined hybrid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Includes subscription fees from product subscriptions, cloud service offerings, and EBAs.</w:t>
      </w:r>
    </w:p>
    <w:p>
      <w:pPr>
        <w:spacing w:after="0" w:line="225"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Unbilled Deferred Revenue: </w:t>
      </w:r>
      <w:r>
        <w:rPr>
          <w:rFonts w:ascii="Times New Roman" w:cs="Times New Roman" w:eastAsia="Times New Roman" w:hAnsi="Times New Roman"/>
          <w:sz w:val="17"/>
          <w:szCs w:val="17"/>
          <w:color w:val="auto"/>
        </w:rPr>
        <w:t>Unbilled deferred revenue represents contractually stated or committed orders under early renewal and multi-year billing plans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51" w:right="239" w:bottom="1440" w:gutter="0" w:footer="0" w:header="0"/>
        </w:sectPr>
      </w:pPr>
    </w:p>
    <w:bookmarkStart w:id="53" w:name="page54"/>
    <w:bookmarkEnd w:id="5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2019 and January 31, 2019, we had open cash flow and balance sheet hedge contracts with future settlements generally within one to twelve months. Contracts were primarily denominated in euros, Japanese yen, British pounds, Canadian dollars, Australian dollars, Singapore dollars, Swiss francs, Swedish krona, and Czech koruna. We do not enter into foreign exchange derivative instruments for trading or speculative purposes. The notional amount of our option and forward contracts was $1.61 billion and $1.38 billion at October 31, 2019, and January 31, 2019, respectively.</w:t>
      </w:r>
    </w:p>
    <w:p>
      <w:pPr>
        <w:spacing w:after="0" w:line="189"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We use foreign currency contracts to reduce the exchange rate impact on the net revenue and operating expenses of certain anticipated transactions. A sensitivity analysis performed on our hedging portfolio as of October 31, 2019, indicated that a hypothetical 10% appreciation of the U.S. dollar from its value at October 31, 2019 and January 31, 2019, would increase the fair value of our foreign currency contracts by $146.9 million and $123.4 million, respectively. A hypothetical 10% depreciation of the dollar from its value at October 31, 2019 and January 31, 2019, would decrease the fair value of our foreign currency contracts by $103.4 million and $98.3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Interest rate movements affect both the interest income we earn on our short-term investments and the market value of certain longer-term securities. At October 31, 2019, we had $490.2 million of cash equivalents and marketable securities, including $68.3 million classified as short-term marketable securities. If interest rates were to move up or down by 50 or 100 basis points over a twelve-month period, the market value change of our marketable securities would not have a material impact on our results of operations.</w:t>
      </w:r>
    </w:p>
    <w:p>
      <w:pPr>
        <w:spacing w:after="0" w:line="1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December 2018, we entered into a $500.0 million term loan facility, of which $150.0 million was outstanding as of October 31, 2019. The term loan bears interest, at Autodesk's option, at either (i) a floating rate per annum equal to the base rate plus a margin between 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A hypothetical increase or decrease of 50 or 100 basis points over a twelve-month period would not have a material impact on our results of operations. The term loan facility matures in December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22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49" w:right="239" w:bottom="1440" w:gutter="0" w:footer="0" w:header="0"/>
        </w:sectPr>
      </w:pPr>
    </w:p>
    <w:bookmarkStart w:id="54" w:name="page55"/>
    <w:bookmarkEnd w:id="5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9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During the three months ended October 31, 2019, we completed the first phase of a multi-year implementation of our new enterprise resource planning (“ERP”) system, which included our general ledger and core accounting functionalities. Accordingly, we have made changes to our internal control processes relating to the new ERP system. There were no additional changes in our internal control over financial reporting (as such term is defined in Rules 13a-15(f) and 15d-15(f) under the Exchange Act) during the three months ended October 31, 2019,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549" w:right="2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20" w:firstLine="432"/>
        <w:spacing w:after="0" w:line="257" w:lineRule="auto"/>
        <w:rPr>
          <w:sz w:val="20"/>
          <w:szCs w:val="20"/>
          <w:color w:val="auto"/>
        </w:rPr>
      </w:pPr>
      <w:r>
        <w:rPr>
          <w:rFonts w:ascii="Times New Roman" w:cs="Times New Roman" w:eastAsia="Times New Roman" w:hAnsi="Times New Roman"/>
          <w:sz w:val="18"/>
          <w:szCs w:val="18"/>
          <w:color w:val="auto"/>
        </w:rPr>
        <w:t>We are involved in a variety of claims, suits, investigations, inquiries and proceedings in the normal course of business activities including claims of alleged infringement of intellectual property rights, commercial, employment, tax, piracy prosecution, business practices, and other matters. In our opinion, resolution of pending matters is not expected to have a material adverse impact on our consolidated results of operations, cash flows, or financial position.</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and political conditions may impact our industries, business and financial results.</w:t>
      </w:r>
    </w:p>
    <w:p>
      <w:pPr>
        <w:spacing w:after="0" w:line="227" w:lineRule="exact"/>
        <w:rPr>
          <w:sz w:val="20"/>
          <w:szCs w:val="20"/>
          <w:color w:val="auto"/>
        </w:rPr>
      </w:pPr>
    </w:p>
    <w:p>
      <w:pPr>
        <w:ind w:right="240" w:firstLine="392"/>
        <w:spacing w:after="0" w:line="255" w:lineRule="auto"/>
        <w:rPr>
          <w:sz w:val="20"/>
          <w:szCs w:val="20"/>
          <w:color w:val="auto"/>
        </w:rPr>
      </w:pPr>
      <w:r>
        <w:rPr>
          <w:rFonts w:ascii="Times New Roman" w:cs="Times New Roman" w:eastAsia="Times New Roman" w:hAnsi="Times New Roman"/>
          <w:sz w:val="18"/>
          <w:szCs w:val="18"/>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8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As described elsewhere in this Risk Factors section, we are dependent on international revenue and operations and are subject to related risks of conducting business globally. 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84"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8"/>
          <w:szCs w:val="18"/>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7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6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Rapid technological changes, as well as changes in customer requirements and preferences, characterize the software industry. Just as the transition from mainframes to personal computers transformed the industry more than 30 years ago, the software industry has undergone a transition from developing and selling perpetual licenses and on-premises products to subscriptions and cloud-enabled technologies. Customers are also reconsidering the manner in which they purchase software products, which requires us to constantly evaluate our business model and strategy. In response, we are focused on providing solutions to enable our customers to be more agile and collaborative on their projects. We devote significant resources to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49" w:right="239" w:bottom="1440" w:gutter="0" w:footer="0" w:header="0"/>
        </w:sectPr>
      </w:pPr>
    </w:p>
    <w:bookmarkStart w:id="56" w:name="page57"/>
    <w:bookmarkEnd w:id="56"/>
    <w:p>
      <w:pPr>
        <w:ind w:right="40"/>
        <w:spacing w:after="0" w:line="255" w:lineRule="auto"/>
        <w:rPr>
          <w:sz w:val="20"/>
          <w:szCs w:val="20"/>
          <w:color w:val="auto"/>
        </w:rPr>
      </w:pPr>
      <w:r>
        <w:rPr>
          <w:rFonts w:ascii="Times New Roman" w:cs="Times New Roman" w:eastAsia="Times New Roman" w:hAnsi="Times New Roman"/>
          <w:sz w:val="18"/>
          <w:szCs w:val="18"/>
          <w:color w:val="auto"/>
        </w:rPr>
        <w:t>development of new technologies. In addition, we frequently introduce new business models or methods that require a considerable investment of technical and financial resources such as our introduction of flexible subscription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8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8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8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could suffer as a result of costs, charges and risks, including integration risks associated with strategic acquisitions and investments such as the fiscal 2019 acquisitions of Assemble Systems, PlanGrid and BuildingConnected.</w:t>
      </w:r>
    </w:p>
    <w:p>
      <w:pPr>
        <w:spacing w:after="0" w:line="160"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We regularly acquire or invest in businesses, software solutions and technologies that are complementary to our business through acquisitions, strategic alliances or equity or debt investments. For example, in fiscal 2019, we acquired Assemble Systems, PlanGrid and BuildingConnected. The risks associated with such acquisitions include, among others, the difficulty of assimilating solutions,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customers, key employees, vendors, distributors, business partners, and other entities associated with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due diligence of the acquired business or solution does not identify significant problems;</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incompatible business cultures;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higher than anticipated transaction or integration-related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exposure to fluctuations in currency exchange rates; and</w:t>
      </w:r>
    </w:p>
    <w:p>
      <w:pPr>
        <w:spacing w:after="0" w:line="225" w:lineRule="exact"/>
        <w:rPr>
          <w:rFonts w:ascii="Times New Roman" w:cs="Times New Roman" w:eastAsia="Times New Roman" w:hAnsi="Times New Roman"/>
          <w:sz w:val="18"/>
          <w:szCs w:val="18"/>
          <w:color w:val="auto"/>
        </w:rPr>
      </w:pPr>
    </w:p>
    <w:p>
      <w:pPr>
        <w:ind w:left="5620" w:right="40" w:hanging="5288"/>
        <w:spacing w:after="0" w:line="532" w:lineRule="auto"/>
        <w:tabs>
          <w:tab w:leader="none" w:pos="6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relationships with existing customers, vendors, and distributors as business partners as a result of acquiring another business. 57</w:t>
      </w:r>
    </w:p>
    <w:p>
      <w:pPr>
        <w:sectPr>
          <w:pgSz w:w="11900" w:h="16838" w:orient="portrait"/>
          <w:cols w:equalWidth="0" w:num="1">
            <w:col w:w="11380"/>
          </w:cols>
          <w:pgMar w:left="240" w:top="553" w:right="279" w:bottom="1440" w:gutter="0" w:footer="0" w:header="0"/>
        </w:sectPr>
      </w:pPr>
    </w:p>
    <w:bookmarkStart w:id="57" w:name="page58"/>
    <w:bookmarkEnd w:id="57"/>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8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6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are dependent on our international operations for a significant portion of our revenue. International net revenue represented 66% of our net revenue for both the nine months ended October 31, 2019 and 2018.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18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quotas, and other trade barriers and restrictions;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currency exchange rates, including devaluations, currency controls and inflation, and risks related to any hedging activities we undertake;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sometimes conflicting, and unexpected changes in regulatory requirements and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difficulty in obtaining export licenses for certain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purchase patterns as compared to the developed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locations with a higher incidence of corruption and fraudulent business practices, particularly in emerging economies;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enforcement by the U.S. under the Foreign Corrupt Practices Act, and adoption of stricter anti-corruption laws in certain countries, including the United Kingdom;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sales and development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cycles for accounts receivable;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 law changes impacting how multinational companies are taxed;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regarding the management of and access to data and public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future limitations upon foreign owned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769" w:right="239" w:bottom="1440" w:gutter="0" w:footer="0" w:header="0"/>
        </w:sectPr>
      </w:pPr>
    </w:p>
    <w:bookmarkStart w:id="58" w:name="page59"/>
    <w:bookmarkEnd w:id="58"/>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local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protecting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piracy; and</w:t>
      </w:r>
    </w:p>
    <w:p>
      <w:pPr>
        <w:spacing w:after="0" w:line="225" w:lineRule="exact"/>
        <w:rPr>
          <w:rFonts w:ascii="Times New Roman" w:cs="Times New Roman" w:eastAsia="Times New Roman" w:hAnsi="Times New Roman"/>
          <w:sz w:val="18"/>
          <w:szCs w:val="18"/>
          <w:color w:val="auto"/>
        </w:rPr>
      </w:pPr>
    </w:p>
    <w:p>
      <w:pPr>
        <w:ind w:left="420" w:right="2940" w:hanging="88"/>
        <w:spacing w:after="0" w:line="530" w:lineRule="auto"/>
        <w:tabs>
          <w:tab w:leader="none" w:pos="66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"Brexit" vote has exacerbated and may further exacerbate many of the risks and uncertainties described above. The withdrawal of the United Kingdom from the European Union could, among other potential outcomes, adversely affect the tax,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Although the withdrawal of the United Kingdom from the European Union was scheduled to take effect on March 29, 2019, the withdrawal agreement was subsequently extended until April 12, 2019, further extended until October 31, 2019, and then further extended until January 31, 2020. Given the history of extensions, it is unclear when and if such a withdrawal will take place, and there is significant risk that the United Kingdom will exit from the European Union without agreement between the European Union and United Kingdom on terms addressing customs and trade matters. Further, uncertainty around these and related issues could lead to adverse effects on the economy of the United Kingdom, European Union and the other economies in which we operate.</w:t>
      </w:r>
    </w:p>
    <w:p>
      <w:pPr>
        <w:spacing w:after="0" w:line="18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have triggered and could trigger additional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8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6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2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 and we may face delays or other difficulties in identifying or responding to security incidents.</w:t>
      </w:r>
    </w:p>
    <w:p>
      <w:pPr>
        <w:spacing w:after="0" w:line="14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769" w:right="279" w:bottom="1440" w:gutter="0" w:footer="0" w:header="0"/>
        </w:sectPr>
      </w:pPr>
    </w:p>
    <w:bookmarkStart w:id="59" w:name="page60"/>
    <w:bookmarkEnd w:id="59"/>
    <w:p>
      <w:pPr>
        <w:ind w:firstLine="405"/>
        <w:spacing w:after="0" w:line="255" w:lineRule="auto"/>
        <w:rPr>
          <w:sz w:val="20"/>
          <w:szCs w:val="20"/>
          <w:color w:val="auto"/>
        </w:rPr>
      </w:pPr>
      <w:r>
        <w:rPr>
          <w:rFonts w:ascii="Times New Roman" w:cs="Times New Roman" w:eastAsia="Times New Roman" w:hAnsi="Times New Roman"/>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virtually impossible for us to entirely eliminate these risks.</w:t>
      </w:r>
    </w:p>
    <w:p>
      <w:pPr>
        <w:spacing w:after="0" w:line="149"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in an effort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4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regulatory focus on privacy issues and expanding laws may impact our business or expose us to increased liability.</w:t>
      </w:r>
    </w:p>
    <w:p>
      <w:pPr>
        <w:spacing w:after="0" w:line="227" w:lineRule="exact"/>
        <w:rPr>
          <w:sz w:val="20"/>
          <w:szCs w:val="20"/>
          <w:color w:val="auto"/>
        </w:rPr>
      </w:pPr>
    </w:p>
    <w:p>
      <w:pPr>
        <w:ind w:right="100" w:firstLine="405"/>
        <w:spacing w:after="0" w:line="281" w:lineRule="auto"/>
        <w:rPr>
          <w:sz w:val="20"/>
          <w:szCs w:val="20"/>
          <w:color w:val="auto"/>
        </w:rPr>
      </w:pPr>
      <w:r>
        <w:rPr>
          <w:rFonts w:ascii="Times New Roman" w:cs="Times New Roman" w:eastAsia="Times New Roman" w:hAnsi="Times New Roman"/>
          <w:sz w:val="17"/>
          <w:szCs w:val="17"/>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government privacy and data security laws apply to the treatment of personal data. Governments, regulators, the plaintiffs’ bar, privacy advocates and customers have increased their focus on how companies collect, process, use, store, share and transmit personal data.</w:t>
      </w:r>
    </w:p>
    <w:p>
      <w:pPr>
        <w:spacing w:after="0" w:line="12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GDPR. We have self-certified under the EU-U.S. Privacy Shield program and also make use of model contractual clauses approved by the European Commission in relation to the transfer of personal data from the European Union to the United States. The Privacy Shield and the European Commission’s model contractual clauses are currently the subject of legal challenges in the European Union, however, and it is unclear whether these will serve as appropriate means for us to transfer personal data from the European Union to the United States. We have also self-certified to the Swiss-U.S. Privacy Shield program in relation to the transfer of personal data from Switzerland to the United States. This Privacy Shield program also may no longer be valid due to possible legal challenges. Additionally, in June 2016, the United Kingdom voted to leave the European Union, commonly referred to as "Brexit," which could also lead to further legislative and regulatory changes with regard to personal data. The United Kingdom Data Protection Act that substantially implements the GDPR became law in May 2018. It remains unclear, however, how United Kingdom data protection laws or regulations will develop in the medium to longer term and how data transfers to and from the United Kingdom will be regulated at the time, if any, that Brexit is effectuated.</w:t>
      </w:r>
    </w:p>
    <w:p>
      <w:pPr>
        <w:spacing w:after="0" w:line="15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addition, in June 2018, California enacted the California Consumer Privacy Act (the "CCPA"), which takes effect in January 2020. The CCPA will, among other things, give California residents expanded rights to access and delete their personal information, opt out of certain personal information sharing, and receive detailed information about how their personal information is used. The CCPA was amended in September 2018, and further modifications may be made to this law before it takes effect. Additionally, in October 2019, the California Department of Justice published a notice of proposed rulemaking action with respect to draft regulations to implement the CCPA. We cannot yet predict the impact of the CCPA on our business or operations, but it may require us to modify our data processing practices and policies and to incur substantial costs and expenses in an effort to comply.</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53" w:right="239" w:bottom="1440" w:gutter="0" w:footer="0" w:header="0"/>
        </w:sectPr>
      </w:pPr>
    </w:p>
    <w:bookmarkStart w:id="60" w:name="page61"/>
    <w:bookmarkEnd w:id="60"/>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GDPR, CCPA and other state and global laws and regulations increased our responsibility and potential liability in relation to personal data, and we have and will continue to put in place additional processes and programs to demonstrate compliance. Any actual or perceived failure to comply with the GDPR, other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143" w:lineRule="exact"/>
        <w:rPr>
          <w:sz w:val="20"/>
          <w:szCs w:val="20"/>
          <w:color w:val="auto"/>
        </w:rPr>
      </w:pPr>
    </w:p>
    <w:p>
      <w:pPr>
        <w:ind w:right="300" w:firstLine="405"/>
        <w:spacing w:after="0" w:line="256" w:lineRule="auto"/>
        <w:rPr>
          <w:sz w:val="20"/>
          <w:szCs w:val="20"/>
          <w:color w:val="auto"/>
        </w:rPr>
      </w:pPr>
      <w:r>
        <w:rPr>
          <w:rFonts w:ascii="Times New Roman" w:cs="Times New Roman" w:eastAsia="Times New Roman" w:hAnsi="Times New Roman"/>
          <w:sz w:val="18"/>
          <w:szCs w:val="18"/>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to understand how our offerings and services are being used, to respond to customer requests allowed under the laws, and to implement our new business models effectively. These new laws and regulations would similarly affect our competitors as well as our customers and may cause some customers to stop using, or not to use, our offerings and services. These requirements could impact demand for our offerings and services and result in more onerous contract obligations.</w:t>
      </w:r>
    </w:p>
    <w:p>
      <w:pPr>
        <w:spacing w:after="0" w:line="14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performance.</w:t>
      </w:r>
    </w:p>
    <w:p>
      <w:pPr>
        <w:spacing w:after="0" w:line="16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rely on third parties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performance could be negatively impacted.</w:t>
      </w:r>
    </w:p>
    <w:p>
      <w:pPr>
        <w:spacing w:after="0" w:line="14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6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may rely on a single or limited number of suppliers, or upon suppliers in a single country, for the provision of various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performance could be negatively impacted.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predict subscription renewal rates and their impact on our future revenue and operating results.</w:t>
      </w:r>
    </w:p>
    <w:p>
      <w:pPr>
        <w:spacing w:after="0" w:line="227" w:lineRule="exact"/>
        <w:rPr>
          <w:sz w:val="20"/>
          <w:szCs w:val="20"/>
          <w:color w:val="auto"/>
        </w:rPr>
      </w:pPr>
    </w:p>
    <w:p>
      <w:pPr>
        <w:ind w:right="100" w:firstLine="392"/>
        <w:spacing w:after="0" w:line="261" w:lineRule="auto"/>
        <w:rPr>
          <w:sz w:val="20"/>
          <w:szCs w:val="20"/>
          <w:color w:val="auto"/>
        </w:rPr>
      </w:pPr>
      <w:r>
        <w:rPr>
          <w:rFonts w:ascii="Times New Roman" w:cs="Times New Roman" w:eastAsia="Times New Roman" w:hAnsi="Times New Roman"/>
          <w:sz w:val="18"/>
          <w:szCs w:val="18"/>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8"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76" w:lineRule="exact"/>
        <w:rPr>
          <w:sz w:val="20"/>
          <w:szCs w:val="20"/>
          <w:color w:val="auto"/>
        </w:rPr>
      </w:pPr>
    </w:p>
    <w:p>
      <w:pPr>
        <w:jc w:val="both"/>
        <w:ind w:right="40" w:firstLine="392"/>
        <w:spacing w:after="0" w:line="261" w:lineRule="auto"/>
        <w:rPr>
          <w:sz w:val="20"/>
          <w:szCs w:val="20"/>
          <w:color w:val="auto"/>
        </w:rPr>
      </w:pPr>
      <w:r>
        <w:rPr>
          <w:rFonts w:ascii="Times New Roman" w:cs="Times New Roman" w:eastAsia="Times New Roman" w:hAnsi="Times New Roman"/>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553" w:right="259" w:bottom="1440" w:gutter="0" w:footer="0" w:header="0"/>
        </w:sectPr>
      </w:pPr>
    </w:p>
    <w:bookmarkStart w:id="61" w:name="page62"/>
    <w:bookmarkEnd w:id="61"/>
    <w:p>
      <w:pPr>
        <w:ind w:right="20" w:firstLine="392"/>
        <w:spacing w:after="0" w:line="256" w:lineRule="auto"/>
        <w:rPr>
          <w:sz w:val="20"/>
          <w:szCs w:val="20"/>
          <w:color w:val="auto"/>
        </w:rPr>
      </w:pPr>
      <w:r>
        <w:rPr>
          <w:rFonts w:ascii="Times New Roman" w:cs="Times New Roman" w:eastAsia="Times New Roman" w:hAnsi="Times New Roman"/>
          <w:sz w:val="18"/>
          <w:szCs w:val="18"/>
          <w:color w:val="auto"/>
        </w:rPr>
        <w:t>For example, we are undergoing a multi-phase project to upgrade our enterprise resource planning (“ERP”) management system to enhance operating efficiencies and provide more effective management of our business operations. We are investing significant capital and human resources into this project. However, there is no assurance that the system upgrade will meet our current or future business needs or that it will operate as designed. The transition to the new ERP system will affect numerous systems necessary for our operation. If we fail to correctly implement one or more components of the ERP system, we may experience significant disruption to our operations including, among other things, temporary loss of data, errors in data, inability to accurately process or record transactions, security issues, failure of systems to communicate with each other and the inability to track or reconcile key data.</w:t>
      </w:r>
    </w:p>
    <w:p>
      <w:pPr>
        <w:spacing w:after="0" w:line="188"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8"/>
          <w:szCs w:val="18"/>
          <w:color w:val="auto"/>
        </w:rPr>
        <w:t>Information technology system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to our business operations, additional expense, loss of customers, loss of revenue, errors in our accounting and financial reporting or damage to our reputation, all of which could harm our business.</w:t>
      </w:r>
    </w:p>
    <w:p>
      <w:pPr>
        <w:spacing w:after="0" w:line="178"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Our software is highly complex and may contain undetected errors, defects or vulnerabilities, each of which could harm our business and financial performance.</w:t>
      </w:r>
    </w:p>
    <w:p>
      <w:pPr>
        <w:spacing w:after="0" w:line="160" w:lineRule="exact"/>
        <w:rPr>
          <w:sz w:val="20"/>
          <w:szCs w:val="20"/>
          <w:color w:val="auto"/>
        </w:rPr>
      </w:pPr>
    </w:p>
    <w:p>
      <w:pPr>
        <w:jc w:val="both"/>
        <w:ind w:right="80" w:firstLine="392"/>
        <w:spacing w:after="0" w:line="261" w:lineRule="auto"/>
        <w:rPr>
          <w:sz w:val="20"/>
          <w:szCs w:val="20"/>
          <w:color w:val="auto"/>
        </w:rPr>
      </w:pPr>
      <w:r>
        <w:rPr>
          <w:rFonts w:ascii="Times New Roman" w:cs="Times New Roman" w:eastAsia="Times New Roman" w:hAnsi="Times New Roman"/>
          <w:sz w:val="18"/>
          <w:szCs w:val="18"/>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Existing and increased competition and rapidly evolving technological changes may reduce our revenue and profits.</w:t>
      </w:r>
    </w:p>
    <w:p>
      <w:pPr>
        <w:spacing w:after="0" w:line="227" w:lineRule="exact"/>
        <w:rPr>
          <w:sz w:val="20"/>
          <w:szCs w:val="20"/>
          <w:color w:val="auto"/>
        </w:rPr>
      </w:pPr>
    </w:p>
    <w:p>
      <w:pPr>
        <w:ind w:right="40" w:firstLine="392"/>
        <w:spacing w:after="0" w:line="254" w:lineRule="auto"/>
        <w:rPr>
          <w:sz w:val="20"/>
          <w:szCs w:val="20"/>
          <w:color w:val="auto"/>
        </w:rPr>
      </w:pPr>
      <w:r>
        <w:rPr>
          <w:rFonts w:ascii="Times New Roman" w:cs="Times New Roman" w:eastAsia="Times New Roman" w:hAnsi="Times New Roman"/>
          <w:sz w:val="18"/>
          <w:szCs w:val="18"/>
          <w:color w:val="auto"/>
        </w:rPr>
        <w:t>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subscriptions and cloud-enabled technologies.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8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governmental export and import controls that could impair our ability to compete in international markets or subject us to liability if we violate the controls</w:t>
      </w:r>
      <w:r>
        <w:rPr>
          <w:rFonts w:ascii="Times New Roman" w:cs="Times New Roman" w:eastAsia="Times New Roman" w:hAnsi="Times New Roman"/>
          <w:sz w:val="18"/>
          <w:szCs w:val="18"/>
          <w:b w:val="1"/>
          <w:bCs w:val="1"/>
          <w:i w:val="1"/>
          <w:iCs w:val="1"/>
          <w:color w:val="auto"/>
        </w:rPr>
        <w:t>.</w:t>
      </w:r>
    </w:p>
    <w:p>
      <w:pPr>
        <w:spacing w:after="0" w:line="16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553" w:right="2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We are exposed to fluctuations in currency exchange rates that could negatively impact our financial results and cash flows.</w:t>
      </w:r>
    </w:p>
    <w:p>
      <w:pPr>
        <w:spacing w:after="0" w:line="227"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76"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4"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addition, Brexit may contribute to volatility in foreign exchange markets with respect to the British Pound and Euro,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1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176"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sell our software products both directly to end users and through a network of distributors and resellers. For the nine months ended October 31, 2019 and 2018, approximately 70% and 72%,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9"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We rely significantly upon major distributors and resellers in both the U.S. and international regions, including the distributors Tech Data and Ingram Micro. Tech Data accounted for 35% of our total net revenue for both the nine months ended October 31, 2019 and 2018, and Ingram Micro accounted for 10% and 11% of our total net revenue for the nine months ended October 31, 2019 and 2018, respectively.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 However, if either distributor were to experience a significant disruption with its business, or if our relationship with either of them were to significantly deteriorate, it is possible that our ability to sell to resellers and end users would be, at least temporarily, negatively impacted. This could in turn negatively impact our financial results. For example, on November 13, 2019, Tech Data announced that it had entered into a definitive agreement to be acquired by an affiliate of funds managed by affiliates of Apollo Global Management, a global alternative investment manager. The transaction is not subject to a financing condition and is expected to close in the first half of calendar year 2020, subject to the satisfaction of customary closing conditions. If there is any uncertainty resulting from the transaction between Tech Data and Apollo with the resellers and end users who currently purchase our products through Tech Data, our ability to sell to these resellers and end users could be, at least temporarily, negatively impacted.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51" w:right="239" w:bottom="1440" w:gutter="0" w:footer="0" w:header="0"/>
        </w:sectPr>
      </w:pPr>
    </w:p>
    <w:bookmarkStart w:id="63" w:name="page64"/>
    <w:bookmarkEnd w:id="63"/>
    <w:p>
      <w:pPr>
        <w:ind w:firstLine="392"/>
        <w:spacing w:after="0" w:line="255" w:lineRule="auto"/>
        <w:rPr>
          <w:sz w:val="20"/>
          <w:szCs w:val="20"/>
          <w:color w:val="auto"/>
        </w:rPr>
      </w:pPr>
      <w:r>
        <w:rPr>
          <w:rFonts w:ascii="Times New Roman" w:cs="Times New Roman" w:eastAsia="Times New Roman" w:hAnsi="Times New Roman"/>
          <w:sz w:val="18"/>
          <w:szCs w:val="18"/>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8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6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key metrics and other operating metrics to fluctuate include:</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business, and political conditions in particular geographies, including Europe, APAC, and emerging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produce sufficient revenue, ARR, billings, subscription, profitability and cash flow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related reputational harm, and potential financial penalties to customers and government entities;</w:t>
      </w:r>
    </w:p>
    <w:p>
      <w:pPr>
        <w:spacing w:after="0" w:line="225"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impairment charges related to prior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spend;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billings linearity;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subscription mix, pricing pressure or changes in subscription pricing;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or negative growth in one or more of the industries we serve, including AEC, manufacturing, and digital media and entertainment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or sales initiatives;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or other accounting charges and unexpected costs or other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additional investments in our technologies or deployment of our services;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and the timing of large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arising from ongoing or future tax examinations;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governments around the world to adopt fiscal policies, meet their financial and debt obligations, and to finance infrastructure projects;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expand our AutoCAD and AutoCAD LT customer base to related design products and services;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53" w:right="239" w:bottom="1440" w:gutter="0" w:footer="0" w:header="0"/>
        </w:sectPr>
      </w:pPr>
    </w:p>
    <w:bookmarkStart w:id="64" w:name="page65"/>
    <w:bookmarkEnd w:id="64"/>
    <w:p>
      <w:pPr>
        <w:ind w:left="660" w:right="1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adapt to technological and customer preference changes, including those related to cloud computing, mobile devices and new computing platforms;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of new products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business condition of our reseller and distribution channels;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or actual technical or other problems with a product or combination of subscriptions;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negative outcomes of matters and expenses relating to litigation or regulatory inquiries;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cloud functionality-related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releases and retirements of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tax accounting rules, such as increased use of fair value measures;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sales compensation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implement and maintain our copyright legalization programs, especially in developing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renegotiation or termination of royalty or intellectual property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the effectiveness of our hedging activity;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terminations in the business of our consultants or third-party developers;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degree of expected investments in growth and efficiency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continued success in technology advancements;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appropriately estimate the scope of services under consulting arrangements.</w:t>
      </w:r>
    </w:p>
    <w:p>
      <w:pPr>
        <w:spacing w:after="0" w:line="225" w:lineRule="exact"/>
        <w:rPr>
          <w:sz w:val="20"/>
          <w:szCs w:val="20"/>
          <w:color w:val="auto"/>
        </w:rPr>
      </w:pPr>
    </w:p>
    <w:p>
      <w:pPr>
        <w:ind w:right="260" w:firstLine="392"/>
        <w:spacing w:after="0" w:line="266" w:lineRule="auto"/>
        <w:rPr>
          <w:sz w:val="20"/>
          <w:szCs w:val="20"/>
          <w:color w:val="auto"/>
        </w:rPr>
      </w:pPr>
      <w:r>
        <w:rPr>
          <w:rFonts w:ascii="Times New Roman" w:cs="Times New Roman" w:eastAsia="Times New Roman" w:hAnsi="Times New Roman"/>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76"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74"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Because we derive a substantial portion of our net revenue from a small number of solutions, including our AutoCAD-based software products and collections, if these offerings are not successful, our revenue will be adversely affected.</w:t>
      </w:r>
    </w:p>
    <w:p>
      <w:pPr>
        <w:spacing w:after="0" w:line="16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derive a substantial portion of our net revenue from sales of subscriptions to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both the nine months ended October 31, 2019 and 2018, combined revenue from our AutoCAD and AutoCAD LT products, not including collections having AutoCAD or AutoCAD LT as a component, represented 29% of our total net revenue.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60"/>
          </w:cols>
          <w:pgMar w:left="240" w:top="553"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Our debt service obligations may adversely affect our financial condition and cash flows from operations.</w:t>
      </w:r>
    </w:p>
    <w:p>
      <w:pPr>
        <w:spacing w:after="0" w:line="227"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We have $1.60 billion of debt, consisting of notes due at various times from June 2020 to June 2027, plus a delayed draw term loan facility in the aggregate remaining principal amount of $100.0 million as of December 5, 2019 and due in December 2020, each as described in Part I, Item 1. We also entered into a credit agreement that provides for an unsecured revolving loan facility in the aggregate principal amount of $650.0 million, with an option to be increased up to $1.0 billion, as described in Part I, Item 1. Maintenance of our indebtedness, contractual restrictions, and additional issuances of indebtedness could:</w:t>
      </w:r>
    </w:p>
    <w:p>
      <w:pPr>
        <w:spacing w:after="0" w:line="18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dedicate a substantial portion of our cash flows from operations towards debt service obligations and principal repayments;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future financing for working capital, capital expenditures, acquisitions, general corporate or other purposes;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176"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We are required to comply with the covenants set forth in our debt instruments, such as an interest coverage ratio in effect January 31, 2019, and a leverage ratio in effect July 31, 2019. If we breach any of the covenants and do not obtain a waiver from the note holders or lenders, then, subject to applicable cure periods, we would not be able to incur additional indebtedness under the credit agreement described in Part I, Item 1,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not able to adequately protect our proprietary rights, our business could be harmed.</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piracy of our software exists, and we expect that software piracy will remain a persistent problem, particularly in emerging economies. Furthermore, our means of protecting our proprietary rights may not be adequate.</w:t>
      </w:r>
    </w:p>
    <w:p>
      <w:pPr>
        <w:spacing w:after="0" w:line="18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51"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color w:val="auto"/>
        </w:rPr>
        <w:t>We may face intellectual property infringement claims that could be costly to defend and result in the loss of significant rights.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more software patents are granted worldwide, the number of offerings and competitors in our industries grows. As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18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6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8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Net revenue, ARR, billings, earnings, cash flow, net revenue retention rate, or subscriptions shortfalls or the volatility of the market generally may cause the market price of our stock to decline.</w:t>
      </w:r>
    </w:p>
    <w:p>
      <w:pPr>
        <w:spacing w:after="0" w:line="160"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62" w:lineRule="exact"/>
        <w:rPr>
          <w:sz w:val="20"/>
          <w:szCs w:val="20"/>
          <w:color w:val="auto"/>
        </w:rPr>
      </w:pPr>
    </w:p>
    <w:p>
      <w:pPr>
        <w:ind w:left="660" w:right="2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our expected financial results, including net revenue, ARR, billings, earnings and cash flow or key performance metrics, such as net revenue retention rate or subscriptions, and how those results compare to securities analyst expectations, including whether those results fail to meet, exceed, or significantly exceed securities analyst expectations;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political or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forward-looking estimates of future results, how those estimates compare to securities analyst expectations,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changes in recommendations or confusion on the part of analysts and investors about the short-term and long-term impact to our business;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certain governments' abilities to repay debt or effect fiscal policy;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offerings or enhancements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events such as significant acquisitions, divestitures, regulatory actions, and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rules, or regulations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debt service obligations;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factors unrelated to our operating performance, such as instability affecting the economy or the operating performance of our competitors.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551" w:right="259" w:bottom="1440" w:gutter="0" w:footer="0" w:header="0"/>
        </w:sectPr>
      </w:pPr>
    </w:p>
    <w:bookmarkStart w:id="67" w:name="page68"/>
    <w:bookmarkEnd w:id="67"/>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could be adversely affected if we are unable to attract and retain key personnel.</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2" w:lineRule="exact"/>
        <w:rPr>
          <w:sz w:val="20"/>
          <w:szCs w:val="20"/>
          <w:color w:val="auto"/>
        </w:rPr>
      </w:pPr>
    </w:p>
    <w:p>
      <w:pPr>
        <w:ind w:right="120" w:firstLine="432"/>
        <w:spacing w:after="0" w:line="277" w:lineRule="auto"/>
        <w:rPr>
          <w:sz w:val="20"/>
          <w:szCs w:val="20"/>
          <w:color w:val="auto"/>
        </w:rPr>
      </w:pPr>
      <w:r>
        <w:rPr>
          <w:rFonts w:ascii="Times New Roman" w:cs="Times New Roman" w:eastAsia="Times New Roman" w:hAnsi="Times New Roman"/>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6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76"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risks related to taxation in multiple jurisdictions.</w:t>
      </w:r>
    </w:p>
    <w:p>
      <w:pPr>
        <w:spacing w:after="0" w:line="22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53" w:right="239" w:bottom="1440" w:gutter="0" w:footer="0" w:header="0"/>
        </w:sectPr>
      </w:pPr>
    </w:p>
    <w:bookmarkStart w:id="68" w:name="page69"/>
    <w:bookmarkEnd w:id="68"/>
    <w:p>
      <w:pPr>
        <w:ind w:right="160"/>
        <w:spacing w:after="0" w:line="261" w:lineRule="auto"/>
        <w:rPr>
          <w:sz w:val="20"/>
          <w:szCs w:val="20"/>
          <w:color w:val="auto"/>
        </w:rPr>
      </w:pPr>
      <w:r>
        <w:rPr>
          <w:rFonts w:ascii="Times New Roman" w:cs="Times New Roman" w:eastAsia="Times New Roman" w:hAnsi="Times New Roman"/>
          <w:sz w:val="18"/>
          <w:szCs w:val="18"/>
          <w:color w:val="auto"/>
        </w:rPr>
        <w:t>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0"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Tax laws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Increasingly, governmental tax authorities are scrutinizing corporate tax strategies. Many countries in the European Union, as well as other countries and organizations such as the Organization for Economic Cooperation and Development, are actively considering changes to existing tax laws or the interpretation of such tax laws that, if adopted, could increase our tax obligations in many countries where we do business. If the U.S. or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in the interpretation and application of the Tax Act could materially affect our tax obligations and effective tax rate.</w:t>
      </w:r>
    </w:p>
    <w:p>
      <w:pPr>
        <w:spacing w:after="0" w:line="22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Tax Act was enacted on December 22, 2017, and provided broad and significant changes to the U.S. tax code and how the U.S. imposes income tax on multinational corporations. Due to the complexity and varying interpretations of the Tax Act, the U.S. Department of Treasury has issued and will continue to issue regulations and interpretative guidance that could significantly impact how we will apply the law and the ultimate impact to our results of operations from the Tax Act.</w:t>
      </w:r>
    </w:p>
    <w:p>
      <w:pPr>
        <w:spacing w:after="0" w:line="180" w:lineRule="exact"/>
        <w:rPr>
          <w:sz w:val="20"/>
          <w:szCs w:val="20"/>
          <w:color w:val="auto"/>
        </w:rPr>
      </w:pPr>
    </w:p>
    <w:p>
      <w:pPr>
        <w:jc w:val="both"/>
        <w:ind w:right="400" w:firstLine="405"/>
        <w:spacing w:after="0" w:line="261" w:lineRule="auto"/>
        <w:rPr>
          <w:sz w:val="20"/>
          <w:szCs w:val="20"/>
          <w:color w:val="auto"/>
        </w:rPr>
      </w:pPr>
      <w:r>
        <w:rPr>
          <w:rFonts w:ascii="Times New Roman" w:cs="Times New Roman" w:eastAsia="Times New Roman" w:hAnsi="Times New Roman"/>
          <w:sz w:val="18"/>
          <w:szCs w:val="18"/>
          <w:color w:val="auto"/>
        </w:rPr>
        <w:t>The Tax Act requires complex computations to be performed that were not previously provided for in the U.S. tax law. These computations require significant judgments to be made regarding the interpretation of the provisions within the Tax Act and treasury regulations issued thereunder, along with preparation and analysis of information not previously required. As additional regulatory guidance is issued, we may make amendments to prior year tax returns.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existing financial accounting standards or practices, or taxation rules or practices, may adversely affect our results of operations.</w:t>
      </w:r>
    </w:p>
    <w:p>
      <w:pPr>
        <w:spacing w:after="0" w:line="227"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7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6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2"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In preparing our financial statements, we make certain assumptions, judgments and estimates that affect amounts reported in our condensed consolidated financial statements, which, if not accurate, may significantly impact our financial results.</w:t>
      </w:r>
    </w:p>
    <w:p>
      <w:pPr>
        <w:spacing w:after="0" w:line="160"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We make assumptions, judgments and estimates for a number of items, including revenue recognition for our hybrid desktop software and cloud service subscriptions, the fair value of financial instruments, goodwill, long-lived assets and other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53" w:right="239" w:bottom="1440" w:gutter="0" w:footer="0" w:header="0"/>
        </w:sectPr>
      </w:pPr>
    </w:p>
    <w:bookmarkStart w:id="69" w:name="page70"/>
    <w:bookmarkEnd w:id="69"/>
    <w:p>
      <w:pPr>
        <w:ind w:right="120"/>
        <w:spacing w:after="0" w:line="256" w:lineRule="auto"/>
        <w:rPr>
          <w:sz w:val="20"/>
          <w:szCs w:val="20"/>
          <w:color w:val="auto"/>
        </w:rPr>
      </w:pPr>
      <w:r>
        <w:rPr>
          <w:rFonts w:ascii="Times New Roman" w:cs="Times New Roman" w:eastAsia="Times New Roman" w:hAnsi="Times New Roman"/>
          <w:sz w:val="18"/>
          <w:szCs w:val="18"/>
          <w:color w:val="auto"/>
        </w:rPr>
        <w:t>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6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with licensing relationships and third-party developers could adversely impact our business.</w:t>
      </w:r>
    </w:p>
    <w:p>
      <w:pPr>
        <w:spacing w:after="0" w:line="227"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7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0"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7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60"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significantly disrupted upon the occurrence of a catastrophic event.</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53" w:right="239" w:bottom="1440" w:gutter="0" w:footer="0" w:header="0"/>
        </w:sectPr>
      </w:pPr>
    </w:p>
    <w:bookmarkStart w:id="70" w:name="page71"/>
    <w:bookmarkEnd w:id="70"/>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60" w:lineRule="exact"/>
        <w:rPr>
          <w:sz w:val="20"/>
          <w:szCs w:val="20"/>
          <w:color w:val="auto"/>
        </w:rPr>
      </w:pPr>
    </w:p>
    <w:p>
      <w:pPr>
        <w:ind w:firstLine="392"/>
        <w:spacing w:after="0" w:line="254" w:lineRule="auto"/>
        <w:rPr>
          <w:sz w:val="20"/>
          <w:szCs w:val="20"/>
          <w:color w:val="auto"/>
        </w:rPr>
      </w:pPr>
      <w:r>
        <w:rPr>
          <w:rFonts w:ascii="Times New Roman" w:cs="Times New Roman" w:eastAsia="Times New Roman" w:hAnsi="Times New Roman"/>
          <w:sz w:val="18"/>
          <w:szCs w:val="18"/>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and in fiscal 2018, we determined that it was more likely than not that we would not realize our U.S. and Singapore deferred tax assets and established a valuation allowance against the deferred tax assets in each respective jurisdiction. We continued to have a full valuation allowance against our U.S. and Singapore deferred tax assets in fiscal 2019.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three months ended October 31, 2019.</w:t>
      </w:r>
    </w:p>
    <w:p>
      <w:pPr>
        <w:spacing w:after="0" w:line="225"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551" w:right="259" w:bottom="1440" w:gutter="0" w:footer="0" w:header="0"/>
        </w:sectPr>
      </w:pPr>
    </w:p>
    <w:bookmarkStart w:id="71" w:name="page72"/>
    <w:bookmarkEnd w:id="7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40" w:type="dxa"/>
            <w:vAlign w:val="bottom"/>
          </w:tcPr>
          <w:p>
            <w:pPr>
              <w:spacing w:after="0"/>
              <w:rPr>
                <w:sz w:val="17"/>
                <w:szCs w:val="17"/>
                <w:color w:val="auto"/>
              </w:rPr>
            </w:pPr>
          </w:p>
        </w:tc>
        <w:tc>
          <w:tcPr>
            <w:tcW w:w="7880" w:type="dxa"/>
            <w:vAlign w:val="bottom"/>
            <w:gridSpan w:val="4"/>
          </w:tcPr>
          <w:p>
            <w:pPr>
              <w:ind w:left="2820"/>
              <w:spacing w:after="0"/>
              <w:rPr>
                <w:sz w:val="20"/>
                <w:szCs w:val="20"/>
                <w:color w:val="auto"/>
              </w:rPr>
            </w:pPr>
            <w:r>
              <w:rPr>
                <w:rFonts w:ascii="Times New Roman" w:cs="Times New Roman" w:eastAsia="Times New Roman" w:hAnsi="Times New Roman"/>
                <w:sz w:val="16"/>
                <w:szCs w:val="16"/>
                <w:color w:val="auto"/>
              </w:rPr>
              <w:t>Description</w:t>
            </w:r>
          </w:p>
        </w:tc>
      </w:tr>
      <w:tr>
        <w:trPr>
          <w:trHeight w:val="574"/>
        </w:trPr>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31.1</w:t>
            </w:r>
          </w:p>
        </w:tc>
        <w:tc>
          <w:tcPr>
            <w:tcW w:w="560" w:type="dxa"/>
            <w:vAlign w:val="bottom"/>
          </w:tcPr>
          <w:p>
            <w:pPr>
              <w:spacing w:after="0"/>
              <w:rPr>
                <w:sz w:val="24"/>
                <w:szCs w:val="24"/>
                <w:color w:val="auto"/>
              </w:rPr>
            </w:pPr>
          </w:p>
        </w:tc>
        <w:tc>
          <w:tcPr>
            <w:tcW w:w="9720" w:type="dxa"/>
            <w:vAlign w:val="bottom"/>
            <w:gridSpan w:val="5"/>
          </w:tcPr>
          <w:p>
            <w:pPr>
              <w:spacing w:after="0"/>
              <w:rPr>
                <w:rFonts w:ascii="Times New Roman" w:cs="Times New Roman" w:eastAsia="Times New Roman" w:hAnsi="Times New Roman"/>
                <w:sz w:val="16"/>
                <w:szCs w:val="16"/>
                <w:color w:val="0000FF"/>
              </w:rPr>
            </w:pPr>
            <w:hyperlink w:anchor="page74">
              <w:r>
                <w:rPr>
                  <w:rFonts w:ascii="Times New Roman" w:cs="Times New Roman" w:eastAsia="Times New Roman" w:hAnsi="Times New Roman"/>
                  <w:sz w:val="16"/>
                  <w:szCs w:val="16"/>
                  <w:color w:val="0000FF"/>
                </w:rPr>
                <w:t>Certification of Chief Executive Officer pursuant to Rule 13a-14(a) of the Securities Exchange Act of 1934</w:t>
              </w:r>
            </w:hyperlink>
          </w:p>
        </w:tc>
      </w:tr>
      <w:tr>
        <w:trPr>
          <w:trHeight w:val="426"/>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60" w:type="dxa"/>
            <w:vAlign w:val="bottom"/>
          </w:tcPr>
          <w:p>
            <w:pPr>
              <w:spacing w:after="0"/>
              <w:rPr>
                <w:sz w:val="24"/>
                <w:szCs w:val="24"/>
                <w:color w:val="auto"/>
              </w:rPr>
            </w:pPr>
          </w:p>
        </w:tc>
        <w:tc>
          <w:tcPr>
            <w:tcW w:w="6940" w:type="dxa"/>
            <w:vAlign w:val="bottom"/>
            <w:tcBorders>
              <w:top w:val="single" w:sz="8" w:color="0000FF"/>
            </w:tcBorders>
            <w:gridSpan w:val="3"/>
          </w:tcPr>
          <w:p>
            <w:pPr>
              <w:spacing w:after="0"/>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Certification of Chief Financial Officer pursuant to Rule 13a-14(a) of the Securities Exchange Act of 1934</w:t>
              </w:r>
            </w:hyperlink>
          </w:p>
        </w:tc>
        <w:tc>
          <w:tcPr>
            <w:tcW w:w="2780" w:type="dxa"/>
            <w:vAlign w:val="bottom"/>
            <w:gridSpan w:val="2"/>
          </w:tcPr>
          <w:p>
            <w:pPr>
              <w:spacing w:after="0"/>
              <w:rPr>
                <w:sz w:val="24"/>
                <w:szCs w:val="24"/>
                <w:color w:val="auto"/>
              </w:rPr>
            </w:pPr>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6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 †</w:t>
            </w:r>
          </w:p>
        </w:tc>
        <w:tc>
          <w:tcPr>
            <w:tcW w:w="95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 the</w:t>
              </w:r>
            </w:hyperlink>
          </w:p>
        </w:tc>
        <w:tc>
          <w:tcPr>
            <w:tcW w:w="22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720" w:type="dxa"/>
            <w:vAlign w:val="bottom"/>
            <w:gridSpan w:val="5"/>
          </w:tcPr>
          <w:p>
            <w:pPr>
              <w:spacing w:after="0" w:line="183" w:lineRule="exact"/>
              <w:rPr>
                <w:rFonts w:ascii="Times New Roman" w:cs="Times New Roman" w:eastAsia="Times New Roman" w:hAnsi="Times New Roman"/>
                <w:sz w:val="16"/>
                <w:szCs w:val="16"/>
                <w:color w:val="0000FF"/>
              </w:rPr>
            </w:pPr>
            <w:hyperlink w:anchor="page76">
              <w:r>
                <w:rPr>
                  <w:rFonts w:ascii="Times New Roman" w:cs="Times New Roman" w:eastAsia="Times New Roman" w:hAnsi="Times New Roman"/>
                  <w:sz w:val="16"/>
                  <w:szCs w:val="16"/>
                  <w:color w:val="0000FF"/>
                </w:rPr>
                <w:t>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r>
      <w:tr>
        <w:trPr>
          <w:trHeight w:val="385"/>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 ††</w:t>
            </w: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r>
      <w:tr>
        <w:trPr>
          <w:trHeight w:val="210"/>
        </w:trPr>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378"/>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 ††</w:t>
            </w: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Schema</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 ††</w:t>
            </w: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 ††</w:t>
            </w: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Definition Linkbase</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 ††</w:t>
            </w: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Label Linkbase</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 ††</w:t>
            </w: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w:t>
            </w:r>
          </w:p>
        </w:tc>
      </w:tr>
      <w:tr>
        <w:trPr>
          <w:trHeight w:val="405"/>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 ††</w:t>
            </w:r>
          </w:p>
        </w:tc>
        <w:tc>
          <w:tcPr>
            <w:tcW w:w="9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r>
    </w:tbl>
    <w:p>
      <w:pPr>
        <w:spacing w:after="0" w:line="370" w:lineRule="exact"/>
        <w:rPr>
          <w:sz w:val="20"/>
          <w:szCs w:val="20"/>
          <w:color w:val="auto"/>
        </w:rPr>
      </w:pPr>
    </w:p>
    <w:p>
      <w:pPr>
        <w:ind w:left="720" w:hanging="685"/>
        <w:spacing w:after="0" w:line="281" w:lineRule="auto"/>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37" w:lineRule="exact"/>
        <w:rPr>
          <w:sz w:val="20"/>
          <w:szCs w:val="20"/>
          <w:color w:val="auto"/>
        </w:rPr>
      </w:pPr>
    </w:p>
    <w:p>
      <w:pPr>
        <w:ind w:left="720" w:hanging="685"/>
        <w:spacing w:after="0"/>
        <w:tabs>
          <w:tab w:leader="none" w:pos="7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information contained in these XBRL documents is unaudited.</w:t>
      </w:r>
    </w:p>
    <w:p>
      <w:pPr>
        <w:spacing w:after="0" w:line="200" w:lineRule="exact"/>
        <w:rPr>
          <w:rFonts w:ascii="Times New Roman" w:cs="Times New Roman" w:eastAsia="Times New Roman" w:hAnsi="Times New Roman"/>
          <w:sz w:val="16"/>
          <w:szCs w:val="16"/>
          <w:color w:val="auto"/>
        </w:rPr>
      </w:pPr>
    </w:p>
    <w:p>
      <w:pPr>
        <w:spacing w:after="0" w:line="273" w:lineRule="exact"/>
        <w:rPr>
          <w:rFonts w:ascii="Times New Roman" w:cs="Times New Roman" w:eastAsia="Times New Roman" w:hAnsi="Times New Roman"/>
          <w:sz w:val="16"/>
          <w:szCs w:val="16"/>
          <w:color w:val="auto"/>
        </w:rPr>
      </w:pPr>
    </w:p>
    <w:p>
      <w:pPr>
        <w:ind w:left="5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72</w:t>
      </w:r>
    </w:p>
    <w:p>
      <w:pPr>
        <w:sectPr>
          <w:pgSz w:w="11900" w:h="16838" w:orient="portrait"/>
          <w:cols w:equalWidth="0" w:num="1">
            <w:col w:w="11280"/>
          </w:cols>
          <w:pgMar w:left="240" w:top="549" w:right="379" w:bottom="1440" w:gutter="0" w:footer="0" w:header="0"/>
        </w:sectPr>
      </w:pPr>
    </w:p>
    <w:bookmarkStart w:id="72" w:name="page73"/>
    <w:bookmarkEnd w:id="72"/>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679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Stephen W. Hope</w:t>
      </w:r>
    </w:p>
    <w:p>
      <w:pPr>
        <w:spacing w:after="0" w:line="4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Vice President and Chief Accounting Officer</w:t>
      </w:r>
    </w:p>
    <w:p>
      <w:pPr>
        <w:spacing w:after="0" w:line="4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20"/>
          </w:cols>
          <w:pgMar w:left="240" w:top="549" w:right="9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2019</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8"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ectPr>
          <w:pgSz w:w="11900" w:h="16838" w:orient="portrait"/>
          <w:cols w:equalWidth="0" w:num="1">
            <w:col w:w="11420"/>
          </w:cols>
          <w:pgMar w:left="240" w:top="630"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Autodesk,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2019</w:t>
      </w:r>
    </w:p>
    <w:p>
      <w:pPr>
        <w:spacing w:after="0" w:line="25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9"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R. Scott Herren</w:t>
      </w:r>
    </w:p>
    <w:p>
      <w:pPr>
        <w:spacing w:after="0" w:line="7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p>
      <w:pPr>
        <w:spacing w:after="0" w:line="2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ectPr>
          <w:pgSz w:w="11900" w:h="16838" w:orient="portrait"/>
          <w:cols w:equalWidth="0" w:num="1">
            <w:col w:w="11420"/>
          </w:cols>
          <w:pgMar w:left="240" w:top="630" w:right="2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October 31, 2019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2019</w:t>
      </w:r>
    </w:p>
    <w:p>
      <w:pPr>
        <w:spacing w:after="0" w:line="252" w:lineRule="exact"/>
        <w:rPr>
          <w:sz w:val="20"/>
          <w:szCs w:val="20"/>
          <w:color w:val="auto"/>
        </w:rPr>
      </w:pPr>
    </w:p>
    <w:p>
      <w:pPr>
        <w:ind w:left="7440"/>
        <w:spacing w:after="0"/>
        <w:tabs>
          <w:tab w:leader="none" w:pos="7760" w:val="left"/>
        </w:tabs>
        <w:rPr>
          <w:sz w:val="20"/>
          <w:szCs w:val="20"/>
          <w:color w:val="auto"/>
        </w:rPr>
      </w:pPr>
      <w:r>
        <w:rPr>
          <w:rFonts w:ascii="Times New Roman" w:cs="Times New Roman" w:eastAsia="Times New Roman" w:hAnsi="Times New Roman"/>
          <w:sz w:val="18"/>
          <w:szCs w:val="18"/>
          <w:color w:val="auto"/>
        </w:rPr>
        <w:t>/s/</w:t>
        <w:tab/>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Andrew Anagnost</w:t>
      </w:r>
    </w:p>
    <w:p>
      <w:pPr>
        <w:spacing w:after="0" w:line="8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8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34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October 31, 2019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2019</w:t>
      </w:r>
    </w:p>
    <w:p>
      <w:pPr>
        <w:spacing w:after="0" w:line="252"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R. Scott Herren</w:t>
      </w:r>
    </w:p>
    <w:p>
      <w:pPr>
        <w:spacing w:after="0" w:line="8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Senior Vice President and Chief Financial Officer</w:t>
      </w:r>
    </w:p>
    <w:p>
      <w:pPr>
        <w:spacing w:after="0" w:line="86"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sectPr>
      <w:pgSz w:w="11900" w:h="16838" w:orient="portrait"/>
      <w:cols w:equalWidth="0" w:num="1">
        <w:col w:w="11420"/>
      </w:cols>
      <w:pgMar w:left="240" w:top="6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6"/>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amp;"/>
      <w:numFmt w:val="bullet"/>
      <w:start w:val="1"/>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2019-12-28T01:09:17Z</dcterms:created>
  <dcterms:modified xsi:type="dcterms:W3CDTF">2019-12-28T01:09:17Z</dcterms:modified>
</cp:coreProperties>
</file>