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ea0203058-nt10k_autodesk.htm"/>
      <w:bookmarkStart w:id="1" w:name="ksea0203058nt10k_autodesk"/>
      <w:bookmarkEnd w:id="0"/>
      <w:bookmarkEnd w:id="1"/>
      <w:r>
        <w:rPr>
          <w:bdr w:val="single" w:sz="16" w:space="1" w:color="000000"/>
        </w:rPr>
        <w:t> </w:t>
      </w:r>
    </w:p>
    <w:p>
      <w:pPr>
        <w:pStyle w:val="TextBody"/>
        <w:bidi w:val="0"/>
        <w:spacing w:before="0" w:after="283"/>
        <w:jc w:val="left"/>
        <w:rPr/>
      </w:pPr>
      <w:r>
        <w:rPr/>
        <w:t>  </w:t>
      </w:r>
    </w:p>
    <w:tbl>
      <w:tblPr>
        <w:tblW w:w="4115" w:type="dxa"/>
        <w:jc w:val="left"/>
        <w:tblInd w:w="0" w:type="dxa"/>
        <w:tblLayout w:type="fixed"/>
        <w:tblCellMar>
          <w:top w:w="0" w:type="dxa"/>
          <w:left w:w="0" w:type="dxa"/>
          <w:bottom w:w="0" w:type="dxa"/>
          <w:right w:w="0" w:type="dxa"/>
        </w:tblCellMar>
      </w:tblPr>
      <w:tblGrid>
        <w:gridCol w:w="75"/>
        <w:gridCol w:w="4040"/>
      </w:tblGrid>
      <w:tr>
        <w:trPr/>
        <w:tc>
          <w:tcPr>
            <w:tcW w:w="75" w:type="dxa"/>
            <w:tcBorders/>
            <w:vAlign w:val="center"/>
          </w:tcPr>
          <w:p>
            <w:pPr>
              <w:pStyle w:val="TableContents"/>
              <w:bidi w:val="0"/>
              <w:spacing w:before="0" w:after="283"/>
              <w:jc w:val="left"/>
              <w:rPr/>
            </w:pPr>
            <w:r>
              <w:rPr/>
              <w:t> </w:t>
            </w:r>
          </w:p>
        </w:tc>
        <w:tc>
          <w:tcPr>
            <w:tcW w:w="4040" w:type="dxa"/>
            <w:tcBorders>
              <w:top w:val="single" w:sz="8" w:space="0" w:color="221F1F"/>
              <w:left w:val="single" w:sz="8" w:space="0" w:color="221F1F"/>
              <w:bottom w:val="single" w:sz="8" w:space="0" w:color="221F1F"/>
              <w:right w:val="single" w:sz="8" w:space="0" w:color="221F1F"/>
            </w:tcBorders>
            <w:tcMar>
              <w:top w:w="28" w:type="dxa"/>
              <w:left w:w="509" w:type="dxa"/>
              <w:bottom w:w="28" w:type="dxa"/>
              <w:right w:w="28" w:type="dxa"/>
            </w:tcMar>
            <w:vAlign w:val="center"/>
          </w:tcPr>
          <w:p>
            <w:pPr>
              <w:pStyle w:val="TableContents"/>
              <w:bidi w:val="0"/>
              <w:spacing w:before="0" w:after="283"/>
              <w:jc w:val="left"/>
              <w:rPr>
                <w:sz w:val="20"/>
              </w:rPr>
            </w:pPr>
            <w:r>
              <w:rPr>
                <w:sz w:val="20"/>
              </w:rPr>
              <w:t>OMB APPROVAL</w:t>
            </w:r>
          </w:p>
        </w:tc>
      </w:tr>
      <w:tr>
        <w:trPr/>
        <w:tc>
          <w:tcPr>
            <w:tcW w:w="75" w:type="dxa"/>
            <w:tcBorders/>
            <w:vAlign w:val="center"/>
          </w:tcPr>
          <w:p>
            <w:pPr>
              <w:pStyle w:val="TableContents"/>
              <w:bidi w:val="0"/>
              <w:spacing w:before="0" w:after="283"/>
              <w:jc w:val="left"/>
              <w:rPr/>
            </w:pPr>
            <w:r>
              <w:rPr/>
              <w:t> </w:t>
            </w:r>
          </w:p>
        </w:tc>
        <w:tc>
          <w:tcPr>
            <w:tcW w:w="4040" w:type="dxa"/>
            <w:tcBorders>
              <w:left w:val="single" w:sz="8" w:space="0" w:color="221F1F"/>
              <w:bottom w:val="single" w:sz="8" w:space="0" w:color="221F1F"/>
              <w:right w:val="single" w:sz="8" w:space="0" w:color="221F1F"/>
            </w:tcBorders>
            <w:tcMar>
              <w:left w:w="28" w:type="dxa"/>
              <w:bottom w:w="28" w:type="dxa"/>
              <w:right w:w="28" w:type="dxa"/>
            </w:tcMar>
            <w:vAlign w:val="center"/>
          </w:tcPr>
          <w:p>
            <w:pPr>
              <w:pStyle w:val="TableContents"/>
              <w:bidi w:val="0"/>
              <w:ind w:left="1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OMB Number:</w:t>
              <w:tab/>
              <w:t>3235-0058</w:t>
            </w:r>
          </w:p>
          <w:p>
            <w:pPr>
              <w:pStyle w:val="TableContents"/>
              <w:bidi w:val="0"/>
              <w:ind w:left="1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Expires:</w:t>
              <w:tab/>
              <w:t>April 30, 2025</w:t>
            </w:r>
          </w:p>
          <w:p>
            <w:pPr>
              <w:pStyle w:val="TableContents"/>
              <w:bidi w:val="0"/>
              <w:spacing w:before="0" w:after="283"/>
              <w:ind w:left="1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average burden hours per response</w:t>
              <w:tab/>
              <w:t>2.50</w:t>
            </w:r>
          </w:p>
        </w:tc>
      </w:tr>
      <w:tr>
        <w:trPr/>
        <w:tc>
          <w:tcPr>
            <w:tcW w:w="75" w:type="dxa"/>
            <w:tcBorders/>
            <w:vAlign w:val="center"/>
          </w:tcPr>
          <w:p>
            <w:pPr>
              <w:pStyle w:val="TableContents"/>
              <w:bidi w:val="0"/>
              <w:spacing w:before="0" w:after="283"/>
              <w:jc w:val="left"/>
              <w:rPr/>
            </w:pPr>
            <w:r>
              <w:rPr/>
              <w:t> </w:t>
            </w:r>
          </w:p>
        </w:tc>
        <w:tc>
          <w:tcPr>
            <w:tcW w:w="4040" w:type="dxa"/>
            <w:tcBorders>
              <w:left w:val="single" w:sz="8" w:space="0" w:color="221F1F"/>
              <w:bottom w:val="single" w:sz="8" w:space="0" w:color="221F1F"/>
              <w:right w:val="single" w:sz="8" w:space="0" w:color="221F1F"/>
            </w:tcBorders>
            <w:tcMar>
              <w:left w:w="90" w:type="dxa"/>
              <w:bottom w:w="28" w:type="dxa"/>
              <w:right w:w="28" w:type="dxa"/>
            </w:tcMar>
            <w:vAlign w:val="center"/>
          </w:tcPr>
          <w:p>
            <w:pPr>
              <w:pStyle w:val="TableContents"/>
              <w:bidi w:val="0"/>
              <w:spacing w:before="0" w:after="283"/>
              <w:jc w:val="left"/>
              <w:rPr>
                <w:sz w:val="20"/>
              </w:rPr>
            </w:pPr>
            <w:r>
              <w:rPr>
                <w:sz w:val="20"/>
              </w:rPr>
              <w:t>SEC FILE NUMBER 000-14338</w:t>
            </w:r>
          </w:p>
        </w:tc>
      </w:tr>
      <w:tr>
        <w:trPr/>
        <w:tc>
          <w:tcPr>
            <w:tcW w:w="75" w:type="dxa"/>
            <w:tcBorders/>
            <w:vAlign w:val="center"/>
          </w:tcPr>
          <w:p>
            <w:pPr>
              <w:pStyle w:val="TableContents"/>
              <w:bidi w:val="0"/>
              <w:spacing w:before="0" w:after="283"/>
              <w:jc w:val="left"/>
              <w:rPr/>
            </w:pPr>
            <w:r>
              <w:rPr/>
              <w:t> </w:t>
            </w:r>
          </w:p>
        </w:tc>
        <w:tc>
          <w:tcPr>
            <w:tcW w:w="4040" w:type="dxa"/>
            <w:tcBorders>
              <w:left w:val="single" w:sz="8" w:space="0" w:color="221F1F"/>
              <w:bottom w:val="single" w:sz="8" w:space="0" w:color="221F1F"/>
              <w:right w:val="single" w:sz="8" w:space="0" w:color="221F1F"/>
            </w:tcBorders>
            <w:tcMar>
              <w:left w:w="90" w:type="dxa"/>
              <w:bottom w:w="28" w:type="dxa"/>
              <w:right w:w="28" w:type="dxa"/>
            </w:tcMar>
            <w:vAlign w:val="center"/>
          </w:tcPr>
          <w:p>
            <w:pPr>
              <w:pStyle w:val="TableContents"/>
              <w:bidi w:val="0"/>
              <w:spacing w:before="0" w:after="283"/>
              <w:jc w:val="left"/>
              <w:rPr>
                <w:sz w:val="20"/>
              </w:rPr>
            </w:pPr>
            <w:r>
              <w:rPr>
                <w:sz w:val="20"/>
              </w:rPr>
              <w:t>CUSIP NUMBER 052769106</w:t>
            </w:r>
          </w:p>
        </w:tc>
      </w:tr>
    </w:tbl>
    <w:p>
      <w:pPr>
        <w:pStyle w:val="TextBody"/>
        <w:bidi w:val="0"/>
        <w:ind w:left="65" w:right="0" w:hanging="0"/>
        <w:jc w:val="right"/>
        <w:rPr>
          <w:caps w:val="false"/>
          <w:smallCaps w:val="false"/>
        </w:rPr>
      </w:pPr>
      <w:r>
        <w:rPr>
          <w:caps w:val="false"/>
          <w:smallCaps w:val="false"/>
        </w:rPr>
        <w:t> </w:t>
      </w:r>
    </w:p>
    <w:p>
      <w:pPr>
        <w:pStyle w:val="TextBody"/>
        <w:bidi w:val="0"/>
        <w:ind w:left="3061" w:right="301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ind w:left="3061" w:right="301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ind w:left="3061" w:right="301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ind w:left="3061" w:right="3018" w:hanging="0"/>
        <w:jc w:val="center"/>
        <w:rPr>
          <w:caps w:val="false"/>
          <w:smallCaps w:val="false"/>
        </w:rPr>
      </w:pPr>
      <w:r>
        <w:rPr>
          <w:caps w:val="false"/>
          <w:smallCaps w:val="false"/>
        </w:rPr>
        <w:t> </w:t>
      </w:r>
    </w:p>
    <w:p>
      <w:pPr>
        <w:pStyle w:val="TextBody"/>
        <w:bidi w:val="0"/>
        <w:ind w:left="3061" w:right="3018" w:hanging="0"/>
        <w:jc w:val="left"/>
        <w:rPr>
          <w:bdr w:val="single" w:sz="12" w:space="1" w:color="000000"/>
        </w:rPr>
      </w:pPr>
      <w:r>
        <w:rPr>
          <w:bdr w:val="single" w:sz="12" w:space="1" w:color="000000"/>
        </w:rPr>
        <w:t> </w:t>
      </w:r>
    </w:p>
    <w:p>
      <w:pPr>
        <w:pStyle w:val="TextBody"/>
        <w:bidi w:val="0"/>
        <w:ind w:left="3061" w:right="3018" w:hanging="0"/>
        <w:jc w:val="center"/>
        <w:rPr>
          <w:caps w:val="false"/>
          <w:smallCaps w:val="false"/>
        </w:rPr>
      </w:pPr>
      <w:r>
        <w:rPr>
          <w:caps w:val="false"/>
          <w:smallCaps w:val="false"/>
        </w:rPr>
        <w:t>  </w:t>
      </w:r>
    </w:p>
    <w:p>
      <w:pPr>
        <w:pStyle w:val="TextBody"/>
        <w:bidi w:val="0"/>
        <w:ind w:left="3061" w:right="301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12b-25</w:t>
      </w:r>
    </w:p>
    <w:p>
      <w:pPr>
        <w:pStyle w:val="TextBody"/>
        <w:bidi w:val="0"/>
        <w:ind w:left="3061" w:right="3018" w:hanging="0"/>
        <w:jc w:val="center"/>
        <w:rPr>
          <w:caps w:val="false"/>
          <w:smallCaps w:val="false"/>
        </w:rPr>
      </w:pPr>
      <w:r>
        <w:rPr>
          <w:caps w:val="false"/>
          <w:smallCaps w:val="false"/>
        </w:rPr>
        <w:t> </w:t>
      </w:r>
    </w:p>
    <w:p>
      <w:pPr>
        <w:pStyle w:val="TextBody"/>
        <w:bidi w:val="0"/>
        <w:ind w:left="3061" w:right="3018" w:hanging="0"/>
        <w:jc w:val="left"/>
        <w:rPr>
          <w:bdr w:val="single" w:sz="12" w:space="1" w:color="000000"/>
        </w:rPr>
      </w:pPr>
      <w:r>
        <w:rPr>
          <w:bdr w:val="single" w:sz="12" w:space="1" w:color="000000"/>
        </w:rPr>
        <w:t> </w:t>
      </w:r>
    </w:p>
    <w:p>
      <w:pPr>
        <w:pStyle w:val="TextBody"/>
        <w:bidi w:val="0"/>
        <w:ind w:left="3061" w:right="3018" w:hanging="0"/>
        <w:jc w:val="center"/>
        <w:rPr>
          <w:caps w:val="false"/>
          <w:smallCaps w:val="false"/>
        </w:rPr>
      </w:pPr>
      <w:r>
        <w:rPr>
          <w:caps w:val="false"/>
          <w:smallCaps w:val="false"/>
        </w:rPr>
        <w:t> </w:t>
      </w:r>
    </w:p>
    <w:p>
      <w:pPr>
        <w:pStyle w:val="TextBody"/>
        <w:bidi w:val="0"/>
        <w:ind w:left="3061" w:right="301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ind w:left="3018" w:right="3018" w:hanging="0"/>
        <w:jc w:val="center"/>
        <w:rPr>
          <w:caps w:val="false"/>
          <w:smallCaps w:val="false"/>
        </w:rPr>
      </w:pPr>
      <w:r>
        <w:rPr>
          <w:caps w:val="false"/>
          <w:smallCaps w:val="false"/>
        </w:rPr>
        <w:t> </w:t>
      </w:r>
    </w:p>
    <w:p>
      <w:pPr>
        <w:pStyle w:val="TextBody"/>
        <w:bidi w:val="0"/>
        <w:ind w:left="315" w:right="315"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(Check One): </w:t>
      </w:r>
    </w:p>
    <w:tbl>
      <w:tblPr>
        <w:tblW w:w="4855" w:type="dxa"/>
        <w:jc w:val="left"/>
        <w:tblInd w:w="0" w:type="dxa"/>
        <w:tblLayout w:type="fixed"/>
        <w:tblCellMar>
          <w:top w:w="0" w:type="dxa"/>
          <w:left w:w="0" w:type="dxa"/>
          <w:bottom w:w="0" w:type="dxa"/>
          <w:right w:w="0" w:type="dxa"/>
        </w:tblCellMar>
      </w:tblPr>
      <w:tblGrid>
        <w:gridCol w:w="245"/>
        <w:gridCol w:w="890"/>
        <w:gridCol w:w="230"/>
        <w:gridCol w:w="1070"/>
        <w:gridCol w:w="230"/>
        <w:gridCol w:w="1055"/>
        <w:gridCol w:w="230"/>
        <w:gridCol w:w="905"/>
      </w:tblGrid>
      <w:tr>
        <w:trPr/>
        <w:tc>
          <w:tcPr>
            <w:tcW w:w="245" w:type="dxa"/>
            <w:tcBorders/>
            <w:shd w:fill="FFFFFF" w:val="clear"/>
            <w:vAlign w:val="center"/>
          </w:tcPr>
          <w:p>
            <w:pPr>
              <w:pStyle w:val="TableContents"/>
              <w:bidi w:val="0"/>
              <w:spacing w:before="0" w:after="283"/>
              <w:jc w:val="center"/>
              <w:rPr/>
            </w:pPr>
            <w:r>
              <w:rPr/>
              <w:t>☒</w:t>
            </w:r>
          </w:p>
        </w:tc>
        <w:tc>
          <w:tcPr>
            <w:tcW w:w="890" w:type="dxa"/>
            <w:tcBorders/>
            <w:vAlign w:val="center"/>
          </w:tcPr>
          <w:p>
            <w:pPr>
              <w:pStyle w:val="TableContents"/>
              <w:bidi w:val="0"/>
              <w:spacing w:before="0" w:after="283"/>
              <w:jc w:val="left"/>
              <w:rPr>
                <w:sz w:val="20"/>
              </w:rPr>
            </w:pPr>
            <w:r>
              <w:rPr>
                <w:sz w:val="20"/>
              </w:rPr>
              <w:t>Form 10-K</w:t>
            </w:r>
          </w:p>
        </w:tc>
        <w:tc>
          <w:tcPr>
            <w:tcW w:w="230" w:type="dxa"/>
            <w:tcBorders/>
            <w:shd w:fill="FFFFFF" w:val="clear"/>
            <w:vAlign w:val="center"/>
          </w:tcPr>
          <w:p>
            <w:pPr>
              <w:pStyle w:val="TableContents"/>
              <w:bidi w:val="0"/>
              <w:spacing w:before="0" w:after="283"/>
              <w:jc w:val="center"/>
              <w:rPr/>
            </w:pPr>
            <w:r>
              <w:rPr/>
              <w:t>☐</w:t>
            </w:r>
          </w:p>
        </w:tc>
        <w:tc>
          <w:tcPr>
            <w:tcW w:w="1070" w:type="dxa"/>
            <w:tcBorders/>
            <w:vAlign w:val="center"/>
          </w:tcPr>
          <w:p>
            <w:pPr>
              <w:pStyle w:val="TableContents"/>
              <w:bidi w:val="0"/>
              <w:spacing w:before="0" w:after="283"/>
              <w:jc w:val="left"/>
              <w:rPr>
                <w:sz w:val="20"/>
              </w:rPr>
            </w:pPr>
            <w:r>
              <w:rPr>
                <w:sz w:val="20"/>
              </w:rPr>
              <w:t>Form 20-F</w:t>
            </w:r>
          </w:p>
        </w:tc>
        <w:tc>
          <w:tcPr>
            <w:tcW w:w="230" w:type="dxa"/>
            <w:tcBorders/>
            <w:shd w:fill="FFFFFF" w:val="clear"/>
            <w:vAlign w:val="center"/>
          </w:tcPr>
          <w:p>
            <w:pPr>
              <w:pStyle w:val="TableContents"/>
              <w:bidi w:val="0"/>
              <w:spacing w:before="0" w:after="283"/>
              <w:jc w:val="center"/>
              <w:rPr/>
            </w:pPr>
            <w:r>
              <w:rPr/>
              <w:t>☐</w:t>
            </w:r>
          </w:p>
        </w:tc>
        <w:tc>
          <w:tcPr>
            <w:tcW w:w="1055" w:type="dxa"/>
            <w:tcBorders/>
            <w:vAlign w:val="center"/>
          </w:tcPr>
          <w:p>
            <w:pPr>
              <w:pStyle w:val="TableContents"/>
              <w:bidi w:val="0"/>
              <w:spacing w:before="0" w:after="283"/>
              <w:jc w:val="left"/>
              <w:rPr>
                <w:sz w:val="20"/>
              </w:rPr>
            </w:pPr>
            <w:r>
              <w:rPr>
                <w:sz w:val="20"/>
              </w:rPr>
              <w:t>Form 11-K</w:t>
            </w:r>
          </w:p>
        </w:tc>
        <w:tc>
          <w:tcPr>
            <w:tcW w:w="230" w:type="dxa"/>
            <w:tcBorders/>
            <w:shd w:fill="FFFFFF" w:val="clear"/>
            <w:vAlign w:val="center"/>
          </w:tcPr>
          <w:p>
            <w:pPr>
              <w:pStyle w:val="TableContents"/>
              <w:bidi w:val="0"/>
              <w:spacing w:before="0" w:after="283"/>
              <w:jc w:val="center"/>
              <w:rPr/>
            </w:pPr>
            <w:r>
              <w:rPr/>
              <w:t>☐</w:t>
            </w:r>
          </w:p>
        </w:tc>
        <w:tc>
          <w:tcPr>
            <w:tcW w:w="905" w:type="dxa"/>
            <w:tcBorders/>
            <w:vAlign w:val="center"/>
          </w:tcPr>
          <w:p>
            <w:pPr>
              <w:pStyle w:val="TableContents"/>
              <w:bidi w:val="0"/>
              <w:spacing w:before="0" w:after="283"/>
              <w:jc w:val="left"/>
              <w:rPr>
                <w:sz w:val="20"/>
              </w:rPr>
            </w:pPr>
            <w:r>
              <w:rPr>
                <w:sz w:val="20"/>
              </w:rPr>
              <w:t>Form 10-Q</w:t>
            </w:r>
          </w:p>
        </w:tc>
      </w:tr>
      <w:tr>
        <w:trPr/>
        <w:tc>
          <w:tcPr>
            <w:tcW w:w="245" w:type="dxa"/>
            <w:tcBorders/>
            <w:shd w:fill="FFFFFF" w:val="clear"/>
            <w:vAlign w:val="center"/>
          </w:tcPr>
          <w:p>
            <w:pPr>
              <w:pStyle w:val="TableContents"/>
              <w:bidi w:val="0"/>
              <w:spacing w:before="0" w:after="283"/>
              <w:jc w:val="center"/>
              <w:rPr/>
            </w:pPr>
            <w:r>
              <w:rPr/>
              <w:t>☐</w:t>
            </w:r>
          </w:p>
        </w:tc>
        <w:tc>
          <w:tcPr>
            <w:tcW w:w="890" w:type="dxa"/>
            <w:tcBorders/>
            <w:vAlign w:val="center"/>
          </w:tcPr>
          <w:p>
            <w:pPr>
              <w:pStyle w:val="TableContents"/>
              <w:bidi w:val="0"/>
              <w:spacing w:before="0" w:after="283"/>
              <w:jc w:val="left"/>
              <w:rPr>
                <w:sz w:val="20"/>
              </w:rPr>
            </w:pPr>
            <w:r>
              <w:rPr>
                <w:sz w:val="20"/>
              </w:rPr>
              <w:t>Form 10-D</w:t>
            </w:r>
          </w:p>
        </w:tc>
        <w:tc>
          <w:tcPr>
            <w:tcW w:w="230" w:type="dxa"/>
            <w:tcBorders/>
            <w:shd w:fill="FFFFFF" w:val="clear"/>
            <w:vAlign w:val="center"/>
          </w:tcPr>
          <w:p>
            <w:pPr>
              <w:pStyle w:val="TableContents"/>
              <w:bidi w:val="0"/>
              <w:spacing w:before="0" w:after="283"/>
              <w:jc w:val="center"/>
              <w:rPr/>
            </w:pPr>
            <w:r>
              <w:rPr/>
              <w:t>☐</w:t>
            </w:r>
          </w:p>
        </w:tc>
        <w:tc>
          <w:tcPr>
            <w:tcW w:w="1070" w:type="dxa"/>
            <w:tcBorders/>
            <w:vAlign w:val="center"/>
          </w:tcPr>
          <w:p>
            <w:pPr>
              <w:pStyle w:val="TableContents"/>
              <w:bidi w:val="0"/>
              <w:spacing w:before="0" w:after="283"/>
              <w:jc w:val="left"/>
              <w:rPr>
                <w:sz w:val="20"/>
              </w:rPr>
            </w:pPr>
            <w:r>
              <w:rPr>
                <w:sz w:val="20"/>
              </w:rPr>
              <w:t>Form N-CEN</w:t>
            </w:r>
          </w:p>
        </w:tc>
        <w:tc>
          <w:tcPr>
            <w:tcW w:w="230" w:type="dxa"/>
            <w:tcBorders/>
            <w:shd w:fill="FFFFFF" w:val="clear"/>
            <w:vAlign w:val="center"/>
          </w:tcPr>
          <w:p>
            <w:pPr>
              <w:pStyle w:val="TableContents"/>
              <w:bidi w:val="0"/>
              <w:spacing w:before="0" w:after="283"/>
              <w:jc w:val="center"/>
              <w:rPr/>
            </w:pPr>
            <w:r>
              <w:rPr/>
              <w:t>☐</w:t>
            </w:r>
          </w:p>
        </w:tc>
        <w:tc>
          <w:tcPr>
            <w:tcW w:w="1055" w:type="dxa"/>
            <w:tcBorders/>
            <w:vAlign w:val="center"/>
          </w:tcPr>
          <w:p>
            <w:pPr>
              <w:pStyle w:val="TableContents"/>
              <w:bidi w:val="0"/>
              <w:spacing w:before="0" w:after="283"/>
              <w:jc w:val="left"/>
              <w:rPr>
                <w:sz w:val="20"/>
              </w:rPr>
            </w:pPr>
            <w:r>
              <w:rPr>
                <w:sz w:val="20"/>
              </w:rPr>
              <w:t>Form N-CSR</w:t>
            </w:r>
          </w:p>
        </w:tc>
        <w:tc>
          <w:tcPr>
            <w:tcW w:w="23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r>
    </w:tbl>
    <w:p>
      <w:pPr>
        <w:pStyle w:val="TextBody"/>
        <w:bidi w:val="0"/>
        <w:ind w:left="3018" w:right="3018" w:hanging="0"/>
        <w:jc w:val="center"/>
        <w:rPr>
          <w:caps w:val="false"/>
          <w:smallCaps w:val="false"/>
        </w:rPr>
      </w:pPr>
      <w:r>
        <w:rPr>
          <w:caps w:val="false"/>
          <w:smallCaps w:val="false"/>
        </w:rPr>
        <w:t> </w:t>
      </w:r>
    </w:p>
    <w:p>
      <w:pPr>
        <w:pStyle w:val="TextBody"/>
        <w:bidi w:val="0"/>
        <w:ind w:left="3018" w:right="301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Period Ended: January 31, 2024</w:t>
      </w:r>
    </w:p>
    <w:p>
      <w:pPr>
        <w:pStyle w:val="TextBody"/>
        <w:bidi w:val="0"/>
        <w:ind w:left="3018" w:right="3018" w:hanging="0"/>
        <w:jc w:val="center"/>
        <w:rPr>
          <w:caps w:val="false"/>
          <w:smallCaps w:val="false"/>
        </w:rPr>
      </w:pPr>
      <w:r>
        <w:rPr>
          <w:caps w:val="false"/>
          <w:smallCaps w:val="false"/>
        </w:rPr>
        <w:t> </w:t>
      </w:r>
    </w:p>
    <w:p>
      <w:pPr>
        <w:pStyle w:val="TextBody"/>
        <w:bidi w:val="0"/>
        <w:ind w:left="3018" w:right="3018" w:firstLine="720"/>
        <w:jc w:val="center"/>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shd w:fill="FFFFFF" w:val="clear"/>
            <w:vAlign w:val="center"/>
          </w:tcPr>
          <w:p>
            <w:pPr>
              <w:pStyle w:val="TableContents"/>
              <w:bidi w:val="0"/>
              <w:spacing w:before="0" w:after="283"/>
              <w:jc w:val="center"/>
              <w:rPr/>
            </w:pPr>
            <w:r>
              <w:rPr/>
              <w:t>☐</w:t>
            </w:r>
          </w:p>
        </w:tc>
        <w:tc>
          <w:tcPr>
            <w:tcW w:w="2645" w:type="dxa"/>
            <w:tcBorders/>
            <w:vAlign w:val="center"/>
          </w:tcPr>
          <w:p>
            <w:pPr>
              <w:pStyle w:val="TableContents"/>
              <w:bidi w:val="0"/>
              <w:spacing w:before="0" w:after="283"/>
              <w:jc w:val="left"/>
              <w:rPr>
                <w:sz w:val="20"/>
              </w:rPr>
            </w:pPr>
            <w:r>
              <w:rPr>
                <w:sz w:val="20"/>
              </w:rPr>
              <w:t>Transition Report on Form 10-K</w:t>
            </w:r>
          </w:p>
        </w:tc>
      </w:tr>
      <w:tr>
        <w:trPr/>
        <w:tc>
          <w:tcPr>
            <w:tcW w:w="245" w:type="dxa"/>
            <w:tcBorders/>
            <w:shd w:fill="FFFFFF" w:val="clear"/>
            <w:vAlign w:val="center"/>
          </w:tcPr>
          <w:p>
            <w:pPr>
              <w:pStyle w:val="TableContents"/>
              <w:bidi w:val="0"/>
              <w:spacing w:before="0" w:after="283"/>
              <w:jc w:val="center"/>
              <w:rPr/>
            </w:pPr>
            <w:r>
              <w:rPr/>
              <w:t>☐</w:t>
            </w:r>
          </w:p>
        </w:tc>
        <w:tc>
          <w:tcPr>
            <w:tcW w:w="2645" w:type="dxa"/>
            <w:tcBorders/>
            <w:vAlign w:val="center"/>
          </w:tcPr>
          <w:p>
            <w:pPr>
              <w:pStyle w:val="TableContents"/>
              <w:bidi w:val="0"/>
              <w:spacing w:before="0" w:after="283"/>
              <w:jc w:val="left"/>
              <w:rPr>
                <w:sz w:val="20"/>
              </w:rPr>
            </w:pPr>
            <w:r>
              <w:rPr>
                <w:sz w:val="20"/>
              </w:rPr>
              <w:t>Transition Report on Form 20-F</w:t>
            </w:r>
          </w:p>
        </w:tc>
      </w:tr>
      <w:tr>
        <w:trPr/>
        <w:tc>
          <w:tcPr>
            <w:tcW w:w="245" w:type="dxa"/>
            <w:tcBorders/>
            <w:shd w:fill="FFFFFF" w:val="clear"/>
            <w:vAlign w:val="center"/>
          </w:tcPr>
          <w:p>
            <w:pPr>
              <w:pStyle w:val="TableContents"/>
              <w:bidi w:val="0"/>
              <w:spacing w:before="0" w:after="283"/>
              <w:jc w:val="center"/>
              <w:rPr/>
            </w:pPr>
            <w:r>
              <w:rPr/>
              <w:t>☐</w:t>
            </w:r>
          </w:p>
        </w:tc>
        <w:tc>
          <w:tcPr>
            <w:tcW w:w="2645" w:type="dxa"/>
            <w:tcBorders/>
            <w:vAlign w:val="center"/>
          </w:tcPr>
          <w:p>
            <w:pPr>
              <w:pStyle w:val="TableContents"/>
              <w:bidi w:val="0"/>
              <w:spacing w:before="0" w:after="283"/>
              <w:jc w:val="left"/>
              <w:rPr>
                <w:sz w:val="20"/>
              </w:rPr>
            </w:pPr>
            <w:r>
              <w:rPr>
                <w:sz w:val="20"/>
              </w:rPr>
              <w:t>Transition Report on Form 11-K</w:t>
            </w:r>
          </w:p>
        </w:tc>
      </w:tr>
      <w:tr>
        <w:trPr/>
        <w:tc>
          <w:tcPr>
            <w:tcW w:w="245" w:type="dxa"/>
            <w:tcBorders/>
            <w:shd w:fill="FFFFFF" w:val="clear"/>
            <w:vAlign w:val="center"/>
          </w:tcPr>
          <w:p>
            <w:pPr>
              <w:pStyle w:val="TableContents"/>
              <w:bidi w:val="0"/>
              <w:spacing w:before="0" w:after="283"/>
              <w:jc w:val="center"/>
              <w:rPr/>
            </w:pPr>
            <w:r>
              <w:rPr/>
              <w:t>☐</w:t>
            </w:r>
          </w:p>
        </w:tc>
        <w:tc>
          <w:tcPr>
            <w:tcW w:w="2645" w:type="dxa"/>
            <w:tcBorders/>
            <w:vAlign w:val="center"/>
          </w:tcPr>
          <w:p>
            <w:pPr>
              <w:pStyle w:val="TableContents"/>
              <w:bidi w:val="0"/>
              <w:spacing w:before="0" w:after="283"/>
              <w:jc w:val="left"/>
              <w:rPr>
                <w:sz w:val="20"/>
              </w:rPr>
            </w:pPr>
            <w:r>
              <w:rPr>
                <w:sz w:val="20"/>
              </w:rPr>
              <w:t>Transition Report on Form 10-Q</w:t>
            </w:r>
          </w:p>
        </w:tc>
      </w:tr>
    </w:tbl>
    <w:p>
      <w:pPr>
        <w:pStyle w:val="TextBody"/>
        <w:bidi w:val="0"/>
        <w:ind w:left="3018" w:right="3018" w:hanging="0"/>
        <w:jc w:val="center"/>
        <w:rPr>
          <w:caps w:val="false"/>
          <w:smallCaps w:val="false"/>
        </w:rPr>
      </w:pPr>
      <w:r>
        <w:rPr>
          <w:caps w:val="false"/>
          <w:smallCaps w:val="false"/>
        </w:rPr>
        <w:t> </w:t>
      </w:r>
    </w:p>
    <w:p>
      <w:pPr>
        <w:pStyle w:val="TextBody"/>
        <w:bidi w:val="0"/>
        <w:ind w:left="3018" w:right="301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 _____________</w:t>
      </w:r>
    </w:p>
    <w:p>
      <w:pPr>
        <w:pStyle w:val="TextBody"/>
        <w:bidi w:val="0"/>
        <w:ind w:left="3018" w:right="3018" w:hanging="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33" w:after="33"/>
              <w:ind w:left="33" w:right="33"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 Instruction (on back page) Before Preparing Form. Please Print or Type.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Nothing in this form shall be construed to imply that the Commission has veri&amp;filig;ed any information contained herein.</w:t>
            </w:r>
          </w:p>
          <w:p>
            <w:pPr>
              <w:pStyle w:val="TableContents"/>
              <w:bidi w:val="0"/>
              <w:spacing w:before="0" w:after="30"/>
              <w:jc w:val="center"/>
              <w:rPr>
                <w:caps w:val="false"/>
                <w:smallCaps w:val="false"/>
              </w:rPr>
            </w:pPr>
            <w:r>
              <w:rPr>
                <w:caps w:val="false"/>
                <w:smallCaps w:val="false"/>
              </w:rPr>
              <w:t> </w:t>
            </w:r>
          </w:p>
        </w:tc>
      </w:tr>
    </w:tbl>
    <w:p>
      <w:pPr>
        <w:pStyle w:val="TextBody"/>
        <w:bidi w:val="0"/>
        <w:spacing w:before="91" w:after="91"/>
        <w:ind w:left="91" w:right="9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&amp;filig;ling checked above, identify the Item(s) to which the notification relates:</w:t>
      </w:r>
    </w:p>
    <w:p>
      <w:pPr>
        <w:pStyle w:val="TextBody"/>
        <w:bidi w:val="0"/>
        <w:spacing w:before="0" w:after="8"/>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195" w:after="100"/>
        <w:ind w:left="164" w:right="195"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tbl>
      <w:tblPr>
        <w:tblW w:w="4760" w:type="dxa"/>
        <w:jc w:val="left"/>
        <w:tblInd w:w="0" w:type="dxa"/>
        <w:tblLayout w:type="fixed"/>
        <w:tblCellMar>
          <w:top w:w="0" w:type="dxa"/>
          <w:left w:w="0" w:type="dxa"/>
          <w:bottom w:w="28" w:type="dxa"/>
          <w:right w:w="0" w:type="dxa"/>
        </w:tblCellMar>
      </w:tblPr>
      <w:tblGrid>
        <w:gridCol w:w="4760"/>
      </w:tblGrid>
      <w:tr>
        <w:trPr/>
        <w:tc>
          <w:tcPr>
            <w:tcW w:w="4760" w:type="dxa"/>
            <w:tcBorders>
              <w:bottom w:val="single" w:sz="12" w:space="0" w:color="000000"/>
            </w:tcBorders>
            <w:vAlign w:val="center"/>
          </w:tcPr>
          <w:p>
            <w:pPr>
              <w:pStyle w:val="TableContents"/>
              <w:bidi w:val="0"/>
              <w:spacing w:before="0" w:after="283"/>
              <w:jc w:val="left"/>
              <w:rPr>
                <w:sz w:val="20"/>
              </w:rPr>
            </w:pPr>
            <w:r>
              <w:rPr>
                <w:sz w:val="20"/>
              </w:rPr>
              <w:t xml:space="preserve">Autodesk, Inc. </w:t>
            </w:r>
          </w:p>
        </w:tc>
      </w:tr>
      <w:tr>
        <w:trPr/>
        <w:tc>
          <w:tcPr>
            <w:tcW w:w="4760" w:type="dxa"/>
            <w:tcBorders/>
            <w:tcMar>
              <w:bottom w:w="0" w:type="dxa"/>
            </w:tcMar>
            <w:vAlign w:val="center"/>
          </w:tcPr>
          <w:p>
            <w:pPr>
              <w:pStyle w:val="TableContents"/>
              <w:bidi w:val="0"/>
              <w:spacing w:before="0" w:after="283"/>
              <w:jc w:val="left"/>
              <w:rPr>
                <w:sz w:val="20"/>
              </w:rPr>
            </w:pPr>
            <w:r>
              <w:rPr>
                <w:sz w:val="20"/>
              </w:rPr>
              <w:t>Full Name of Registrant</w:t>
            </w:r>
          </w:p>
        </w:tc>
      </w:tr>
      <w:tr>
        <w:trPr/>
        <w:tc>
          <w:tcPr>
            <w:tcW w:w="4760" w:type="dxa"/>
            <w:tcBorders/>
            <w:tcMar>
              <w:bottom w:w="0" w:type="dxa"/>
            </w:tcMar>
            <w:vAlign w:val="center"/>
          </w:tcPr>
          <w:p>
            <w:pPr>
              <w:pStyle w:val="TableContents"/>
              <w:bidi w:val="0"/>
              <w:spacing w:before="0" w:after="283"/>
              <w:jc w:val="left"/>
              <w:rPr/>
            </w:pPr>
            <w:r>
              <w:rPr/>
              <w:t> </w:t>
            </w:r>
          </w:p>
        </w:tc>
      </w:tr>
      <w:tr>
        <w:trPr/>
        <w:tc>
          <w:tcPr>
            <w:tcW w:w="4760" w:type="dxa"/>
            <w:tcBorders>
              <w:bottom w:val="single" w:sz="12" w:space="0" w:color="000000"/>
            </w:tcBorders>
            <w:vAlign w:val="center"/>
          </w:tcPr>
          <w:p>
            <w:pPr>
              <w:pStyle w:val="TableContents"/>
              <w:bidi w:val="0"/>
              <w:spacing w:before="0" w:after="283"/>
              <w:jc w:val="left"/>
              <w:rPr>
                <w:sz w:val="20"/>
              </w:rPr>
            </w:pPr>
            <w:r>
              <w:rPr>
                <w:sz w:val="20"/>
              </w:rPr>
              <w:t>N/A</w:t>
            </w:r>
          </w:p>
        </w:tc>
      </w:tr>
      <w:tr>
        <w:trPr/>
        <w:tc>
          <w:tcPr>
            <w:tcW w:w="4760" w:type="dxa"/>
            <w:tcBorders/>
            <w:tcMar>
              <w:bottom w:w="0" w:type="dxa"/>
            </w:tcMar>
            <w:vAlign w:val="center"/>
          </w:tcPr>
          <w:p>
            <w:pPr>
              <w:pStyle w:val="TableContents"/>
              <w:bidi w:val="0"/>
              <w:spacing w:before="0" w:after="283"/>
              <w:jc w:val="left"/>
              <w:rPr>
                <w:sz w:val="20"/>
              </w:rPr>
            </w:pPr>
            <w:r>
              <w:rPr>
                <w:sz w:val="20"/>
              </w:rPr>
              <w:t>Former Name if Applicable</w:t>
            </w:r>
          </w:p>
        </w:tc>
      </w:tr>
      <w:tr>
        <w:trPr/>
        <w:tc>
          <w:tcPr>
            <w:tcW w:w="4760" w:type="dxa"/>
            <w:tcBorders/>
            <w:tcMar>
              <w:bottom w:w="0" w:type="dxa"/>
            </w:tcMar>
            <w:vAlign w:val="center"/>
          </w:tcPr>
          <w:p>
            <w:pPr>
              <w:pStyle w:val="TableContents"/>
              <w:bidi w:val="0"/>
              <w:spacing w:before="0" w:after="283"/>
              <w:jc w:val="left"/>
              <w:rPr/>
            </w:pPr>
            <w:r>
              <w:rPr/>
              <w:t> </w:t>
            </w:r>
          </w:p>
        </w:tc>
      </w:tr>
      <w:tr>
        <w:trPr/>
        <w:tc>
          <w:tcPr>
            <w:tcW w:w="4760" w:type="dxa"/>
            <w:tcBorders>
              <w:bottom w:val="single" w:sz="12" w:space="0" w:color="000000"/>
            </w:tcBorders>
            <w:vAlign w:val="center"/>
          </w:tcPr>
          <w:p>
            <w:pPr>
              <w:pStyle w:val="TableContents"/>
              <w:bidi w:val="0"/>
              <w:spacing w:before="0" w:after="283"/>
              <w:jc w:val="left"/>
              <w:rPr>
                <w:sz w:val="20"/>
              </w:rPr>
            </w:pPr>
            <w:r>
              <w:rPr>
                <w:sz w:val="20"/>
              </w:rPr>
              <w:t>One Market Street, Ste. 400</w:t>
            </w:r>
          </w:p>
        </w:tc>
      </w:tr>
      <w:tr>
        <w:trPr/>
        <w:tc>
          <w:tcPr>
            <w:tcW w:w="4760" w:type="dxa"/>
            <w:tcBorders/>
            <w:tcMar>
              <w:bottom w:w="0" w:type="dxa"/>
            </w:tcMar>
            <w:vAlign w:val="center"/>
          </w:tcPr>
          <w:p>
            <w:pPr>
              <w:pStyle w:val="TableContents"/>
              <w:bidi w:val="0"/>
              <w:spacing w:before="0" w:after="283"/>
              <w:jc w:val="left"/>
              <w:rPr>
                <w:sz w:val="20"/>
              </w:rPr>
            </w:pPr>
            <w:r>
              <w:rPr>
                <w:sz w:val="20"/>
              </w:rPr>
              <w:t>Address of Principal Executive Office (Street and Number)</w:t>
            </w:r>
          </w:p>
        </w:tc>
      </w:tr>
      <w:tr>
        <w:trPr/>
        <w:tc>
          <w:tcPr>
            <w:tcW w:w="4760" w:type="dxa"/>
            <w:tcBorders/>
            <w:tcMar>
              <w:bottom w:w="0" w:type="dxa"/>
            </w:tcMar>
            <w:vAlign w:val="center"/>
          </w:tcPr>
          <w:p>
            <w:pPr>
              <w:pStyle w:val="TableContents"/>
              <w:bidi w:val="0"/>
              <w:spacing w:before="0" w:after="283"/>
              <w:jc w:val="left"/>
              <w:rPr/>
            </w:pPr>
            <w:r>
              <w:rPr/>
              <w:t> </w:t>
            </w:r>
          </w:p>
        </w:tc>
      </w:tr>
      <w:tr>
        <w:trPr/>
        <w:tc>
          <w:tcPr>
            <w:tcW w:w="4760" w:type="dxa"/>
            <w:tcBorders>
              <w:bottom w:val="single" w:sz="12" w:space="0" w:color="000000"/>
            </w:tcBorders>
            <w:vAlign w:val="center"/>
          </w:tcPr>
          <w:p>
            <w:pPr>
              <w:pStyle w:val="TableContents"/>
              <w:bidi w:val="0"/>
              <w:spacing w:before="0" w:after="283"/>
              <w:jc w:val="left"/>
              <w:rPr>
                <w:sz w:val="20"/>
              </w:rPr>
            </w:pPr>
            <w:r>
              <w:rPr>
                <w:sz w:val="20"/>
              </w:rPr>
              <w:t>San Francisco, CA 94105</w:t>
            </w:r>
          </w:p>
        </w:tc>
      </w:tr>
      <w:tr>
        <w:trPr/>
        <w:tc>
          <w:tcPr>
            <w:tcW w:w="4760" w:type="dxa"/>
            <w:tcBorders/>
            <w:tcMar>
              <w:bottom w:w="0" w:type="dxa"/>
            </w:tcMar>
            <w:vAlign w:val="center"/>
          </w:tcPr>
          <w:p>
            <w:pPr>
              <w:pStyle w:val="TableContents"/>
              <w:bidi w:val="0"/>
              <w:spacing w:before="0" w:after="283"/>
              <w:jc w:val="left"/>
              <w:rPr>
                <w:sz w:val="20"/>
              </w:rPr>
            </w:pPr>
            <w:r>
              <w:rPr>
                <w:sz w:val="20"/>
              </w:rPr>
              <w:t>City, State and Zip Code</w:t>
            </w:r>
          </w:p>
        </w:tc>
      </w:tr>
    </w:tbl>
    <w:p>
      <w:pPr>
        <w:pStyle w:val="TextBody"/>
        <w:bidi w:val="0"/>
        <w:spacing w:before="0" w:after="283"/>
        <w:jc w:val="left"/>
        <w:rPr/>
      </w:pPr>
      <w:r>
        <w:rPr/>
        <w:t> </w:t>
      </w:r>
    </w:p>
    <w:p>
      <w:pPr>
        <w:pStyle w:val="TextBody"/>
        <w:bidi w:val="0"/>
        <w:spacing w:before="60" w:after="240"/>
        <w:ind w:left="6" w:right="6" w:hanging="0"/>
        <w:jc w:val="left"/>
        <w:rPr>
          <w:bdr w:val="single" w:sz="8" w:space="1" w:color="000000"/>
        </w:rPr>
      </w:pPr>
      <w:r>
        <w:rPr>
          <w:bdr w:val="single" w:sz="8" w:space="1" w:color="000000"/>
        </w:rPr>
        <w:t> </w:t>
      </w:r>
    </w:p>
    <w:p>
      <w:pPr>
        <w:pStyle w:val="TextBody"/>
        <w:bidi w:val="0"/>
        <w:spacing w:before="6" w:after="6"/>
        <w:ind w:left="6" w:right="6"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194" w:after="194"/>
        <w:ind w:left="194" w:right="19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&amp;filig;led without unreasonable effort or expense and the registrant seeks relief pursuant to Rule 12b-25(b), the following should be completed. (Check box if appropriate)</w:t>
      </w:r>
    </w:p>
    <w:p>
      <w:pPr>
        <w:pStyle w:val="TextBody"/>
        <w:bidi w:val="0"/>
        <w:ind w:left="273" w:right="273"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199"/>
        <w:gridCol w:w="9761"/>
      </w:tblGrid>
      <w:tr>
        <w:trPr/>
        <w:tc>
          <w:tcPr>
            <w:tcW w:w="245" w:type="dxa"/>
            <w:vMerge w:val="restart"/>
            <w:tcBorders/>
            <w:shd w:fill="FFFFFF" w:val="clear"/>
            <w:vAlign w:val="center"/>
          </w:tcPr>
          <w:p>
            <w:pPr>
              <w:pStyle w:val="TableContents"/>
              <w:bidi w:val="0"/>
              <w:spacing w:before="0" w:after="283"/>
              <w:jc w:val="center"/>
              <w:rPr/>
            </w:pPr>
            <w:r>
              <w:rPr/>
              <w:t>☒</w:t>
            </w:r>
          </w:p>
        </w:tc>
        <w:tc>
          <w:tcPr>
            <w:tcW w:w="199" w:type="dxa"/>
            <w:tcBorders>
              <w:left w:val="single" w:sz="8" w:space="0" w:color="000000"/>
            </w:tcBorders>
            <w:tcMar>
              <w:left w:w="28" w:type="dxa"/>
            </w:tcMar>
            <w:vAlign w:val="center"/>
          </w:tcPr>
          <w:p>
            <w:pPr>
              <w:pStyle w:val="TableContents"/>
              <w:bidi w:val="0"/>
              <w:spacing w:before="0" w:after="283"/>
              <w:jc w:val="center"/>
              <w:rPr>
                <w:sz w:val="20"/>
              </w:rPr>
            </w:pPr>
            <w:r>
              <w:rPr>
                <w:sz w:val="20"/>
              </w:rPr>
              <w:t>(a)</w:t>
            </w:r>
          </w:p>
        </w:tc>
        <w:tc>
          <w:tcPr>
            <w:tcW w:w="9761" w:type="dxa"/>
            <w:tcBorders/>
            <w:vAlign w:val="center"/>
          </w:tcPr>
          <w:p>
            <w:pPr>
              <w:pStyle w:val="TableContents"/>
              <w:bidi w:val="0"/>
              <w:spacing w:before="0" w:after="283"/>
              <w:jc w:val="left"/>
              <w:rPr>
                <w:sz w:val="20"/>
              </w:rPr>
            </w:pPr>
            <w:r>
              <w:rPr>
                <w:sz w:val="20"/>
              </w:rPr>
              <w:t>The reason described in reasonable detail in Part III of this form could not be eliminated without unreasonable effort or expense;</w:t>
            </w:r>
          </w:p>
        </w:tc>
      </w:tr>
      <w:tr>
        <w:trPr/>
        <w:tc>
          <w:tcPr>
            <w:tcW w:w="245" w:type="dxa"/>
            <w:vMerge w:val="continue"/>
            <w:tcBorders/>
            <w:shd w:fill="FFFFFF" w:val="clear"/>
            <w:vAlign w:val="center"/>
          </w:tcPr>
          <w:p>
            <w:pPr>
              <w:pStyle w:val="Normal"/>
              <w:bidi w:val="0"/>
              <w:jc w:val="left"/>
              <w:rPr/>
            </w:pPr>
            <w:r>
              <w:rPr/>
            </w:r>
          </w:p>
        </w:tc>
        <w:tc>
          <w:tcPr>
            <w:tcW w:w="199" w:type="dxa"/>
            <w:tcBorders>
              <w:left w:val="single" w:sz="8" w:space="0" w:color="000000"/>
            </w:tcBorders>
            <w:tcMar>
              <w:left w:w="28" w:type="dxa"/>
            </w:tcMar>
            <w:vAlign w:val="center"/>
          </w:tcPr>
          <w:p>
            <w:pPr>
              <w:pStyle w:val="TableContents"/>
              <w:bidi w:val="0"/>
              <w:spacing w:before="0" w:after="283"/>
              <w:jc w:val="center"/>
              <w:rPr>
                <w:sz w:val="20"/>
              </w:rPr>
            </w:pPr>
            <w:r>
              <w:rPr>
                <w:sz w:val="20"/>
              </w:rPr>
              <w:t>(b)</w:t>
            </w:r>
          </w:p>
        </w:tc>
        <w:tc>
          <w:tcPr>
            <w:tcW w:w="9761" w:type="dxa"/>
            <w:tcBorders/>
            <w:vAlign w:val="center"/>
          </w:tcPr>
          <w:p>
            <w:pPr>
              <w:pStyle w:val="TableContents"/>
              <w:bidi w:val="0"/>
              <w:spacing w:before="0" w:after="283"/>
              <w:jc w:val="both"/>
              <w:rPr>
                <w:sz w:val="20"/>
              </w:rPr>
            </w:pPr>
            <w:r>
              <w:rPr>
                <w:sz w:val="20"/>
              </w:rPr>
              <w:t>The subject annual report, semi-annual report, transition report on Form 10-K, Form 20-F, Form 11-K, Form N-CEN or Form N-CSR, or portion thereof, will be &amp;filig;led on or before the &amp;filig;fteenth calendar day following the prescribed due date; or the subject quarterly report or transition report on Form 10-Q or subject distribution report on Form 10-D, or portion thereof, will be &amp;filig;led on or before the &amp;filig;fth calendar day following the prescribed due date; and</w:t>
            </w:r>
          </w:p>
        </w:tc>
      </w:tr>
      <w:tr>
        <w:trPr/>
        <w:tc>
          <w:tcPr>
            <w:tcW w:w="245" w:type="dxa"/>
            <w:vMerge w:val="continue"/>
            <w:tcBorders/>
            <w:shd w:fill="FFFFFF" w:val="clear"/>
            <w:vAlign w:val="center"/>
          </w:tcPr>
          <w:p>
            <w:pPr>
              <w:pStyle w:val="Normal"/>
              <w:bidi w:val="0"/>
              <w:jc w:val="left"/>
              <w:rPr/>
            </w:pPr>
            <w:r>
              <w:rPr/>
            </w:r>
          </w:p>
        </w:tc>
        <w:tc>
          <w:tcPr>
            <w:tcW w:w="199" w:type="dxa"/>
            <w:tcBorders>
              <w:left w:val="single" w:sz="8" w:space="0" w:color="000000"/>
            </w:tcBorders>
            <w:tcMar>
              <w:left w:w="28" w:type="dxa"/>
            </w:tcMar>
            <w:vAlign w:val="center"/>
          </w:tcPr>
          <w:p>
            <w:pPr>
              <w:pStyle w:val="TableContents"/>
              <w:bidi w:val="0"/>
              <w:spacing w:before="0" w:after="283"/>
              <w:jc w:val="center"/>
              <w:rPr>
                <w:sz w:val="20"/>
              </w:rPr>
            </w:pPr>
            <w:r>
              <w:rPr>
                <w:sz w:val="20"/>
              </w:rPr>
              <w:t>(c)</w:t>
            </w:r>
          </w:p>
        </w:tc>
        <w:tc>
          <w:tcPr>
            <w:tcW w:w="9761" w:type="dxa"/>
            <w:tcBorders/>
            <w:vAlign w:val="center"/>
          </w:tcPr>
          <w:p>
            <w:pPr>
              <w:pStyle w:val="TableContents"/>
              <w:bidi w:val="0"/>
              <w:spacing w:before="0" w:after="283"/>
              <w:jc w:val="both"/>
              <w:rPr>
                <w:sz w:val="20"/>
              </w:rPr>
            </w:pPr>
            <w:r>
              <w:rPr>
                <w:sz w:val="20"/>
              </w:rPr>
              <w:t>The accountant’s statement or other exhibit required by Rule 12b-25(c) has been attached if applicable.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1344 (06-19) Persons who are to respond to the collection of information contained in this form are not required to respond unless the form displays a currently valid OMB control number.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N-CEN, N-CSR, or the transition report or portion thereof, could not be &amp;filig;led within the prescribed time period.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 extra Sheets if Needed)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Autodesk,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unable to file its Annual Report on Form 10-K for the year ended January 31, 2024 (the “</w:t>
      </w:r>
      <w:r>
        <w:rPr>
          <w:rFonts w:ascii="Times New Roman;Times;Serif" w:hAnsi="Times New Roman;Times;Serif"/>
          <w:b/>
          <w:i w:val="false"/>
          <w:caps w:val="false"/>
          <w:smallCaps w:val="false"/>
          <w:sz w:val="20"/>
        </w:rPr>
        <w:t>Form 10-K</w:t>
      </w:r>
      <w:r>
        <w:rPr>
          <w:rFonts w:ascii="Times New Roman;Times;Serif" w:hAnsi="Times New Roman;Times;Serif"/>
          <w:b w:val="false"/>
          <w:i w:val="false"/>
          <w:caps w:val="false"/>
          <w:smallCaps w:val="false"/>
          <w:sz w:val="20"/>
        </w:rPr>
        <w:t>”) within the prescribed time period, without unreasonable effort or expense. After the Company’s earnings release on February 29, 2024, information was brought to the attention of management, which promptly informed the Audit Committee (the “</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of the Board of Directors of the Company, that caused the Committee to commence an internal investigation with the assistance of outside counsel and advisors, regarding the Company’s free cash flow and non-GAAP operating margin practices. The Committee is comprised entirely of outside “independent directors” as defined by the Nasdaq Stock Market listing standards. The investigation is ongoing and all parties are working diligently to complete the investigation. The Company has voluntarily contacted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to advise it that an internal investigation is ongoing, and the Committee intends to provide additional information to the Commission as the investigation proceeds. The Company needs further time to assist the Committee in its investigation and to review its practices in this regard.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does not believe that any of the matters under investigation affect any previously issued financial statements or the information in the Company’s earnings release on February 29, 2024. The Company currently expects to file the Form 10-K within the 15-day extension period prescribed by Rule 12b-25 under the Securities Exchange Act of 1934, as amended.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Harbor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contains forward-looking statements that involve risks and uncertainties, including statements above regarding the timing and expectations regarding the Committee’s internal investigation, as well as all statements that are not historical facts. There are a significant number of factors that could cause actual results to differ materially from statements made in this report, including: the discovery of additional information relevant to the internal investigation; the conclusions of the Committee (and the timing of the conclusions) concerning matters relating to the investigation; the timing of the review by, and the conclusions of, the Company’s independent registered public accounting firm regarding the investigation and the Company’s financial statements; the risk that the completion and filing of the Form 10-K will take longer than expected; and the risk that the Company will be unable to file the Form 10-K within the extension period of 15 calendar days provided under Rule 12b-25.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on potential factors that could affect the financial results of Autodesk are included in Autodesk's Form 10-K and subsequent Forms 10-Q, which are on file with the U.S. Securities and Exchange Commission. Autodesk disclaims any obligation to update the forward-looking statements provided to reflect events that occur or circumstances that exist after the date on which they were made.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jc w:val="left"/>
        <w:rPr>
          <w:caps w:val="false"/>
          <w:smallCaps w:val="false"/>
        </w:rPr>
      </w:pPr>
      <w:r>
        <w:rPr>
          <w:caps w:val="false"/>
          <w:smallCaps w:val="false"/>
        </w:rPr>
        <w:t> </w:t>
      </w:r>
    </w:p>
    <w:p>
      <w:pPr>
        <w:pStyle w:val="TextBody"/>
        <w:bidi w:val="0"/>
        <w:ind w:left="474" w:right="0" w:hanging="35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Name and telephone number of person to contact in regard to this notification</w:t>
      </w:r>
    </w:p>
    <w:p>
      <w:pPr>
        <w:pStyle w:val="TextBody"/>
        <w:bidi w:val="0"/>
        <w:jc w:val="left"/>
        <w:rPr>
          <w:caps w:val="false"/>
          <w:smallCaps w:val="false"/>
        </w:rPr>
      </w:pPr>
      <w:r>
        <w:rPr>
          <w:caps w:val="false"/>
          <w:smallCaps w:val="false"/>
        </w:rPr>
        <w:t> </w:t>
      </w:r>
    </w:p>
    <w:tbl>
      <w:tblPr>
        <w:tblW w:w="4215" w:type="dxa"/>
        <w:jc w:val="left"/>
        <w:tblInd w:w="0" w:type="dxa"/>
        <w:tblLayout w:type="fixed"/>
        <w:tblCellMar>
          <w:top w:w="0" w:type="dxa"/>
          <w:left w:w="0" w:type="dxa"/>
          <w:bottom w:w="28" w:type="dxa"/>
          <w:right w:w="0" w:type="dxa"/>
        </w:tblCellMar>
      </w:tblPr>
      <w:tblGrid>
        <w:gridCol w:w="1385"/>
        <w:gridCol w:w="60"/>
        <w:gridCol w:w="995"/>
        <w:gridCol w:w="60"/>
        <w:gridCol w:w="1715"/>
      </w:tblGrid>
      <w:tr>
        <w:trPr/>
        <w:tc>
          <w:tcPr>
            <w:tcW w:w="1385" w:type="dxa"/>
            <w:tcBorders>
              <w:bottom w:val="single" w:sz="8" w:space="0" w:color="000000"/>
            </w:tcBorders>
            <w:vAlign w:val="center"/>
          </w:tcPr>
          <w:p>
            <w:pPr>
              <w:pStyle w:val="TableContents"/>
              <w:bidi w:val="0"/>
              <w:spacing w:before="0" w:after="283"/>
              <w:jc w:val="center"/>
              <w:rPr>
                <w:sz w:val="20"/>
              </w:rPr>
            </w:pPr>
            <w:r>
              <w:rPr>
                <w:sz w:val="20"/>
              </w:rPr>
              <w:t>Ruth Ann Keene</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8" w:space="0" w:color="000000"/>
            </w:tcBorders>
            <w:vAlign w:val="center"/>
          </w:tcPr>
          <w:p>
            <w:pPr>
              <w:pStyle w:val="TableContents"/>
              <w:bidi w:val="0"/>
              <w:spacing w:before="0" w:after="283"/>
              <w:jc w:val="center"/>
              <w:rPr>
                <w:sz w:val="20"/>
              </w:rPr>
            </w:pPr>
            <w:r>
              <w:rPr>
                <w:sz w:val="20"/>
              </w:rPr>
              <w:t>415</w:t>
            </w:r>
          </w:p>
        </w:tc>
        <w:tc>
          <w:tcPr>
            <w:tcW w:w="60" w:type="dxa"/>
            <w:tcBorders/>
            <w:tcMar>
              <w:bottom w:w="0" w:type="dxa"/>
            </w:tcMar>
            <w:vAlign w:val="center"/>
          </w:tcPr>
          <w:p>
            <w:pPr>
              <w:pStyle w:val="TableContents"/>
              <w:bidi w:val="0"/>
              <w:spacing w:before="0" w:after="283"/>
              <w:jc w:val="left"/>
              <w:rPr/>
            </w:pPr>
            <w:r>
              <w:rPr/>
              <w:t> </w:t>
            </w:r>
          </w:p>
        </w:tc>
        <w:tc>
          <w:tcPr>
            <w:tcW w:w="1715" w:type="dxa"/>
            <w:tcBorders>
              <w:bottom w:val="single" w:sz="8" w:space="0" w:color="000000"/>
            </w:tcBorders>
            <w:vAlign w:val="center"/>
          </w:tcPr>
          <w:p>
            <w:pPr>
              <w:pStyle w:val="TableContents"/>
              <w:bidi w:val="0"/>
              <w:spacing w:before="0" w:after="283"/>
              <w:jc w:val="center"/>
              <w:rPr>
                <w:sz w:val="20"/>
              </w:rPr>
            </w:pPr>
            <w:r>
              <w:rPr>
                <w:sz w:val="20"/>
              </w:rPr>
              <w:t>507-5000</w:t>
            </w:r>
          </w:p>
        </w:tc>
      </w:tr>
      <w:tr>
        <w:trPr/>
        <w:tc>
          <w:tcPr>
            <w:tcW w:w="1385" w:type="dxa"/>
            <w:tcBorders/>
            <w:tcMar>
              <w:bottom w:w="0" w:type="dxa"/>
            </w:tcMar>
            <w:vAlign w:val="center"/>
          </w:tcPr>
          <w:p>
            <w:pPr>
              <w:pStyle w:val="TableContents"/>
              <w:bidi w:val="0"/>
              <w:spacing w:before="0" w:after="283"/>
              <w:jc w:val="center"/>
              <w:rPr>
                <w:sz w:val="20"/>
              </w:rPr>
            </w:pPr>
            <w:r>
              <w:rPr>
                <w:sz w:val="20"/>
              </w:rPr>
              <w:t>(Name)</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sz w:val="20"/>
              </w:rPr>
            </w:pPr>
            <w:r>
              <w:rPr>
                <w:sz w:val="20"/>
              </w:rPr>
              <w:t>(Area Code)</w:t>
            </w:r>
          </w:p>
        </w:tc>
        <w:tc>
          <w:tcPr>
            <w:tcW w:w="60" w:type="dxa"/>
            <w:tcBorders/>
            <w:tcMar>
              <w:bottom w:w="0" w:type="dxa"/>
            </w:tcMar>
            <w:vAlign w:val="center"/>
          </w:tcPr>
          <w:p>
            <w:pPr>
              <w:pStyle w:val="TableContents"/>
              <w:bidi w:val="0"/>
              <w:spacing w:before="0" w:after="283"/>
              <w:jc w:val="left"/>
              <w:rPr/>
            </w:pPr>
            <w:r>
              <w:rPr/>
              <w:t> </w:t>
            </w:r>
          </w:p>
        </w:tc>
        <w:tc>
          <w:tcPr>
            <w:tcW w:w="1715" w:type="dxa"/>
            <w:tcBorders/>
            <w:tcMar>
              <w:bottom w:w="0" w:type="dxa"/>
            </w:tcMar>
            <w:vAlign w:val="center"/>
          </w:tcPr>
          <w:p>
            <w:pPr>
              <w:pStyle w:val="TableContents"/>
              <w:bidi w:val="0"/>
              <w:spacing w:before="0" w:after="283"/>
              <w:jc w:val="center"/>
              <w:rPr>
                <w:sz w:val="20"/>
              </w:rPr>
            </w:pPr>
            <w:r>
              <w:rPr>
                <w:sz w:val="20"/>
              </w:rPr>
              <w:t>(Telephone Number)</w:t>
            </w:r>
          </w:p>
        </w:tc>
      </w:tr>
    </w:tbl>
    <w:p>
      <w:pPr>
        <w:pStyle w:val="TextBody"/>
        <w:bidi w:val="0"/>
        <w:jc w:val="left"/>
        <w:rPr>
          <w:caps w:val="false"/>
          <w:smallCaps w:val="false"/>
        </w:rPr>
      </w:pPr>
      <w:r>
        <w:rPr>
          <w:caps w:val="false"/>
          <w:smallCaps w:val="false"/>
        </w:rPr>
        <w:t> </w:t>
      </w:r>
    </w:p>
    <w:p>
      <w:pPr>
        <w:pStyle w:val="TextBody"/>
        <w:bidi w:val="0"/>
        <w:ind w:left="476" w:right="185" w:hanging="36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Have all other periodic reports required under Section 13 or 15(d) of the Securities Exchange Act of 1934 or Section 30 of the Investment Company Act of 1940 during the preceding 12 months or for such shorter period that the registrant was required to &amp;filig;le such report(s) been &amp;filig;led? If answer is no, identify report(s).</w:t>
      </w:r>
    </w:p>
    <w:tbl>
      <w:tblPr>
        <w:tblW w:w="1070" w:type="dxa"/>
        <w:jc w:val="left"/>
        <w:tblInd w:w="0" w:type="dxa"/>
        <w:tblLayout w:type="fixed"/>
        <w:tblCellMar>
          <w:top w:w="0" w:type="dxa"/>
          <w:left w:w="0" w:type="dxa"/>
          <w:bottom w:w="0" w:type="dxa"/>
          <w:right w:w="0" w:type="dxa"/>
        </w:tblCellMar>
      </w:tblPr>
      <w:tblGrid>
        <w:gridCol w:w="335"/>
        <w:gridCol w:w="230"/>
        <w:gridCol w:w="260"/>
        <w:gridCol w:w="245"/>
      </w:tblGrid>
      <w:tr>
        <w:trPr/>
        <w:tc>
          <w:tcPr>
            <w:tcW w:w="335" w:type="dxa"/>
            <w:tcBorders/>
            <w:vAlign w:val="center"/>
          </w:tcPr>
          <w:p>
            <w:pPr>
              <w:pStyle w:val="TableContents"/>
              <w:bidi w:val="0"/>
              <w:spacing w:before="0" w:after="283"/>
              <w:jc w:val="left"/>
              <w:rPr>
                <w:sz w:val="20"/>
              </w:rPr>
            </w:pPr>
            <w:r>
              <w:rPr>
                <w:sz w:val="20"/>
              </w:rPr>
              <w:t>Yes</w:t>
            </w:r>
          </w:p>
        </w:tc>
        <w:tc>
          <w:tcPr>
            <w:tcW w:w="230" w:type="dxa"/>
            <w:tcBorders/>
            <w:shd w:fill="FFFFFF" w:val="clear"/>
            <w:vAlign w:val="center"/>
          </w:tcPr>
          <w:p>
            <w:pPr>
              <w:pStyle w:val="TableContents"/>
              <w:bidi w:val="0"/>
              <w:spacing w:before="0" w:after="283"/>
              <w:jc w:val="center"/>
              <w:rPr/>
            </w:pPr>
            <w:r>
              <w:rPr/>
              <w:t>☒</w:t>
            </w:r>
          </w:p>
        </w:tc>
        <w:tc>
          <w:tcPr>
            <w:tcW w:w="260" w:type="dxa"/>
            <w:tcBorders/>
            <w:vAlign w:val="center"/>
          </w:tcPr>
          <w:p>
            <w:pPr>
              <w:pStyle w:val="TableContents"/>
              <w:bidi w:val="0"/>
              <w:spacing w:before="0" w:after="283"/>
              <w:jc w:val="left"/>
              <w:rPr>
                <w:sz w:val="20"/>
              </w:rPr>
            </w:pPr>
            <w:r>
              <w:rPr>
                <w:sz w:val="20"/>
              </w:rPr>
              <w:t>No</w:t>
            </w:r>
          </w:p>
        </w:tc>
        <w:tc>
          <w:tcPr>
            <w:tcW w:w="245" w:type="dxa"/>
            <w:tcBorders/>
            <w:shd w:fill="FFFFFF" w:val="clear"/>
            <w:vAlign w:val="center"/>
          </w:tcPr>
          <w:p>
            <w:pPr>
              <w:pStyle w:val="TableContents"/>
              <w:bidi w:val="0"/>
              <w:spacing w:before="0" w:after="283"/>
              <w:jc w:val="center"/>
              <w:rPr/>
            </w:pPr>
            <w:r>
              <w:rPr/>
              <w:t>☐</w:t>
            </w:r>
          </w:p>
        </w:tc>
      </w:tr>
    </w:tbl>
    <w:p>
      <w:pPr>
        <w:pStyle w:val="TextBody"/>
        <w:bidi w:val="0"/>
        <w:ind w:left="185" w:right="185" w:hanging="1"/>
        <w:jc w:val="both"/>
        <w:rPr>
          <w:caps w:val="false"/>
          <w:smallCaps w:val="false"/>
        </w:rPr>
      </w:pPr>
      <w:r>
        <w:rPr>
          <w:caps w:val="false"/>
          <w:smallCaps w:val="false"/>
        </w:rPr>
        <w:t> </w:t>
      </w:r>
    </w:p>
    <w:p>
      <w:pPr>
        <w:pStyle w:val="TextBody"/>
        <w:bidi w:val="0"/>
        <w:ind w:left="474" w:right="352" w:hanging="36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Is it anticipated that any signi&amp;filig;cant change in results of operations from the corresponding period for the last &amp;filig;scal year will be re&amp;fllig;ected by the earnings statements to be included in the subject report or portion thereof?</w:t>
      </w:r>
    </w:p>
    <w:tbl>
      <w:tblPr>
        <w:tblW w:w="1070" w:type="dxa"/>
        <w:jc w:val="left"/>
        <w:tblInd w:w="0" w:type="dxa"/>
        <w:tblLayout w:type="fixed"/>
        <w:tblCellMar>
          <w:top w:w="0" w:type="dxa"/>
          <w:left w:w="0" w:type="dxa"/>
          <w:bottom w:w="0" w:type="dxa"/>
          <w:right w:w="0" w:type="dxa"/>
        </w:tblCellMar>
      </w:tblPr>
      <w:tblGrid>
        <w:gridCol w:w="335"/>
        <w:gridCol w:w="230"/>
        <w:gridCol w:w="260"/>
        <w:gridCol w:w="245"/>
      </w:tblGrid>
      <w:tr>
        <w:trPr/>
        <w:tc>
          <w:tcPr>
            <w:tcW w:w="335" w:type="dxa"/>
            <w:tcBorders/>
            <w:vAlign w:val="center"/>
          </w:tcPr>
          <w:p>
            <w:pPr>
              <w:pStyle w:val="TableContents"/>
              <w:bidi w:val="0"/>
              <w:spacing w:before="0" w:after="283"/>
              <w:jc w:val="left"/>
              <w:rPr>
                <w:sz w:val="20"/>
              </w:rPr>
            </w:pPr>
            <w:r>
              <w:rPr>
                <w:sz w:val="20"/>
              </w:rPr>
              <w:t>Yes</w:t>
            </w:r>
          </w:p>
        </w:tc>
        <w:tc>
          <w:tcPr>
            <w:tcW w:w="230" w:type="dxa"/>
            <w:tcBorders/>
            <w:shd w:fill="FFFFFF" w:val="clear"/>
            <w:vAlign w:val="center"/>
          </w:tcPr>
          <w:p>
            <w:pPr>
              <w:pStyle w:val="TableContents"/>
              <w:bidi w:val="0"/>
              <w:spacing w:before="0" w:after="283"/>
              <w:jc w:val="center"/>
              <w:rPr/>
            </w:pPr>
            <w:r>
              <w:rPr/>
              <w:t>☐</w:t>
            </w:r>
          </w:p>
        </w:tc>
        <w:tc>
          <w:tcPr>
            <w:tcW w:w="260" w:type="dxa"/>
            <w:tcBorders/>
            <w:vAlign w:val="center"/>
          </w:tcPr>
          <w:p>
            <w:pPr>
              <w:pStyle w:val="TableContents"/>
              <w:bidi w:val="0"/>
              <w:spacing w:before="0" w:after="283"/>
              <w:jc w:val="left"/>
              <w:rPr>
                <w:sz w:val="20"/>
              </w:rPr>
            </w:pPr>
            <w:r>
              <w:rPr>
                <w:sz w:val="20"/>
              </w:rPr>
              <w:t>No</w:t>
            </w:r>
          </w:p>
        </w:tc>
        <w:tc>
          <w:tcPr>
            <w:tcW w:w="245" w:type="dxa"/>
            <w:tcBorders/>
            <w:shd w:fill="FFFFFF" w:val="clear"/>
            <w:vAlign w:val="center"/>
          </w:tcPr>
          <w:p>
            <w:pPr>
              <w:pStyle w:val="TableContents"/>
              <w:bidi w:val="0"/>
              <w:spacing w:before="0" w:after="283"/>
              <w:jc w:val="center"/>
              <w:rPr/>
            </w:pPr>
            <w:r>
              <w:rPr/>
              <w:t>☒</w:t>
            </w:r>
          </w:p>
        </w:tc>
      </w:tr>
    </w:tbl>
    <w:p>
      <w:pPr>
        <w:pStyle w:val="TextBody"/>
        <w:bidi w:val="0"/>
        <w:ind w:left="47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ind w:left="474" w:right="0" w:hanging="0"/>
        <w:jc w:val="left"/>
        <w:rPr>
          <w:caps w:val="false"/>
          <w:smallCaps w:val="false"/>
        </w:rPr>
      </w:pPr>
      <w:r>
        <w:rPr>
          <w:caps w:val="false"/>
          <w:smallCaps w:val="false"/>
        </w:rPr>
        <w:t> </w:t>
      </w:r>
    </w:p>
    <w:p>
      <w:pPr>
        <w:pStyle w:val="TextBody"/>
        <w:bidi w:val="0"/>
        <w:ind w:left="47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you to our current report on Form 8-K filed with the SEC on February 29, 2024, which is hereby incorporated by reference.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3605" w:type="dxa"/>
        <w:jc w:val="left"/>
        <w:tblInd w:w="0" w:type="dxa"/>
        <w:tblLayout w:type="fixed"/>
        <w:tblCellMar>
          <w:top w:w="0" w:type="dxa"/>
          <w:left w:w="0" w:type="dxa"/>
          <w:bottom w:w="28" w:type="dxa"/>
          <w:right w:w="0" w:type="dxa"/>
        </w:tblCellMar>
      </w:tblPr>
      <w:tblGrid>
        <w:gridCol w:w="3605"/>
      </w:tblGrid>
      <w:tr>
        <w:trPr/>
        <w:tc>
          <w:tcPr>
            <w:tcW w:w="3605" w:type="dxa"/>
            <w:tcBorders>
              <w:bottom w:val="single" w:sz="12" w:space="0" w:color="000000"/>
            </w:tcBorders>
            <w:vAlign w:val="center"/>
          </w:tcPr>
          <w:p>
            <w:pPr>
              <w:pStyle w:val="TableContents"/>
              <w:bidi w:val="0"/>
              <w:spacing w:before="0" w:after="283"/>
              <w:jc w:val="center"/>
              <w:rPr>
                <w:sz w:val="20"/>
              </w:rPr>
            </w:pPr>
            <w:r>
              <w:rPr>
                <w:sz w:val="20"/>
              </w:rPr>
              <w:t>Autodesk, Inc.</w:t>
            </w:r>
          </w:p>
        </w:tc>
      </w:tr>
      <w:tr>
        <w:trPr/>
        <w:tc>
          <w:tcPr>
            <w:tcW w:w="3605" w:type="dxa"/>
            <w:tcBorders/>
            <w:tcMar>
              <w:bottom w:w="0" w:type="dxa"/>
            </w:tcMar>
            <w:vAlign w:val="center"/>
          </w:tcPr>
          <w:p>
            <w:pPr>
              <w:pStyle w:val="TableContents"/>
              <w:bidi w:val="0"/>
              <w:spacing w:before="0" w:after="283"/>
              <w:jc w:val="center"/>
              <w:rPr>
                <w:sz w:val="20"/>
              </w:rPr>
            </w:pPr>
            <w:r>
              <w:rPr>
                <w:sz w:val="20"/>
              </w:rPr>
              <w:t>(Name of Registrant as Specified in Charter)</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jc w:val="left"/>
        <w:rPr>
          <w:caps w:val="false"/>
          <w:smallCaps w:val="false"/>
        </w:rPr>
      </w:pPr>
      <w:r>
        <w:rPr>
          <w:caps w:val="false"/>
          <w:smallCaps w:val="false"/>
        </w:rPr>
        <w:t> </w:t>
      </w:r>
    </w:p>
    <w:tbl>
      <w:tblPr>
        <w:tblW w:w="9035" w:type="dxa"/>
        <w:jc w:val="left"/>
        <w:tblInd w:w="0" w:type="dxa"/>
        <w:tblLayout w:type="fixed"/>
        <w:tblCellMar>
          <w:top w:w="0" w:type="dxa"/>
          <w:left w:w="0" w:type="dxa"/>
          <w:bottom w:w="0" w:type="dxa"/>
          <w:right w:w="0" w:type="dxa"/>
        </w:tblCellMar>
      </w:tblPr>
      <w:tblGrid>
        <w:gridCol w:w="410"/>
        <w:gridCol w:w="1100"/>
        <w:gridCol w:w="60"/>
        <w:gridCol w:w="260"/>
        <w:gridCol w:w="7205"/>
      </w:tblGrid>
      <w:tr>
        <w:trPr/>
        <w:tc>
          <w:tcPr>
            <w:tcW w:w="410" w:type="dxa"/>
            <w:tcBorders/>
            <w:vAlign w:val="center"/>
          </w:tcPr>
          <w:p>
            <w:pPr>
              <w:pStyle w:val="TableContents"/>
              <w:bidi w:val="0"/>
              <w:spacing w:before="0" w:after="283"/>
              <w:jc w:val="left"/>
              <w:rPr>
                <w:sz w:val="20"/>
              </w:rPr>
            </w:pPr>
            <w:r>
              <w:rPr>
                <w:sz w:val="20"/>
              </w:rPr>
              <w:t>Date</w:t>
            </w:r>
          </w:p>
        </w:tc>
        <w:tc>
          <w:tcPr>
            <w:tcW w:w="1100" w:type="dxa"/>
            <w:tcBorders>
              <w:bottom w:val="single" w:sz="12" w:space="0" w:color="000000"/>
            </w:tcBorders>
            <w:tcMar>
              <w:bottom w:w="28" w:type="dxa"/>
            </w:tcMar>
            <w:vAlign w:val="center"/>
          </w:tcPr>
          <w:p>
            <w:pPr>
              <w:pStyle w:val="TableContents"/>
              <w:bidi w:val="0"/>
              <w:spacing w:before="0" w:after="283"/>
              <w:jc w:val="left"/>
              <w:rPr>
                <w:sz w:val="20"/>
              </w:rPr>
            </w:pPr>
            <w:r>
              <w:rPr>
                <w:sz w:val="20"/>
              </w:rPr>
              <w:t>April 1, 2024</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20"/>
              </w:rPr>
            </w:pPr>
            <w:r>
              <w:rPr>
                <w:sz w:val="20"/>
              </w:rPr>
              <w:t>By</w:t>
            </w:r>
          </w:p>
        </w:tc>
        <w:tc>
          <w:tcPr>
            <w:tcW w:w="720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Ruth Ann Keene</w:t>
            </w:r>
          </w:p>
        </w:tc>
      </w:tr>
      <w:tr>
        <w:trPr/>
        <w:tc>
          <w:tcPr>
            <w:tcW w:w="41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283"/>
              <w:jc w:val="left"/>
              <w:rPr>
                <w:sz w:val="20"/>
              </w:rPr>
            </w:pPr>
            <w:r>
              <w:rPr>
                <w:sz w:val="20"/>
              </w:rPr>
              <w:t>Ruth Ann Keene</w:t>
            </w:r>
          </w:p>
        </w:tc>
      </w:tr>
      <w:tr>
        <w:trPr/>
        <w:tc>
          <w:tcPr>
            <w:tcW w:w="41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283"/>
              <w:jc w:val="left"/>
              <w:rPr>
                <w:sz w:val="20"/>
              </w:rPr>
            </w:pPr>
            <w:r>
              <w:rPr>
                <w:sz w:val="20"/>
              </w:rPr>
              <w:t>Executive Vice President, Corporate Affairs, Chief Legal Officer and Corporate Secretary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 The form may be signed by an executive of&amp;filig;cer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of&amp;filig;cer), evidence of the representative’s authority to sign on behalf of the registrant shall be &amp;filig;led with the form.</w:t>
      </w:r>
    </w:p>
    <w:p>
      <w:pPr>
        <w:pStyle w:val="TextBody"/>
        <w:bidi w:val="0"/>
        <w:jc w:val="left"/>
        <w:rPr>
          <w:caps w:val="false"/>
          <w:smallCaps w:val="false"/>
        </w:rPr>
      </w:pPr>
      <w:r>
        <w:rPr>
          <w:caps w:val="false"/>
          <w:smallCaps w:val="false"/>
        </w:rPr>
        <w:t> </w:t>
      </w:r>
    </w:p>
    <w:tbl>
      <w:tblPr>
        <w:tblW w:w="8960" w:type="dxa"/>
        <w:jc w:val="left"/>
        <w:tblInd w:w="0" w:type="dxa"/>
        <w:tblLayout w:type="fixed"/>
        <w:tblCellMar>
          <w:top w:w="0" w:type="dxa"/>
          <w:left w:w="0" w:type="dxa"/>
          <w:bottom w:w="0" w:type="dxa"/>
          <w:right w:w="0" w:type="dxa"/>
        </w:tblCellMar>
      </w:tblPr>
      <w:tblGrid>
        <w:gridCol w:w="8960"/>
      </w:tblGrid>
      <w:tr>
        <w:trPr/>
        <w:tc>
          <w:tcPr>
            <w:tcW w:w="8960" w:type="dxa"/>
            <w:tcBorders/>
            <w:vAlign w:val="center"/>
          </w:tcPr>
          <w:p>
            <w:pPr>
              <w:pStyle w:val="TableContents"/>
              <w:bidi w:val="0"/>
              <w:spacing w:before="0" w:after="283"/>
              <w:jc w:val="center"/>
              <w:rPr>
                <w:b/>
                <w:sz w:val="20"/>
              </w:rPr>
            </w:pPr>
            <w:r>
              <w:rPr>
                <w:b/>
                <w:sz w:val="20"/>
              </w:rPr>
              <w:t>ATTENTION</w:t>
            </w:r>
          </w:p>
        </w:tc>
      </w:tr>
      <w:tr>
        <w:trPr/>
        <w:tc>
          <w:tcPr>
            <w:tcW w:w="8960" w:type="dxa"/>
            <w:tcBorders/>
            <w:vAlign w:val="center"/>
          </w:tcPr>
          <w:p>
            <w:pPr>
              <w:pStyle w:val="TableContents"/>
              <w:bidi w:val="0"/>
              <w:spacing w:before="0" w:after="283"/>
              <w:jc w:val="center"/>
              <w:rPr>
                <w:b/>
                <w:sz w:val="20"/>
              </w:rPr>
            </w:pPr>
            <w:r>
              <w:rPr>
                <w:b/>
                <w:sz w:val="20"/>
              </w:rPr>
              <w:t>Intentional misstatements or omissions of fact constitute Federal Criminal Violations (See 18 U.S.C. 1001).</w:t>
            </w:r>
          </w:p>
        </w:tc>
      </w:tr>
    </w:tbl>
    <w:p>
      <w:pPr>
        <w:pStyle w:val="TextBody"/>
        <w:bidi w:val="0"/>
        <w:spacing w:before="10" w:after="10"/>
        <w:ind w:left="10" w:right="10" w:hanging="0"/>
        <w:jc w:val="left"/>
        <w:rPr>
          <w:caps w:val="false"/>
          <w:smallCaps w:val="false"/>
        </w:rPr>
      </w:pPr>
      <w:r>
        <w:rPr>
          <w:caps w:val="false"/>
          <w:smallCaps w:val="false"/>
        </w:rPr>
        <w:t> </w:t>
      </w:r>
    </w:p>
    <w:p>
      <w:pPr>
        <w:pStyle w:val="TextBody"/>
        <w:bidi w:val="0"/>
        <w:ind w:left="2961" w:right="3018" w:hanging="0"/>
        <w:jc w:val="center"/>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1181</Words>
  <Characters>6406</Characters>
  <CharactersWithSpaces>7574</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