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80"/>
        <w:spacing w:after="0"/>
        <w:rPr>
          <w:sz w:val="20"/>
          <w:szCs w:val="20"/>
          <w:color w:val="auto"/>
        </w:rPr>
      </w:pPr>
      <w:r>
        <w:rPr>
          <w:rFonts w:ascii="Courier New" w:cs="Courier New" w:eastAsia="Courier New" w:hAnsi="Courier New"/>
          <w:sz w:val="18"/>
          <w:szCs w:val="18"/>
          <w:color w:val="auto"/>
        </w:rPr>
        <w:t>Page 1 of 14 Pages</w:t>
      </w:r>
    </w:p>
    <w:p>
      <w:pPr>
        <w:spacing w:after="0" w:line="200" w:lineRule="exact"/>
        <w:rPr>
          <w:sz w:val="24"/>
          <w:szCs w:val="24"/>
          <w:color w:val="auto"/>
        </w:rPr>
      </w:pPr>
    </w:p>
    <w:p>
      <w:pPr>
        <w:spacing w:after="0" w:line="204" w:lineRule="exact"/>
        <w:rPr>
          <w:sz w:val="24"/>
          <w:szCs w:val="24"/>
          <w:color w:val="auto"/>
        </w:rPr>
      </w:pPr>
    </w:p>
    <w:p>
      <w:pPr>
        <w:ind w:left="2020"/>
        <w:spacing w:after="0"/>
        <w:rPr>
          <w:sz w:val="20"/>
          <w:szCs w:val="20"/>
          <w:color w:val="auto"/>
        </w:rPr>
      </w:pPr>
      <w:r>
        <w:rPr>
          <w:rFonts w:ascii="Courier New" w:cs="Courier New" w:eastAsia="Courier New" w:hAnsi="Courier New"/>
          <w:sz w:val="18"/>
          <w:szCs w:val="18"/>
          <w:color w:val="auto"/>
        </w:rPr>
        <w:t>SECURITIES AND EXCHANGE COMMISSION</w:t>
      </w:r>
    </w:p>
    <w:p>
      <w:pPr>
        <w:ind w:left="2540"/>
        <w:spacing w:after="0"/>
        <w:tabs>
          <w:tab w:leader="none" w:pos="44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2640" w:right="3359" w:hanging="1895"/>
        <w:spacing w:after="0" w:line="470" w:lineRule="auto"/>
        <w:rPr>
          <w:sz w:val="20"/>
          <w:szCs w:val="20"/>
          <w:color w:val="auto"/>
        </w:rPr>
      </w:pPr>
      <w:r>
        <w:rPr>
          <w:rFonts w:ascii="Courier New" w:cs="Courier New" w:eastAsia="Courier New" w:hAnsi="Courier New"/>
          <w:sz w:val="18"/>
          <w:szCs w:val="18"/>
          <w:color w:val="auto"/>
        </w:rPr>
        <w:t>Information Statement pursuant to Rule 13d-1 and 13d-2 (AMENDMENT NO. 1 )*</w:t>
      </w:r>
    </w:p>
    <w:p>
      <w:pPr>
        <w:spacing w:after="0" w:line="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AUTODESK INC</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052769106</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Check the following box if a fee is being paid with this statement :_: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6" w:lineRule="exact"/>
        <w:rPr>
          <w:sz w:val="24"/>
          <w:szCs w:val="24"/>
          <w:color w:val="auto"/>
        </w:rPr>
      </w:pPr>
    </w:p>
    <w:p>
      <w:pPr>
        <w:jc w:val="both"/>
        <w:ind w:right="2419" w:firstLine="9"/>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required in the remainder of this cover page shall not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 deemed to be 'filed' for the purpose of Section 18 of the Securities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that section of the Act but shall be subject to all other provisions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the Act (however, see the Notes).</w:t>
      </w:r>
    </w:p>
    <w:p>
      <w:pPr>
        <w:spacing w:after="0" w:line="201" w:lineRule="exact"/>
        <w:rPr>
          <w:sz w:val="24"/>
          <w:szCs w:val="24"/>
          <w:color w:val="auto"/>
        </w:rPr>
      </w:pPr>
    </w:p>
    <w:p>
      <w:pPr>
        <w:ind w:left="202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9799"/>
          </w:cols>
          <w:pgMar w:left="66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052769106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2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|AXA Assurances I.A.R.D.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116,388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1994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052769106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3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|AXA Assurances Vie Mutuelle</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116,388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1994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052769106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4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|Alpha Assurances I.A.R.D.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116,388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1994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052769106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5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|Alpha Assurances Vie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116,388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1994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052769106 |</w:t>
            </w:r>
          </w:p>
        </w:tc>
        <w:tc>
          <w:tcPr>
            <w:tcW w:w="186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6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|Uni Europe Assurance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116,388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1994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052769106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7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|AXA</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116,388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1994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HC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052769106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8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|THE EQUITABLE COMPANIES INCORPORATED</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|13-3623351</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|State of Delaware</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116,388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1994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159,588</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HC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Item 1(a) Name of Issuer:</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AUTODESK INC</w:t>
      </w:r>
    </w:p>
    <w:p>
      <w:pPr>
        <w:spacing w:after="0" w:line="20" w:lineRule="exact"/>
        <w:rPr>
          <w:sz w:val="20"/>
          <w:szCs w:val="20"/>
          <w:color w:val="auto"/>
        </w:rPr>
      </w:pPr>
      <w:r>
        <w:rPr>
          <w:sz w:val="20"/>
          <w:szCs w:val="20"/>
          <w:color w:val="auto"/>
        </w:rPr>
        <w:br w:type="column"/>
      </w:r>
    </w:p>
    <w:p>
      <w:pPr>
        <w:jc w:val="center"/>
        <w:ind w:right="2619"/>
        <w:spacing w:after="0"/>
        <w:rPr>
          <w:sz w:val="20"/>
          <w:szCs w:val="20"/>
          <w:color w:val="auto"/>
        </w:rPr>
      </w:pPr>
      <w:r>
        <w:rPr>
          <w:rFonts w:ascii="Courier New" w:cs="Courier New" w:eastAsia="Courier New" w:hAnsi="Courier New"/>
          <w:sz w:val="16"/>
          <w:szCs w:val="16"/>
          <w:color w:val="auto"/>
        </w:rPr>
        <w:t>Page 9 of 14 Pages</w:t>
      </w:r>
    </w:p>
    <w:p>
      <w:pPr>
        <w:spacing w:after="0" w:line="621" w:lineRule="exact"/>
        <w:rPr>
          <w:sz w:val="20"/>
          <w:szCs w:val="20"/>
          <w:color w:val="auto"/>
        </w:rPr>
      </w:pPr>
    </w:p>
    <w:p>
      <w:pPr>
        <w:sectPr>
          <w:pgSz w:w="11900" w:h="16838" w:orient="portrait"/>
          <w:cols w:equalWidth="0" w:num="2">
            <w:col w:w="4560" w:space="720"/>
            <w:col w:w="4519"/>
          </w:cols>
          <w:pgMar w:left="660" w:top="723" w:right="1440"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2320 Marinship Way</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Sausalito, CA</w:t>
      </w:r>
      <w:r>
        <w:rPr>
          <w:sz w:val="20"/>
          <w:szCs w:val="20"/>
          <w:color w:val="auto"/>
        </w:rPr>
        <w:tab/>
      </w:r>
      <w:r>
        <w:rPr>
          <w:rFonts w:ascii="Courier New" w:cs="Courier New" w:eastAsia="Courier New" w:hAnsi="Courier New"/>
          <w:sz w:val="16"/>
          <w:szCs w:val="16"/>
          <w:color w:val="auto"/>
        </w:rPr>
        <w:t>94965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Alpha Assurances I.A.R.D. Mutuelle, Alpha Assurances</w:t>
      </w:r>
    </w:p>
    <w:p>
      <w:pPr>
        <w:spacing w:after="0" w:line="3" w:lineRule="exact"/>
        <w:rPr>
          <w:sz w:val="20"/>
          <w:szCs w:val="20"/>
          <w:color w:val="auto"/>
        </w:rPr>
      </w:pPr>
    </w:p>
    <w:p>
      <w:pPr>
        <w:ind w:left="1060" w:right="2319"/>
        <w:spacing w:after="0" w:line="236" w:lineRule="auto"/>
        <w:rPr>
          <w:sz w:val="20"/>
          <w:szCs w:val="20"/>
          <w:color w:val="auto"/>
        </w:rPr>
      </w:pPr>
      <w:r>
        <w:rPr>
          <w:rFonts w:ascii="Courier New" w:cs="Courier New" w:eastAsia="Courier New" w:hAnsi="Courier New"/>
          <w:sz w:val="18"/>
          <w:szCs w:val="18"/>
          <w:color w:val="auto"/>
        </w:rPr>
        <w:t>Vie Mutuelle, AXA Assurances I.A.R.D Mutuelle, AXA Assurances Vie Mutuelle, and Uni Europe Assurance Mutuelle, as a group (collectively, the 'Mutuelles AXA')</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Equitable Companies Incorporated</w:t>
      </w:r>
    </w:p>
    <w:p>
      <w:pPr>
        <w:ind w:left="1280"/>
        <w:spacing w:after="0" w:line="238" w:lineRule="auto"/>
        <w:rPr>
          <w:sz w:val="20"/>
          <w:szCs w:val="20"/>
          <w:color w:val="auto"/>
        </w:rPr>
      </w:pPr>
      <w:r>
        <w:rPr>
          <w:rFonts w:ascii="Courier New" w:cs="Courier New" w:eastAsia="Courier New" w:hAnsi="Courier New"/>
          <w:sz w:val="18"/>
          <w:szCs w:val="18"/>
          <w:color w:val="auto"/>
        </w:rPr>
        <w:t>(the 'Equitable Companies')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Alpha Assurances I.A.R.D. Mutuelle and</w:t>
      </w:r>
    </w:p>
    <w:p>
      <w:pPr>
        <w:ind w:left="1060"/>
        <w:spacing w:after="0" w:line="237" w:lineRule="auto"/>
        <w:rPr>
          <w:sz w:val="20"/>
          <w:szCs w:val="20"/>
          <w:color w:val="auto"/>
        </w:rPr>
      </w:pPr>
      <w:r>
        <w:rPr>
          <w:rFonts w:ascii="Courier New" w:cs="Courier New" w:eastAsia="Courier New" w:hAnsi="Courier New"/>
          <w:sz w:val="18"/>
          <w:szCs w:val="18"/>
          <w:color w:val="auto"/>
        </w:rPr>
        <w:t>Alpha Assurances Vie Mutuelle</w:t>
      </w:r>
    </w:p>
    <w:p>
      <w:pPr>
        <w:ind w:left="1060"/>
        <w:spacing w:after="0" w:line="238" w:lineRule="auto"/>
        <w:rPr>
          <w:sz w:val="20"/>
          <w:szCs w:val="20"/>
          <w:color w:val="auto"/>
        </w:rPr>
      </w:pPr>
      <w:r>
        <w:rPr>
          <w:rFonts w:ascii="Courier New" w:cs="Courier New" w:eastAsia="Courier New" w:hAnsi="Courier New"/>
          <w:sz w:val="18"/>
          <w:szCs w:val="18"/>
          <w:color w:val="auto"/>
        </w:rPr>
        <w:t>101-100 Terrasse Boieldieu</w:t>
      </w:r>
    </w:p>
    <w:p>
      <w:pPr>
        <w:ind w:left="1060"/>
        <w:spacing w:after="0"/>
        <w:rPr>
          <w:sz w:val="20"/>
          <w:szCs w:val="20"/>
          <w:color w:val="auto"/>
        </w:rPr>
      </w:pPr>
      <w:r>
        <w:rPr>
          <w:rFonts w:ascii="Courier New" w:cs="Courier New" w:eastAsia="Courier New" w:hAnsi="Courier New"/>
          <w:sz w:val="18"/>
          <w:szCs w:val="18"/>
          <w:color w:val="auto"/>
        </w:rPr>
        <w:t>92042 Paris La Defense France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I.A.R.D Mutuelle and</w:t>
      </w:r>
    </w:p>
    <w:p>
      <w:pPr>
        <w:ind w:left="1060"/>
        <w:spacing w:after="0" w:line="238" w:lineRule="auto"/>
        <w:rPr>
          <w:sz w:val="20"/>
          <w:szCs w:val="20"/>
          <w:color w:val="auto"/>
        </w:rPr>
      </w:pPr>
      <w:r>
        <w:rPr>
          <w:rFonts w:ascii="Courier New" w:cs="Courier New" w:eastAsia="Courier New" w:hAnsi="Courier New"/>
          <w:sz w:val="18"/>
          <w:szCs w:val="18"/>
          <w:color w:val="auto"/>
        </w:rPr>
        <w:t>AXA Assurances Vie Mutuelle</w:t>
      </w:r>
    </w:p>
    <w:p>
      <w:pPr>
        <w:ind w:left="1060"/>
        <w:spacing w:after="0"/>
        <w:rPr>
          <w:sz w:val="20"/>
          <w:szCs w:val="20"/>
          <w:color w:val="auto"/>
        </w:rPr>
      </w:pPr>
      <w:r>
        <w:rPr>
          <w:rFonts w:ascii="Courier New" w:cs="Courier New" w:eastAsia="Courier New" w:hAnsi="Courier New"/>
          <w:sz w:val="18"/>
          <w:szCs w:val="18"/>
          <w:color w:val="auto"/>
        </w:rPr>
        <w:t>La Grande Arche</w:t>
      </w:r>
    </w:p>
    <w:p>
      <w:pPr>
        <w:ind w:left="1060"/>
        <w:spacing w:after="0" w:line="237" w:lineRule="auto"/>
        <w:rPr>
          <w:sz w:val="20"/>
          <w:szCs w:val="20"/>
          <w:color w:val="auto"/>
        </w:rPr>
      </w:pPr>
      <w:r>
        <w:rPr>
          <w:rFonts w:ascii="Courier New" w:cs="Courier New" w:eastAsia="Courier New" w:hAnsi="Courier New"/>
          <w:sz w:val="18"/>
          <w:szCs w:val="18"/>
          <w:color w:val="auto"/>
        </w:rPr>
        <w:t>Pardi Nord</w:t>
      </w:r>
    </w:p>
    <w:p>
      <w:pPr>
        <w:ind w:left="1060"/>
        <w:spacing w:after="0" w:line="238" w:lineRule="auto"/>
        <w:rPr>
          <w:sz w:val="20"/>
          <w:szCs w:val="20"/>
          <w:color w:val="auto"/>
        </w:rPr>
      </w:pPr>
      <w:r>
        <w:rPr>
          <w:rFonts w:ascii="Courier New" w:cs="Courier New" w:eastAsia="Courier New" w:hAnsi="Courier New"/>
          <w:sz w:val="18"/>
          <w:szCs w:val="18"/>
          <w:color w:val="auto"/>
        </w:rPr>
        <w:t>92044 Paris La Defense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Uni Europe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24 Rue Drouot</w:t>
      </w:r>
    </w:p>
    <w:p>
      <w:pPr>
        <w:ind w:left="1060"/>
        <w:spacing w:after="0"/>
        <w:rPr>
          <w:sz w:val="20"/>
          <w:szCs w:val="20"/>
          <w:color w:val="auto"/>
        </w:rPr>
      </w:pPr>
      <w:r>
        <w:rPr>
          <w:rFonts w:ascii="Courier New" w:cs="Courier New" w:eastAsia="Courier New" w:hAnsi="Courier New"/>
          <w:sz w:val="18"/>
          <w:szCs w:val="18"/>
          <w:color w:val="auto"/>
        </w:rPr>
        <w:t>75009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23,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Equitable Companies Incorporated</w:t>
      </w:r>
    </w:p>
    <w:p>
      <w:pPr>
        <w:ind w:left="1060"/>
        <w:spacing w:after="0" w:line="238" w:lineRule="auto"/>
        <w:rPr>
          <w:sz w:val="20"/>
          <w:szCs w:val="20"/>
          <w:color w:val="auto"/>
        </w:rPr>
      </w:pPr>
      <w:r>
        <w:rPr>
          <w:rFonts w:ascii="Courier New" w:cs="Courier New" w:eastAsia="Courier New" w:hAnsi="Courier New"/>
          <w:sz w:val="18"/>
          <w:szCs w:val="18"/>
          <w:color w:val="auto"/>
        </w:rPr>
        <w:t>787 Seventh Avenue</w:t>
      </w:r>
    </w:p>
    <w:p>
      <w:pPr>
        <w:ind w:left="1060"/>
        <w:spacing w:after="0"/>
        <w:rPr>
          <w:sz w:val="20"/>
          <w:szCs w:val="20"/>
          <w:color w:val="auto"/>
        </w:rPr>
      </w:pPr>
      <w:r>
        <w:rPr>
          <w:rFonts w:ascii="Courier New" w:cs="Courier New" w:eastAsia="Courier New" w:hAnsi="Courier New"/>
          <w:sz w:val="18"/>
          <w:szCs w:val="18"/>
          <w:color w:val="auto"/>
        </w:rPr>
        <w:t>New York, New York 10019</w:t>
      </w:r>
    </w:p>
    <w:p>
      <w:pPr>
        <w:sectPr>
          <w:pgSz w:w="11900" w:h="16838" w:orient="portrait"/>
          <w:cols w:equalWidth="0" w:num="1">
            <w:col w:w="9799"/>
          </w:cols>
          <w:pgMar w:left="660" w:top="723" w:right="1440" w:bottom="1440" w:gutter="0" w:footer="0" w:header="0"/>
          <w:type w:val="continuous"/>
        </w:sectPr>
      </w:pPr>
    </w:p>
    <w:bookmarkStart w:id="9" w:name="page10"/>
    <w:bookmarkEnd w:id="9"/>
    <w:p>
      <w:pPr>
        <w:ind w:left="5280"/>
        <w:spacing w:after="0"/>
        <w:rPr>
          <w:sz w:val="20"/>
          <w:szCs w:val="20"/>
          <w:color w:val="auto"/>
        </w:rPr>
      </w:pPr>
      <w:r>
        <w:rPr>
          <w:rFonts w:ascii="Courier New" w:cs="Courier New" w:eastAsia="Courier New" w:hAnsi="Courier New"/>
          <w:sz w:val="16"/>
          <w:szCs w:val="16"/>
          <w:color w:val="auto"/>
        </w:rPr>
        <w:t>Page 10 of 14 Pages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Mutuelles AXA and AXA - France</w:t>
      </w:r>
    </w:p>
    <w:p>
      <w:pPr>
        <w:ind w:left="1060"/>
        <w:spacing w:after="0" w:line="237" w:lineRule="auto"/>
        <w:rPr>
          <w:sz w:val="20"/>
          <w:szCs w:val="20"/>
          <w:color w:val="auto"/>
        </w:rPr>
      </w:pPr>
      <w:r>
        <w:rPr>
          <w:rFonts w:ascii="Courier New" w:cs="Courier New" w:eastAsia="Courier New" w:hAnsi="Courier New"/>
          <w:sz w:val="18"/>
          <w:szCs w:val="18"/>
          <w:color w:val="auto"/>
        </w:rPr>
        <w:t>Equitable Companies - Delaware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052769106</w:t>
      </w:r>
    </w:p>
    <w:p>
      <w:pPr>
        <w:sectPr>
          <w:pgSz w:w="11900" w:h="16838" w:orient="portrait"/>
          <w:cols w:equalWidth="0" w:num="1">
            <w:col w:w="9799"/>
          </w:cols>
          <w:pgMar w:left="660" w:top="520"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Equitable Companies as a parent holding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240.13d-1 (b)(ii)(G).</w:t>
      </w:r>
    </w:p>
    <w:p>
      <w:pPr>
        <w:spacing w:after="0" w:line="200" w:lineRule="exact"/>
        <w:rPr>
          <w:sz w:val="20"/>
          <w:szCs w:val="20"/>
          <w:color w:val="auto"/>
        </w:rPr>
      </w:pPr>
    </w:p>
    <w:p>
      <w:pPr>
        <w:sectPr>
          <w:pgSz w:w="11900" w:h="16838" w:orient="portrait"/>
          <w:cols w:equalWidth="0" w:num="2">
            <w:col w:w="740" w:space="320"/>
            <w:col w:w="8739"/>
          </w:cols>
          <w:pgMar w:left="660" w:top="520" w:right="1440" w:bottom="1440" w:gutter="0" w:footer="0" w:header="0"/>
          <w:type w:val="continuous"/>
        </w:sectPr>
      </w:pPr>
    </w:p>
    <w:p>
      <w:pPr>
        <w:spacing w:after="0" w:line="7" w:lineRule="exact"/>
        <w:rPr>
          <w:sz w:val="20"/>
          <w:szCs w:val="20"/>
          <w:color w:val="auto"/>
        </w:rPr>
      </w:pPr>
    </w:p>
    <w:p>
      <w:pPr>
        <w:ind w:left="1060" w:right="3579"/>
        <w:spacing w:after="0" w:line="235" w:lineRule="auto"/>
        <w:rPr>
          <w:sz w:val="20"/>
          <w:szCs w:val="20"/>
          <w:color w:val="auto"/>
        </w:rPr>
      </w:pPr>
      <w:r>
        <w:rPr>
          <w:rFonts w:ascii="Courier New" w:cs="Courier New" w:eastAsia="Courier New" w:hAnsi="Courier New"/>
          <w:sz w:val="18"/>
          <w:szCs w:val="18"/>
          <w:color w:val="auto"/>
        </w:rPr>
        <w:t>The Mutuelles AXA, as a group, acting as a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9799"/>
          </w:cols>
          <w:pgMar w:left="660" w:top="520" w:right="1440" w:bottom="1440" w:gutter="0" w:footer="0" w:header="0"/>
          <w:type w:val="continuous"/>
        </w:sectPr>
      </w:pPr>
    </w:p>
    <w:bookmarkStart w:id="10" w:name="page11"/>
    <w:bookmarkEnd w:id="10"/>
    <w:p>
      <w:pPr>
        <w:ind w:left="5060"/>
        <w:spacing w:after="0"/>
        <w:rPr>
          <w:sz w:val="20"/>
          <w:szCs w:val="20"/>
          <w:color w:val="auto"/>
        </w:rPr>
      </w:pPr>
      <w:r>
        <w:rPr>
          <w:rFonts w:ascii="Courier New" w:cs="Courier New" w:eastAsia="Courier New" w:hAnsi="Courier New"/>
          <w:sz w:val="18"/>
          <w:szCs w:val="18"/>
          <w:color w:val="auto"/>
        </w:rPr>
        <w:t>Page 11 of 14 Pages</w:t>
      </w:r>
    </w:p>
    <w:p>
      <w:pPr>
        <w:spacing w:after="0" w:line="238" w:lineRule="auto"/>
        <w:rPr>
          <w:sz w:val="20"/>
          <w:szCs w:val="20"/>
          <w:color w:val="auto"/>
        </w:rPr>
      </w:pPr>
      <w:r>
        <w:rPr>
          <w:rFonts w:ascii="Courier New" w:cs="Courier New" w:eastAsia="Courier New" w:hAnsi="Courier New"/>
          <w:sz w:val="18"/>
          <w:szCs w:val="18"/>
          <w:color w:val="auto"/>
        </w:rPr>
        <w:t>Item 4. Ownership as of December 31, 1994:</w:t>
      </w:r>
    </w:p>
    <w:p>
      <w:pPr>
        <w:ind w:left="860"/>
        <w:spacing w:after="0"/>
        <w:rPr>
          <w:sz w:val="20"/>
          <w:szCs w:val="20"/>
          <w:color w:val="auto"/>
        </w:rPr>
      </w:pPr>
      <w:r>
        <w:rPr>
          <w:rFonts w:ascii="Courier New" w:cs="Courier New" w:eastAsia="Courier New" w:hAnsi="Courier New"/>
          <w:sz w:val="18"/>
          <w:szCs w:val="18"/>
          <w:color w:val="auto"/>
        </w:rPr>
        <w:t>---------------------------------</w:t>
      </w:r>
    </w:p>
    <w:p>
      <w:pPr>
        <w:ind w:left="440" w:hanging="431"/>
        <w:spacing w:after="0" w:line="237" w:lineRule="auto"/>
        <w:tabs>
          <w:tab w:leader="none" w:pos="4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159,588 shares of common stock beneficially owned including: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 of Shares</w:t>
            </w:r>
          </w:p>
        </w:tc>
      </w:tr>
      <w:tr>
        <w:trPr>
          <w:trHeight w:val="203"/>
        </w:trPr>
        <w:tc>
          <w:tcPr>
            <w:tcW w:w="4640" w:type="dxa"/>
            <w:vAlign w:val="bottom"/>
          </w:tcPr>
          <w:p>
            <w:pPr>
              <w:spacing w:after="0"/>
              <w:rPr>
                <w:sz w:val="17"/>
                <w:szCs w:val="17"/>
                <w:color w:val="auto"/>
              </w:rPr>
            </w:pP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AXA Entity or Entities: NONE</w:t>
            </w:r>
          </w:p>
        </w:tc>
        <w:tc>
          <w:tcPr>
            <w:tcW w:w="26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The Equitable Companies Incorporated</w:t>
            </w:r>
          </w:p>
        </w:tc>
        <w:tc>
          <w:tcPr>
            <w:tcW w:w="1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Subsidiaries: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Equitable Life Assurance Society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United States acquired solely for</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4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Alliance Capital Management L. P.,</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on behalf of client discretionary investment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159,000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159,000</w:t>
            </w:r>
          </w:p>
        </w:tc>
      </w:tr>
      <w:tr>
        <w:trPr>
          <w:trHeight w:val="203"/>
        </w:trPr>
        <w:tc>
          <w:tcPr>
            <w:tcW w:w="4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Donaldson, Lufkin &amp; Jenrette Securities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held for 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4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Wood, Struthers &amp; Winthrop Management Corp.</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on behalf of client discretionary investment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159,588</w:t>
            </w:r>
          </w:p>
        </w:tc>
      </w:tr>
      <w:tr>
        <w:trPr>
          <w:trHeight w:val="203"/>
        </w:trPr>
        <w:tc>
          <w:tcPr>
            <w:tcW w:w="4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(Each of the above subsidiaries of The Equitable operates under</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independent management and makes independent decisions).</w:t>
            </w:r>
          </w:p>
        </w:tc>
        <w:tc>
          <w:tcPr>
            <w:tcW w:w="1260" w:type="dxa"/>
            <w:vAlign w:val="bottom"/>
          </w:tcPr>
          <w:p>
            <w:pPr>
              <w:spacing w:after="0"/>
              <w:rPr>
                <w:sz w:val="17"/>
                <w:szCs w:val="17"/>
                <w:color w:val="auto"/>
              </w:rPr>
            </w:pPr>
          </w:p>
        </w:tc>
      </w:tr>
      <w:tr>
        <w:trPr>
          <w:trHeight w:val="608"/>
        </w:trPr>
        <w:tc>
          <w:tcPr>
            <w:tcW w:w="47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4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799"/>
          </w:cols>
          <w:pgMar w:left="660" w:top="717" w:right="1440" w:bottom="1440" w:gutter="0" w:footer="0" w:header="0"/>
        </w:sectPr>
      </w:pPr>
    </w:p>
    <w:bookmarkStart w:id="11" w:name="page12"/>
    <w:bookmarkEnd w:id="11"/>
    <w:p>
      <w:pPr>
        <w:ind w:left="200"/>
        <w:spacing w:after="0"/>
        <w:tabs>
          <w:tab w:leader="none" w:pos="5660" w:val="left"/>
        </w:tabs>
        <w:rPr>
          <w:sz w:val="20"/>
          <w:szCs w:val="20"/>
          <w:color w:val="auto"/>
        </w:rPr>
      </w:pPr>
      <w:r>
        <w:rPr>
          <w:rFonts w:ascii="Courier New" w:cs="Courier New" w:eastAsia="Courier New" w:hAnsi="Courier New"/>
          <w:sz w:val="18"/>
          <w:szCs w:val="18"/>
          <w:color w:val="auto"/>
        </w:rPr>
        <w:t>ITEM 4. Ownership as of December 31, 1994 (CONT.)</w:t>
      </w:r>
      <w:r>
        <w:rPr>
          <w:sz w:val="20"/>
          <w:szCs w:val="20"/>
          <w:color w:val="auto"/>
        </w:rPr>
        <w:tab/>
      </w:r>
      <w:r>
        <w:rPr>
          <w:rFonts w:ascii="Courier New" w:cs="Courier New" w:eastAsia="Courier New" w:hAnsi="Courier New"/>
          <w:sz w:val="16"/>
          <w:szCs w:val="16"/>
          <w:color w:val="auto"/>
        </w:rPr>
        <w:t>Page 12 of 14 Pages</w:t>
      </w:r>
    </w:p>
    <w:p>
      <w:pPr>
        <w:spacing w:after="0" w:line="201" w:lineRule="exact"/>
        <w:rPr>
          <w:sz w:val="20"/>
          <w:szCs w:val="20"/>
          <w:color w:val="auto"/>
        </w:rPr>
      </w:pPr>
    </w:p>
    <w:p>
      <w:pPr>
        <w:ind w:left="940" w:hanging="415"/>
        <w:spacing w:after="0"/>
        <w:tabs>
          <w:tab w:leader="none" w:pos="9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Voting Power and Disposition Power:</w:t>
      </w:r>
    </w:p>
    <w:p>
      <w:pPr>
        <w:ind w:left="9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20" w:type="dxa"/>
            <w:vAlign w:val="bottom"/>
          </w:tcPr>
          <w:p>
            <w:pPr>
              <w:spacing w:after="0"/>
              <w:rPr>
                <w:sz w:val="17"/>
                <w:szCs w:val="17"/>
                <w:color w:val="auto"/>
              </w:rPr>
            </w:pP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(i)</w:t>
            </w:r>
          </w:p>
        </w:tc>
        <w:tc>
          <w:tcPr>
            <w:tcW w:w="14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(ii)</w:t>
            </w: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(iii)</w:t>
            </w:r>
          </w:p>
        </w:tc>
        <w:tc>
          <w:tcPr>
            <w:tcW w:w="136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Power</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Power</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Dispose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 the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02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2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as a group</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The Equitable</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Companies</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Incorporated</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Equitable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Life Assurance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Society of the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Alliance Capital</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L. P.</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115,800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Donaldson, Lufkin</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Jenrette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Wood, Struthers</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Winthrop</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2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116,388</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159,588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2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(Each of the above subsidiaries of the Equitable Companies operates under independent management and makes independent voting and investment decisions).</w:t>
      </w:r>
    </w:p>
    <w:p>
      <w:pPr>
        <w:sectPr>
          <w:pgSz w:w="11900" w:h="16838" w:orient="portrait"/>
          <w:cols w:equalWidth="0" w:num="1">
            <w:col w:w="9999"/>
          </w:cols>
          <w:pgMar w:left="460" w:top="717" w:right="1440" w:bottom="1440" w:gutter="0" w:footer="0" w:header="0"/>
        </w:sectPr>
      </w:pPr>
    </w:p>
    <w:bookmarkStart w:id="12" w:name="page13"/>
    <w:bookmarkEnd w:id="12"/>
    <w:p>
      <w:pPr>
        <w:ind w:left="5280"/>
        <w:spacing w:after="0"/>
        <w:rPr>
          <w:sz w:val="20"/>
          <w:szCs w:val="20"/>
          <w:color w:val="auto"/>
        </w:rPr>
      </w:pPr>
      <w:r>
        <w:rPr>
          <w:rFonts w:ascii="Courier New" w:cs="Courier New" w:eastAsia="Courier New" w:hAnsi="Courier New"/>
          <w:sz w:val="18"/>
          <w:szCs w:val="18"/>
          <w:color w:val="auto"/>
        </w:rPr>
        <w:t>Page 13 of 14 Pages</w:t>
      </w:r>
    </w:p>
    <w:p>
      <w:pPr>
        <w:spacing w:after="0" w:line="238" w:lineRule="auto"/>
        <w:rPr>
          <w:sz w:val="20"/>
          <w:szCs w:val="20"/>
          <w:color w:val="auto"/>
        </w:rPr>
      </w:pPr>
      <w:r>
        <w:rPr>
          <w:rFonts w:ascii="Courier New" w:cs="Courier New" w:eastAsia="Courier New" w:hAnsi="Courier New"/>
          <w:sz w:val="18"/>
          <w:szCs w:val="18"/>
          <w:color w:val="auto"/>
        </w:rPr>
        <w:t>Item 5.</w:t>
      </w:r>
    </w:p>
    <w:p>
      <w:pPr>
        <w:ind w:left="120"/>
        <w:spacing w:after="0"/>
        <w:rPr>
          <w:sz w:val="20"/>
          <w:szCs w:val="20"/>
          <w:color w:val="auto"/>
        </w:rPr>
      </w:pPr>
      <w:r>
        <w:rPr>
          <w:rFonts w:ascii="Courier New" w:cs="Courier New" w:eastAsia="Courier New" w:hAnsi="Courier New"/>
          <w:sz w:val="18"/>
          <w:szCs w:val="18"/>
          <w:color w:val="auto"/>
        </w:rPr>
        <w:t>Ownership of Five Percent or Less of a Class:</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right="219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5900"/>
        <w:spacing w:after="0" w:line="233" w:lineRule="auto"/>
        <w:rPr>
          <w:sz w:val="20"/>
          <w:szCs w:val="20"/>
          <w:color w:val="auto"/>
        </w:rPr>
      </w:pPr>
      <w:r>
        <w:rPr>
          <w:rFonts w:ascii="Courier New" w:cs="Courier New" w:eastAsia="Courier New" w:hAnsi="Courier New"/>
          <w:sz w:val="18"/>
          <w:szCs w:val="18"/>
          <w:color w:val="auto"/>
        </w:rPr>
        <w:t>(X)</w:t>
      </w:r>
    </w:p>
    <w:p>
      <w:pPr>
        <w:spacing w:after="0"/>
        <w:rPr>
          <w:sz w:val="20"/>
          <w:szCs w:val="20"/>
          <w:color w:val="auto"/>
        </w:rPr>
      </w:pPr>
      <w:r>
        <w:rPr>
          <w:rFonts w:ascii="Courier New" w:cs="Courier New" w:eastAsia="Courier New" w:hAnsi="Courier New"/>
          <w:sz w:val="18"/>
          <w:szCs w:val="18"/>
          <w:color w:val="auto"/>
        </w:rPr>
        <w:t>Item 6.</w:t>
      </w:r>
    </w:p>
    <w:p>
      <w:pPr>
        <w:ind w:left="120"/>
        <w:spacing w:after="0"/>
        <w:tabs>
          <w:tab w:leader="none" w:pos="7040" w:val="left"/>
        </w:tabs>
        <w:rPr>
          <w:sz w:val="20"/>
          <w:szCs w:val="20"/>
          <w:color w:val="auto"/>
        </w:rPr>
      </w:pPr>
      <w:r>
        <w:rPr>
          <w:rFonts w:ascii="Courier New" w:cs="Courier New" w:eastAsia="Courier New" w:hAnsi="Courier New"/>
          <w:sz w:val="18"/>
          <w:szCs w:val="18"/>
          <w:color w:val="auto"/>
        </w:rPr>
        <w:t>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ind w:left="12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7.</w:t>
      </w:r>
    </w:p>
    <w:p>
      <w:pPr>
        <w:ind w:left="120"/>
        <w:spacing w:after="0"/>
        <w:rPr>
          <w:sz w:val="20"/>
          <w:szCs w:val="20"/>
          <w:color w:val="auto"/>
        </w:rPr>
      </w:pPr>
      <w:r>
        <w:rPr>
          <w:rFonts w:ascii="Courier New" w:cs="Courier New" w:eastAsia="Courier New" w:hAnsi="Courier New"/>
          <w:sz w:val="18"/>
          <w:szCs w:val="18"/>
          <w:color w:val="auto"/>
        </w:rPr>
        <w:t>Identification and Classification of the Subsidiary which Acquired</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the Security Being Reporting on by the Parent Holding Company:</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This Schedule 13G is being filed by the Mutuelles AXA, as a group,</w:t>
      </w:r>
    </w:p>
    <w:p>
      <w:pPr>
        <w:ind w:left="120"/>
        <w:spacing w:after="0" w:line="237" w:lineRule="auto"/>
        <w:rPr>
          <w:sz w:val="20"/>
          <w:szCs w:val="20"/>
          <w:color w:val="auto"/>
        </w:rPr>
      </w:pPr>
      <w:r>
        <w:rPr>
          <w:rFonts w:ascii="Courier New" w:cs="Courier New" w:eastAsia="Courier New" w:hAnsi="Courier New"/>
          <w:sz w:val="18"/>
          <w:szCs w:val="18"/>
          <w:color w:val="auto"/>
        </w:rPr>
        <w:t>AXA, and Equitable Companies:</w:t>
      </w:r>
    </w:p>
    <w:p>
      <w:pPr>
        <w:spacing w:after="0" w:line="207" w:lineRule="exact"/>
        <w:rPr>
          <w:sz w:val="20"/>
          <w:szCs w:val="20"/>
          <w:color w:val="auto"/>
        </w:rPr>
      </w:pPr>
    </w:p>
    <w:p>
      <w:pPr>
        <w:ind w:left="540" w:right="2619" w:hanging="531"/>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540" w:right="2839" w:hanging="531"/>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AXA's capacity as a parent holding company with respect to the holdings of the following AXA entity or entities:</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jc w:val="both"/>
        <w:ind w:left="540" w:right="3039" w:hanging="531"/>
        <w:spacing w:after="0" w:line="290"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EQUITABLE COMPANIES capacity as a parent holding company with respect to the holdings of its following subsidiaries:</w:t>
      </w:r>
    </w:p>
    <w:p>
      <w:pPr>
        <w:spacing w:after="0" w:line="164" w:lineRule="exact"/>
        <w:rPr>
          <w:sz w:val="20"/>
          <w:szCs w:val="20"/>
          <w:color w:val="auto"/>
        </w:rPr>
      </w:pPr>
    </w:p>
    <w:p>
      <w:pPr>
        <w:ind w:left="540" w:hanging="53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540" w:right="27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(13-5570651), an insurance company, a broker-dealer registered under Section 15 of the Securities and Exchange Act of 1934 and an investment adviser registered under Section 203 of the Investment Advisers Act of 1940.</w:t>
      </w:r>
    </w:p>
    <w:p>
      <w:pPr>
        <w:spacing w:after="0" w:line="202" w:lineRule="exact"/>
        <w:rPr>
          <w:sz w:val="20"/>
          <w:szCs w:val="20"/>
          <w:color w:val="auto"/>
        </w:rPr>
      </w:pPr>
    </w:p>
    <w:p>
      <w:pPr>
        <w:ind w:left="540" w:hanging="53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 P. (13-3434400),</w:t>
      </w:r>
    </w:p>
    <w:p>
      <w:pPr>
        <w:spacing w:after="0" w:line="4" w:lineRule="exact"/>
        <w:rPr>
          <w:rFonts w:ascii="Courier New" w:cs="Courier New" w:eastAsia="Courier New" w:hAnsi="Courier New"/>
          <w:sz w:val="18"/>
          <w:szCs w:val="18"/>
          <w:color w:val="auto"/>
        </w:rPr>
      </w:pPr>
    </w:p>
    <w:p>
      <w:pPr>
        <w:ind w:left="540"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registered under Section 203 of the Investment Advisers Act of 1940.</w:t>
      </w:r>
    </w:p>
    <w:p>
      <w:pPr>
        <w:spacing w:after="0" w:line="208" w:lineRule="exact"/>
        <w:rPr>
          <w:sz w:val="20"/>
          <w:szCs w:val="20"/>
          <w:color w:val="auto"/>
        </w:rPr>
      </w:pPr>
    </w:p>
    <w:p>
      <w:pPr>
        <w:ind w:left="540" w:right="2419" w:hanging="531"/>
        <w:spacing w:after="0" w:line="275"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DONALDSON, LUFKIN &amp; JENRETTE SECURITIES CORPORATION (13-2741729), a broker-dealer registered under Section 15 of the Securities Exchange Act of 1934 and an investment adviser registered under Section 203 of the Investment Advisers Act of 1940.</w:t>
      </w:r>
    </w:p>
    <w:p>
      <w:pPr>
        <w:spacing w:after="0" w:line="182" w:lineRule="exact"/>
        <w:rPr>
          <w:sz w:val="20"/>
          <w:szCs w:val="20"/>
          <w:color w:val="auto"/>
        </w:rPr>
      </w:pPr>
    </w:p>
    <w:p>
      <w:pPr>
        <w:ind w:left="540" w:right="3259" w:hanging="531"/>
        <w:spacing w:after="0" w:line="236" w:lineRule="auto"/>
        <w:tabs>
          <w:tab w:leader="none" w:pos="22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WOOD, STRUTHERS &amp; WINTHROP MANAGEMENT CORP. (13-2774791), an investment adviser registered under Section 203 of the Investment Advisers Act of 1940.</w:t>
      </w:r>
    </w:p>
    <w:p>
      <w:pPr>
        <w:sectPr>
          <w:pgSz w:w="11900" w:h="16838" w:orient="portrait"/>
          <w:cols w:equalWidth="0" w:num="1">
            <w:col w:w="9799"/>
          </w:cols>
          <w:pgMar w:left="660" w:top="919" w:right="1440" w:bottom="1440" w:gutter="0" w:footer="0" w:header="0"/>
        </w:sectPr>
      </w:pPr>
    </w:p>
    <w:bookmarkStart w:id="13" w:name="page14"/>
    <w:bookmarkEnd w:id="13"/>
    <w:p>
      <w:pPr>
        <w:ind w:left="5280"/>
        <w:spacing w:after="0"/>
        <w:rPr>
          <w:sz w:val="20"/>
          <w:szCs w:val="20"/>
          <w:color w:val="auto"/>
        </w:rPr>
      </w:pPr>
      <w:r>
        <w:rPr>
          <w:rFonts w:ascii="Courier New" w:cs="Courier New" w:eastAsia="Courier New" w:hAnsi="Courier New"/>
          <w:sz w:val="18"/>
          <w:szCs w:val="18"/>
          <w:color w:val="auto"/>
        </w:rPr>
        <w:t>Page 14 of 14 Pages</w:t>
      </w:r>
    </w:p>
    <w:p>
      <w:pPr>
        <w:spacing w:after="0" w:line="201"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Item 8. Identification and Classification of Members of the Group.</w:t>
      </w:r>
      <w:r>
        <w:rPr>
          <w:sz w:val="20"/>
          <w:szCs w:val="20"/>
          <w:color w:val="auto"/>
        </w:rPr>
        <w:tab/>
      </w:r>
      <w:r>
        <w:rPr>
          <w:rFonts w:ascii="Courier New" w:cs="Courier New" w:eastAsia="Courier New" w:hAnsi="Courier New"/>
          <w:sz w:val="16"/>
          <w:szCs w:val="16"/>
          <w:color w:val="auto"/>
        </w:rPr>
        <w:t>N/A</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 w:leader="none" w:pos="4420" w:val="left"/>
        </w:tabs>
        <w:rPr>
          <w:sz w:val="20"/>
          <w:szCs w:val="20"/>
          <w:color w:val="auto"/>
        </w:rPr>
      </w:pPr>
      <w:r>
        <w:rPr>
          <w:rFonts w:ascii="Courier New" w:cs="Courier New" w:eastAsia="Courier New" w:hAnsi="Courier New"/>
          <w:sz w:val="18"/>
          <w:szCs w:val="18"/>
          <w:color w:val="auto"/>
        </w:rPr>
        <w:t>Item 9.</w:t>
        <w:tab/>
        <w:t>Notice of Dissolution of Group:</w:t>
      </w:r>
      <w:r>
        <w:rPr>
          <w:sz w:val="20"/>
          <w:szCs w:val="20"/>
          <w:color w:val="auto"/>
        </w:rPr>
        <w:tab/>
      </w:r>
      <w:r>
        <w:rPr>
          <w:rFonts w:ascii="Courier New" w:cs="Courier New" w:eastAsia="Courier New" w:hAnsi="Courier New"/>
          <w:sz w:val="16"/>
          <w:szCs w:val="16"/>
          <w:color w:val="auto"/>
        </w:rPr>
        <w:t>N/A</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8"/>
          <w:szCs w:val="18"/>
          <w:color w:val="auto"/>
        </w:rPr>
        <w:t>Date: February 10, 1995</w:t>
      </w:r>
      <w:r>
        <w:rPr>
          <w:sz w:val="20"/>
          <w:szCs w:val="20"/>
          <w:color w:val="auto"/>
        </w:rPr>
        <w:tab/>
      </w:r>
      <w:r>
        <w:rPr>
          <w:rFonts w:ascii="Courier New" w:cs="Courier New" w:eastAsia="Courier New" w:hAnsi="Courier New"/>
          <w:sz w:val="16"/>
          <w:szCs w:val="16"/>
          <w:color w:val="auto"/>
        </w:rPr>
        <w:t>THE EQUITABLE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Joanne T. Marren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Joanne T. Marren</w:t>
      </w:r>
    </w:p>
    <w:p>
      <w:pPr>
        <w:jc w:val="center"/>
        <w:ind w:right="-12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The Equitable Companies Incorporated, Alpha Assurances I.A.R.D. Mutuelle, Alpha Assurances Vie Mutuelle, AXA Assurances I.A.R.D Mutuelle, AXA Assurances Vie Mutuelle, and Uni Europe Assurance Mutuelle, and AXA, this statement Schedule 13G is filed on behalf of each of them.</w:t>
      </w:r>
    </w:p>
    <w:p>
      <w:pPr>
        <w:sectPr>
          <w:pgSz w:w="11900" w:h="16838" w:orient="portrait"/>
          <w:cols w:equalWidth="0" w:num="1">
            <w:col w:w="9799"/>
          </w:cols>
          <w:pgMar w:left="660" w:top="717" w:right="1440" w:bottom="1440" w:gutter="0" w:footer="0" w:header="0"/>
        </w:sectPr>
      </w:pPr>
    </w:p>
    <w:bookmarkStart w:id="14" w:name="page15"/>
    <w:bookmarkEnd w:id="14"/>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right"/>
        <w:ind w:right="2419"/>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JOINT FILING AGREEMENT</w:t>
      </w:r>
    </w:p>
    <w:p>
      <w:pPr>
        <w:ind w:left="25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right="2619" w:firstLine="843"/>
        <w:spacing w:after="0" w:line="237"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Dated: February 10,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The Equitable Companies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tabs>
          <w:tab w:leader="none" w:pos="9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Joanne T. Marren</w:t>
      </w:r>
    </w:p>
    <w:p>
      <w:pPr>
        <w:ind w:left="700"/>
        <w:spacing w:after="0" w:line="238" w:lineRule="auto"/>
        <w:rPr>
          <w:sz w:val="20"/>
          <w:szCs w:val="20"/>
          <w:color w:val="auto"/>
        </w:rPr>
      </w:pPr>
      <w:r>
        <w:rPr>
          <w:rFonts w:ascii="Courier New" w:cs="Courier New" w:eastAsia="Courier New" w:hAnsi="Courier New"/>
          <w:sz w:val="18"/>
          <w:szCs w:val="18"/>
          <w:color w:val="auto"/>
        </w:rPr>
        <w:t>-------------------------</w:t>
      </w:r>
    </w:p>
    <w:p>
      <w:pPr>
        <w:ind w:left="700"/>
        <w:spacing w:after="0"/>
        <w:rPr>
          <w:sz w:val="20"/>
          <w:szCs w:val="20"/>
          <w:color w:val="auto"/>
        </w:rPr>
      </w:pPr>
      <w:r>
        <w:rPr>
          <w:rFonts w:ascii="Courier New" w:cs="Courier New" w:eastAsia="Courier New" w:hAnsi="Courier New"/>
          <w:sz w:val="18"/>
          <w:szCs w:val="18"/>
          <w:color w:val="auto"/>
        </w:rPr>
        <w:t>Joanne T. Marren</w:t>
      </w:r>
    </w:p>
    <w:p>
      <w:pPr>
        <w:ind w:left="70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right="2619"/>
        <w:spacing w:after="0" w:line="237" w:lineRule="auto"/>
        <w:rPr>
          <w:sz w:val="20"/>
          <w:szCs w:val="20"/>
          <w:color w:val="auto"/>
        </w:rPr>
      </w:pPr>
      <w:r>
        <w:rPr>
          <w:rFonts w:ascii="Courier New" w:cs="Courier New" w:eastAsia="Courier New" w:hAnsi="Courier New"/>
          <w:sz w:val="18"/>
          <w:szCs w:val="18"/>
          <w:color w:val="auto"/>
        </w:rPr>
        <w:t>AXA Assurances I.A.R.D. Mutuelle; AXA Assurances Vie Mutuelle; Alpha Assurances Vie Mutuelle; Alpha Assurances I.A.R.D. Mutuelle, Uni Assurance Europe Mutuelle, as a group, and AXA</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Signed on behalf of each of the above entities</w:t>
      </w:r>
    </w:p>
    <w:p>
      <w:pPr>
        <w:sectPr>
          <w:pgSz w:w="11900" w:h="16838" w:orient="portrait"/>
          <w:cols w:equalWidth="0" w:num="1">
            <w:col w:w="9019"/>
          </w:cols>
          <w:pgMar w:left="14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Joanne T. Marren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Joanne T. Marren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pursuant to Powers of Attorney)</w:t>
      </w:r>
    </w:p>
    <w:sectPr>
      <w:pgSz w:w="11900" w:h="16838" w:orient="portrait"/>
      <w:cols w:equalWidth="0" w:num="2">
        <w:col w:w="700" w:space="0"/>
        <w:col w:w="8319"/>
      </w:cols>
      <w:pgMar w:left="14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upperLetter"/>
      <w:start w:val="24"/>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1)"/>
      <w:numFmt w:val="upperLetter"/>
      <w:start w:val="24"/>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2019-12-13T15:20:27Z</dcterms:created>
  <dcterms:modified xsi:type="dcterms:W3CDTF">2019-12-13T15:20:27Z</dcterms:modified>
</cp:coreProperties>
</file>