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107315</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02" w:lineRule="exact"/>
        <w:rPr>
          <w:sz w:val="24"/>
          <w:szCs w:val="24"/>
          <w:color w:val="auto"/>
        </w:rPr>
      </w:pPr>
    </w:p>
    <w:p>
      <w:pPr>
        <w:ind w:left="680" w:right="340" w:hanging="654"/>
        <w:spacing w:after="0" w:line="235"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April 30, 2021</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17" w:lineRule="exact"/>
        <w:rPr>
          <w:sz w:val="24"/>
          <w:szCs w:val="24"/>
          <w:color w:val="auto"/>
        </w:rPr>
      </w:pPr>
    </w:p>
    <w:p>
      <w:pPr>
        <w:ind w:left="680" w:right="320" w:hanging="654"/>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71" w:lineRule="exact"/>
        <w:rPr>
          <w:sz w:val="24"/>
          <w:szCs w:val="24"/>
          <w:color w:val="auto"/>
        </w:rPr>
      </w:pPr>
    </w:p>
    <w:p>
      <w:pPr>
        <w:ind w:left="392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3"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Commission File Number: 0-14338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254635</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520"/>
        </w:trPr>
        <w:tc>
          <w:tcPr>
            <w:tcW w:w="2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0" w:type="dxa"/>
            <w:vAlign w:val="bottom"/>
            <w:gridSpan w:val="3"/>
          </w:tcPr>
          <w:p>
            <w:pPr>
              <w:jc w:val="center"/>
              <w:ind w:right="2740"/>
              <w:spacing w:after="0"/>
              <w:rPr>
                <w:sz w:val="20"/>
                <w:szCs w:val="20"/>
                <w:color w:val="auto"/>
              </w:rPr>
            </w:pPr>
            <w:r>
              <w:rPr>
                <w:rFonts w:ascii="Arial" w:cs="Arial" w:eastAsia="Arial" w:hAnsi="Arial"/>
                <w:sz w:val="43"/>
                <w:szCs w:val="43"/>
                <w:b w:val="1"/>
                <w:bCs w:val="1"/>
                <w:color w:val="auto"/>
              </w:rPr>
              <w:t>AUTODESK, INC.</w:t>
            </w:r>
          </w:p>
        </w:tc>
      </w:tr>
      <w:tr>
        <w:trPr>
          <w:trHeight w:val="186"/>
        </w:trPr>
        <w:tc>
          <w:tcPr>
            <w:tcW w:w="2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0" w:type="dxa"/>
            <w:vAlign w:val="bottom"/>
            <w:gridSpan w:val="3"/>
          </w:tcPr>
          <w:p>
            <w:pPr>
              <w:jc w:val="center"/>
              <w:ind w:right="274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327"/>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720" w:type="dxa"/>
            <w:vAlign w:val="bottom"/>
            <w:gridSpan w:val="2"/>
          </w:tcPr>
          <w:p>
            <w:pPr>
              <w:jc w:val="right"/>
              <w:ind w:right="2340"/>
              <w:spacing w:after="0"/>
              <w:rPr>
                <w:sz w:val="20"/>
                <w:szCs w:val="20"/>
                <w:color w:val="auto"/>
              </w:rPr>
            </w:pPr>
            <w:r>
              <w:rPr>
                <w:rFonts w:ascii="Arial" w:cs="Arial" w:eastAsia="Arial" w:hAnsi="Arial"/>
                <w:sz w:val="18"/>
                <w:szCs w:val="18"/>
                <w:b w:val="1"/>
                <w:bCs w:val="1"/>
                <w:color w:val="auto"/>
              </w:rPr>
              <w:t>94-2819853</w:t>
            </w:r>
          </w:p>
        </w:tc>
      </w:tr>
      <w:tr>
        <w:trPr>
          <w:trHeight w:val="144"/>
        </w:trPr>
        <w:tc>
          <w:tcPr>
            <w:tcW w:w="25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720" w:type="dxa"/>
            <w:vAlign w:val="bottom"/>
            <w:gridSpan w:val="2"/>
          </w:tcPr>
          <w:p>
            <w:pPr>
              <w:jc w:val="center"/>
              <w:ind w:right="1820"/>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720" w:type="dxa"/>
            <w:vAlign w:val="bottom"/>
            <w:gridSpan w:val="2"/>
          </w:tcPr>
          <w:p>
            <w:pPr>
              <w:jc w:val="center"/>
              <w:ind w:right="1820"/>
              <w:spacing w:after="0"/>
              <w:rPr>
                <w:sz w:val="20"/>
                <w:szCs w:val="20"/>
                <w:color w:val="auto"/>
              </w:rPr>
            </w:pPr>
            <w:r>
              <w:rPr>
                <w:rFonts w:ascii="Arial" w:cs="Arial" w:eastAsia="Arial" w:hAnsi="Arial"/>
                <w:sz w:val="14"/>
                <w:szCs w:val="14"/>
                <w:b w:val="1"/>
                <w:bCs w:val="1"/>
                <w:color w:val="auto"/>
                <w:w w:val="96"/>
              </w:rPr>
              <w:t>Identification No.)</w:t>
            </w:r>
          </w:p>
        </w:tc>
      </w:tr>
      <w:tr>
        <w:trPr>
          <w:trHeight w:val="281"/>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1"/>
              </w:rPr>
              <w:t>111 McInnis Parkway,</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25"/>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0"/>
              </w:rPr>
              <w:t>San Rafael,</w:t>
            </w: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California</w:t>
            </w:r>
          </w:p>
        </w:tc>
        <w:tc>
          <w:tcPr>
            <w:tcW w:w="28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94903</w:t>
            </w:r>
          </w:p>
        </w:tc>
        <w:tc>
          <w:tcPr>
            <w:tcW w:w="2480" w:type="dxa"/>
            <w:vAlign w:val="bottom"/>
          </w:tcPr>
          <w:p>
            <w:pPr>
              <w:spacing w:after="0"/>
              <w:rPr>
                <w:sz w:val="19"/>
                <w:szCs w:val="19"/>
                <w:color w:val="auto"/>
              </w:rPr>
            </w:pPr>
          </w:p>
        </w:tc>
      </w:tr>
      <w:tr>
        <w:trPr>
          <w:trHeight w:val="186"/>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720" w:type="dxa"/>
            <w:vAlign w:val="bottom"/>
            <w:gridSpan w:val="2"/>
          </w:tcPr>
          <w:p>
            <w:pPr>
              <w:jc w:val="center"/>
              <w:ind w:right="1820"/>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2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tcPr>
          <w:p>
            <w:pPr>
              <w:jc w:val="center"/>
              <w:ind w:left="855"/>
              <w:spacing w:after="0"/>
              <w:rPr>
                <w:sz w:val="20"/>
                <w:szCs w:val="20"/>
                <w:color w:val="auto"/>
              </w:rPr>
            </w:pPr>
            <w:r>
              <w:rPr>
                <w:rFonts w:ascii="Arial" w:cs="Arial" w:eastAsia="Arial" w:hAnsi="Arial"/>
                <w:sz w:val="18"/>
                <w:szCs w:val="18"/>
                <w:b w:val="1"/>
                <w:bCs w:val="1"/>
                <w:color w:val="auto"/>
                <w:w w:val="90"/>
              </w:rPr>
              <w:t>(415) 507-5000</w:t>
            </w:r>
          </w:p>
        </w:tc>
        <w:tc>
          <w:tcPr>
            <w:tcW w:w="12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86"/>
        </w:trPr>
        <w:tc>
          <w:tcPr>
            <w:tcW w:w="2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0" w:type="dxa"/>
            <w:vAlign w:val="bottom"/>
            <w:gridSpan w:val="3"/>
          </w:tcPr>
          <w:p>
            <w:pPr>
              <w:jc w:val="center"/>
              <w:ind w:right="276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74"/>
        </w:trPr>
        <w:tc>
          <w:tcPr>
            <w:tcW w:w="3440" w:type="dxa"/>
            <w:vAlign w:val="bottom"/>
            <w:gridSpan w:val="2"/>
          </w:tcPr>
          <w:p>
            <w:pPr>
              <w:spacing w:after="0"/>
              <w:rPr>
                <w:sz w:val="15"/>
                <w:szCs w:val="15"/>
                <w:color w:val="auto"/>
              </w:rPr>
            </w:pPr>
          </w:p>
        </w:tc>
        <w:tc>
          <w:tcPr>
            <w:tcW w:w="3140" w:type="dxa"/>
            <w:vAlign w:val="bottom"/>
            <w:tcBorders>
              <w:bottom w:val="single" w:sz="8" w:color="auto"/>
            </w:tcBorders>
            <w:gridSpan w:val="2"/>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480" w:type="dxa"/>
            <w:vAlign w:val="bottom"/>
          </w:tcPr>
          <w:p>
            <w:pPr>
              <w:spacing w:after="0"/>
              <w:rPr>
                <w:sz w:val="15"/>
                <w:szCs w:val="15"/>
                <w:color w:val="auto"/>
              </w:rPr>
            </w:pPr>
          </w:p>
        </w:tc>
      </w:tr>
      <w:tr>
        <w:trPr>
          <w:trHeight w:val="534"/>
        </w:trPr>
        <w:tc>
          <w:tcPr>
            <w:tcW w:w="658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0"/>
        </w:trPr>
        <w:tc>
          <w:tcPr>
            <w:tcW w:w="3700" w:type="dxa"/>
            <w:vAlign w:val="bottom"/>
            <w:gridSpan w:val="3"/>
          </w:tcPr>
          <w:p>
            <w:pPr>
              <w:jc w:val="center"/>
              <w:ind w:left="276"/>
              <w:spacing w:after="0"/>
              <w:rPr>
                <w:sz w:val="20"/>
                <w:szCs w:val="20"/>
                <w:color w:val="auto"/>
              </w:rPr>
            </w:pPr>
            <w:r>
              <w:rPr>
                <w:rFonts w:ascii="Arial" w:cs="Arial" w:eastAsia="Arial" w:hAnsi="Arial"/>
                <w:sz w:val="18"/>
                <w:szCs w:val="18"/>
                <w:b w:val="1"/>
                <w:bCs w:val="1"/>
                <w:color w:val="auto"/>
                <w:w w:val="86"/>
              </w:rPr>
              <w:t>Title of each class</w:t>
            </w:r>
          </w:p>
        </w:tc>
        <w:tc>
          <w:tcPr>
            <w:tcW w:w="2880" w:type="dxa"/>
            <w:vAlign w:val="bottom"/>
          </w:tcPr>
          <w:p>
            <w:pPr>
              <w:jc w:val="center"/>
              <w:ind w:right="75"/>
              <w:spacing w:after="0"/>
              <w:rPr>
                <w:sz w:val="20"/>
                <w:szCs w:val="20"/>
                <w:color w:val="auto"/>
              </w:rPr>
            </w:pPr>
            <w:r>
              <w:rPr>
                <w:rFonts w:ascii="Arial" w:cs="Arial" w:eastAsia="Arial" w:hAnsi="Arial"/>
                <w:sz w:val="18"/>
                <w:szCs w:val="18"/>
                <w:b w:val="1"/>
                <w:bCs w:val="1"/>
                <w:color w:val="auto"/>
                <w:w w:val="89"/>
              </w:rPr>
              <w:t>Trading Symbol(s)</w:t>
            </w:r>
          </w:p>
        </w:tc>
        <w:tc>
          <w:tcPr>
            <w:tcW w:w="3720" w:type="dxa"/>
            <w:vAlign w:val="bottom"/>
            <w:gridSpan w:val="2"/>
          </w:tcPr>
          <w:p>
            <w:pPr>
              <w:jc w:val="center"/>
              <w:ind w:left="298"/>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700" w:type="dxa"/>
            <w:vAlign w:val="bottom"/>
            <w:gridSpan w:val="3"/>
          </w:tcPr>
          <w:p>
            <w:pPr>
              <w:jc w:val="center"/>
              <w:ind w:left="276"/>
              <w:spacing w:after="0"/>
              <w:rPr>
                <w:sz w:val="20"/>
                <w:szCs w:val="20"/>
                <w:color w:val="auto"/>
              </w:rPr>
            </w:pPr>
            <w:r>
              <w:rPr>
                <w:rFonts w:ascii="Arial" w:cs="Arial" w:eastAsia="Arial" w:hAnsi="Arial"/>
                <w:sz w:val="18"/>
                <w:szCs w:val="18"/>
                <w:color w:val="auto"/>
                <w:w w:val="89"/>
              </w:rPr>
              <w:t>Common Stock, par value $0.01 per share</w:t>
            </w:r>
          </w:p>
        </w:tc>
        <w:tc>
          <w:tcPr>
            <w:tcW w:w="2880" w:type="dxa"/>
            <w:vAlign w:val="bottom"/>
          </w:tcPr>
          <w:p>
            <w:pPr>
              <w:jc w:val="center"/>
              <w:ind w:right="75"/>
              <w:spacing w:after="0"/>
              <w:rPr>
                <w:sz w:val="20"/>
                <w:szCs w:val="20"/>
                <w:color w:val="auto"/>
              </w:rPr>
            </w:pPr>
            <w:r>
              <w:rPr>
                <w:rFonts w:ascii="Arial" w:cs="Arial" w:eastAsia="Arial" w:hAnsi="Arial"/>
                <w:sz w:val="18"/>
                <w:szCs w:val="18"/>
                <w:color w:val="auto"/>
              </w:rPr>
              <w:t>ADSK</w:t>
            </w:r>
          </w:p>
        </w:tc>
        <w:tc>
          <w:tcPr>
            <w:tcW w:w="3720" w:type="dxa"/>
            <w:vAlign w:val="bottom"/>
            <w:gridSpan w:val="2"/>
          </w:tcPr>
          <w:p>
            <w:pPr>
              <w:jc w:val="center"/>
              <w:ind w:left="298"/>
              <w:spacing w:after="0"/>
              <w:rPr>
                <w:sz w:val="20"/>
                <w:szCs w:val="20"/>
                <w:color w:val="auto"/>
              </w:rPr>
            </w:pPr>
            <w:r>
              <w:rPr>
                <w:rFonts w:ascii="Arial" w:cs="Arial" w:eastAsia="Arial" w:hAnsi="Arial"/>
                <w:sz w:val="18"/>
                <w:szCs w:val="18"/>
                <w:color w:val="auto"/>
                <w:w w:val="91"/>
              </w:rPr>
              <w:t>The Nasdaq Global Select Market</w:t>
            </w:r>
          </w:p>
        </w:tc>
      </w:tr>
    </w:tbl>
    <w:p>
      <w:pPr>
        <w:spacing w:after="0" w:line="323" w:lineRule="exact"/>
        <w:rPr>
          <w:sz w:val="24"/>
          <w:szCs w:val="24"/>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9" w:lineRule="exact"/>
        <w:rPr>
          <w:sz w:val="24"/>
          <w:szCs w:val="24"/>
          <w:color w:val="auto"/>
        </w:rPr>
      </w:pPr>
    </w:p>
    <w:p>
      <w:pPr>
        <w:ind w:right="40" w:firstLine="445"/>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right="6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73" w:right="39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83"/>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jc w:val="right"/>
              <w:spacing w:after="0"/>
              <w:rPr>
                <w:sz w:val="20"/>
                <w:szCs w:val="20"/>
                <w:color w:val="auto"/>
              </w:rPr>
            </w:pPr>
            <w:r>
              <w:rPr>
                <w:rFonts w:ascii="Arial" w:cs="Arial" w:eastAsia="Arial" w:hAnsi="Arial"/>
                <w:sz w:val="18"/>
                <w:szCs w:val="18"/>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3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jc w:val="right"/>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220" w:type="dxa"/>
            <w:vAlign w:val="bottom"/>
          </w:tcPr>
          <w:p>
            <w:pPr>
              <w:jc w:val="right"/>
              <w:spacing w:after="0"/>
              <w:rPr>
                <w:sz w:val="20"/>
                <w:szCs w:val="20"/>
                <w:color w:val="auto"/>
              </w:rPr>
            </w:pPr>
            <w:r>
              <w:rPr>
                <w:rFonts w:ascii="Arial" w:cs="Arial" w:eastAsia="Arial" w:hAnsi="Arial"/>
                <w:sz w:val="18"/>
                <w:szCs w:val="18"/>
                <w:color w:val="auto"/>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0" w:lineRule="exact"/>
        <w:rPr>
          <w:sz w:val="20"/>
          <w:szCs w:val="20"/>
          <w:color w:val="auto"/>
        </w:rPr>
      </w:pPr>
    </w:p>
    <w:p>
      <w:pPr>
        <w:ind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May 31, 2021, registrant had outstanding 220,013,315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134620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997"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AUTODESK, INC. 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5"/>
          </w:tcPr>
          <w:p>
            <w:pPr>
              <w:ind w:left="460"/>
              <w:spacing w:after="0"/>
              <w:rPr>
                <w:sz w:val="20"/>
                <w:szCs w:val="20"/>
                <w:color w:val="auto"/>
              </w:rPr>
            </w:pPr>
            <w:r>
              <w:rPr>
                <w:rFonts w:ascii="Arial" w:cs="Arial" w:eastAsia="Arial" w:hAnsi="Arial"/>
                <w:sz w:val="14"/>
                <w:szCs w:val="14"/>
                <w:b w:val="1"/>
                <w:bCs w:val="1"/>
                <w:color w:val="auto"/>
              </w:rPr>
              <w:t>Page No.</w:t>
            </w:r>
          </w:p>
        </w:tc>
      </w:tr>
      <w:tr>
        <w:trPr>
          <w:trHeight w:val="175"/>
        </w:trPr>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340" w:type="dxa"/>
            <w:vAlign w:val="bottom"/>
            <w:gridSpan w:val="13"/>
          </w:tcPr>
          <w:p>
            <w:pPr>
              <w:jc w:val="center"/>
              <w:ind w:right="2440"/>
              <w:spacing w:after="0" w:line="176"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12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64"/>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Item 1.</w:t>
            </w:r>
          </w:p>
        </w:tc>
        <w:tc>
          <w:tcPr>
            <w:tcW w:w="1680" w:type="dxa"/>
            <w:vAlign w:val="bottom"/>
            <w:tcBorders>
              <w:bottom w:val="single" w:sz="8" w:color="0000FF"/>
            </w:tcBorders>
            <w:gridSpan w:val="6"/>
          </w:tcPr>
          <w:p>
            <w:pPr>
              <w:spacing w:after="0"/>
              <w:rPr>
                <w:rFonts w:ascii="Arial" w:cs="Arial" w:eastAsia="Arial" w:hAnsi="Arial"/>
                <w:sz w:val="18"/>
                <w:szCs w:val="18"/>
                <w:b w:val="1"/>
                <w:bCs w:val="1"/>
                <w:color w:val="0000FF"/>
                <w:w w:val="89"/>
              </w:rPr>
            </w:pPr>
            <w:hyperlink w:anchor="page4">
              <w:r>
                <w:rPr>
                  <w:rFonts w:ascii="Arial" w:cs="Arial" w:eastAsia="Arial" w:hAnsi="Arial"/>
                  <w:sz w:val="18"/>
                  <w:szCs w:val="18"/>
                  <w:b w:val="1"/>
                  <w:bCs w:val="1"/>
                  <w:color w:val="0000FF"/>
                  <w:w w:val="89"/>
                </w:rPr>
                <w:t>Financial Statements:</w:t>
              </w:r>
            </w:hyperlink>
          </w:p>
        </w:tc>
        <w:tc>
          <w:tcPr>
            <w:tcW w:w="1180" w:type="dxa"/>
            <w:vAlign w:val="bottom"/>
            <w:gridSpan w:val="4"/>
          </w:tcPr>
          <w:p>
            <w:pPr>
              <w:spacing w:after="0"/>
              <w:rPr>
                <w:sz w:val="22"/>
                <w:szCs w:val="22"/>
                <w:color w:val="auto"/>
              </w:rPr>
            </w:pPr>
          </w:p>
        </w:tc>
        <w:tc>
          <w:tcPr>
            <w:tcW w:w="3060" w:type="dxa"/>
            <w:vAlign w:val="bottom"/>
            <w:tcBorders>
              <w:top w:val="single" w:sz="8" w:color="0000FF"/>
            </w:tcBorders>
            <w:gridSpan w:val="6"/>
          </w:tcPr>
          <w:p>
            <w:pPr>
              <w:spacing w:after="0"/>
              <w:rPr>
                <w:sz w:val="22"/>
                <w:szCs w:val="22"/>
                <w:color w:val="auto"/>
              </w:rPr>
            </w:pPr>
          </w:p>
        </w:tc>
        <w:tc>
          <w:tcPr>
            <w:tcW w:w="2860" w:type="dxa"/>
            <w:vAlign w:val="bottom"/>
            <w:gridSpan w:val="6"/>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980" w:type="dxa"/>
            <w:vAlign w:val="bottom"/>
          </w:tcPr>
          <w:p>
            <w:pPr>
              <w:spacing w:after="0"/>
              <w:rPr>
                <w:sz w:val="22"/>
                <w:szCs w:val="22"/>
                <w:color w:val="auto"/>
              </w:rPr>
            </w:pPr>
          </w:p>
        </w:tc>
        <w:tc>
          <w:tcPr>
            <w:tcW w:w="756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 xml:space="preserve">Condensed Consolidated Statements of Operations for the Three Months Ended April </w:t>
              </w:r>
            </w:hyperlink>
            <w:r>
              <w:rPr>
                <w:rFonts w:ascii="Arial" w:cs="Arial" w:eastAsia="Arial" w:hAnsi="Arial"/>
                <w:sz w:val="18"/>
                <w:szCs w:val="18"/>
                <w:color w:val="0000FF"/>
                <w:w w:val="90"/>
              </w:rPr>
              <w:t xml:space="preserve">30, 2021 </w:t>
            </w:r>
            <w:hyperlink w:anchor="page4">
              <w:r>
                <w:rPr>
                  <w:rFonts w:ascii="Arial" w:cs="Arial" w:eastAsia="Arial" w:hAnsi="Arial"/>
                  <w:sz w:val="18"/>
                  <w:szCs w:val="18"/>
                  <w:color w:val="0000FF"/>
                  <w:w w:val="90"/>
                </w:rPr>
                <w:t xml:space="preserve">and </w:t>
              </w:r>
            </w:hyperlink>
            <w:r>
              <w:rPr>
                <w:rFonts w:ascii="Arial" w:cs="Arial" w:eastAsia="Arial" w:hAnsi="Arial"/>
                <w:sz w:val="18"/>
                <w:szCs w:val="18"/>
                <w:color w:val="0000FF"/>
                <w:w w:val="90"/>
              </w:rPr>
              <w:t>2020</w:t>
            </w:r>
          </w:p>
        </w:tc>
        <w:tc>
          <w:tcPr>
            <w:tcW w:w="1220" w:type="dxa"/>
            <w:vAlign w:val="bottom"/>
            <w:gridSpan w:val="3"/>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980" w:type="dxa"/>
            <w:vAlign w:val="bottom"/>
          </w:tcPr>
          <w:p>
            <w:pPr>
              <w:spacing w:after="0"/>
              <w:rPr>
                <w:sz w:val="22"/>
                <w:szCs w:val="22"/>
                <w:color w:val="auto"/>
              </w:rPr>
            </w:pPr>
          </w:p>
        </w:tc>
        <w:tc>
          <w:tcPr>
            <w:tcW w:w="8480" w:type="dxa"/>
            <w:vAlign w:val="bottom"/>
            <w:tcBorders>
              <w:bottom w:val="single" w:sz="8" w:color="0000FF"/>
            </w:tcBorders>
            <w:gridSpan w:val="21"/>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 xml:space="preserve">Condensed Consolidated Statements of Comprehensive Income for the Three Months Ended April </w:t>
              </w:r>
            </w:hyperlink>
            <w:r>
              <w:rPr>
                <w:rFonts w:ascii="Arial" w:cs="Arial" w:eastAsia="Arial" w:hAnsi="Arial"/>
                <w:sz w:val="18"/>
                <w:szCs w:val="18"/>
                <w:color w:val="0000FF"/>
                <w:w w:val="90"/>
              </w:rPr>
              <w:t xml:space="preserve">30, 2021 </w:t>
            </w:r>
            <w:hyperlink w:anchor="page4">
              <w:r>
                <w:rPr>
                  <w:rFonts w:ascii="Arial" w:cs="Arial" w:eastAsia="Arial" w:hAnsi="Arial"/>
                  <w:sz w:val="18"/>
                  <w:szCs w:val="18"/>
                  <w:color w:val="0000FF"/>
                  <w:w w:val="90"/>
                </w:rPr>
                <w:t xml:space="preserve">and </w:t>
              </w:r>
            </w:hyperlink>
            <w:r>
              <w:rPr>
                <w:rFonts w:ascii="Arial" w:cs="Arial" w:eastAsia="Arial" w:hAnsi="Arial"/>
                <w:sz w:val="18"/>
                <w:szCs w:val="18"/>
                <w:color w:val="0000FF"/>
                <w:w w:val="90"/>
              </w:rPr>
              <w:t>2020</w:t>
            </w:r>
          </w:p>
        </w:tc>
        <w:tc>
          <w:tcPr>
            <w:tcW w:w="300" w:type="dxa"/>
            <w:vAlign w:val="bottom"/>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980" w:type="dxa"/>
            <w:vAlign w:val="bottom"/>
          </w:tcPr>
          <w:p>
            <w:pPr>
              <w:spacing w:after="0"/>
              <w:rPr>
                <w:sz w:val="22"/>
                <w:szCs w:val="22"/>
                <w:color w:val="auto"/>
              </w:rPr>
            </w:pPr>
          </w:p>
        </w:tc>
        <w:tc>
          <w:tcPr>
            <w:tcW w:w="602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 xml:space="preserve">Condensed Consolidated Balance Sheets as of April </w:t>
              </w:r>
            </w:hyperlink>
            <w:r>
              <w:rPr>
                <w:rFonts w:ascii="Arial" w:cs="Arial" w:eastAsia="Arial" w:hAnsi="Arial"/>
                <w:sz w:val="18"/>
                <w:szCs w:val="18"/>
                <w:color w:val="0000FF"/>
                <w:w w:val="89"/>
              </w:rPr>
              <w:t xml:space="preserve">30, 2021 </w:t>
            </w:r>
            <w:hyperlink w:anchor="page5">
              <w:r>
                <w:rPr>
                  <w:rFonts w:ascii="Arial" w:cs="Arial" w:eastAsia="Arial" w:hAnsi="Arial"/>
                  <w:sz w:val="18"/>
                  <w:szCs w:val="18"/>
                  <w:color w:val="0000FF"/>
                  <w:w w:val="89"/>
                </w:rPr>
                <w:t xml:space="preserve">and January 31, </w:t>
              </w:r>
            </w:hyperlink>
            <w:r>
              <w:rPr>
                <w:rFonts w:ascii="Arial" w:cs="Arial" w:eastAsia="Arial" w:hAnsi="Arial"/>
                <w:sz w:val="18"/>
                <w:szCs w:val="18"/>
                <w:color w:val="0000FF"/>
                <w:w w:val="89"/>
              </w:rPr>
              <w:t>2021</w:t>
            </w:r>
          </w:p>
        </w:tc>
        <w:tc>
          <w:tcPr>
            <w:tcW w:w="2760" w:type="dxa"/>
            <w:vAlign w:val="bottom"/>
            <w:gridSpan w:val="5"/>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980" w:type="dxa"/>
            <w:vAlign w:val="bottom"/>
          </w:tcPr>
          <w:p>
            <w:pPr>
              <w:spacing w:after="0"/>
              <w:rPr>
                <w:sz w:val="22"/>
                <w:szCs w:val="22"/>
                <w:color w:val="auto"/>
              </w:rPr>
            </w:pPr>
          </w:p>
        </w:tc>
        <w:tc>
          <w:tcPr>
            <w:tcW w:w="8780" w:type="dxa"/>
            <w:vAlign w:val="bottom"/>
            <w:gridSpan w:val="22"/>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Condensed Consolidated Statements of Cash Flows for the Three Months Ended April </w:t>
              </w:r>
            </w:hyperlink>
            <w:r>
              <w:rPr>
                <w:rFonts w:ascii="Arial" w:cs="Arial" w:eastAsia="Arial" w:hAnsi="Arial"/>
                <w:sz w:val="18"/>
                <w:szCs w:val="18"/>
                <w:color w:val="0000FF"/>
              </w:rPr>
              <w:t xml:space="preserve">30, 2021 </w:t>
            </w:r>
            <w:hyperlink w:anchor="page6">
              <w:r>
                <w:rPr>
                  <w:rFonts w:ascii="Arial" w:cs="Arial" w:eastAsia="Arial" w:hAnsi="Arial"/>
                  <w:sz w:val="18"/>
                  <w:szCs w:val="18"/>
                  <w:color w:val="0000FF"/>
                </w:rPr>
                <w:t xml:space="preserve">and </w:t>
              </w:r>
            </w:hyperlink>
            <w:r>
              <w:rPr>
                <w:rFonts w:ascii="Arial" w:cs="Arial" w:eastAsia="Arial" w:hAnsi="Arial"/>
                <w:sz w:val="18"/>
                <w:szCs w:val="18"/>
                <w:color w:val="0000FF"/>
              </w:rPr>
              <w:t>2020</w:t>
            </w:r>
          </w:p>
        </w:tc>
        <w:tc>
          <w:tcPr>
            <w:tcW w:w="146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20" w:type="dxa"/>
            <w:vAlign w:val="bottom"/>
          </w:tcPr>
          <w:p>
            <w:pPr>
              <w:spacing w:after="0"/>
              <w:rPr>
                <w:sz w:val="22"/>
                <w:szCs w:val="22"/>
                <w:color w:val="auto"/>
              </w:rPr>
            </w:pPr>
          </w:p>
        </w:tc>
      </w:tr>
      <w:tr>
        <w:trPr>
          <w:trHeight w:val="264"/>
        </w:trPr>
        <w:tc>
          <w:tcPr>
            <w:tcW w:w="980" w:type="dxa"/>
            <w:vAlign w:val="bottom"/>
          </w:tcPr>
          <w:p>
            <w:pPr>
              <w:spacing w:after="0"/>
              <w:rPr>
                <w:sz w:val="22"/>
                <w:szCs w:val="22"/>
                <w:color w:val="auto"/>
              </w:rPr>
            </w:pPr>
          </w:p>
        </w:tc>
        <w:tc>
          <w:tcPr>
            <w:tcW w:w="400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Notes to Condensed Consolidated Financial Statements</w:t>
              </w:r>
            </w:hyperlink>
          </w:p>
        </w:tc>
        <w:tc>
          <w:tcPr>
            <w:tcW w:w="3600" w:type="dxa"/>
            <w:vAlign w:val="bottom"/>
            <w:tcBorders>
              <w:top w:val="single" w:sz="8" w:color="0000FF"/>
            </w:tcBorders>
            <w:gridSpan w:val="8"/>
          </w:tcPr>
          <w:p>
            <w:pPr>
              <w:spacing w:after="0"/>
              <w:rPr>
                <w:sz w:val="22"/>
                <w:szCs w:val="22"/>
                <w:color w:val="auto"/>
              </w:rPr>
            </w:pPr>
          </w:p>
        </w:tc>
        <w:tc>
          <w:tcPr>
            <w:tcW w:w="1180" w:type="dxa"/>
            <w:vAlign w:val="bottom"/>
            <w:gridSpan w:val="2"/>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Item 2.</w:t>
            </w:r>
          </w:p>
        </w:tc>
        <w:tc>
          <w:tcPr>
            <w:tcW w:w="6840" w:type="dxa"/>
            <w:vAlign w:val="bottom"/>
            <w:gridSpan w:val="18"/>
          </w:tcPr>
          <w:p>
            <w:pPr>
              <w:spacing w:after="0"/>
              <w:rPr>
                <w:rFonts w:ascii="Arial" w:cs="Arial" w:eastAsia="Arial" w:hAnsi="Arial"/>
                <w:sz w:val="18"/>
                <w:szCs w:val="18"/>
                <w:b w:val="1"/>
                <w:bCs w:val="1"/>
                <w:color w:val="0000FF"/>
                <w:w w:val="89"/>
              </w:rPr>
            </w:pPr>
            <w:hyperlink w:anchor="page29">
              <w:r>
                <w:rPr>
                  <w:rFonts w:ascii="Arial" w:cs="Arial" w:eastAsia="Arial" w:hAnsi="Arial"/>
                  <w:sz w:val="18"/>
                  <w:szCs w:val="18"/>
                  <w:b w:val="1"/>
                  <w:bCs w:val="1"/>
                  <w:color w:val="0000FF"/>
                  <w:w w:val="89"/>
                </w:rPr>
                <w:t>Management’s Discussion and Analysis of Financial Condition and Results of Operations</w:t>
              </w:r>
            </w:hyperlink>
          </w:p>
        </w:tc>
        <w:tc>
          <w:tcPr>
            <w:tcW w:w="1940" w:type="dxa"/>
            <w:vAlign w:val="bottom"/>
            <w:gridSpan w:val="4"/>
          </w:tcPr>
          <w:p>
            <w:pPr>
              <w:spacing w:after="0"/>
              <w:rPr>
                <w:sz w:val="22"/>
                <w:szCs w:val="22"/>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9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Item 3.</w:t>
            </w:r>
          </w:p>
        </w:tc>
        <w:tc>
          <w:tcPr>
            <w:tcW w:w="6840" w:type="dxa"/>
            <w:vAlign w:val="bottom"/>
            <w:gridSpan w:val="18"/>
          </w:tcPr>
          <w:p>
            <w:pPr>
              <w:spacing w:after="0"/>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Quantitative and Qualitative Disclosures About Market Risk</w:t>
              </w:r>
            </w:hyperlink>
          </w:p>
        </w:tc>
        <w:tc>
          <w:tcPr>
            <w:tcW w:w="1940" w:type="dxa"/>
            <w:vAlign w:val="bottom"/>
            <w:gridSpan w:val="4"/>
          </w:tcPr>
          <w:p>
            <w:pPr>
              <w:spacing w:after="0"/>
              <w:rPr>
                <w:sz w:val="22"/>
                <w:szCs w:val="22"/>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47</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9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4"/>
          </w:tcPr>
          <w:p>
            <w:pPr>
              <w:spacing w:after="0"/>
              <w:rPr>
                <w:rFonts w:ascii="Arial" w:cs="Arial" w:eastAsia="Arial" w:hAnsi="Arial"/>
                <w:sz w:val="18"/>
                <w:szCs w:val="18"/>
                <w:b w:val="1"/>
                <w:bCs w:val="1"/>
                <w:color w:val="0000FF"/>
              </w:rPr>
            </w:pPr>
            <w:hyperlink w:anchor="page47">
              <w:r>
                <w:rPr>
                  <w:rFonts w:ascii="Arial" w:cs="Arial" w:eastAsia="Arial" w:hAnsi="Arial"/>
                  <w:sz w:val="18"/>
                  <w:szCs w:val="18"/>
                  <w:b w:val="1"/>
                  <w:bCs w:val="1"/>
                  <w:color w:val="0000FF"/>
                </w:rPr>
                <w:t>Controls and Procedures</w:t>
              </w:r>
            </w:hyperlink>
          </w:p>
        </w:tc>
        <w:tc>
          <w:tcPr>
            <w:tcW w:w="4120" w:type="dxa"/>
            <w:vAlign w:val="bottom"/>
            <w:gridSpan w:val="8"/>
          </w:tcPr>
          <w:p>
            <w:pPr>
              <w:spacing w:after="0"/>
              <w:rPr>
                <w:sz w:val="22"/>
                <w:szCs w:val="22"/>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48</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98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80" w:type="dxa"/>
            <w:vAlign w:val="bottom"/>
            <w:tcBorders>
              <w:bottom w:val="single" w:sz="8" w:color="0000FF"/>
            </w:tcBorders>
            <w:gridSpan w:val="4"/>
          </w:tcPr>
          <w:p>
            <w:pPr>
              <w:jc w:val="center"/>
              <w:spacing w:after="0"/>
              <w:rPr>
                <w:rFonts w:ascii="Arial" w:cs="Arial" w:eastAsia="Arial" w:hAnsi="Arial"/>
                <w:sz w:val="18"/>
                <w:szCs w:val="18"/>
                <w:b w:val="1"/>
                <w:bCs w:val="1"/>
                <w:color w:val="0000FF"/>
              </w:rPr>
            </w:pPr>
            <w:hyperlink w:anchor="page48">
              <w:r>
                <w:rPr>
                  <w:rFonts w:ascii="Arial" w:cs="Arial" w:eastAsia="Arial" w:hAnsi="Arial"/>
                  <w:sz w:val="18"/>
                  <w:szCs w:val="18"/>
                  <w:b w:val="1"/>
                  <w:bCs w:val="1"/>
                  <w:color w:val="0000FF"/>
                </w:rPr>
                <w:t>PART II. OTHER INFORMATION</w:t>
              </w:r>
            </w:hyperlink>
          </w:p>
        </w:tc>
        <w:tc>
          <w:tcPr>
            <w:tcW w:w="3000" w:type="dxa"/>
            <w:vAlign w:val="bottom"/>
            <w:gridSpan w:val="7"/>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Item 1.</w:t>
            </w:r>
          </w:p>
        </w:tc>
        <w:tc>
          <w:tcPr>
            <w:tcW w:w="8780" w:type="dxa"/>
            <w:vAlign w:val="bottom"/>
            <w:gridSpan w:val="22"/>
          </w:tcPr>
          <w:p>
            <w:pPr>
              <w:spacing w:after="0"/>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Legal Proceedings</w:t>
              </w:r>
            </w:hyperlink>
          </w:p>
        </w:tc>
        <w:tc>
          <w:tcPr>
            <w:tcW w:w="1440" w:type="dxa"/>
            <w:vAlign w:val="bottom"/>
            <w:gridSpan w:val="3"/>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9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420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Item 1A.</w:t>
            </w:r>
          </w:p>
        </w:tc>
        <w:tc>
          <w:tcPr>
            <w:tcW w:w="980" w:type="dxa"/>
            <w:vAlign w:val="bottom"/>
            <w:gridSpan w:val="3"/>
          </w:tcPr>
          <w:p>
            <w:pPr>
              <w:spacing w:after="0"/>
              <w:rPr>
                <w:rFonts w:ascii="Arial" w:cs="Arial" w:eastAsia="Arial" w:hAnsi="Arial"/>
                <w:sz w:val="18"/>
                <w:szCs w:val="18"/>
                <w:b w:val="1"/>
                <w:bCs w:val="1"/>
                <w:color w:val="0000FF"/>
                <w:w w:val="88"/>
              </w:rPr>
            </w:pPr>
            <w:hyperlink w:anchor="page49">
              <w:r>
                <w:rPr>
                  <w:rFonts w:ascii="Arial" w:cs="Arial" w:eastAsia="Arial" w:hAnsi="Arial"/>
                  <w:sz w:val="18"/>
                  <w:szCs w:val="18"/>
                  <w:b w:val="1"/>
                  <w:bCs w:val="1"/>
                  <w:color w:val="0000FF"/>
                  <w:w w:val="88"/>
                </w:rPr>
                <w:t>Risk Factors</w:t>
              </w:r>
            </w:hyperlink>
          </w:p>
        </w:tc>
        <w:tc>
          <w:tcPr>
            <w:tcW w:w="420" w:type="dxa"/>
            <w:vAlign w:val="bottom"/>
          </w:tcPr>
          <w:p>
            <w:pPr>
              <w:spacing w:after="0"/>
              <w:rPr>
                <w:sz w:val="22"/>
                <w:szCs w:val="22"/>
                <w:color w:val="auto"/>
              </w:rPr>
            </w:pPr>
          </w:p>
        </w:tc>
        <w:tc>
          <w:tcPr>
            <w:tcW w:w="7380" w:type="dxa"/>
            <w:vAlign w:val="bottom"/>
            <w:gridSpan w:val="18"/>
          </w:tcPr>
          <w:p>
            <w:pPr>
              <w:spacing w:after="0"/>
              <w:rPr>
                <w:sz w:val="22"/>
                <w:szCs w:val="22"/>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9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420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Item 2.</w:t>
            </w:r>
          </w:p>
        </w:tc>
        <w:tc>
          <w:tcPr>
            <w:tcW w:w="4580" w:type="dxa"/>
            <w:vAlign w:val="bottom"/>
            <w:gridSpan w:val="13"/>
          </w:tcPr>
          <w:p>
            <w:pPr>
              <w:spacing w:after="0"/>
              <w:rPr>
                <w:rFonts w:ascii="Arial" w:cs="Arial" w:eastAsia="Arial" w:hAnsi="Arial"/>
                <w:sz w:val="18"/>
                <w:szCs w:val="18"/>
                <w:b w:val="1"/>
                <w:bCs w:val="1"/>
                <w:color w:val="0000FF"/>
                <w:w w:val="87"/>
              </w:rPr>
            </w:pPr>
            <w:hyperlink w:anchor="page65">
              <w:r>
                <w:rPr>
                  <w:rFonts w:ascii="Arial" w:cs="Arial" w:eastAsia="Arial" w:hAnsi="Arial"/>
                  <w:sz w:val="18"/>
                  <w:szCs w:val="18"/>
                  <w:b w:val="1"/>
                  <w:bCs w:val="1"/>
                  <w:color w:val="0000FF"/>
                  <w:w w:val="87"/>
                </w:rPr>
                <w:t>Unregistered Sales of Equity Securities and Use of Proceeds</w:t>
              </w:r>
            </w:hyperlink>
          </w:p>
        </w:tc>
        <w:tc>
          <w:tcPr>
            <w:tcW w:w="4200" w:type="dxa"/>
            <w:vAlign w:val="bottom"/>
            <w:gridSpan w:val="9"/>
          </w:tcPr>
          <w:p>
            <w:pPr>
              <w:spacing w:after="0"/>
              <w:rPr>
                <w:sz w:val="22"/>
                <w:szCs w:val="22"/>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9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Item 3.</w:t>
            </w:r>
          </w:p>
        </w:tc>
        <w:tc>
          <w:tcPr>
            <w:tcW w:w="4580" w:type="dxa"/>
            <w:vAlign w:val="bottom"/>
            <w:gridSpan w:val="13"/>
          </w:tcPr>
          <w:p>
            <w:pPr>
              <w:spacing w:after="0"/>
              <w:rPr>
                <w:rFonts w:ascii="Arial" w:cs="Arial" w:eastAsia="Arial" w:hAnsi="Arial"/>
                <w:sz w:val="18"/>
                <w:szCs w:val="18"/>
                <w:b w:val="1"/>
                <w:bCs w:val="1"/>
                <w:color w:val="0000FF"/>
              </w:rPr>
            </w:pPr>
            <w:hyperlink w:anchor="page65">
              <w:r>
                <w:rPr>
                  <w:rFonts w:ascii="Arial" w:cs="Arial" w:eastAsia="Arial" w:hAnsi="Arial"/>
                  <w:sz w:val="18"/>
                  <w:szCs w:val="18"/>
                  <w:b w:val="1"/>
                  <w:bCs w:val="1"/>
                  <w:color w:val="0000FF"/>
                </w:rPr>
                <w:t>Defaults Upon Senior Securities</w:t>
              </w:r>
            </w:hyperlink>
          </w:p>
        </w:tc>
        <w:tc>
          <w:tcPr>
            <w:tcW w:w="4200" w:type="dxa"/>
            <w:vAlign w:val="bottom"/>
            <w:gridSpan w:val="9"/>
          </w:tcPr>
          <w:p>
            <w:pPr>
              <w:spacing w:after="0"/>
              <w:rPr>
                <w:sz w:val="22"/>
                <w:szCs w:val="22"/>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9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Item 4.</w:t>
            </w:r>
          </w:p>
        </w:tc>
        <w:tc>
          <w:tcPr>
            <w:tcW w:w="2440" w:type="dxa"/>
            <w:vAlign w:val="bottom"/>
            <w:gridSpan w:val="9"/>
          </w:tcPr>
          <w:p>
            <w:pPr>
              <w:spacing w:after="0"/>
              <w:rPr>
                <w:rFonts w:ascii="Arial" w:cs="Arial" w:eastAsia="Arial" w:hAnsi="Arial"/>
                <w:sz w:val="18"/>
                <w:szCs w:val="18"/>
                <w:b w:val="1"/>
                <w:bCs w:val="1"/>
                <w:color w:val="0000FF"/>
              </w:rPr>
            </w:pPr>
            <w:hyperlink w:anchor="page65">
              <w:r>
                <w:rPr>
                  <w:rFonts w:ascii="Arial" w:cs="Arial" w:eastAsia="Arial" w:hAnsi="Arial"/>
                  <w:sz w:val="18"/>
                  <w:szCs w:val="18"/>
                  <w:b w:val="1"/>
                  <w:bCs w:val="1"/>
                  <w:color w:val="0000FF"/>
                </w:rPr>
                <w:t>Mine Safety Disclosures</w:t>
              </w:r>
            </w:hyperlink>
          </w:p>
        </w:tc>
        <w:tc>
          <w:tcPr>
            <w:tcW w:w="6340" w:type="dxa"/>
            <w:vAlign w:val="bottom"/>
            <w:gridSpan w:val="13"/>
          </w:tcPr>
          <w:p>
            <w:pPr>
              <w:spacing w:after="0"/>
              <w:rPr>
                <w:sz w:val="22"/>
                <w:szCs w:val="22"/>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9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Item 5.</w:t>
            </w:r>
          </w:p>
        </w:tc>
        <w:tc>
          <w:tcPr>
            <w:tcW w:w="1840" w:type="dxa"/>
            <w:vAlign w:val="bottom"/>
            <w:gridSpan w:val="7"/>
          </w:tcPr>
          <w:p>
            <w:pPr>
              <w:spacing w:after="0"/>
              <w:rPr>
                <w:rFonts w:ascii="Arial" w:cs="Arial" w:eastAsia="Arial" w:hAnsi="Arial"/>
                <w:sz w:val="18"/>
                <w:szCs w:val="18"/>
                <w:b w:val="1"/>
                <w:bCs w:val="1"/>
                <w:color w:val="0000FF"/>
              </w:rPr>
            </w:pPr>
            <w:hyperlink w:anchor="page65">
              <w:r>
                <w:rPr>
                  <w:rFonts w:ascii="Arial" w:cs="Arial" w:eastAsia="Arial" w:hAnsi="Arial"/>
                  <w:sz w:val="18"/>
                  <w:szCs w:val="18"/>
                  <w:b w:val="1"/>
                  <w:bCs w:val="1"/>
                  <w:color w:val="0000FF"/>
                </w:rPr>
                <w:t>Other Information</w:t>
              </w:r>
            </w:hyperlink>
          </w:p>
        </w:tc>
        <w:tc>
          <w:tcPr>
            <w:tcW w:w="6940" w:type="dxa"/>
            <w:vAlign w:val="bottom"/>
            <w:gridSpan w:val="15"/>
          </w:tcPr>
          <w:p>
            <w:pPr>
              <w:spacing w:after="0"/>
              <w:rPr>
                <w:sz w:val="22"/>
                <w:szCs w:val="22"/>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9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340" w:type="dxa"/>
            <w:vAlign w:val="bottom"/>
            <w:gridSpan w:val="1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Item 6.</w:t>
            </w:r>
          </w:p>
        </w:tc>
        <w:tc>
          <w:tcPr>
            <w:tcW w:w="1440" w:type="dxa"/>
            <w:vAlign w:val="bottom"/>
            <w:gridSpan w:val="5"/>
          </w:tcPr>
          <w:p>
            <w:pPr>
              <w:spacing w:after="0"/>
              <w:rPr>
                <w:rFonts w:ascii="Arial" w:cs="Arial" w:eastAsia="Arial" w:hAnsi="Arial"/>
                <w:sz w:val="18"/>
                <w:szCs w:val="18"/>
                <w:b w:val="1"/>
                <w:bCs w:val="1"/>
                <w:color w:val="0000FF"/>
              </w:rPr>
            </w:pPr>
            <w:hyperlink w:anchor="page65">
              <w:r>
                <w:rPr>
                  <w:rFonts w:ascii="Arial" w:cs="Arial" w:eastAsia="Arial" w:hAnsi="Arial"/>
                  <w:sz w:val="18"/>
                  <w:szCs w:val="18"/>
                  <w:b w:val="1"/>
                  <w:bCs w:val="1"/>
                  <w:color w:val="0000FF"/>
                </w:rPr>
                <w:t>Exhibits</w:t>
              </w:r>
            </w:hyperlink>
          </w:p>
        </w:tc>
        <w:tc>
          <w:tcPr>
            <w:tcW w:w="7340" w:type="dxa"/>
            <w:vAlign w:val="bottom"/>
            <w:gridSpan w:val="17"/>
          </w:tcPr>
          <w:p>
            <w:pPr>
              <w:spacing w:after="0"/>
              <w:rPr>
                <w:sz w:val="22"/>
                <w:szCs w:val="22"/>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66</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9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960" w:type="dxa"/>
            <w:vAlign w:val="bottom"/>
            <w:gridSpan w:val="2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80" w:type="dxa"/>
            <w:vAlign w:val="bottom"/>
          </w:tcPr>
          <w:p>
            <w:pPr>
              <w:spacing w:after="0"/>
              <w:rPr>
                <w:sz w:val="22"/>
                <w:szCs w:val="22"/>
                <w:color w:val="auto"/>
              </w:rPr>
            </w:pPr>
          </w:p>
        </w:tc>
        <w:tc>
          <w:tcPr>
            <w:tcW w:w="8780" w:type="dxa"/>
            <w:vAlign w:val="bottom"/>
            <w:gridSpan w:val="22"/>
          </w:tcPr>
          <w:p>
            <w:pPr>
              <w:spacing w:after="0"/>
              <w:rPr>
                <w:rFonts w:ascii="Arial" w:cs="Arial" w:eastAsia="Arial" w:hAnsi="Arial"/>
                <w:sz w:val="18"/>
                <w:szCs w:val="18"/>
                <w:b w:val="1"/>
                <w:bCs w:val="1"/>
                <w:color w:val="0000FF"/>
              </w:rPr>
            </w:pPr>
            <w:hyperlink w:anchor="page66">
              <w:r>
                <w:rPr>
                  <w:rFonts w:ascii="Arial" w:cs="Arial" w:eastAsia="Arial" w:hAnsi="Arial"/>
                  <w:sz w:val="18"/>
                  <w:szCs w:val="18"/>
                  <w:b w:val="1"/>
                  <w:bCs w:val="1"/>
                  <w:color w:val="0000FF"/>
                </w:rPr>
                <w:t>Signatures</w:t>
              </w:r>
            </w:hyperlink>
          </w:p>
        </w:tc>
        <w:tc>
          <w:tcPr>
            <w:tcW w:w="1440" w:type="dxa"/>
            <w:vAlign w:val="bottom"/>
            <w:gridSpan w:val="3"/>
          </w:tcPr>
          <w:p>
            <w:pPr>
              <w:jc w:val="right"/>
              <w:spacing w:after="0"/>
              <w:rPr>
                <w:rFonts w:ascii="Arial" w:cs="Arial" w:eastAsia="Arial" w:hAnsi="Arial"/>
                <w:sz w:val="18"/>
                <w:szCs w:val="18"/>
                <w:color w:val="0000FF"/>
              </w:rPr>
            </w:pPr>
            <w:hyperlink w:anchor="page66">
              <w:r>
                <w:rPr>
                  <w:rFonts w:ascii="Arial" w:cs="Arial" w:eastAsia="Arial" w:hAnsi="Arial"/>
                  <w:sz w:val="18"/>
                  <w:szCs w:val="18"/>
                  <w:color w:val="0000FF"/>
                </w:rPr>
                <w:t>67</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229"/>
        </w:trPr>
        <w:tc>
          <w:tcPr>
            <w:tcW w:w="98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7240" w:type="dxa"/>
            <w:vAlign w:val="bottom"/>
          </w:tcPr>
          <w:p>
            <w:pPr>
              <w:jc w:val="center"/>
              <w:ind w:left="1450"/>
              <w:spacing w:after="0"/>
              <w:rPr>
                <w:sz w:val="20"/>
                <w:szCs w:val="20"/>
                <w:color w:val="auto"/>
              </w:rPr>
            </w:pPr>
            <w:r>
              <w:rPr>
                <w:rFonts w:ascii="Arial" w:cs="Arial" w:eastAsia="Arial" w:hAnsi="Arial"/>
                <w:sz w:val="18"/>
                <w:szCs w:val="18"/>
                <w:b w:val="1"/>
                <w:bCs w:val="1"/>
                <w:color w:val="auto"/>
              </w:rPr>
              <w:t>PART I. FINANCIAL INFORMATION</w:t>
            </w: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2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24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240" w:type="dxa"/>
            <w:vAlign w:val="bottom"/>
          </w:tcPr>
          <w:p>
            <w:pPr>
              <w:spacing w:after="0"/>
              <w:rPr>
                <w:sz w:val="24"/>
                <w:szCs w:val="24"/>
                <w:color w:val="auto"/>
              </w:rPr>
            </w:pPr>
          </w:p>
        </w:tc>
        <w:tc>
          <w:tcPr>
            <w:tcW w:w="7240" w:type="dxa"/>
            <w:vAlign w:val="bottom"/>
          </w:tcPr>
          <w:p>
            <w:pPr>
              <w:jc w:val="center"/>
              <w:ind w:left="1430"/>
              <w:spacing w:after="0"/>
              <w:rPr>
                <w:sz w:val="20"/>
                <w:szCs w:val="20"/>
                <w:color w:val="auto"/>
              </w:rPr>
            </w:pPr>
            <w:r>
              <w:rPr>
                <w:rFonts w:ascii="Arial" w:cs="Arial" w:eastAsia="Arial" w:hAnsi="Arial"/>
                <w:sz w:val="18"/>
                <w:szCs w:val="18"/>
                <w:b w:val="1"/>
                <w:bCs w:val="1"/>
                <w:color w:val="auto"/>
              </w:rPr>
              <w:t>AUTODESK, INC.</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7240" w:type="dxa"/>
            <w:vAlign w:val="bottom"/>
          </w:tcPr>
          <w:p>
            <w:pPr>
              <w:jc w:val="center"/>
              <w:ind w:left="145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240" w:type="dxa"/>
            <w:vAlign w:val="bottom"/>
          </w:tcPr>
          <w:p>
            <w:pPr>
              <w:jc w:val="center"/>
              <w:ind w:left="1450"/>
              <w:spacing w:after="0"/>
              <w:rPr>
                <w:sz w:val="20"/>
                <w:szCs w:val="20"/>
                <w:color w:val="auto"/>
              </w:rPr>
            </w:pPr>
            <w:r>
              <w:rPr>
                <w:rFonts w:ascii="Arial" w:cs="Arial" w:eastAsia="Arial" w:hAnsi="Arial"/>
                <w:sz w:val="18"/>
                <w:szCs w:val="18"/>
                <w:color w:val="auto"/>
                <w:w w:val="90"/>
              </w:rPr>
              <w:t>(In millions, except per share data)</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7240" w:type="dxa"/>
            <w:vAlign w:val="bottom"/>
          </w:tcPr>
          <w:p>
            <w:pPr>
              <w:jc w:val="center"/>
              <w:ind w:left="1430"/>
              <w:spacing w:after="0"/>
              <w:rPr>
                <w:sz w:val="20"/>
                <w:szCs w:val="20"/>
                <w:color w:val="auto"/>
              </w:rPr>
            </w:pPr>
            <w:r>
              <w:rPr>
                <w:rFonts w:ascii="Arial" w:cs="Arial" w:eastAsia="Arial" w:hAnsi="Arial"/>
                <w:sz w:val="18"/>
                <w:szCs w:val="18"/>
                <w:color w:val="auto"/>
                <w:w w:val="93"/>
              </w:rPr>
              <w:t>(Unaudited)</w:t>
            </w: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12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40" w:type="dxa"/>
            <w:vAlign w:val="bottom"/>
            <w:tcBorders>
              <w:bottom w:val="single" w:sz="8" w:color="CCEEFF"/>
            </w:tcBorders>
          </w:tcPr>
          <w:p>
            <w:pPr>
              <w:spacing w:after="0"/>
              <w:rPr>
                <w:sz w:val="16"/>
                <w:szCs w:val="16"/>
                <w:color w:val="auto"/>
              </w:rPr>
            </w:pPr>
          </w:p>
        </w:tc>
        <w:tc>
          <w:tcPr>
            <w:tcW w:w="7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7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40" w:type="dxa"/>
            <w:vAlign w:val="bottom"/>
          </w:tcPr>
          <w:p>
            <w:pPr>
              <w:ind w:left="360"/>
              <w:spacing w:after="0"/>
              <w:rPr>
                <w:sz w:val="20"/>
                <w:szCs w:val="20"/>
                <w:color w:val="auto"/>
              </w:rPr>
            </w:pPr>
            <w:r>
              <w:rPr>
                <w:rFonts w:ascii="Arial" w:cs="Arial" w:eastAsia="Arial" w:hAnsi="Arial"/>
                <w:sz w:val="16"/>
                <w:szCs w:val="16"/>
                <w:color w:val="auto"/>
                <w:w w:val="97"/>
              </w:rPr>
              <w:t>Subscription</w:t>
            </w:r>
          </w:p>
        </w:tc>
        <w:tc>
          <w:tcPr>
            <w:tcW w:w="7240" w:type="dxa"/>
            <w:vAlign w:val="bottom"/>
          </w:tcPr>
          <w:p>
            <w:pPr>
              <w:spacing w:after="0"/>
              <w:rPr>
                <w:sz w:val="18"/>
                <w:szCs w:val="18"/>
                <w:color w:val="auto"/>
              </w:rPr>
            </w:pP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947.5</w:t>
            </w:r>
          </w:p>
        </w:tc>
        <w:tc>
          <w:tcPr>
            <w:tcW w:w="120" w:type="dxa"/>
            <w:vAlign w:val="bottom"/>
          </w:tcPr>
          <w:p>
            <w:pPr>
              <w:spacing w:after="0"/>
              <w:rPr>
                <w:sz w:val="18"/>
                <w:szCs w:val="18"/>
                <w:color w:val="auto"/>
              </w:rPr>
            </w:pPr>
          </w:p>
        </w:tc>
        <w:tc>
          <w:tcPr>
            <w:tcW w:w="880" w:type="dxa"/>
            <w:vAlign w:val="bottom"/>
          </w:tcPr>
          <w:p>
            <w:pPr>
              <w:jc w:val="right"/>
              <w:ind w:right="701"/>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803.0</w:t>
            </w:r>
          </w:p>
        </w:tc>
        <w:tc>
          <w:tcPr>
            <w:tcW w:w="0" w:type="dxa"/>
            <w:vAlign w:val="bottom"/>
          </w:tcPr>
          <w:p>
            <w:pPr>
              <w:spacing w:after="0"/>
              <w:rPr>
                <w:sz w:val="1"/>
                <w:szCs w:val="1"/>
                <w:color w:val="auto"/>
              </w:rPr>
            </w:pPr>
          </w:p>
        </w:tc>
      </w:tr>
      <w:tr>
        <w:trPr>
          <w:trHeight w:val="219"/>
        </w:trPr>
        <w:tc>
          <w:tcPr>
            <w:tcW w:w="12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3"/>
              </w:rPr>
              <w:t>Maintenance</w:t>
            </w:r>
          </w:p>
        </w:tc>
        <w:tc>
          <w:tcPr>
            <w:tcW w:w="724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207"/>
        </w:trPr>
        <w:tc>
          <w:tcPr>
            <w:tcW w:w="8480" w:type="dxa"/>
            <w:vAlign w:val="bottom"/>
            <w:gridSpan w:val="2"/>
          </w:tcPr>
          <w:p>
            <w:pPr>
              <w:ind w:left="520"/>
              <w:spacing w:after="0"/>
              <w:rPr>
                <w:sz w:val="20"/>
                <w:szCs w:val="20"/>
                <w:color w:val="auto"/>
              </w:rPr>
            </w:pPr>
            <w:r>
              <w:rPr>
                <w:rFonts w:ascii="Arial" w:cs="Arial" w:eastAsia="Arial" w:hAnsi="Arial"/>
                <w:sz w:val="16"/>
                <w:szCs w:val="16"/>
                <w:color w:val="auto"/>
              </w:rPr>
              <w:t>Total subscription and maintenance revenue</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966.6</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865.1</w:t>
            </w:r>
          </w:p>
        </w:tc>
        <w:tc>
          <w:tcPr>
            <w:tcW w:w="0" w:type="dxa"/>
            <w:vAlign w:val="bottom"/>
          </w:tcPr>
          <w:p>
            <w:pPr>
              <w:spacing w:after="0"/>
              <w:rPr>
                <w:sz w:val="1"/>
                <w:szCs w:val="1"/>
                <w:color w:val="auto"/>
              </w:rPr>
            </w:pPr>
          </w:p>
        </w:tc>
      </w:tr>
      <w:tr>
        <w:trPr>
          <w:trHeight w:val="219"/>
        </w:trPr>
        <w:tc>
          <w:tcPr>
            <w:tcW w:w="1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724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07"/>
        </w:trPr>
        <w:tc>
          <w:tcPr>
            <w:tcW w:w="848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Total net revenue</w:t>
            </w: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989.3</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885.7</w:t>
            </w:r>
          </w:p>
        </w:tc>
        <w:tc>
          <w:tcPr>
            <w:tcW w:w="0" w:type="dxa"/>
            <w:vAlign w:val="bottom"/>
          </w:tcPr>
          <w:p>
            <w:pPr>
              <w:spacing w:after="0"/>
              <w:rPr>
                <w:sz w:val="1"/>
                <w:szCs w:val="1"/>
                <w:color w:val="auto"/>
              </w:rPr>
            </w:pPr>
          </w:p>
        </w:tc>
      </w:tr>
      <w:tr>
        <w:trPr>
          <w:trHeight w:val="199"/>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7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80" w:type="dxa"/>
            <w:vAlign w:val="bottom"/>
            <w:gridSpan w:val="2"/>
          </w:tcPr>
          <w:p>
            <w:pPr>
              <w:ind w:left="360"/>
              <w:spacing w:after="0"/>
              <w:rPr>
                <w:sz w:val="20"/>
                <w:szCs w:val="20"/>
                <w:color w:val="auto"/>
              </w:rPr>
            </w:pPr>
            <w:r>
              <w:rPr>
                <w:rFonts w:ascii="Arial" w:cs="Arial" w:eastAsia="Arial" w:hAnsi="Arial"/>
                <w:sz w:val="16"/>
                <w:szCs w:val="16"/>
                <w:color w:val="auto"/>
              </w:rPr>
              <w:t>Cost of subscription and maintenance revenue</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68.5</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19"/>
        </w:trPr>
        <w:tc>
          <w:tcPr>
            <w:tcW w:w="84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Cost of other revenue</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Amortization of developed technologies</w:t>
            </w: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3"/>
        </w:trPr>
        <w:tc>
          <w:tcPr>
            <w:tcW w:w="84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cost of revenue</w:t>
            </w: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207"/>
        </w:trPr>
        <w:tc>
          <w:tcPr>
            <w:tcW w:w="12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7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896.5</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803.8</w:t>
            </w:r>
          </w:p>
        </w:tc>
        <w:tc>
          <w:tcPr>
            <w:tcW w:w="0" w:type="dxa"/>
            <w:vAlign w:val="bottom"/>
          </w:tcPr>
          <w:p>
            <w:pPr>
              <w:spacing w:after="0"/>
              <w:rPr>
                <w:sz w:val="1"/>
                <w:szCs w:val="1"/>
                <w:color w:val="auto"/>
              </w:rPr>
            </w:pPr>
          </w:p>
        </w:tc>
      </w:tr>
      <w:tr>
        <w:trPr>
          <w:trHeight w:val="21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80" w:type="dxa"/>
            <w:vAlign w:val="bottom"/>
            <w:gridSpan w:val="2"/>
          </w:tcPr>
          <w:p>
            <w:pPr>
              <w:ind w:left="360"/>
              <w:spacing w:after="0"/>
              <w:rPr>
                <w:sz w:val="20"/>
                <w:szCs w:val="20"/>
                <w:color w:val="auto"/>
              </w:rPr>
            </w:pPr>
            <w:r>
              <w:rPr>
                <w:rFonts w:ascii="Arial" w:cs="Arial" w:eastAsia="Arial" w:hAnsi="Arial"/>
                <w:sz w:val="16"/>
                <w:szCs w:val="16"/>
                <w:color w:val="auto"/>
              </w:rPr>
              <w:t>Marketing and sales</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377.1</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341.3</w:t>
            </w:r>
          </w:p>
        </w:tc>
        <w:tc>
          <w:tcPr>
            <w:tcW w:w="0" w:type="dxa"/>
            <w:vAlign w:val="bottom"/>
          </w:tcPr>
          <w:p>
            <w:pPr>
              <w:spacing w:after="0"/>
              <w:rPr>
                <w:sz w:val="1"/>
                <w:szCs w:val="1"/>
                <w:color w:val="auto"/>
              </w:rPr>
            </w:pPr>
          </w:p>
        </w:tc>
      </w:tr>
      <w:tr>
        <w:trPr>
          <w:trHeight w:val="219"/>
        </w:trPr>
        <w:tc>
          <w:tcPr>
            <w:tcW w:w="84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265.5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217.4</w:t>
            </w:r>
          </w:p>
        </w:tc>
        <w:tc>
          <w:tcPr>
            <w:tcW w:w="0" w:type="dxa"/>
            <w:vAlign w:val="bottom"/>
          </w:tcPr>
          <w:p>
            <w:pPr>
              <w:spacing w:after="0"/>
              <w:rPr>
                <w:sz w:val="1"/>
                <w:szCs w:val="1"/>
                <w:color w:val="auto"/>
              </w:rPr>
            </w:pPr>
          </w:p>
        </w:tc>
      </w:tr>
      <w:tr>
        <w:trPr>
          <w:trHeight w:val="213"/>
        </w:trPr>
        <w:tc>
          <w:tcPr>
            <w:tcW w:w="8480" w:type="dxa"/>
            <w:vAlign w:val="bottom"/>
            <w:gridSpan w:val="2"/>
          </w:tcPr>
          <w:p>
            <w:pPr>
              <w:ind w:left="360"/>
              <w:spacing w:after="0"/>
              <w:rPr>
                <w:sz w:val="20"/>
                <w:szCs w:val="20"/>
                <w:color w:val="auto"/>
              </w:rPr>
            </w:pPr>
            <w:r>
              <w:rPr>
                <w:rFonts w:ascii="Arial" w:cs="Arial" w:eastAsia="Arial" w:hAnsi="Arial"/>
                <w:sz w:val="16"/>
                <w:szCs w:val="16"/>
                <w:color w:val="auto"/>
              </w:rPr>
              <w:t>General and administrative</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111.9</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104.8</w:t>
            </w:r>
          </w:p>
        </w:tc>
        <w:tc>
          <w:tcPr>
            <w:tcW w:w="0" w:type="dxa"/>
            <w:vAlign w:val="bottom"/>
          </w:tcPr>
          <w:p>
            <w:pPr>
              <w:spacing w:after="0"/>
              <w:rPr>
                <w:sz w:val="1"/>
                <w:szCs w:val="1"/>
                <w:color w:val="auto"/>
              </w:rPr>
            </w:pPr>
          </w:p>
        </w:tc>
      </w:tr>
      <w:tr>
        <w:trPr>
          <w:trHeight w:val="219"/>
        </w:trPr>
        <w:tc>
          <w:tcPr>
            <w:tcW w:w="84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Amortization of purchased intangibles</w:t>
            </w: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6"/>
        </w:trPr>
        <w:tc>
          <w:tcPr>
            <w:tcW w:w="848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Total operating expenses</w:t>
            </w: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762.7</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673.2</w:t>
            </w:r>
          </w:p>
        </w:tc>
        <w:tc>
          <w:tcPr>
            <w:tcW w:w="0" w:type="dxa"/>
            <w:vAlign w:val="bottom"/>
          </w:tcPr>
          <w:p>
            <w:pPr>
              <w:spacing w:after="0"/>
              <w:rPr>
                <w:sz w:val="1"/>
                <w:szCs w:val="1"/>
                <w:color w:val="auto"/>
              </w:rPr>
            </w:pPr>
          </w:p>
        </w:tc>
      </w:tr>
      <w:tr>
        <w:trPr>
          <w:trHeight w:val="213"/>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133.8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130.6</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Interest and other expense, net</w:t>
            </w: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(40.1)</w:t>
            </w:r>
          </w:p>
        </w:tc>
        <w:tc>
          <w:tcPr>
            <w:tcW w:w="0" w:type="dxa"/>
            <w:vAlign w:val="bottom"/>
          </w:tcPr>
          <w:p>
            <w:pPr>
              <w:spacing w:after="0"/>
              <w:rPr>
                <w:sz w:val="1"/>
                <w:szCs w:val="1"/>
                <w:color w:val="auto"/>
              </w:rPr>
            </w:pPr>
          </w:p>
        </w:tc>
      </w:tr>
      <w:tr>
        <w:trPr>
          <w:trHeight w:val="212"/>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131.4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Benefit (provision) for income taxes</w:t>
            </w: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(24.0)</w:t>
            </w:r>
          </w:p>
        </w:tc>
        <w:tc>
          <w:tcPr>
            <w:tcW w:w="0" w:type="dxa"/>
            <w:vAlign w:val="bottom"/>
          </w:tcPr>
          <w:p>
            <w:pPr>
              <w:spacing w:after="0"/>
              <w:rPr>
                <w:sz w:val="1"/>
                <w:szCs w:val="1"/>
                <w:color w:val="auto"/>
              </w:rPr>
            </w:pPr>
          </w:p>
        </w:tc>
      </w:tr>
      <w:tr>
        <w:trPr>
          <w:trHeight w:val="235"/>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7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155.6</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Basic net income per share</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80" w:type="dxa"/>
            <w:vAlign w:val="bottom"/>
            <w:gridSpan w:val="2"/>
            <w:vMerge w:val="continue"/>
          </w:tcPr>
          <w:p>
            <w:pPr>
              <w:spacing w:after="0"/>
              <w:rPr>
                <w:sz w:val="16"/>
                <w:szCs w:val="16"/>
                <w:color w:val="auto"/>
              </w:rPr>
            </w:pPr>
          </w:p>
        </w:tc>
        <w:tc>
          <w:tcPr>
            <w:tcW w:w="86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0.71</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Diluted net income per share</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Weighted average shares used in computing basic net income per share</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80" w:type="dxa"/>
            <w:vAlign w:val="bottom"/>
            <w:gridSpan w:val="2"/>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219.6</w:t>
            </w: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219.2</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shares used in computing diluted net income per share</w:t>
            </w:r>
          </w:p>
        </w:tc>
        <w:tc>
          <w:tcPr>
            <w:tcW w:w="8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222.0</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221.3</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440" w:type="dxa"/>
            <w:vAlign w:val="bottom"/>
            <w:tcBorders>
              <w:bottom w:val="single" w:sz="8" w:color="auto"/>
            </w:tcBorders>
          </w:tcPr>
          <w:p>
            <w:pPr>
              <w:spacing w:after="0"/>
              <w:rPr>
                <w:sz w:val="16"/>
                <w:szCs w:val="16"/>
                <w:color w:val="auto"/>
              </w:rPr>
            </w:pPr>
          </w:p>
        </w:tc>
      </w:tr>
      <w:tr>
        <w:trPr>
          <w:trHeight w:val="187"/>
        </w:trPr>
        <w:tc>
          <w:tcPr>
            <w:tcW w:w="84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r>
      <w:tr>
        <w:trPr>
          <w:trHeight w:val="211"/>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40" w:type="dxa"/>
            <w:vAlign w:val="bottom"/>
            <w:shd w:val="clear" w:color="auto" w:fill="CCEEFF"/>
          </w:tcPr>
          <w:p>
            <w:pPr>
              <w:jc w:val="right"/>
              <w:ind w:right="664"/>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155.6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Other comprehensive (loss) income, net of reclassifications: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9"/>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gain on derivative instruments (net of tax effect of $(1.7) and $(0.4), respectively)</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8440" w:type="dxa"/>
            <w:vAlign w:val="bottom"/>
          </w:tcPr>
          <w:p>
            <w:pPr>
              <w:ind w:left="220"/>
              <w:spacing w:after="0"/>
              <w:rPr>
                <w:sz w:val="20"/>
                <w:szCs w:val="20"/>
                <w:color w:val="auto"/>
              </w:rPr>
            </w:pPr>
            <w:r>
              <w:rPr>
                <w:rFonts w:ascii="Arial" w:cs="Arial" w:eastAsia="Arial" w:hAnsi="Arial"/>
                <w:sz w:val="16"/>
                <w:szCs w:val="16"/>
                <w:color w:val="auto"/>
              </w:rPr>
              <w:t>Change in net unrealized gain on available-for-sale debt securities (net of tax effect of zero and $0.1, respectively)</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9"/>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defined benefit pension items (net of tax effect of zero and zero, respectively)</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change in cumulative foreign currency translation gain (loss) (net of tax effect of $(1.8) and zero, respectively)</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(22.9)</w:t>
            </w:r>
          </w:p>
        </w:tc>
      </w:tr>
      <w:tr>
        <w:trPr>
          <w:trHeight w:val="209"/>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comprehensive income (loss)</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(18.8)</w:t>
            </w: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Total comprehensive income</w:t>
            </w:r>
          </w:p>
        </w:tc>
        <w:tc>
          <w:tcPr>
            <w:tcW w:w="840" w:type="dxa"/>
            <w:vAlign w:val="bottom"/>
            <w:tcBorders>
              <w:bottom w:val="single" w:sz="8" w:color="auto"/>
            </w:tcBorders>
          </w:tcPr>
          <w:p>
            <w:pPr>
              <w:jc w:val="right"/>
              <w:ind w:right="664"/>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179.8</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w:t>
            </w:r>
          </w:p>
        </w:tc>
      </w:tr>
      <w:tr>
        <w:trPr>
          <w:trHeight w:val="21"/>
        </w:trPr>
        <w:tc>
          <w:tcPr>
            <w:tcW w:w="8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2021</w:t>
            </w:r>
          </w:p>
        </w:tc>
        <w:tc>
          <w:tcPr>
            <w:tcW w:w="16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Arial" w:cs="Arial" w:eastAsia="Arial" w:hAnsi="Arial"/>
                <w:sz w:val="14"/>
                <w:szCs w:val="14"/>
                <w:b w:val="1"/>
                <w:bCs w:val="1"/>
                <w:color w:val="auto"/>
                <w:w w:val="98"/>
              </w:rPr>
              <w:t>January 31, 2021</w:t>
            </w:r>
          </w:p>
        </w:tc>
      </w:tr>
      <w:tr>
        <w:trPr>
          <w:trHeight w:val="202"/>
        </w:trPr>
        <w:tc>
          <w:tcPr>
            <w:tcW w:w="8020" w:type="dxa"/>
            <w:vAlign w:val="bottom"/>
            <w:tcBorders>
              <w:top w:val="single" w:sz="8" w:color="CCEEFF"/>
            </w:tcBorders>
            <w:shd w:val="clear" w:color="auto" w:fill="CCEEFF"/>
          </w:tcPr>
          <w:p>
            <w:pPr>
              <w:ind w:left="370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1,772.2</w:t>
            </w:r>
          </w:p>
        </w:tc>
      </w:tr>
      <w:tr>
        <w:trPr>
          <w:trHeight w:val="213"/>
        </w:trPr>
        <w:tc>
          <w:tcPr>
            <w:tcW w:w="8020" w:type="dxa"/>
            <w:vAlign w:val="bottom"/>
          </w:tcPr>
          <w:p>
            <w:pPr>
              <w:ind w:left="360"/>
              <w:spacing w:after="0"/>
              <w:rPr>
                <w:sz w:val="20"/>
                <w:szCs w:val="20"/>
                <w:color w:val="auto"/>
              </w:rPr>
            </w:pPr>
            <w:r>
              <w:rPr>
                <w:rFonts w:ascii="Arial" w:cs="Arial" w:eastAsia="Arial" w:hAnsi="Arial"/>
                <w:sz w:val="16"/>
                <w:szCs w:val="16"/>
                <w:color w:val="auto"/>
              </w:rPr>
              <w:t>Marketable securities</w:t>
            </w:r>
          </w:p>
        </w:tc>
        <w:tc>
          <w:tcPr>
            <w:tcW w:w="2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9"/>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643.1</w:t>
            </w:r>
          </w:p>
        </w:tc>
      </w:tr>
      <w:tr>
        <w:trPr>
          <w:trHeight w:val="21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w:t>
            </w:r>
          </w:p>
        </w:tc>
      </w:tr>
      <w:tr>
        <w:trPr>
          <w:trHeight w:val="213"/>
        </w:trPr>
        <w:tc>
          <w:tcPr>
            <w:tcW w:w="8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2,625.5</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197.3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192.8</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416.7</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Developed technologies, net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88.6</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3,484.0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2,706.5</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Deferred income taxes, net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763.1</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792.5</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486.6</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7,298.3</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7,279.8</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6"/>
        </w:trPr>
        <w:tc>
          <w:tcPr>
            <w:tcW w:w="8020" w:type="dxa"/>
            <w:vAlign w:val="bottom"/>
            <w:shd w:val="clear" w:color="auto" w:fill="CCEEFF"/>
          </w:tcPr>
          <w:p>
            <w:pPr>
              <w:ind w:left="226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w:t>
            </w:r>
          </w:p>
        </w:tc>
      </w:tr>
      <w:tr>
        <w:trPr>
          <w:trHeight w:val="213"/>
        </w:trPr>
        <w:tc>
          <w:tcPr>
            <w:tcW w:w="8020" w:type="dxa"/>
            <w:vAlign w:val="bottom"/>
          </w:tcPr>
          <w:p>
            <w:pPr>
              <w:ind w:left="360"/>
              <w:spacing w:after="0"/>
              <w:rPr>
                <w:sz w:val="20"/>
                <w:szCs w:val="20"/>
                <w:color w:val="auto"/>
              </w:rPr>
            </w:pPr>
            <w:r>
              <w:rPr>
                <w:rFonts w:ascii="Arial" w:cs="Arial" w:eastAsia="Arial" w:hAnsi="Arial"/>
                <w:sz w:val="16"/>
                <w:szCs w:val="16"/>
                <w:color w:val="auto"/>
              </w:rPr>
              <w:t>Accrued compensation</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322.6</w:t>
            </w:r>
          </w:p>
        </w:tc>
      </w:tr>
      <w:tr>
        <w:trPr>
          <w:trHeight w:val="219"/>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income taxes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r>
      <w:tr>
        <w:trPr>
          <w:trHeight w:val="213"/>
        </w:trPr>
        <w:tc>
          <w:tcPr>
            <w:tcW w:w="8020" w:type="dxa"/>
            <w:vAlign w:val="bottom"/>
          </w:tcPr>
          <w:p>
            <w:pPr>
              <w:ind w:left="36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2,540.7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2,500.9</w:t>
            </w:r>
          </w:p>
        </w:tc>
      </w:tr>
      <w:tr>
        <w:trPr>
          <w:trHeight w:val="219"/>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r>
      <w:tr>
        <w:trPr>
          <w:trHeight w:val="21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accrued liabilities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194.7</w:t>
            </w:r>
          </w:p>
        </w:tc>
      </w:tr>
      <w:tr>
        <w:trPr>
          <w:trHeight w:val="213"/>
        </w:trPr>
        <w:tc>
          <w:tcPr>
            <w:tcW w:w="8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3,130.1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3,254.7</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Long-term deferred revenue</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804.3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859.3</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Long-term income taxes payable</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deferred income taxes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Long-term notes payable, net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1,637.9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1,637.2</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other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Common stock and additional paid-in capital</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2,578.9</w:t>
            </w:r>
          </w:p>
        </w:tc>
      </w:tr>
      <w:tr>
        <w:trPr>
          <w:trHeight w:val="213"/>
        </w:trPr>
        <w:tc>
          <w:tcPr>
            <w:tcW w:w="8020" w:type="dxa"/>
            <w:vAlign w:val="bottom"/>
          </w:tcPr>
          <w:p>
            <w:pPr>
              <w:ind w:left="36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(125.9)</w:t>
            </w:r>
          </w:p>
        </w:tc>
      </w:tr>
      <w:tr>
        <w:trPr>
          <w:trHeight w:val="219"/>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(1,409.3)</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(1,487.5)</w:t>
            </w:r>
          </w:p>
        </w:tc>
      </w:tr>
      <w:tr>
        <w:trPr>
          <w:trHeight w:val="207"/>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1,128.4</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965.5</w:t>
            </w:r>
          </w:p>
        </w:tc>
      </w:tr>
      <w:tr>
        <w:trPr>
          <w:trHeight w:val="23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7,298.3</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7,279.8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600" w:type="dxa"/>
            <w:vAlign w:val="bottom"/>
            <w:tcBorders>
              <w:bottom w:val="single" w:sz="8" w:color="auto"/>
            </w:tcBorders>
          </w:tcPr>
          <w:p>
            <w:pPr>
              <w:spacing w:after="0"/>
              <w:rPr>
                <w:sz w:val="16"/>
                <w:szCs w:val="16"/>
                <w:color w:val="auto"/>
              </w:rPr>
            </w:pPr>
          </w:p>
        </w:tc>
      </w:tr>
      <w:tr>
        <w:trPr>
          <w:trHeight w:val="187"/>
        </w:trPr>
        <w:tc>
          <w:tcPr>
            <w:tcW w:w="79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r>
      <w:tr>
        <w:trPr>
          <w:trHeight w:val="19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155.6</w:t>
            </w:r>
          </w:p>
        </w:tc>
        <w:tc>
          <w:tcPr>
            <w:tcW w:w="120" w:type="dxa"/>
            <w:vAlign w:val="bottom"/>
          </w:tcPr>
          <w:p>
            <w:pPr>
              <w:spacing w:after="0"/>
              <w:rPr>
                <w:sz w:val="18"/>
                <w:szCs w:val="18"/>
                <w:color w:val="auto"/>
              </w:rPr>
            </w:pP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66.5</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3"/>
        </w:trPr>
        <w:tc>
          <w:tcPr>
            <w:tcW w:w="7980" w:type="dxa"/>
            <w:vAlign w:val="bottom"/>
          </w:tcPr>
          <w:p>
            <w:pPr>
              <w:ind w:left="360"/>
              <w:spacing w:after="0"/>
              <w:rPr>
                <w:sz w:val="20"/>
                <w:szCs w:val="20"/>
                <w:color w:val="auto"/>
              </w:rPr>
            </w:pPr>
            <w:r>
              <w:rPr>
                <w:rFonts w:ascii="Arial" w:cs="Arial" w:eastAsia="Arial" w:hAnsi="Arial"/>
                <w:sz w:val="16"/>
                <w:szCs w:val="16"/>
                <w:color w:val="auto"/>
              </w:rPr>
              <w:t>Depreciation, amortization and accretion</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9"/>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 expense</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r>
      <w:tr>
        <w:trPr>
          <w:trHeight w:val="213"/>
        </w:trPr>
        <w:tc>
          <w:tcPr>
            <w:tcW w:w="798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9"/>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business combinations:</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9"/>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w:t>
            </w:r>
          </w:p>
        </w:tc>
      </w:tr>
      <w:tr>
        <w:trPr>
          <w:trHeight w:val="213"/>
        </w:trPr>
        <w:tc>
          <w:tcPr>
            <w:tcW w:w="7980" w:type="dxa"/>
            <w:vAlign w:val="bottom"/>
          </w:tcPr>
          <w:p>
            <w:pPr>
              <w:ind w:left="360"/>
              <w:spacing w:after="0"/>
              <w:rPr>
                <w:sz w:val="20"/>
                <w:szCs w:val="20"/>
                <w:color w:val="auto"/>
              </w:rPr>
            </w:pPr>
            <w:r>
              <w:rPr>
                <w:rFonts w:ascii="Arial" w:cs="Arial" w:eastAsia="Arial" w:hAnsi="Arial"/>
                <w:sz w:val="16"/>
                <w:szCs w:val="16"/>
                <w:color w:val="auto"/>
              </w:rPr>
              <w:t>Prepaid expenses and other assets</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(125.6)</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(47.5)</w:t>
            </w:r>
          </w:p>
        </w:tc>
      </w:tr>
      <w:tr>
        <w:trPr>
          <w:trHeight w:val="219"/>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and other liabilities</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w:t>
            </w:r>
          </w:p>
        </w:tc>
      </w:tr>
      <w:tr>
        <w:trPr>
          <w:trHeight w:val="213"/>
        </w:trPr>
        <w:tc>
          <w:tcPr>
            <w:tcW w:w="7980" w:type="dxa"/>
            <w:vAlign w:val="bottom"/>
          </w:tcPr>
          <w:p>
            <w:pPr>
              <w:ind w:left="360"/>
              <w:spacing w:after="0"/>
              <w:rPr>
                <w:sz w:val="20"/>
                <w:szCs w:val="20"/>
                <w:color w:val="auto"/>
              </w:rPr>
            </w:pPr>
            <w:r>
              <w:rPr>
                <w:rFonts w:ascii="Arial" w:cs="Arial" w:eastAsia="Arial" w:hAnsi="Arial"/>
                <w:sz w:val="16"/>
                <w:szCs w:val="16"/>
                <w:color w:val="auto"/>
              </w:rPr>
              <w:t>Deferred revenue</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income taxes</w:t>
            </w: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07"/>
        </w:trPr>
        <w:tc>
          <w:tcPr>
            <w:tcW w:w="798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Net cash provided by operating activities</w:t>
            </w: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336.1</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327.3</w:t>
            </w:r>
          </w:p>
        </w:tc>
      </w:tr>
      <w:tr>
        <w:trPr>
          <w:trHeight w:val="19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3"/>
        </w:trPr>
        <w:tc>
          <w:tcPr>
            <w:tcW w:w="7980" w:type="dxa"/>
            <w:vAlign w:val="bottom"/>
          </w:tcPr>
          <w:p>
            <w:pPr>
              <w:ind w:left="360"/>
              <w:spacing w:after="0"/>
              <w:rPr>
                <w:sz w:val="20"/>
                <w:szCs w:val="20"/>
                <w:color w:val="auto"/>
              </w:rPr>
            </w:pPr>
            <w:r>
              <w:rPr>
                <w:rFonts w:ascii="Arial" w:cs="Arial" w:eastAsia="Arial" w:hAnsi="Arial"/>
                <w:sz w:val="16"/>
                <w:szCs w:val="16"/>
                <w:color w:val="auto"/>
              </w:rPr>
              <w:t>Purchases of marketable securities</w:t>
            </w:r>
          </w:p>
        </w:tc>
        <w:tc>
          <w:tcPr>
            <w:tcW w:w="9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9"/>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and maturities of marketable securities</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8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19"/>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developed technologies</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3"/>
        </w:trPr>
        <w:tc>
          <w:tcPr>
            <w:tcW w:w="7980" w:type="dxa"/>
            <w:vAlign w:val="bottom"/>
          </w:tcPr>
          <w:p>
            <w:pPr>
              <w:ind w:left="360"/>
              <w:spacing w:after="0"/>
              <w:rPr>
                <w:sz w:val="20"/>
                <w:szCs w:val="20"/>
                <w:color w:val="auto"/>
              </w:rPr>
            </w:pPr>
            <w:r>
              <w:rPr>
                <w:rFonts w:ascii="Arial" w:cs="Arial" w:eastAsia="Arial" w:hAnsi="Arial"/>
                <w:sz w:val="16"/>
                <w:szCs w:val="16"/>
                <w:color w:val="auto"/>
              </w:rPr>
              <w:t>Business combinations, net of cash acquired</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0"/>
              </w:rPr>
              <w:t>(1,031.6)</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investing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w:t>
            </w:r>
          </w:p>
        </w:tc>
      </w:tr>
      <w:tr>
        <w:trPr>
          <w:trHeight w:val="206"/>
        </w:trPr>
        <w:tc>
          <w:tcPr>
            <w:tcW w:w="798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Net cash used in investing activities</w:t>
            </w: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(1,040.4)</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w:t>
            </w:r>
          </w:p>
        </w:tc>
      </w:tr>
      <w:tr>
        <w:trPr>
          <w:trHeight w:val="19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3"/>
        </w:trPr>
        <w:tc>
          <w:tcPr>
            <w:tcW w:w="7980" w:type="dxa"/>
            <w:vAlign w:val="bottom"/>
          </w:tcPr>
          <w:p>
            <w:pPr>
              <w:ind w:left="360"/>
              <w:spacing w:after="0"/>
              <w:rPr>
                <w:sz w:val="20"/>
                <w:szCs w:val="20"/>
                <w:color w:val="auto"/>
              </w:rPr>
            </w:pPr>
            <w:r>
              <w:rPr>
                <w:rFonts w:ascii="Arial" w:cs="Arial" w:eastAsia="Arial" w:hAnsi="Arial"/>
                <w:sz w:val="16"/>
                <w:szCs w:val="16"/>
                <w:color w:val="auto"/>
              </w:rPr>
              <w:t>Proceeds from issuance of common stock, net of issuance costs</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64.2</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56.8</w:t>
            </w:r>
          </w:p>
        </w:tc>
      </w:tr>
      <w:tr>
        <w:trPr>
          <w:trHeight w:val="219"/>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 paid related to net share settlement of equity awards</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13"/>
        </w:trPr>
        <w:tc>
          <w:tcPr>
            <w:tcW w:w="7980" w:type="dxa"/>
            <w:vAlign w:val="bottom"/>
          </w:tcPr>
          <w:p>
            <w:pPr>
              <w:ind w:left="360"/>
              <w:spacing w:after="0"/>
              <w:rPr>
                <w:sz w:val="20"/>
                <w:szCs w:val="20"/>
                <w:color w:val="auto"/>
              </w:rPr>
            </w:pPr>
            <w:r>
              <w:rPr>
                <w:rFonts w:ascii="Arial" w:cs="Arial" w:eastAsia="Arial" w:hAnsi="Arial"/>
                <w:sz w:val="16"/>
                <w:szCs w:val="16"/>
                <w:color w:val="auto"/>
              </w:rPr>
              <w:t>Repurchases of common stock</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(151.4)</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(202.0)</w:t>
            </w:r>
          </w:p>
        </w:tc>
      </w:tr>
      <w:tr>
        <w:trPr>
          <w:trHeight w:val="219"/>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 of debt</w:t>
            </w:r>
          </w:p>
        </w:tc>
        <w:tc>
          <w:tcPr>
            <w:tcW w:w="9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r>
      <w:tr>
        <w:trPr>
          <w:trHeight w:val="213"/>
        </w:trPr>
        <w:tc>
          <w:tcPr>
            <w:tcW w:w="7980" w:type="dxa"/>
            <w:vAlign w:val="bottom"/>
          </w:tcPr>
          <w:p>
            <w:pPr>
              <w:ind w:left="360"/>
              <w:spacing w:after="0"/>
              <w:rPr>
                <w:sz w:val="20"/>
                <w:szCs w:val="20"/>
                <w:color w:val="auto"/>
              </w:rPr>
            </w:pPr>
            <w:r>
              <w:rPr>
                <w:rFonts w:ascii="Arial" w:cs="Arial" w:eastAsia="Arial" w:hAnsi="Arial"/>
                <w:sz w:val="16"/>
                <w:szCs w:val="16"/>
                <w:color w:val="auto"/>
              </w:rPr>
              <w:t>Other financing activities</w:t>
            </w:r>
          </w:p>
        </w:tc>
        <w:tc>
          <w:tcPr>
            <w:tcW w:w="9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2"/>
        </w:trPr>
        <w:tc>
          <w:tcPr>
            <w:tcW w:w="7980" w:type="dxa"/>
            <w:vAlign w:val="bottom"/>
            <w:tcBorders>
              <w:top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financing activities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(630.2)</w:t>
            </w:r>
          </w:p>
        </w:tc>
      </w:tr>
      <w:tr>
        <w:trPr>
          <w:trHeight w:val="20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(385.0)</w:t>
            </w: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1,772.2</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1,774.7</w:t>
            </w:r>
          </w:p>
        </w:tc>
      </w:tr>
      <w:tr>
        <w:trPr>
          <w:trHeight w:val="23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923.2</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1,389.7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7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disclosure:</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Non-cash financing activities:</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9"/>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Fair value of common stock issued to settle liability-classified restricted stock units</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r>
      <w:tr>
        <w:trPr>
          <w:trHeight w:val="210"/>
        </w:trPr>
        <w:tc>
          <w:tcPr>
            <w:tcW w:w="7980" w:type="dxa"/>
            <w:vAlign w:val="bottom"/>
          </w:tcPr>
          <w:p>
            <w:pPr>
              <w:ind w:left="360"/>
              <w:spacing w:after="0"/>
              <w:rPr>
                <w:sz w:val="20"/>
                <w:szCs w:val="20"/>
                <w:color w:val="auto"/>
              </w:rPr>
            </w:pPr>
            <w:r>
              <w:rPr>
                <w:rFonts w:ascii="Arial" w:cs="Arial" w:eastAsia="Arial" w:hAnsi="Arial"/>
                <w:sz w:val="16"/>
                <w:szCs w:val="16"/>
                <w:color w:val="auto"/>
              </w:rPr>
              <w:t>Fair value of common stock issued related to business combination (See Note 8)</w:t>
            </w: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Basis of Presentation</w:t>
      </w:r>
    </w:p>
    <w:p>
      <w:pPr>
        <w:spacing w:after="0" w:line="252"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The accompanying unaudited Condensed Consolidated Financial Statements of Autodesk, Inc. (“Autodesk,” “we,” “us,” “our,” or the “Company”) as of April 30, 2021, and for the three months ended April 30, 2021 and 2020,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March 2020, the World Health Organization declared the outbreak of a disease caused by a novel strain of the coronavirus (COVID-19) to be a pandemic. This pandemic has created and may continue to create significant uncertainty in the macroeconomic environment which, in addition to other unforeseen effects of this pandemic, may adversely impact our results of operations. As the COVID-19 pandemic continues to develop, many of our estimates could require increased judgment and carry a higher degree of variability and volatility. As events continue to evolve our estimates may change materially in future periods. In addition, the results of operations for the three months ended April 30, 2021, are not necessarily indicative of the results for the entire fiscal year ending January 31, 2022, or for any other period. Further, the balance sheet as of January 31, 2021, has been derived from the audited Consolidated Balance Sheet as of this date. There have been no material changes, other than what is discussed herein, to Autodesk's significant accounting policies as compared to the significant accounting policies disclosed in the Annual Report on Form 10-K for the fiscal year ended January 31, 2021.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2021, filed on March 19,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presentation and immaterial correction of an error</w:t>
      </w:r>
    </w:p>
    <w:p>
      <w:pPr>
        <w:spacing w:after="0" w:line="252"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During the quarter ended April 30, 2021, the Company changed its presentation on the Condensed Consolidated Balance Sheets for investments in debt and equity securities that are held in a rabbi trust under non-qualified deferred compensation plans, including correcting the classification as current and non-current assets. These amounts were previously presented as current "Marketable securities" and are now presented as “Prepaid expenses and other current assets” and “Long-term other assets” on the Condensed Consolidated Balance Sheets. Accordingly, prior period amounts have been reclassified to conform to the current period presentation. These presentation and classification changes did not impact “Total assets” on the Condensed Consolidated Balance Sheets and had no impact on the Company's Condensed Consolidated Statements of Operations, Condensed Consolidated Statements of Comprehensive Income and Condensed Consolidated Statement of Cash Flows.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the changes on the Consolidated Balance Sheets as of January 31, 2021,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ind w:left="20"/>
              <w:spacing w:after="0"/>
              <w:rPr>
                <w:sz w:val="20"/>
                <w:szCs w:val="20"/>
                <w:color w:val="auto"/>
              </w:rPr>
            </w:pPr>
            <w:r>
              <w:rPr>
                <w:rFonts w:ascii="Arial" w:cs="Arial" w:eastAsia="Arial" w:hAnsi="Arial"/>
                <w:sz w:val="14"/>
                <w:szCs w:val="14"/>
                <w:b w:val="1"/>
                <w:bCs w:val="1"/>
                <w:color w:val="auto"/>
              </w:rPr>
              <w:t>As Reported January 31,</w:t>
            </w:r>
          </w:p>
        </w:tc>
        <w:tc>
          <w:tcPr>
            <w:tcW w:w="180" w:type="dxa"/>
            <w:vAlign w:val="bottom"/>
          </w:tcPr>
          <w:p>
            <w:pPr>
              <w:spacing w:after="0"/>
              <w:rPr>
                <w:sz w:val="14"/>
                <w:szCs w:val="1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Effect of Changes in</w:t>
            </w:r>
          </w:p>
        </w:tc>
        <w:tc>
          <w:tcPr>
            <w:tcW w:w="120" w:type="dxa"/>
            <w:vAlign w:val="bottom"/>
          </w:tcPr>
          <w:p>
            <w:pPr>
              <w:spacing w:after="0"/>
              <w:rPr>
                <w:sz w:val="14"/>
                <w:szCs w:val="14"/>
                <w:color w:val="auto"/>
              </w:rPr>
            </w:pPr>
          </w:p>
        </w:tc>
        <w:tc>
          <w:tcPr>
            <w:tcW w:w="1680" w:type="dxa"/>
            <w:vAlign w:val="bottom"/>
          </w:tcPr>
          <w:p>
            <w:pPr>
              <w:jc w:val="right"/>
              <w:ind w:right="62"/>
              <w:spacing w:after="0"/>
              <w:rPr>
                <w:sz w:val="20"/>
                <w:szCs w:val="20"/>
                <w:color w:val="auto"/>
              </w:rPr>
            </w:pPr>
            <w:r>
              <w:rPr>
                <w:rFonts w:ascii="Arial" w:cs="Arial" w:eastAsia="Arial" w:hAnsi="Arial"/>
                <w:sz w:val="14"/>
                <w:szCs w:val="14"/>
                <w:b w:val="1"/>
                <w:bCs w:val="1"/>
                <w:color w:val="auto"/>
                <w:w w:val="93"/>
              </w:rPr>
              <w:t>As Adjusted January 31,</w:t>
            </w:r>
          </w:p>
        </w:tc>
      </w:tr>
      <w:tr>
        <w:trPr>
          <w:trHeight w:val="188"/>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ind w:right="68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Presentation</w:t>
            </w:r>
          </w:p>
        </w:tc>
        <w:tc>
          <w:tcPr>
            <w:tcW w:w="120" w:type="dxa"/>
            <w:vAlign w:val="bottom"/>
          </w:tcPr>
          <w:p>
            <w:pPr>
              <w:spacing w:after="0"/>
              <w:rPr>
                <w:sz w:val="16"/>
                <w:szCs w:val="16"/>
                <w:color w:val="auto"/>
              </w:rPr>
            </w:pPr>
          </w:p>
        </w:tc>
        <w:tc>
          <w:tcPr>
            <w:tcW w:w="1680" w:type="dxa"/>
            <w:vAlign w:val="bottom"/>
          </w:tcPr>
          <w:p>
            <w:pPr>
              <w:jc w:val="right"/>
              <w:ind w:right="682"/>
              <w:spacing w:after="0"/>
              <w:rPr>
                <w:sz w:val="20"/>
                <w:szCs w:val="20"/>
                <w:color w:val="auto"/>
              </w:rPr>
            </w:pPr>
            <w:r>
              <w:rPr>
                <w:rFonts w:ascii="Arial" w:cs="Arial" w:eastAsia="Arial" w:hAnsi="Arial"/>
                <w:sz w:val="14"/>
                <w:szCs w:val="14"/>
                <w:b w:val="1"/>
                <w:bCs w:val="1"/>
                <w:color w:val="auto"/>
              </w:rPr>
              <w:t>2021</w:t>
            </w:r>
          </w:p>
        </w:tc>
      </w:tr>
      <w:tr>
        <w:trPr>
          <w:trHeight w:val="211"/>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Prepaid and other current assets</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198.9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206.2</w:t>
            </w: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other assets</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486.6</w:t>
            </w: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2,699.2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2,625.5</w:t>
            </w: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7,279.8</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Recently Issued Accounting Standards</w:t>
      </w:r>
    </w:p>
    <w:p>
      <w:pPr>
        <w:spacing w:after="0" w:line="252" w:lineRule="exact"/>
        <w:rPr>
          <w:sz w:val="20"/>
          <w:szCs w:val="20"/>
          <w:color w:val="auto"/>
        </w:rPr>
      </w:pPr>
    </w:p>
    <w:p>
      <w:pPr>
        <w:ind w:right="200" w:firstLine="445"/>
        <w:spacing w:after="0" w:line="342" w:lineRule="auto"/>
        <w:rPr>
          <w:sz w:val="20"/>
          <w:szCs w:val="20"/>
          <w:color w:val="auto"/>
        </w:rPr>
      </w:pPr>
      <w:r>
        <w:rPr>
          <w:rFonts w:ascii="Arial" w:cs="Arial" w:eastAsia="Arial" w:hAnsi="Arial"/>
          <w:sz w:val="16"/>
          <w:szCs w:val="16"/>
          <w:color w:val="auto"/>
        </w:rPr>
        <w:t>With the exception of those discussed below, there have been no recent changes in accounting pronouncements issued by the Financial Accounting Standards Board (“FASB”) or adopted by the Company during the three months ended April 30, 2021, that are applicable to the Company.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auto"/>
        </w:rPr>
        <w:t>Recently issued accounting standards not yet adopted</w:t>
      </w:r>
    </w:p>
    <w:p>
      <w:pPr>
        <w:spacing w:after="0" w:line="252"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 March 2020, FASB issued ASU No. 2020-04, “Reference Rate Reform (Topic 848): Facilitation of the Effects of Reference Rate Reform on Financial Reporting” (“ASU No. 2020-04”), which provides optional expedients and exceptions for applying GAAP to contracts, hedging relationships, and other transactions affected by reference rate reform if certain criteria are met. The amendments apply only to contracts, hedging relationships, and other transactions that reference LIBOR or another reference rate expected to be discontinued because of reference rate reform. The amendments are effective for all entities as of March 12, 2020, through December 31, 2022. The expedients and exceptions provided by the amendments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Autodesk will apply the expedients in ASU No. 2020-04 through December 31, 2022. Autodesk does not believe ASU No. 2020-04 will have a material impact on its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Revenue Recognition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Disaggregation</w:t>
      </w:r>
    </w:p>
    <w:p>
      <w:pPr>
        <w:spacing w:after="0" w:line="252" w:lineRule="exact"/>
        <w:rPr>
          <w:sz w:val="20"/>
          <w:szCs w:val="20"/>
          <w:color w:val="auto"/>
        </w:rPr>
      </w:pPr>
    </w:p>
    <w:p>
      <w:pPr>
        <w:ind w:right="240" w:firstLine="445"/>
        <w:spacing w:after="0" w:line="311" w:lineRule="auto"/>
        <w:rPr>
          <w:sz w:val="20"/>
          <w:szCs w:val="20"/>
          <w:color w:val="auto"/>
        </w:rPr>
      </w:pPr>
      <w:r>
        <w:rPr>
          <w:rFonts w:ascii="Arial" w:cs="Arial" w:eastAsia="Arial" w:hAnsi="Arial"/>
          <w:sz w:val="16"/>
          <w:szCs w:val="16"/>
          <w:color w:val="auto"/>
        </w:rPr>
        <w:t>Autodesk recognizes revenue from the sale of (1) product subscriptions, cloud service offerings, and enterprise business agreements (“EBAs”), (2) renewal fees for existing maintenance plan agreements that were initially purchased with a perpetual software license, and (3) consulting, training, and other goods and services. The three categories are presented as line items on Autodesk's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ind w:right="600" w:firstLine="445"/>
        <w:spacing w:after="0" w:line="277" w:lineRule="auto"/>
        <w:rPr>
          <w:sz w:val="20"/>
          <w:szCs w:val="20"/>
          <w:color w:val="auto"/>
        </w:rPr>
      </w:pPr>
      <w:r>
        <w:rPr>
          <w:rFonts w:ascii="Arial" w:cs="Arial" w:eastAsia="Arial" w:hAnsi="Arial"/>
          <w:sz w:val="18"/>
          <w:szCs w:val="18"/>
          <w:color w:val="auto"/>
        </w:rPr>
        <w:t>Information regarding the components of Autodesk's net revenue from contracts with customers by product family, geographic location, sales channel, and product type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2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440" w:type="dxa"/>
            <w:vAlign w:val="bottom"/>
            <w:tcBorders>
              <w:bottom w:val="single" w:sz="8" w:color="auto"/>
            </w:tcBorders>
          </w:tcPr>
          <w:p>
            <w:pPr>
              <w:spacing w:after="0"/>
              <w:rPr>
                <w:sz w:val="16"/>
                <w:szCs w:val="16"/>
                <w:color w:val="auto"/>
              </w:rPr>
            </w:pPr>
          </w:p>
        </w:tc>
      </w:tr>
      <w:tr>
        <w:trPr>
          <w:trHeight w:val="187"/>
        </w:trPr>
        <w:tc>
          <w:tcPr>
            <w:tcW w:w="84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r>
      <w:tr>
        <w:trPr>
          <w:trHeight w:val="197"/>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 by product family:</w:t>
            </w: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3"/>
        </w:trPr>
        <w:tc>
          <w:tcPr>
            <w:tcW w:w="8460" w:type="dxa"/>
            <w:vAlign w:val="bottom"/>
          </w:tcPr>
          <w:p>
            <w:pPr>
              <w:ind w:left="360"/>
              <w:spacing w:after="0"/>
              <w:rPr>
                <w:sz w:val="20"/>
                <w:szCs w:val="20"/>
                <w:color w:val="auto"/>
              </w:rPr>
            </w:pPr>
            <w:r>
              <w:rPr>
                <w:rFonts w:ascii="Arial" w:cs="Arial" w:eastAsia="Arial" w:hAnsi="Arial"/>
                <w:sz w:val="16"/>
                <w:szCs w:val="16"/>
                <w:color w:val="auto"/>
              </w:rPr>
              <w:t>Architecture, Engineering and Construction</w:t>
            </w:r>
          </w:p>
        </w:tc>
        <w:tc>
          <w:tcPr>
            <w:tcW w:w="860" w:type="dxa"/>
            <w:vAlign w:val="bottom"/>
          </w:tcPr>
          <w:p>
            <w:pPr>
              <w:jc w:val="right"/>
              <w:ind w:right="681"/>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442.6</w:t>
            </w:r>
          </w:p>
        </w:tc>
        <w:tc>
          <w:tcPr>
            <w:tcW w:w="100" w:type="dxa"/>
            <w:vAlign w:val="bottom"/>
          </w:tcPr>
          <w:p>
            <w:pPr>
              <w:spacing w:after="0"/>
              <w:rPr>
                <w:sz w:val="18"/>
                <w:szCs w:val="18"/>
                <w:color w:val="auto"/>
              </w:rPr>
            </w:pPr>
          </w:p>
        </w:tc>
        <w:tc>
          <w:tcPr>
            <w:tcW w:w="900" w:type="dxa"/>
            <w:vAlign w:val="bottom"/>
          </w:tcPr>
          <w:p>
            <w:pPr>
              <w:jc w:val="right"/>
              <w:ind w:right="720"/>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382.7</w:t>
            </w:r>
          </w:p>
        </w:tc>
      </w:tr>
      <w:tr>
        <w:trPr>
          <w:trHeight w:val="219"/>
        </w:trPr>
        <w:tc>
          <w:tcPr>
            <w:tcW w:w="8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AutoCAD and AutoCAD LT</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285.1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262.2</w:t>
            </w:r>
          </w:p>
        </w:tc>
      </w:tr>
      <w:tr>
        <w:trPr>
          <w:trHeight w:val="213"/>
        </w:trPr>
        <w:tc>
          <w:tcPr>
            <w:tcW w:w="8460" w:type="dxa"/>
            <w:vAlign w:val="bottom"/>
          </w:tcPr>
          <w:p>
            <w:pPr>
              <w:ind w:left="360"/>
              <w:spacing w:after="0"/>
              <w:rPr>
                <w:sz w:val="20"/>
                <w:szCs w:val="20"/>
                <w:color w:val="auto"/>
              </w:rPr>
            </w:pPr>
            <w:r>
              <w:rPr>
                <w:rFonts w:ascii="Arial" w:cs="Arial" w:eastAsia="Arial" w:hAnsi="Arial"/>
                <w:sz w:val="16"/>
                <w:szCs w:val="16"/>
                <w:color w:val="auto"/>
              </w:rPr>
              <w:t>Manufacturing</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197.3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182.9</w:t>
            </w:r>
          </w:p>
        </w:tc>
      </w:tr>
      <w:tr>
        <w:trPr>
          <w:trHeight w:val="219"/>
        </w:trPr>
        <w:tc>
          <w:tcPr>
            <w:tcW w:w="8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Media and Entertainment</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r>
      <w:tr>
        <w:trPr>
          <w:trHeight w:val="213"/>
        </w:trPr>
        <w:tc>
          <w:tcPr>
            <w:tcW w:w="84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34"/>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w:t>
            </w: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989.3</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20"/>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885.7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8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 by geographic area:</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3"/>
        </w:trPr>
        <w:tc>
          <w:tcPr>
            <w:tcW w:w="8460" w:type="dxa"/>
            <w:vAlign w:val="bottom"/>
          </w:tcPr>
          <w:p>
            <w:pPr>
              <w:ind w:left="360"/>
              <w:spacing w:after="0"/>
              <w:rPr>
                <w:sz w:val="20"/>
                <w:szCs w:val="20"/>
                <w:color w:val="auto"/>
              </w:rPr>
            </w:pPr>
            <w:r>
              <w:rPr>
                <w:rFonts w:ascii="Arial" w:cs="Arial" w:eastAsia="Arial" w:hAnsi="Arial"/>
                <w:sz w:val="16"/>
                <w:szCs w:val="16"/>
                <w:color w:val="auto"/>
              </w:rPr>
              <w:t>Americas</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9"/>
        </w:trPr>
        <w:tc>
          <w:tcPr>
            <w:tcW w:w="84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U.S.</w:t>
            </w: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324.0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0"/>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300.6</w:t>
            </w:r>
          </w:p>
        </w:tc>
      </w:tr>
      <w:tr>
        <w:trPr>
          <w:trHeight w:val="213"/>
        </w:trPr>
        <w:tc>
          <w:tcPr>
            <w:tcW w:w="84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 Americas</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w:t>
            </w:r>
          </w:p>
        </w:tc>
      </w:tr>
      <w:tr>
        <w:trPr>
          <w:trHeight w:val="213"/>
        </w:trPr>
        <w:tc>
          <w:tcPr>
            <w:tcW w:w="8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Americas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391.7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362.2</w:t>
            </w:r>
          </w:p>
        </w:tc>
      </w:tr>
      <w:tr>
        <w:trPr>
          <w:trHeight w:val="213"/>
        </w:trPr>
        <w:tc>
          <w:tcPr>
            <w:tcW w:w="8460" w:type="dxa"/>
            <w:vAlign w:val="bottom"/>
          </w:tcPr>
          <w:p>
            <w:pPr>
              <w:ind w:left="360"/>
              <w:spacing w:after="0"/>
              <w:rPr>
                <w:sz w:val="20"/>
                <w:szCs w:val="20"/>
                <w:color w:val="auto"/>
              </w:rPr>
            </w:pPr>
            <w:r>
              <w:rPr>
                <w:rFonts w:ascii="Arial" w:cs="Arial" w:eastAsia="Arial" w:hAnsi="Arial"/>
                <w:sz w:val="16"/>
                <w:szCs w:val="16"/>
                <w:color w:val="auto"/>
              </w:rPr>
              <w:t>Europe, Middle East and Africa</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382.5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344.8</w:t>
            </w:r>
          </w:p>
        </w:tc>
      </w:tr>
      <w:tr>
        <w:trPr>
          <w:trHeight w:val="219"/>
        </w:trPr>
        <w:tc>
          <w:tcPr>
            <w:tcW w:w="8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Asia Pacific</w:t>
            </w: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215.1</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178.7</w:t>
            </w:r>
          </w:p>
        </w:tc>
      </w:tr>
      <w:tr>
        <w:trPr>
          <w:trHeight w:val="207"/>
        </w:trPr>
        <w:tc>
          <w:tcPr>
            <w:tcW w:w="8460" w:type="dxa"/>
            <w:vAlign w:val="bottom"/>
          </w:tcPr>
          <w:p>
            <w:pPr>
              <w:ind w:left="20"/>
              <w:spacing w:after="0"/>
              <w:rPr>
                <w:sz w:val="20"/>
                <w:szCs w:val="20"/>
                <w:color w:val="auto"/>
              </w:rPr>
            </w:pPr>
            <w:r>
              <w:rPr>
                <w:rFonts w:ascii="Arial" w:cs="Arial" w:eastAsia="Arial" w:hAnsi="Arial"/>
                <w:sz w:val="16"/>
                <w:szCs w:val="16"/>
                <w:color w:val="auto"/>
              </w:rPr>
              <w:t>Total net revenue</w:t>
            </w:r>
          </w:p>
        </w:tc>
        <w:tc>
          <w:tcPr>
            <w:tcW w:w="86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989.3</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720"/>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885.7</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26"/>
        </w:trPr>
        <w:tc>
          <w:tcPr>
            <w:tcW w:w="8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Net revenue by sales channel:</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9"/>
        </w:trPr>
        <w:tc>
          <w:tcPr>
            <w:tcW w:w="8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Indirect</w:t>
            </w: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661.3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0"/>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623.4</w:t>
            </w:r>
          </w:p>
        </w:tc>
      </w:tr>
      <w:tr>
        <w:trPr>
          <w:trHeight w:val="213"/>
        </w:trPr>
        <w:tc>
          <w:tcPr>
            <w:tcW w:w="84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Direct</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328.0</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262.3</w:t>
            </w:r>
          </w:p>
        </w:tc>
      </w:tr>
      <w:tr>
        <w:trPr>
          <w:trHeight w:val="234"/>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w:t>
            </w: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989.3</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20"/>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885.7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8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 by product type:</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3"/>
        </w:trPr>
        <w:tc>
          <w:tcPr>
            <w:tcW w:w="8460" w:type="dxa"/>
            <w:vAlign w:val="bottom"/>
          </w:tcPr>
          <w:p>
            <w:pPr>
              <w:ind w:left="360"/>
              <w:spacing w:after="0"/>
              <w:rPr>
                <w:sz w:val="20"/>
                <w:szCs w:val="20"/>
                <w:color w:val="auto"/>
              </w:rPr>
            </w:pPr>
            <w:r>
              <w:rPr>
                <w:rFonts w:ascii="Arial" w:cs="Arial" w:eastAsia="Arial" w:hAnsi="Arial"/>
                <w:sz w:val="16"/>
                <w:szCs w:val="16"/>
                <w:color w:val="auto"/>
              </w:rPr>
              <w:t>Design</w:t>
            </w:r>
          </w:p>
        </w:tc>
        <w:tc>
          <w:tcPr>
            <w:tcW w:w="860" w:type="dxa"/>
            <w:vAlign w:val="bottom"/>
          </w:tcPr>
          <w:p>
            <w:pPr>
              <w:jc w:val="right"/>
              <w:ind w:right="681"/>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885.1</w:t>
            </w:r>
          </w:p>
        </w:tc>
        <w:tc>
          <w:tcPr>
            <w:tcW w:w="100" w:type="dxa"/>
            <w:vAlign w:val="bottom"/>
          </w:tcPr>
          <w:p>
            <w:pPr>
              <w:spacing w:after="0"/>
              <w:rPr>
                <w:sz w:val="18"/>
                <w:szCs w:val="18"/>
                <w:color w:val="auto"/>
              </w:rPr>
            </w:pPr>
          </w:p>
        </w:tc>
        <w:tc>
          <w:tcPr>
            <w:tcW w:w="900" w:type="dxa"/>
            <w:vAlign w:val="bottom"/>
          </w:tcPr>
          <w:p>
            <w:pPr>
              <w:jc w:val="right"/>
              <w:ind w:right="720"/>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797.7</w:t>
            </w:r>
          </w:p>
        </w:tc>
      </w:tr>
      <w:tr>
        <w:trPr>
          <w:trHeight w:val="219"/>
        </w:trPr>
        <w:tc>
          <w:tcPr>
            <w:tcW w:w="8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Make</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r>
      <w:tr>
        <w:trPr>
          <w:trHeight w:val="213"/>
        </w:trPr>
        <w:tc>
          <w:tcPr>
            <w:tcW w:w="84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r>
      <w:tr>
        <w:trPr>
          <w:trHeight w:val="234"/>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w:t>
            </w: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989.3</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20"/>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885.7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Payments for product subscriptions, industry collections, cloud subscriptions, and maintenance subscriptions are typically due up front with payment terms of 30 to 45 days. Payments on EBAs are typically due in annual installments over the contract term, with payment terms of 30 to 60 days. Autodesk does not have any material variable consideration, such as obligations for returns, refunds, warranties, or amounts due to customers for which significant estimation or judgment is required as of the reporting date.</w:t>
      </w:r>
    </w:p>
    <w:p>
      <w:pPr>
        <w:spacing w:after="0" w:line="214" w:lineRule="exact"/>
        <w:rPr>
          <w:sz w:val="20"/>
          <w:szCs w:val="20"/>
          <w:color w:val="auto"/>
        </w:rPr>
      </w:pPr>
    </w:p>
    <w:p>
      <w:pPr>
        <w:ind w:right="240" w:firstLine="405"/>
        <w:spacing w:after="0" w:line="301" w:lineRule="auto"/>
        <w:rPr>
          <w:sz w:val="20"/>
          <w:szCs w:val="20"/>
          <w:color w:val="auto"/>
        </w:rPr>
      </w:pPr>
      <w:r>
        <w:rPr>
          <w:rFonts w:ascii="Arial" w:cs="Arial" w:eastAsia="Arial" w:hAnsi="Arial"/>
          <w:sz w:val="16"/>
          <w:szCs w:val="16"/>
          <w:color w:val="auto"/>
        </w:rPr>
        <w:t>Remaining performance obligations consist of total short-term, long-term, and unbilled deferred revenue. As of April 30, 2021, Autodesk had remaining performance obligations of $4.23 billion, which represents the total contract price allocated to remaining performance obligations, which are generally recognized over the next three years. We expect to recognize $2.86 billion or 68% of our remaining performance obligations as revenue during the next 12 months. We expect to recognize the remaining $1.37 billion or 32% of our remaining performance obligations as revenue thereafter.</w:t>
      </w:r>
    </w:p>
    <w:p>
      <w:pPr>
        <w:spacing w:after="0" w:line="184"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The amount of remaining performance obligations may be impacted by the specific timing, duration, and size of customer subscription and support agreements, varying billing cycles of such agreements, the specific timing of customer renewals, and foreign currency fluctuations.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52"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receive payments from customers based on a billing schedule as established in our contracts. Contract assets relate to performance completed in advance of scheduled billings. Contract assets were not material as of April 30, 2021. Deferred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ind w:right="180"/>
        <w:spacing w:after="0" w:line="277" w:lineRule="auto"/>
        <w:rPr>
          <w:sz w:val="20"/>
          <w:szCs w:val="20"/>
          <w:color w:val="auto"/>
        </w:rPr>
      </w:pPr>
      <w:r>
        <w:rPr>
          <w:rFonts w:ascii="Arial" w:cs="Arial" w:eastAsia="Arial" w:hAnsi="Arial"/>
          <w:sz w:val="18"/>
          <w:szCs w:val="18"/>
          <w:color w:val="auto"/>
        </w:rPr>
        <w:t>revenue relates to billings in advance of performance under the contract. The primary changes in our contract assets and deferred revenues are due to our performance under the contracts and billings.</w:t>
      </w:r>
    </w:p>
    <w:p>
      <w:pPr>
        <w:spacing w:after="0" w:line="197" w:lineRule="exact"/>
        <w:rPr>
          <w:sz w:val="20"/>
          <w:szCs w:val="20"/>
          <w:color w:val="auto"/>
        </w:rPr>
      </w:pPr>
    </w:p>
    <w:p>
      <w:pPr>
        <w:jc w:val="both"/>
        <w:ind w:right="80" w:firstLine="405"/>
        <w:spacing w:after="0" w:line="263" w:lineRule="auto"/>
        <w:rPr>
          <w:sz w:val="20"/>
          <w:szCs w:val="20"/>
          <w:color w:val="auto"/>
        </w:rPr>
      </w:pPr>
      <w:r>
        <w:rPr>
          <w:rFonts w:ascii="Arial" w:cs="Arial" w:eastAsia="Arial" w:hAnsi="Arial"/>
          <w:sz w:val="18"/>
          <w:szCs w:val="18"/>
          <w:color w:val="auto"/>
        </w:rPr>
        <w:t>Revenue recognized during the three months ended April 30, 2021 and 2020, that was included in the deferred revenue balances at January 31, 2021 and 2020, was $838.2 million and $787.2 million, respectively. The satisfaction of performance obligations typically lags behind payments received under revenue contracts from customers.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Concentration of Credit Risk</w:t>
      </w:r>
    </w:p>
    <w:p>
      <w:pPr>
        <w:spacing w:after="0" w:line="22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$650.0 million line of credit facility. See Note 14, “Borrowing Arrangements,” in the Notes to Condensed Consolidated Financial Statements for further discussion.</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Total sales to the Company's largest distributor Tech Data Corporation and its global affiliates (“Tech Data”) accounted for 36% and 38%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Autodesk’s total net revenue for the three months ended April 30, 2021 and 2020, respectively. The majority of the net revenue from sales to Tech Data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sales made outside of the United States. In addition, Tech Data accounted for 36% and 26% of trade accounts receivable at April 30, 2021,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31, 2021, respectively. Ingram Micro Inc. ("Ingram Micro") accounted for 10% of Autodesk's total net revenue during both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April 30, 2021 and 2020. No other customer accounted for more than 10% of Autodesk's total net revenue or trade accounts receivable for each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 periods.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5</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Instruments</w:t>
      </w:r>
    </w:p>
    <w:p>
      <w:pPr>
        <w:spacing w:after="0" w:line="252"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April 30, 2021, and January 31, 2021:</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April 30, 2021</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1"/>
                <w:szCs w:val="11"/>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1"/>
                <w:szCs w:val="11"/>
                <w:color w:val="auto"/>
              </w:rPr>
            </w:pPr>
          </w:p>
        </w:tc>
        <w:tc>
          <w:tcPr>
            <w:tcW w:w="78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 (1):</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174.5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Mutual funds (3) (4)</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Strategic investments derivative assets (4)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Derivative contract assets (4)</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contract liabilities (5)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20" w:type="dxa"/>
            <w:vAlign w:val="bottom"/>
          </w:tcPr>
          <w:p>
            <w:pPr>
              <w:ind w:left="32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246.5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Included in “Cash and cash equivalents” in the accompanying Condensed Consolidated Balance Sheets. These investments are classified as debt securities.</w:t>
      </w:r>
    </w:p>
    <w:p>
      <w:pPr>
        <w:spacing w:after="0" w:line="20" w:lineRule="exact"/>
        <w:rPr>
          <w:rFonts w:ascii="Arial" w:cs="Arial" w:eastAsia="Arial" w:hAnsi="Arial"/>
          <w:sz w:val="15"/>
          <w:szCs w:val="15"/>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Consists of custody cash deposits and certificates of deposit.</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See Note 12, “Deferred Compensation “for more information.</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or “Long-term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Condensed Consolidated Balance Sheets.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January 31, 2021</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86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86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1"/>
                <w:szCs w:val="11"/>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1"/>
                <w:szCs w:val="11"/>
                <w:color w:val="auto"/>
              </w:rPr>
            </w:pPr>
          </w:p>
        </w:tc>
        <w:tc>
          <w:tcPr>
            <w:tcW w:w="78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8"/>
        </w:trPr>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6"/>
                <w:szCs w:val="16"/>
                <w:color w:val="auto"/>
              </w:rPr>
            </w:pPr>
          </w:p>
        </w:tc>
        <w:tc>
          <w:tcPr>
            <w:tcW w:w="860" w:type="dxa"/>
            <w:vAlign w:val="bottom"/>
          </w:tcPr>
          <w:p>
            <w:pPr>
              <w:jc w:val="center"/>
              <w:ind w:right="61"/>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120"/>
              <w:spacing w:after="0"/>
              <w:rPr>
                <w:sz w:val="20"/>
                <w:szCs w:val="20"/>
                <w:color w:val="auto"/>
              </w:rPr>
            </w:pPr>
            <w:r>
              <w:rPr>
                <w:rFonts w:ascii="Arial" w:cs="Arial" w:eastAsia="Arial" w:hAnsi="Arial"/>
                <w:sz w:val="16"/>
                <w:szCs w:val="16"/>
                <w:color w:val="auto"/>
              </w:rPr>
              <w:t>Commercial paper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Money market funds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120"/>
              <w:spacing w:after="0"/>
              <w:rPr>
                <w:sz w:val="20"/>
                <w:szCs w:val="20"/>
                <w:color w:val="auto"/>
              </w:rPr>
            </w:pPr>
            <w:r>
              <w:rPr>
                <w:rFonts w:ascii="Arial" w:cs="Arial" w:eastAsia="Arial" w:hAnsi="Arial"/>
                <w:sz w:val="16"/>
                <w:szCs w:val="16"/>
                <w:color w:val="auto"/>
              </w:rPr>
              <w:t>Other (2)</w:t>
            </w:r>
          </w:p>
        </w:tc>
        <w:tc>
          <w:tcPr>
            <w:tcW w:w="14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120"/>
              <w:spacing w:after="0"/>
              <w:rPr>
                <w:sz w:val="20"/>
                <w:szCs w:val="20"/>
                <w:color w:val="auto"/>
              </w:rPr>
            </w:pPr>
            <w:r>
              <w:rPr>
                <w:rFonts w:ascii="Arial" w:cs="Arial" w:eastAsia="Arial" w:hAnsi="Arial"/>
                <w:sz w:val="16"/>
                <w:szCs w:val="16"/>
                <w:color w:val="auto"/>
              </w:rPr>
              <w:t>Other (3)</w:t>
            </w:r>
          </w:p>
        </w:tc>
        <w:tc>
          <w:tcPr>
            <w:tcW w:w="14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Mutual funds (4) (5)</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Arial" w:cs="Arial" w:eastAsia="Arial" w:hAnsi="Arial"/>
                <w:sz w:val="16"/>
                <w:szCs w:val="16"/>
                <w:color w:val="auto"/>
              </w:rPr>
              <w:t>Strategic investments derivative asset (5)</w:t>
            </w:r>
          </w:p>
        </w:tc>
        <w:tc>
          <w:tcPr>
            <w:tcW w:w="14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contract assets (5)</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Derivative contract liabilities (6)</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796.3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Included in “Cash and cash equivalents” in the accompanying Condensed Consolidated Balance Sheets. These investments are classified as debt securities.</w:t>
      </w:r>
    </w:p>
    <w:p>
      <w:pPr>
        <w:spacing w:after="0" w:line="20" w:lineRule="exact"/>
        <w:rPr>
          <w:rFonts w:ascii="Arial" w:cs="Arial" w:eastAsia="Arial" w:hAnsi="Arial"/>
          <w:sz w:val="15"/>
          <w:szCs w:val="15"/>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custody cash deposits and certificates of deposit.</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commercial paper and municipal bonds.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See Note 12, “Deferred Compensation “ for more information.</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or “Long-term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Condensed Consolidated Balance Sheets.</w:t>
      </w:r>
    </w:p>
    <w:p>
      <w:pPr>
        <w:spacing w:after="0" w:line="230" w:lineRule="exact"/>
        <w:rPr>
          <w:sz w:val="20"/>
          <w:szCs w:val="20"/>
          <w:color w:val="auto"/>
        </w:rPr>
      </w:pPr>
    </w:p>
    <w:p>
      <w:pPr>
        <w:ind w:right="260" w:firstLine="170"/>
        <w:spacing w:after="0" w:line="263" w:lineRule="auto"/>
        <w:rPr>
          <w:sz w:val="20"/>
          <w:szCs w:val="20"/>
          <w:color w:val="auto"/>
        </w:rPr>
      </w:pPr>
      <w:r>
        <w:rPr>
          <w:rFonts w:ascii="Arial" w:cs="Arial" w:eastAsia="Arial" w:hAnsi="Arial"/>
          <w:sz w:val="18"/>
          <w:szCs w:val="18"/>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2" w:name="page13"/>
    <w:bookmarkEnd w:id="12"/>
    <w:p>
      <w:pPr>
        <w:ind w:right="160" w:firstLine="405"/>
        <w:spacing w:after="0" w:line="263" w:lineRule="auto"/>
        <w:rPr>
          <w:sz w:val="20"/>
          <w:szCs w:val="20"/>
          <w:color w:val="auto"/>
        </w:rPr>
      </w:pPr>
      <w:r>
        <w:rPr>
          <w:rFonts w:ascii="Arial" w:cs="Arial" w:eastAsia="Arial" w:hAnsi="Arial"/>
          <w:sz w:val="18"/>
          <w:szCs w:val="18"/>
          <w:color w:val="auto"/>
        </w:rPr>
        <w:t>As of both April 30, 2021, and January 31, 2021, Autodesk had no material unrealized losses, individually and in the aggregate, for marketable debt securities that are in a continuous unrealized loss position for greater than 12 months. Total unrealized gains for securities with net gains in accumulated other comprehensive income were not material for the three months ended April 30, 2021.</w:t>
      </w:r>
    </w:p>
    <w:p>
      <w:pPr>
        <w:spacing w:after="0" w:line="211"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color w:val="auto"/>
        </w:rPr>
        <w:t>Autodesk monitors all marketable debt securities for potential credit losses by reviewing indicators such as, but not limited to, current credit rating, change in credit rating, credit outlook, and default risk. There were no allowances for credit losses for the three months ended April 30, 2021 and 2020. There were no write offs of accrued interest receivables for the three months ended April 30, 2021 and 2020.</w:t>
      </w:r>
    </w:p>
    <w:p>
      <w:pPr>
        <w:spacing w:after="0" w:line="192" w:lineRule="exact"/>
        <w:rPr>
          <w:sz w:val="20"/>
          <w:szCs w:val="20"/>
          <w:color w:val="auto"/>
        </w:rPr>
      </w:pPr>
    </w:p>
    <w:p>
      <w:pPr>
        <w:jc w:val="both"/>
        <w:ind w:right="120" w:firstLine="405"/>
        <w:spacing w:after="0" w:line="263" w:lineRule="auto"/>
        <w:rPr>
          <w:sz w:val="20"/>
          <w:szCs w:val="20"/>
          <w:color w:val="auto"/>
        </w:rPr>
      </w:pPr>
      <w:r>
        <w:rPr>
          <w:rFonts w:ascii="Arial" w:cs="Arial" w:eastAsia="Arial" w:hAnsi="Arial"/>
          <w:sz w:val="18"/>
          <w:szCs w:val="18"/>
          <w:color w:val="auto"/>
        </w:rPr>
        <w:t>There was no realized gain or loss for the sales or redemptions of debt securities during the three months ended April 30, 2021 and 2020. Gains and losses resulting from the sale or redemption of debt securities are recorded in “Interest and other expense, net” on the Company's Condensed Consolidated Statements of Operations.</w:t>
      </w:r>
    </w:p>
    <w:p>
      <w:pPr>
        <w:spacing w:after="0" w:line="211" w:lineRule="exact"/>
        <w:rPr>
          <w:sz w:val="20"/>
          <w:szCs w:val="20"/>
          <w:color w:val="auto"/>
        </w:rPr>
      </w:pPr>
    </w:p>
    <w:p>
      <w:pPr>
        <w:jc w:val="both"/>
        <w:ind w:right="100" w:firstLine="405"/>
        <w:spacing w:after="0" w:line="277" w:lineRule="auto"/>
        <w:rPr>
          <w:sz w:val="20"/>
          <w:szCs w:val="20"/>
          <w:color w:val="auto"/>
        </w:rPr>
      </w:pPr>
      <w:r>
        <w:rPr>
          <w:rFonts w:ascii="Arial" w:cs="Arial" w:eastAsia="Arial" w:hAnsi="Arial"/>
          <w:sz w:val="18"/>
          <w:szCs w:val="18"/>
          <w:color w:val="auto"/>
        </w:rPr>
        <w:t>There was $4.0 million in proceeds from the sale and maturity of marketable debt securities for the three months ended April 30, 2021. Autodesk did not have any proceeds from the sale and maturity of marketable securities for the three months ended April 30, 2020.</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Strategic investment equity securities</w:t>
      </w:r>
    </w:p>
    <w:p>
      <w:pPr>
        <w:spacing w:after="0" w:line="252"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As of April 30, 2021, and January 31, 2021, Autodesk had $129.8 million and $134.1 million, respectively, in direct investments in privately held companies. These strategic investment equity securities do not have readily determined fair values, and Autodesk uses the measurement alternative to account for the adjustment to these investments in a given quarter. If Autodesk determines that an impairment has occurred, Autodesk writes down the investment to its fair value.</w:t>
      </w:r>
    </w:p>
    <w:p>
      <w:pPr>
        <w:spacing w:after="0" w:line="214" w:lineRule="exact"/>
        <w:rPr>
          <w:sz w:val="20"/>
          <w:szCs w:val="20"/>
          <w:color w:val="auto"/>
        </w:rPr>
      </w:pPr>
    </w:p>
    <w:p>
      <w:pPr>
        <w:ind w:right="980" w:firstLine="405"/>
        <w:spacing w:after="0" w:line="277" w:lineRule="auto"/>
        <w:rPr>
          <w:sz w:val="20"/>
          <w:szCs w:val="20"/>
          <w:color w:val="auto"/>
        </w:rPr>
      </w:pPr>
      <w:r>
        <w:rPr>
          <w:rFonts w:ascii="Arial" w:cs="Arial" w:eastAsia="Arial" w:hAnsi="Arial"/>
          <w:sz w:val="18"/>
          <w:szCs w:val="18"/>
          <w:color w:val="auto"/>
        </w:rPr>
        <w:t>Adjustments to the carrying value of our strategic investment equity securities with no readily determined fair values measured using the measurement alternative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34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 April 30,</w:t>
            </w:r>
          </w:p>
        </w:tc>
        <w:tc>
          <w:tcPr>
            <w:tcW w:w="100" w:type="dxa"/>
            <w:vAlign w:val="bottom"/>
          </w:tcPr>
          <w:p>
            <w:pPr>
              <w:spacing w:after="0"/>
              <w:rPr>
                <w:sz w:val="16"/>
                <w:szCs w:val="16"/>
                <w:color w:val="auto"/>
              </w:rPr>
            </w:pPr>
          </w:p>
        </w:tc>
        <w:tc>
          <w:tcPr>
            <w:tcW w:w="1700" w:type="dxa"/>
            <w:vAlign w:val="bottom"/>
          </w:tcPr>
          <w:p>
            <w:pPr>
              <w:jc w:val="center"/>
              <w:ind w:right="43"/>
              <w:spacing w:after="0"/>
              <w:rPr>
                <w:sz w:val="20"/>
                <w:szCs w:val="20"/>
                <w:color w:val="auto"/>
              </w:rPr>
            </w:pPr>
            <w:r>
              <w:rPr>
                <w:rFonts w:ascii="Arial" w:cs="Arial" w:eastAsia="Arial" w:hAnsi="Arial"/>
                <w:sz w:val="14"/>
                <w:szCs w:val="14"/>
                <w:b w:val="1"/>
                <w:bCs w:val="1"/>
                <w:color w:val="auto"/>
                <w:w w:val="93"/>
              </w:rPr>
              <w:t>Cumulative Amount as of</w:t>
            </w:r>
          </w:p>
        </w:tc>
      </w:tr>
      <w:tr>
        <w:trPr>
          <w:trHeight w:val="187"/>
        </w:trPr>
        <w:tc>
          <w:tcPr>
            <w:tcW w:w="7100" w:type="dxa"/>
            <w:vAlign w:val="bottom"/>
            <w:tcBorders>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5"/>
              </w:rPr>
              <w:t>April 30, 2021</w:t>
            </w:r>
          </w:p>
        </w:tc>
      </w:tr>
      <w:tr>
        <w:trPr>
          <w:trHeight w:val="211"/>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Upward adjustments (1)</w:t>
            </w:r>
          </w:p>
        </w:tc>
        <w:tc>
          <w:tcPr>
            <w:tcW w:w="700" w:type="dxa"/>
            <w:vAlign w:val="bottom"/>
            <w:shd w:val="clear" w:color="auto" w:fill="CCEEFF"/>
          </w:tcPr>
          <w:p>
            <w:pPr>
              <w:jc w:val="right"/>
              <w:ind w:right="524"/>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center"/>
              <w:ind w:left="1203"/>
              <w:spacing w:after="0"/>
              <w:rPr>
                <w:sz w:val="20"/>
                <w:szCs w:val="20"/>
                <w:color w:val="auto"/>
              </w:rPr>
            </w:pPr>
            <w:r>
              <w:rPr>
                <w:rFonts w:ascii="Arial" w:cs="Arial" w:eastAsia="Arial" w:hAnsi="Arial"/>
                <w:sz w:val="16"/>
                <w:szCs w:val="16"/>
                <w:color w:val="auto"/>
                <w:w w:val="96"/>
              </w:rPr>
              <w:t>16.7</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Negative adjustments, including impairments (1)</w:t>
            </w:r>
          </w:p>
        </w:tc>
        <w:tc>
          <w:tcPr>
            <w:tcW w:w="7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(3.7)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left="1183"/>
              <w:spacing w:after="0"/>
              <w:rPr>
                <w:sz w:val="20"/>
                <w:szCs w:val="20"/>
                <w:color w:val="auto"/>
              </w:rPr>
            </w:pPr>
            <w:r>
              <w:rPr>
                <w:rFonts w:ascii="Arial" w:cs="Arial" w:eastAsia="Arial" w:hAnsi="Arial"/>
                <w:sz w:val="16"/>
                <w:szCs w:val="16"/>
                <w:color w:val="auto"/>
                <w:w w:val="95"/>
              </w:rPr>
              <w:t>(64.3)</w:t>
            </w:r>
          </w:p>
        </w:tc>
      </w:tr>
      <w:tr>
        <w:trPr>
          <w:trHeight w:val="213"/>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adjustments</w:t>
            </w:r>
          </w:p>
        </w:tc>
        <w:tc>
          <w:tcPr>
            <w:tcW w:w="700" w:type="dxa"/>
            <w:vAlign w:val="bottom"/>
            <w:shd w:val="clear" w:color="auto" w:fill="CCEEFF"/>
          </w:tcPr>
          <w:p>
            <w:pPr>
              <w:jc w:val="right"/>
              <w:ind w:right="524"/>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center"/>
              <w:ind w:left="1183"/>
              <w:spacing w:after="0"/>
              <w:rPr>
                <w:sz w:val="20"/>
                <w:szCs w:val="20"/>
                <w:color w:val="auto"/>
              </w:rPr>
            </w:pPr>
            <w:r>
              <w:rPr>
                <w:rFonts w:ascii="Arial" w:cs="Arial" w:eastAsia="Arial" w:hAnsi="Arial"/>
                <w:sz w:val="16"/>
                <w:szCs w:val="16"/>
                <w:color w:val="auto"/>
                <w:w w:val="95"/>
              </w:rPr>
              <w:t>(47.6)</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“Interest and other expense, net” on the Company's Condensed Consolidated Statements of Operations.</w:t>
      </w:r>
    </w:p>
    <w:p>
      <w:pPr>
        <w:spacing w:after="0" w:line="233"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6"/>
          <w:szCs w:val="16"/>
          <w:color w:val="auto"/>
        </w:rPr>
        <w:t>During the three months ended April 30, 2021, Autodesk recognized gains of $8.1 million on the disposition of strategic investment equity securities.</w:t>
      </w:r>
    </w:p>
    <w:p>
      <w:pPr>
        <w:spacing w:after="0" w:line="2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contracts designated as cash flow hedges</w:t>
      </w:r>
    </w:p>
    <w:p>
      <w:pPr>
        <w:spacing w:after="0" w:line="252"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color w:val="auto"/>
        </w:rPr>
        <w:t>Autodesk uses foreign currency contracts to reduce the exchange rate impact on a portion of the net revenue or operating expense of certain anticipated transactions. These currency collars and forward contracts are designated and documented as cash flow hedges. The notional amounts of these contracts are presented net settled and were $1.18 billion at April 30, 2021, and $1.14 billion at January 31, 2021. Outstanding contracts are recognized as either assets or liabilities on the Company's Condensed Consolidated Balance Sheet at fair value. The majority of the net loss of $14.1 million remaining in “Accumulated other comprehensive loss” as of April 30, 2021, is expected to be recognized into earnings within the next 24 months.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jc w:val="both"/>
        <w:ind w:right="120" w:firstLine="405"/>
        <w:spacing w:after="0" w:line="263" w:lineRule="auto"/>
        <w:rPr>
          <w:sz w:val="20"/>
          <w:szCs w:val="20"/>
          <w:color w:val="auto"/>
        </w:rPr>
      </w:pPr>
      <w:r>
        <w:rPr>
          <w:rFonts w:ascii="Arial" w:cs="Arial" w:eastAsia="Arial" w:hAnsi="Arial"/>
          <w:sz w:val="18"/>
          <w:szCs w:val="18"/>
          <w:color w:val="auto"/>
        </w:rPr>
        <w:t>The location and amount of gain or loss recognized in income on cash flow hedges together with the total amount of income or expense presented in the Company's Condensed Consolidated Statements of Operations where the effects of the hedge are recorded were as follows for the three months ended April 30, 2021 and 2020:</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w w:val="97"/>
              </w:rPr>
              <w:t>Three Months Ended April 30, 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4"/>
                <w:szCs w:val="14"/>
                <w:b w:val="1"/>
                <w:bCs w:val="1"/>
                <w:color w:val="auto"/>
                <w:w w:val="89"/>
              </w:rPr>
              <w:t>Net revenue</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Cost of revenue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Operating expenses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91"/>
              </w:rPr>
              <w:t>Cost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Subscription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Maintenance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subscription 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Marketing and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Research 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General and</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maintenance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ind w:left="200"/>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sales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development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administrative</w:t>
            </w:r>
          </w:p>
        </w:tc>
        <w:tc>
          <w:tcPr>
            <w:tcW w:w="0" w:type="dxa"/>
            <w:vAlign w:val="bottom"/>
          </w:tcPr>
          <w:p>
            <w:pPr>
              <w:spacing w:after="0"/>
              <w:rPr>
                <w:sz w:val="1"/>
                <w:szCs w:val="1"/>
                <w:color w:val="auto"/>
              </w:rPr>
            </w:pPr>
          </w:p>
        </w:tc>
      </w:tr>
      <w:tr>
        <w:trPr>
          <w:trHeight w:val="147"/>
        </w:trPr>
        <w:tc>
          <w:tcPr>
            <w:tcW w:w="3320" w:type="dxa"/>
            <w:vAlign w:val="bottom"/>
            <w:tcBorders>
              <w:top w:val="single" w:sz="8" w:color="CCEEFF"/>
            </w:tcBorders>
            <w:gridSpan w:val="2"/>
            <w:shd w:val="clear" w:color="auto" w:fill="CCEEFF"/>
          </w:tcPr>
          <w:p>
            <w:pPr>
              <w:jc w:val="center"/>
              <w:ind w:right="59"/>
              <w:spacing w:after="0" w:line="147" w:lineRule="exact"/>
              <w:rPr>
                <w:sz w:val="20"/>
                <w:szCs w:val="20"/>
                <w:color w:val="auto"/>
              </w:rPr>
            </w:pPr>
            <w:r>
              <w:rPr>
                <w:rFonts w:ascii="Arial" w:cs="Arial" w:eastAsia="Arial" w:hAnsi="Arial"/>
                <w:sz w:val="16"/>
                <w:szCs w:val="16"/>
                <w:color w:val="auto"/>
                <w:w w:val="91"/>
              </w:rPr>
              <w:t>Total amounts of income and expense line items</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CCEEFF"/>
          </w:tcPr>
          <w:p>
            <w:pPr>
              <w:spacing w:after="0"/>
              <w:rPr>
                <w:sz w:val="14"/>
                <w:szCs w:val="14"/>
                <w:color w:val="auto"/>
              </w:rPr>
            </w:pPr>
          </w:p>
        </w:tc>
        <w:tc>
          <w:tcPr>
            <w:tcW w:w="32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presented in the condensed consolidated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CCEEFF"/>
          </w:tcPr>
          <w:p>
            <w:pPr>
              <w:spacing w:after="0"/>
              <w:rPr>
                <w:sz w:val="14"/>
                <w:szCs w:val="14"/>
                <w:color w:val="auto"/>
              </w:rPr>
            </w:pPr>
          </w:p>
        </w:tc>
        <w:tc>
          <w:tcPr>
            <w:tcW w:w="32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w w:val="98"/>
              </w:rPr>
              <w:t>statements of operations in which the effects</w:t>
            </w:r>
          </w:p>
        </w:tc>
        <w:tc>
          <w:tcPr>
            <w:tcW w:w="1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04"/>
              <w:spacing w:after="0"/>
              <w:rPr>
                <w:sz w:val="20"/>
                <w:szCs w:val="20"/>
                <w:color w:val="auto"/>
              </w:rPr>
            </w:pPr>
            <w:r>
              <w:rPr>
                <w:rFonts w:ascii="Arial" w:cs="Arial" w:eastAsia="Arial" w:hAnsi="Arial"/>
                <w:sz w:val="16"/>
                <w:szCs w:val="16"/>
                <w:color w:val="auto"/>
              </w:rPr>
              <w:t>947.5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84"/>
              <w:spacing w:after="0"/>
              <w:rPr>
                <w:sz w:val="20"/>
                <w:szCs w:val="20"/>
                <w:color w:val="auto"/>
              </w:rPr>
            </w:pPr>
            <w:r>
              <w:rPr>
                <w:rFonts w:ascii="Arial" w:cs="Arial" w:eastAsia="Arial" w:hAnsi="Arial"/>
                <w:sz w:val="16"/>
                <w:szCs w:val="16"/>
                <w:color w:val="auto"/>
              </w:rPr>
              <w:t>19.1</w:t>
            </w:r>
          </w:p>
        </w:tc>
        <w:tc>
          <w:tcPr>
            <w:tcW w:w="20" w:type="dxa"/>
            <w:vAlign w:val="bottom"/>
            <w:shd w:val="clear" w:color="auto" w:fill="CCEEFF"/>
          </w:tcPr>
          <w:p>
            <w:pPr>
              <w:spacing w:after="0"/>
              <w:rPr>
                <w:sz w:val="14"/>
                <w:szCs w:val="14"/>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ind w:right="86"/>
              <w:spacing w:after="0"/>
              <w:rPr>
                <w:sz w:val="20"/>
                <w:szCs w:val="20"/>
                <w:color w:val="auto"/>
              </w:rPr>
            </w:pPr>
            <w:r>
              <w:rPr>
                <w:rFonts w:ascii="Arial" w:cs="Arial" w:eastAsia="Arial" w:hAnsi="Arial"/>
                <w:sz w:val="16"/>
                <w:szCs w:val="16"/>
                <w:color w:val="auto"/>
              </w:rPr>
              <w:t>68.5</w:t>
            </w:r>
          </w:p>
        </w:tc>
        <w:tc>
          <w:tcPr>
            <w:tcW w:w="20" w:type="dxa"/>
            <w:vAlign w:val="bottom"/>
            <w:shd w:val="clear" w:color="auto" w:fill="CCEEFF"/>
          </w:tcPr>
          <w:p>
            <w:pPr>
              <w:spacing w:after="0"/>
              <w:rPr>
                <w:sz w:val="14"/>
                <w:szCs w:val="14"/>
                <w:color w:val="auto"/>
              </w:rPr>
            </w:pP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84"/>
              <w:spacing w:after="0"/>
              <w:rPr>
                <w:sz w:val="20"/>
                <w:szCs w:val="20"/>
                <w:color w:val="auto"/>
              </w:rPr>
            </w:pPr>
            <w:r>
              <w:rPr>
                <w:rFonts w:ascii="Arial" w:cs="Arial" w:eastAsia="Arial" w:hAnsi="Arial"/>
                <w:sz w:val="16"/>
                <w:szCs w:val="16"/>
                <w:color w:val="auto"/>
              </w:rPr>
              <w:t>377.1</w:t>
            </w:r>
          </w:p>
        </w:tc>
        <w:tc>
          <w:tcPr>
            <w:tcW w:w="20" w:type="dxa"/>
            <w:vAlign w:val="bottom"/>
            <w:shd w:val="clear" w:color="auto" w:fill="CCEEFF"/>
          </w:tcPr>
          <w:p>
            <w:pPr>
              <w:spacing w:after="0"/>
              <w:rPr>
                <w:sz w:val="14"/>
                <w:szCs w:val="14"/>
                <w:color w:val="auto"/>
              </w:rPr>
            </w:pPr>
          </w:p>
        </w:tc>
        <w:tc>
          <w:tcPr>
            <w:tcW w:w="24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84"/>
              <w:spacing w:after="0"/>
              <w:rPr>
                <w:sz w:val="20"/>
                <w:szCs w:val="20"/>
                <w:color w:val="auto"/>
              </w:rPr>
            </w:pPr>
            <w:r>
              <w:rPr>
                <w:rFonts w:ascii="Arial" w:cs="Arial" w:eastAsia="Arial" w:hAnsi="Arial"/>
                <w:sz w:val="16"/>
                <w:szCs w:val="16"/>
                <w:color w:val="auto"/>
              </w:rPr>
              <w:t>265.5</w:t>
            </w:r>
          </w:p>
        </w:tc>
        <w:tc>
          <w:tcPr>
            <w:tcW w:w="20" w:type="dxa"/>
            <w:vAlign w:val="bottom"/>
            <w:shd w:val="clear" w:color="auto" w:fill="CCEEFF"/>
          </w:tcPr>
          <w:p>
            <w:pPr>
              <w:spacing w:after="0"/>
              <w:rPr>
                <w:sz w:val="14"/>
                <w:szCs w:val="14"/>
                <w:color w:val="auto"/>
              </w:rPr>
            </w:pP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84"/>
              <w:spacing w:after="0"/>
              <w:rPr>
                <w:sz w:val="20"/>
                <w:szCs w:val="20"/>
                <w:color w:val="auto"/>
              </w:rPr>
            </w:pPr>
            <w:r>
              <w:rPr>
                <w:rFonts w:ascii="Arial" w:cs="Arial" w:eastAsia="Arial" w:hAnsi="Arial"/>
                <w:sz w:val="16"/>
                <w:szCs w:val="16"/>
                <w:color w:val="auto"/>
              </w:rPr>
              <w:t>111.9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0" w:type="dxa"/>
            <w:vAlign w:val="bottom"/>
            <w:shd w:val="clear" w:color="auto" w:fill="CCEEFF"/>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of cash flow hedges are recorded</w:t>
            </w:r>
          </w:p>
        </w:tc>
        <w:tc>
          <w:tcPr>
            <w:tcW w:w="16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32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6"/>
                <w:szCs w:val="16"/>
                <w:i w:val="1"/>
                <w:iCs w:val="1"/>
                <w:color w:val="auto"/>
              </w:rPr>
              <w:t>Gain on cash flow hedging relationships in</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0" w:type="dxa"/>
            <w:vAlign w:val="bottom"/>
            <w:shd w:val="clear" w:color="auto" w:fill="CCEEFF"/>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rPr>
              <w:t>Subtopic ASC 815-20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6"/>
                <w:szCs w:val="16"/>
                <w:i w:val="1"/>
                <w:iCs w:val="1"/>
                <w:color w:val="auto"/>
              </w:rPr>
              <w:t>Foreign exchange contracts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0" w:type="dxa"/>
            <w:vAlign w:val="bottom"/>
            <w:shd w:val="clear" w:color="auto" w:fill="CCEEFF"/>
          </w:tcPr>
          <w:p>
            <w:pPr>
              <w:spacing w:after="0"/>
              <w:rPr>
                <w:sz w:val="14"/>
                <w:szCs w:val="14"/>
                <w:color w:val="auto"/>
              </w:rPr>
            </w:pPr>
          </w:p>
        </w:tc>
        <w:tc>
          <w:tcPr>
            <w:tcW w:w="3260" w:type="dxa"/>
            <w:vAlign w:val="bottom"/>
            <w:shd w:val="clear" w:color="auto" w:fill="CCEEFF"/>
          </w:tcPr>
          <w:p>
            <w:pPr>
              <w:jc w:val="center"/>
              <w:ind w:right="139"/>
              <w:spacing w:after="0" w:line="169" w:lineRule="exact"/>
              <w:rPr>
                <w:sz w:val="20"/>
                <w:szCs w:val="20"/>
                <w:color w:val="auto"/>
              </w:rPr>
            </w:pPr>
            <w:r>
              <w:rPr>
                <w:rFonts w:ascii="Arial" w:cs="Arial" w:eastAsia="Arial" w:hAnsi="Arial"/>
                <w:sz w:val="16"/>
                <w:szCs w:val="16"/>
                <w:color w:val="auto"/>
                <w:w w:val="94"/>
              </w:rPr>
              <w:t>Amount of (loss) gain reclassified from</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CCEEFF"/>
          </w:tcPr>
          <w:p>
            <w:pPr>
              <w:spacing w:after="0"/>
              <w:rPr>
                <w:sz w:val="14"/>
                <w:szCs w:val="14"/>
                <w:color w:val="auto"/>
              </w:rPr>
            </w:pPr>
          </w:p>
        </w:tc>
        <w:tc>
          <w:tcPr>
            <w:tcW w:w="3260" w:type="dxa"/>
            <w:vAlign w:val="bottom"/>
            <w:shd w:val="clear" w:color="auto" w:fill="CCEEFF"/>
          </w:tcPr>
          <w:p>
            <w:pPr>
              <w:jc w:val="center"/>
              <w:ind w:right="139"/>
              <w:spacing w:after="0" w:line="162" w:lineRule="exact"/>
              <w:rPr>
                <w:sz w:val="20"/>
                <w:szCs w:val="20"/>
                <w:color w:val="auto"/>
              </w:rPr>
            </w:pPr>
            <w:r>
              <w:rPr>
                <w:rFonts w:ascii="Arial" w:cs="Arial" w:eastAsia="Arial" w:hAnsi="Arial"/>
                <w:sz w:val="16"/>
                <w:szCs w:val="16"/>
                <w:color w:val="auto"/>
                <w:w w:val="89"/>
              </w:rPr>
              <w:t>accumulated other comprehensive</w:t>
            </w:r>
          </w:p>
        </w:tc>
        <w:tc>
          <w:tcPr>
            <w:tcW w:w="1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04"/>
              <w:spacing w:after="0"/>
              <w:rPr>
                <w:sz w:val="20"/>
                <w:szCs w:val="20"/>
                <w:color w:val="auto"/>
              </w:rPr>
            </w:pPr>
            <w:r>
              <w:rPr>
                <w:rFonts w:ascii="Arial" w:cs="Arial" w:eastAsia="Arial" w:hAnsi="Arial"/>
                <w:sz w:val="16"/>
                <w:szCs w:val="16"/>
                <w:color w:val="auto"/>
              </w:rPr>
              <w:t>(4.9)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84"/>
              <w:spacing w:after="0"/>
              <w:rPr>
                <w:sz w:val="20"/>
                <w:szCs w:val="20"/>
                <w:color w:val="auto"/>
              </w:rPr>
            </w:pPr>
            <w:r>
              <w:rPr>
                <w:rFonts w:ascii="Arial" w:cs="Arial" w:eastAsia="Arial" w:hAnsi="Arial"/>
                <w:sz w:val="16"/>
                <w:szCs w:val="16"/>
                <w:color w:val="auto"/>
              </w:rPr>
              <w:t>(0.6)</w:t>
            </w:r>
          </w:p>
        </w:tc>
        <w:tc>
          <w:tcPr>
            <w:tcW w:w="20" w:type="dxa"/>
            <w:vAlign w:val="bottom"/>
            <w:shd w:val="clear" w:color="auto" w:fill="CCEEFF"/>
          </w:tcPr>
          <w:p>
            <w:pPr>
              <w:spacing w:after="0"/>
              <w:rPr>
                <w:sz w:val="14"/>
                <w:szCs w:val="14"/>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ind w:right="86"/>
              <w:spacing w:after="0"/>
              <w:rPr>
                <w:sz w:val="20"/>
                <w:szCs w:val="20"/>
                <w:color w:val="auto"/>
              </w:rPr>
            </w:pPr>
            <w:r>
              <w:rPr>
                <w:rFonts w:ascii="Arial" w:cs="Arial" w:eastAsia="Arial" w:hAnsi="Arial"/>
                <w:sz w:val="16"/>
                <w:szCs w:val="16"/>
                <w:color w:val="auto"/>
              </w:rPr>
              <w:t>0.3</w:t>
            </w:r>
          </w:p>
        </w:tc>
        <w:tc>
          <w:tcPr>
            <w:tcW w:w="20" w:type="dxa"/>
            <w:vAlign w:val="bottom"/>
            <w:shd w:val="clear" w:color="auto" w:fill="CCEEFF"/>
          </w:tcPr>
          <w:p>
            <w:pPr>
              <w:spacing w:after="0"/>
              <w:rPr>
                <w:sz w:val="14"/>
                <w:szCs w:val="14"/>
                <w:color w:val="auto"/>
              </w:rPr>
            </w:pP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84"/>
              <w:spacing w:after="0"/>
              <w:rPr>
                <w:sz w:val="20"/>
                <w:szCs w:val="20"/>
                <w:color w:val="auto"/>
              </w:rPr>
            </w:pPr>
            <w:r>
              <w:rPr>
                <w:rFonts w:ascii="Arial" w:cs="Arial" w:eastAsia="Arial" w:hAnsi="Arial"/>
                <w:sz w:val="16"/>
                <w:szCs w:val="16"/>
                <w:color w:val="auto"/>
              </w:rPr>
              <w:t>0.8</w:t>
            </w:r>
          </w:p>
        </w:tc>
        <w:tc>
          <w:tcPr>
            <w:tcW w:w="20" w:type="dxa"/>
            <w:vAlign w:val="bottom"/>
            <w:shd w:val="clear" w:color="auto" w:fill="CCEEFF"/>
          </w:tcPr>
          <w:p>
            <w:pPr>
              <w:spacing w:after="0"/>
              <w:rPr>
                <w:sz w:val="14"/>
                <w:szCs w:val="14"/>
                <w:color w:val="auto"/>
              </w:rPr>
            </w:pPr>
          </w:p>
        </w:tc>
        <w:tc>
          <w:tcPr>
            <w:tcW w:w="24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84"/>
              <w:spacing w:after="0"/>
              <w:rPr>
                <w:sz w:val="20"/>
                <w:szCs w:val="20"/>
                <w:color w:val="auto"/>
              </w:rPr>
            </w:pPr>
            <w:r>
              <w:rPr>
                <w:rFonts w:ascii="Arial" w:cs="Arial" w:eastAsia="Arial" w:hAnsi="Arial"/>
                <w:sz w:val="16"/>
                <w:szCs w:val="16"/>
                <w:color w:val="auto"/>
              </w:rPr>
              <w:t>0.5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0" w:type="dxa"/>
            <w:vAlign w:val="bottom"/>
            <w:shd w:val="clear" w:color="auto" w:fill="CCEEFF"/>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income into income</w:t>
            </w:r>
          </w:p>
        </w:tc>
        <w:tc>
          <w:tcPr>
            <w:tcW w:w="16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w w:val="97"/>
              </w:rPr>
              <w:t>Three Months Ended April 30, 2020</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1"/>
              </w:rPr>
              <w:t>Net Revenue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Cost of revenue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1"/>
              </w:rPr>
              <w:t>Operating expenses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46"/>
              <w:spacing w:after="0" w:line="130" w:lineRule="exact"/>
              <w:rPr>
                <w:sz w:val="20"/>
                <w:szCs w:val="20"/>
                <w:color w:val="auto"/>
              </w:rPr>
            </w:pPr>
            <w:r>
              <w:rPr>
                <w:rFonts w:ascii="Arial" w:cs="Arial" w:eastAsia="Arial" w:hAnsi="Arial"/>
                <w:sz w:val="14"/>
                <w:szCs w:val="14"/>
                <w:b w:val="1"/>
                <w:bCs w:val="1"/>
                <w:color w:val="auto"/>
                <w:w w:val="91"/>
              </w:rPr>
              <w:t>Cost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Subscription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Maintenance</w:t>
            </w:r>
          </w:p>
        </w:tc>
        <w:tc>
          <w:tcPr>
            <w:tcW w:w="100" w:type="dxa"/>
            <w:vAlign w:val="bottom"/>
          </w:tcPr>
          <w:p>
            <w:pPr>
              <w:spacing w:after="0"/>
              <w:rPr>
                <w:sz w:val="11"/>
                <w:szCs w:val="11"/>
                <w:color w:val="auto"/>
              </w:rPr>
            </w:pPr>
          </w:p>
        </w:tc>
        <w:tc>
          <w:tcPr>
            <w:tcW w:w="1240" w:type="dxa"/>
            <w:vAlign w:val="bottom"/>
            <w:gridSpan w:val="3"/>
          </w:tcPr>
          <w:p>
            <w:pPr>
              <w:jc w:val="center"/>
              <w:ind w:right="40"/>
              <w:spacing w:after="0" w:line="135" w:lineRule="exact"/>
              <w:rPr>
                <w:sz w:val="20"/>
                <w:szCs w:val="20"/>
                <w:color w:val="auto"/>
              </w:rPr>
            </w:pPr>
            <w:r>
              <w:rPr>
                <w:rFonts w:ascii="Arial" w:cs="Arial" w:eastAsia="Arial" w:hAnsi="Arial"/>
                <w:sz w:val="14"/>
                <w:szCs w:val="14"/>
                <w:b w:val="1"/>
                <w:bCs w:val="1"/>
                <w:color w:val="auto"/>
                <w:w w:val="92"/>
              </w:rPr>
              <w:t>subscription 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6"/>
              </w:rPr>
              <w:t>Marketing and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Research 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General and</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maintenance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ind w:left="200"/>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Revenue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320"/>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development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administrative</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3260" w:type="dxa"/>
            <w:vAlign w:val="bottom"/>
            <w:tcBorders>
              <w:top w:val="single" w:sz="8" w:color="CCEEFF"/>
            </w:tcBorders>
            <w:shd w:val="clear" w:color="auto" w:fill="CCEEFF"/>
          </w:tcPr>
          <w:p>
            <w:pPr>
              <w:jc w:val="center"/>
              <w:ind w:right="19"/>
              <w:spacing w:after="0" w:line="147" w:lineRule="exact"/>
              <w:rPr>
                <w:sz w:val="20"/>
                <w:szCs w:val="20"/>
                <w:color w:val="auto"/>
              </w:rPr>
            </w:pPr>
            <w:r>
              <w:rPr>
                <w:rFonts w:ascii="Arial" w:cs="Arial" w:eastAsia="Arial" w:hAnsi="Arial"/>
                <w:sz w:val="16"/>
                <w:szCs w:val="16"/>
                <w:color w:val="auto"/>
                <w:w w:val="90"/>
              </w:rPr>
              <w:t>Total amounts of income and expense line items</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26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presented in the condensed consolidated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26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w w:val="96"/>
              </w:rPr>
              <w:t>statements of operations in which the effects</w:t>
            </w:r>
          </w:p>
        </w:tc>
        <w:tc>
          <w:tcPr>
            <w:tcW w:w="1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ind w:right="84"/>
              <w:spacing w:after="0"/>
              <w:rPr>
                <w:sz w:val="20"/>
                <w:szCs w:val="20"/>
                <w:color w:val="auto"/>
              </w:rPr>
            </w:pPr>
            <w:r>
              <w:rPr>
                <w:rFonts w:ascii="Arial" w:cs="Arial" w:eastAsia="Arial" w:hAnsi="Arial"/>
                <w:sz w:val="16"/>
                <w:szCs w:val="16"/>
                <w:color w:val="auto"/>
              </w:rPr>
              <w:t>803.0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04"/>
              <w:spacing w:after="0"/>
              <w:rPr>
                <w:sz w:val="20"/>
                <w:szCs w:val="20"/>
                <w:color w:val="auto"/>
              </w:rPr>
            </w:pPr>
            <w:r>
              <w:rPr>
                <w:rFonts w:ascii="Arial" w:cs="Arial" w:eastAsia="Arial" w:hAnsi="Arial"/>
                <w:sz w:val="16"/>
                <w:szCs w:val="16"/>
                <w:color w:val="auto"/>
              </w:rPr>
              <w:t>62.1</w:t>
            </w:r>
          </w:p>
        </w:tc>
        <w:tc>
          <w:tcPr>
            <w:tcW w:w="20" w:type="dxa"/>
            <w:vAlign w:val="bottom"/>
            <w:shd w:val="clear" w:color="auto" w:fill="CCEEFF"/>
          </w:tcPr>
          <w:p>
            <w:pPr>
              <w:spacing w:after="0"/>
              <w:rPr>
                <w:sz w:val="14"/>
                <w:szCs w:val="14"/>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57.4</w:t>
            </w:r>
          </w:p>
        </w:tc>
        <w:tc>
          <w:tcPr>
            <w:tcW w:w="20" w:type="dxa"/>
            <w:vAlign w:val="bottom"/>
            <w:shd w:val="clear" w:color="auto" w:fill="CCEEFF"/>
          </w:tcPr>
          <w:p>
            <w:pPr>
              <w:spacing w:after="0"/>
              <w:rPr>
                <w:sz w:val="14"/>
                <w:szCs w:val="14"/>
                <w:color w:val="auto"/>
              </w:rPr>
            </w:pP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104"/>
              <w:spacing w:after="0"/>
              <w:rPr>
                <w:sz w:val="20"/>
                <w:szCs w:val="20"/>
                <w:color w:val="auto"/>
              </w:rPr>
            </w:pPr>
            <w:r>
              <w:rPr>
                <w:rFonts w:ascii="Arial" w:cs="Arial" w:eastAsia="Arial" w:hAnsi="Arial"/>
                <w:sz w:val="16"/>
                <w:szCs w:val="16"/>
                <w:color w:val="auto"/>
              </w:rPr>
              <w:t>341.3</w:t>
            </w:r>
          </w:p>
        </w:tc>
        <w:tc>
          <w:tcPr>
            <w:tcW w:w="20" w:type="dxa"/>
            <w:vAlign w:val="bottom"/>
            <w:shd w:val="clear" w:color="auto" w:fill="CCEEFF"/>
          </w:tcPr>
          <w:p>
            <w:pPr>
              <w:spacing w:after="0"/>
              <w:rPr>
                <w:sz w:val="14"/>
                <w:szCs w:val="14"/>
                <w:color w:val="auto"/>
              </w:rPr>
            </w:pPr>
          </w:p>
        </w:tc>
        <w:tc>
          <w:tcPr>
            <w:tcW w:w="24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104"/>
              <w:spacing w:after="0"/>
              <w:rPr>
                <w:sz w:val="20"/>
                <w:szCs w:val="20"/>
                <w:color w:val="auto"/>
              </w:rPr>
            </w:pPr>
            <w:r>
              <w:rPr>
                <w:rFonts w:ascii="Arial" w:cs="Arial" w:eastAsia="Arial" w:hAnsi="Arial"/>
                <w:sz w:val="16"/>
                <w:szCs w:val="16"/>
                <w:color w:val="auto"/>
              </w:rPr>
              <w:t>217.4</w:t>
            </w:r>
          </w:p>
        </w:tc>
        <w:tc>
          <w:tcPr>
            <w:tcW w:w="20" w:type="dxa"/>
            <w:vAlign w:val="bottom"/>
            <w:shd w:val="clear" w:color="auto" w:fill="CCEEFF"/>
          </w:tcPr>
          <w:p>
            <w:pPr>
              <w:spacing w:after="0"/>
              <w:rPr>
                <w:sz w:val="14"/>
                <w:szCs w:val="14"/>
                <w:color w:val="auto"/>
              </w:rPr>
            </w:pP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104"/>
              <w:spacing w:after="0"/>
              <w:rPr>
                <w:sz w:val="20"/>
                <w:szCs w:val="20"/>
                <w:color w:val="auto"/>
              </w:rPr>
            </w:pPr>
            <w:r>
              <w:rPr>
                <w:rFonts w:ascii="Arial" w:cs="Arial" w:eastAsia="Arial" w:hAnsi="Arial"/>
                <w:sz w:val="16"/>
                <w:szCs w:val="16"/>
                <w:color w:val="auto"/>
              </w:rPr>
              <w:t>104.8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of cash flow hedges are recorded</w:t>
            </w:r>
          </w:p>
        </w:tc>
        <w:tc>
          <w:tcPr>
            <w:tcW w:w="16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3260" w:type="dxa"/>
            <w:vAlign w:val="bottom"/>
            <w:shd w:val="clear" w:color="auto" w:fill="CCEEFF"/>
          </w:tcPr>
          <w:p>
            <w:pPr>
              <w:jc w:val="center"/>
              <w:ind w:right="119"/>
              <w:spacing w:after="0" w:line="166" w:lineRule="exact"/>
              <w:rPr>
                <w:sz w:val="20"/>
                <w:szCs w:val="20"/>
                <w:color w:val="auto"/>
              </w:rPr>
            </w:pPr>
            <w:r>
              <w:rPr>
                <w:rFonts w:ascii="Arial" w:cs="Arial" w:eastAsia="Arial" w:hAnsi="Arial"/>
                <w:sz w:val="16"/>
                <w:szCs w:val="16"/>
                <w:i w:val="1"/>
                <w:iCs w:val="1"/>
                <w:color w:val="auto"/>
                <w:w w:val="92"/>
              </w:rPr>
              <w:t>Gain (loss) on cash flow hedging relationships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26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in Subtopic ASC 815-20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260" w:type="dxa"/>
            <w:vAlign w:val="bottom"/>
          </w:tcPr>
          <w:p>
            <w:pPr>
              <w:ind w:left="180"/>
              <w:spacing w:after="0"/>
              <w:rPr>
                <w:sz w:val="20"/>
                <w:szCs w:val="20"/>
                <w:color w:val="auto"/>
              </w:rPr>
            </w:pPr>
            <w:r>
              <w:rPr>
                <w:rFonts w:ascii="Arial" w:cs="Arial" w:eastAsia="Arial" w:hAnsi="Arial"/>
                <w:sz w:val="16"/>
                <w:szCs w:val="16"/>
                <w:i w:val="1"/>
                <w:iCs w:val="1"/>
                <w:color w:val="auto"/>
              </w:rPr>
              <w:t>Foreign exchange contracts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3260" w:type="dxa"/>
            <w:vAlign w:val="bottom"/>
            <w:shd w:val="clear" w:color="auto" w:fill="CCEEFF"/>
          </w:tcPr>
          <w:p>
            <w:pPr>
              <w:jc w:val="center"/>
              <w:ind w:right="19"/>
              <w:spacing w:after="0" w:line="169" w:lineRule="exact"/>
              <w:rPr>
                <w:sz w:val="20"/>
                <w:szCs w:val="20"/>
                <w:color w:val="auto"/>
              </w:rPr>
            </w:pPr>
            <w:r>
              <w:rPr>
                <w:rFonts w:ascii="Arial" w:cs="Arial" w:eastAsia="Arial" w:hAnsi="Arial"/>
                <w:sz w:val="16"/>
                <w:szCs w:val="16"/>
                <w:color w:val="auto"/>
                <w:w w:val="94"/>
              </w:rPr>
              <w:t>Amount of gain (loss) reclassified from</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260" w:type="dxa"/>
            <w:vAlign w:val="bottom"/>
            <w:shd w:val="clear" w:color="auto" w:fill="CCEEFF"/>
          </w:tcPr>
          <w:p>
            <w:pPr>
              <w:jc w:val="center"/>
              <w:ind w:right="39"/>
              <w:spacing w:after="0" w:line="162" w:lineRule="exact"/>
              <w:rPr>
                <w:sz w:val="20"/>
                <w:szCs w:val="20"/>
                <w:color w:val="auto"/>
              </w:rPr>
            </w:pPr>
            <w:r>
              <w:rPr>
                <w:rFonts w:ascii="Arial" w:cs="Arial" w:eastAsia="Arial" w:hAnsi="Arial"/>
                <w:sz w:val="16"/>
                <w:szCs w:val="16"/>
                <w:color w:val="auto"/>
                <w:w w:val="90"/>
              </w:rPr>
              <w:t>accumulated other comprehensive</w:t>
            </w:r>
          </w:p>
        </w:tc>
        <w:tc>
          <w:tcPr>
            <w:tcW w:w="1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ind w:right="84"/>
              <w:spacing w:after="0"/>
              <w:rPr>
                <w:sz w:val="20"/>
                <w:szCs w:val="20"/>
                <w:color w:val="auto"/>
              </w:rPr>
            </w:pPr>
            <w:r>
              <w:rPr>
                <w:rFonts w:ascii="Arial" w:cs="Arial" w:eastAsia="Arial" w:hAnsi="Arial"/>
                <w:sz w:val="16"/>
                <w:szCs w:val="16"/>
                <w:color w:val="auto"/>
              </w:rPr>
              <w:t>2.1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04"/>
              <w:spacing w:after="0"/>
              <w:rPr>
                <w:sz w:val="20"/>
                <w:szCs w:val="20"/>
                <w:color w:val="auto"/>
              </w:rPr>
            </w:pPr>
            <w:r>
              <w:rPr>
                <w:rFonts w:ascii="Arial" w:cs="Arial" w:eastAsia="Arial" w:hAnsi="Arial"/>
                <w:sz w:val="16"/>
                <w:szCs w:val="16"/>
                <w:color w:val="auto"/>
              </w:rPr>
              <w:t>0.6</w:t>
            </w:r>
          </w:p>
        </w:tc>
        <w:tc>
          <w:tcPr>
            <w:tcW w:w="20" w:type="dxa"/>
            <w:vAlign w:val="bottom"/>
            <w:shd w:val="clear" w:color="auto" w:fill="CCEEFF"/>
          </w:tcPr>
          <w:p>
            <w:pPr>
              <w:spacing w:after="0"/>
              <w:rPr>
                <w:sz w:val="14"/>
                <w:szCs w:val="14"/>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(0.2)</w:t>
            </w:r>
          </w:p>
        </w:tc>
        <w:tc>
          <w:tcPr>
            <w:tcW w:w="20" w:type="dxa"/>
            <w:vAlign w:val="bottom"/>
            <w:shd w:val="clear" w:color="auto" w:fill="CCEEFF"/>
          </w:tcPr>
          <w:p>
            <w:pPr>
              <w:spacing w:after="0"/>
              <w:rPr>
                <w:sz w:val="14"/>
                <w:szCs w:val="14"/>
                <w:color w:val="auto"/>
              </w:rPr>
            </w:pP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104"/>
              <w:spacing w:after="0"/>
              <w:rPr>
                <w:sz w:val="20"/>
                <w:szCs w:val="20"/>
                <w:color w:val="auto"/>
              </w:rPr>
            </w:pPr>
            <w:r>
              <w:rPr>
                <w:rFonts w:ascii="Arial" w:cs="Arial" w:eastAsia="Arial" w:hAnsi="Arial"/>
                <w:sz w:val="16"/>
                <w:szCs w:val="16"/>
                <w:color w:val="auto"/>
              </w:rPr>
              <w:t>(0.8)</w:t>
            </w:r>
          </w:p>
        </w:tc>
        <w:tc>
          <w:tcPr>
            <w:tcW w:w="20" w:type="dxa"/>
            <w:vAlign w:val="bottom"/>
            <w:shd w:val="clear" w:color="auto" w:fill="CCEEFF"/>
          </w:tcPr>
          <w:p>
            <w:pPr>
              <w:spacing w:after="0"/>
              <w:rPr>
                <w:sz w:val="14"/>
                <w:szCs w:val="14"/>
                <w:color w:val="auto"/>
              </w:rPr>
            </w:pPr>
          </w:p>
        </w:tc>
        <w:tc>
          <w:tcPr>
            <w:tcW w:w="24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104"/>
              <w:spacing w:after="0"/>
              <w:rPr>
                <w:sz w:val="20"/>
                <w:szCs w:val="20"/>
                <w:color w:val="auto"/>
              </w:rPr>
            </w:pPr>
            <w:r>
              <w:rPr>
                <w:rFonts w:ascii="Arial" w:cs="Arial" w:eastAsia="Arial" w:hAnsi="Arial"/>
                <w:sz w:val="16"/>
                <w:szCs w:val="16"/>
                <w:color w:val="auto"/>
              </w:rPr>
              <w:t>(0.1)</w:t>
            </w:r>
          </w:p>
        </w:tc>
        <w:tc>
          <w:tcPr>
            <w:tcW w:w="20" w:type="dxa"/>
            <w:vAlign w:val="bottom"/>
            <w:shd w:val="clear" w:color="auto" w:fill="CCEEFF"/>
          </w:tcPr>
          <w:p>
            <w:pPr>
              <w:spacing w:after="0"/>
              <w:rPr>
                <w:sz w:val="14"/>
                <w:szCs w:val="14"/>
                <w:color w:val="auto"/>
              </w:rPr>
            </w:pP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104"/>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income into income</w:t>
            </w:r>
          </w:p>
        </w:tc>
        <w:tc>
          <w:tcPr>
            <w:tcW w:w="16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Derivatives not designated as hedging instruments</w:t>
      </w:r>
    </w:p>
    <w:p>
      <w:pPr>
        <w:spacing w:after="0" w:line="252"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Autodesk uses foreign currency contracts that are not designated as hedging instruments to reduce the exchange rate risk associated primarily with foreign currency denominated receivables, payables, and cash. The notional amounts of these foreign currency contracts are presented net settled and were $112.8 million at April 30, 2021, and $434.5 million at January 31, 2021.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4" w:name="page15"/>
    <w:bookmarkEnd w:id="14"/>
    <w:p>
      <w:pPr>
        <w:ind w:left="260"/>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fair values of derivative instruments in Autodesk’s Condensed Consolidated Balance Sheets were as follows as of April 30,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31,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291"/>
        </w:trPr>
        <w:tc>
          <w:tcPr>
            <w:tcW w:w="5560" w:type="dxa"/>
            <w:vAlign w:val="bottom"/>
          </w:tcPr>
          <w:p>
            <w:pPr>
              <w:spacing w:after="0"/>
              <w:rPr>
                <w:sz w:val="24"/>
                <w:szCs w:val="24"/>
                <w:color w:val="auto"/>
              </w:rPr>
            </w:pPr>
          </w:p>
        </w:tc>
        <w:tc>
          <w:tcPr>
            <w:tcW w:w="2680" w:type="dxa"/>
            <w:vAlign w:val="bottom"/>
            <w:gridSpan w:val="2"/>
          </w:tcPr>
          <w:p>
            <w:pPr>
              <w:ind w:left="580"/>
              <w:spacing w:after="0"/>
              <w:rPr>
                <w:sz w:val="20"/>
                <w:szCs w:val="20"/>
                <w:color w:val="auto"/>
              </w:rPr>
            </w:pPr>
            <w:r>
              <w:rPr>
                <w:rFonts w:ascii="Arial" w:cs="Arial" w:eastAsia="Arial" w:hAnsi="Arial"/>
                <w:sz w:val="14"/>
                <w:szCs w:val="14"/>
                <w:b w:val="1"/>
                <w:bCs w:val="1"/>
                <w:color w:val="auto"/>
              </w:rPr>
              <w:t>Balance Sheet Location</w:t>
            </w:r>
          </w:p>
        </w:tc>
        <w:tc>
          <w:tcPr>
            <w:tcW w:w="20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30, 2021</w:t>
            </w:r>
          </w:p>
        </w:tc>
        <w:tc>
          <w:tcPr>
            <w:tcW w:w="140" w:type="dxa"/>
            <w:vAlign w:val="bottom"/>
          </w:tcPr>
          <w:p>
            <w:pPr>
              <w:spacing w:after="0"/>
              <w:rPr>
                <w:sz w:val="24"/>
                <w:szCs w:val="24"/>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2021</w:t>
            </w:r>
          </w:p>
        </w:tc>
        <w:tc>
          <w:tcPr>
            <w:tcW w:w="0" w:type="dxa"/>
            <w:vAlign w:val="bottom"/>
          </w:tcPr>
          <w:p>
            <w:pPr>
              <w:spacing w:after="0"/>
              <w:rPr>
                <w:sz w:val="1"/>
                <w:szCs w:val="1"/>
                <w:color w:val="auto"/>
              </w:rPr>
            </w:pPr>
          </w:p>
        </w:tc>
      </w:tr>
      <w:tr>
        <w:trPr>
          <w:trHeight w:val="202"/>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Derivative Assets</w:t>
            </w:r>
          </w:p>
        </w:tc>
        <w:tc>
          <w:tcPr>
            <w:tcW w:w="2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5560" w:type="dxa"/>
            <w:vAlign w:val="bottom"/>
          </w:tcPr>
          <w:p>
            <w:pPr>
              <w:ind w:left="360"/>
              <w:spacing w:after="0" w:line="166" w:lineRule="exact"/>
              <w:rPr>
                <w:sz w:val="20"/>
                <w:szCs w:val="20"/>
                <w:color w:val="auto"/>
              </w:rPr>
            </w:pPr>
            <w:r>
              <w:rPr>
                <w:rFonts w:ascii="Arial" w:cs="Arial" w:eastAsia="Arial" w:hAnsi="Arial"/>
                <w:sz w:val="16"/>
                <w:szCs w:val="16"/>
                <w:color w:val="auto"/>
              </w:rPr>
              <w:t>Foreign currency contracts designated as cash flow hedges</w:t>
            </w:r>
          </w:p>
        </w:tc>
        <w:tc>
          <w:tcPr>
            <w:tcW w:w="26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Prepaid expenses and other current</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vMerge w:val="restart"/>
          </w:tcPr>
          <w:p>
            <w:pPr>
              <w:jc w:val="right"/>
              <w:ind w:right="1"/>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9"/>
        </w:trPr>
        <w:tc>
          <w:tcPr>
            <w:tcW w:w="5560" w:type="dxa"/>
            <w:vAlign w:val="bottom"/>
          </w:tcPr>
          <w:p>
            <w:pPr>
              <w:spacing w:after="0"/>
              <w:rPr>
                <w:sz w:val="18"/>
                <w:szCs w:val="18"/>
                <w:color w:val="auto"/>
              </w:rPr>
            </w:pPr>
          </w:p>
        </w:tc>
        <w:tc>
          <w:tcPr>
            <w:tcW w:w="2680" w:type="dxa"/>
            <w:vAlign w:val="bottom"/>
            <w:gridSpan w:val="2"/>
          </w:tcPr>
          <w:p>
            <w:pPr>
              <w:ind w:left="20"/>
              <w:spacing w:after="0"/>
              <w:rPr>
                <w:sz w:val="20"/>
                <w:szCs w:val="20"/>
                <w:color w:val="auto"/>
              </w:rPr>
            </w:pPr>
            <w:r>
              <w:rPr>
                <w:rFonts w:ascii="Arial" w:cs="Arial" w:eastAsia="Arial" w:hAnsi="Arial"/>
                <w:sz w:val="16"/>
                <w:szCs w:val="16"/>
                <w:color w:val="auto"/>
              </w:rPr>
              <w:t>assets</w:t>
            </w:r>
          </w:p>
        </w:tc>
        <w:tc>
          <w:tcPr>
            <w:tcW w:w="20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56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rPr>
              <w:t>Derivatives not designated as hedging instruments</w:t>
            </w:r>
          </w:p>
        </w:tc>
        <w:tc>
          <w:tcPr>
            <w:tcW w:w="26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Prepaid expenses and other current</w:t>
            </w: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assets and long-term 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680"/>
              <w:spacing w:after="0"/>
              <w:rPr>
                <w:sz w:val="20"/>
                <w:szCs w:val="20"/>
                <w:color w:val="auto"/>
              </w:rPr>
            </w:pPr>
            <w:r>
              <w:rPr>
                <w:rFonts w:ascii="Arial" w:cs="Arial" w:eastAsia="Arial" w:hAnsi="Arial"/>
                <w:sz w:val="16"/>
                <w:szCs w:val="16"/>
                <w:color w:val="auto"/>
              </w:rPr>
              <w:t>Total derivative assets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Derivative Liabilities</w:t>
            </w:r>
          </w:p>
        </w:tc>
        <w:tc>
          <w:tcPr>
            <w:tcW w:w="2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680" w:type="dxa"/>
            <w:vAlign w:val="bottom"/>
            <w:gridSpan w:val="2"/>
          </w:tcPr>
          <w:p>
            <w:pPr>
              <w:ind w:left="20"/>
              <w:spacing w:after="0"/>
              <w:rPr>
                <w:sz w:val="20"/>
                <w:szCs w:val="20"/>
                <w:color w:val="auto"/>
              </w:rPr>
            </w:pPr>
            <w:r>
              <w:rPr>
                <w:rFonts w:ascii="Arial" w:cs="Arial" w:eastAsia="Arial" w:hAnsi="Arial"/>
                <w:sz w:val="16"/>
                <w:szCs w:val="16"/>
                <w:color w:val="auto"/>
              </w:rPr>
              <w:t>Other accrued liabilities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Derivatives not designated as hedging instruments</w:t>
            </w:r>
          </w:p>
        </w:tc>
        <w:tc>
          <w:tcPr>
            <w:tcW w:w="2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5560" w:type="dxa"/>
            <w:vAlign w:val="bottom"/>
          </w:tcPr>
          <w:p>
            <w:pPr>
              <w:ind w:left="680"/>
              <w:spacing w:after="0"/>
              <w:rPr>
                <w:sz w:val="20"/>
                <w:szCs w:val="20"/>
                <w:color w:val="auto"/>
              </w:rPr>
            </w:pPr>
            <w:r>
              <w:rPr>
                <w:rFonts w:ascii="Arial" w:cs="Arial" w:eastAsia="Arial" w:hAnsi="Arial"/>
                <w:sz w:val="16"/>
                <w:szCs w:val="16"/>
                <w:color w:val="auto"/>
              </w:rPr>
              <w:t>Total derivative liabilities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months ended April 30, 2021 and 2020 (amounts presented include any income tax effects):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32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4"/>
                <w:szCs w:val="14"/>
                <w:b w:val="1"/>
                <w:bCs w:val="1"/>
                <w:color w:val="auto"/>
              </w:rPr>
              <w:t>Foreign Currency Contracts</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40" w:type="dxa"/>
            <w:vAlign w:val="bottom"/>
            <w:tcBorders>
              <w:bottom w:val="single" w:sz="8" w:color="CCEEFF"/>
            </w:tcBorders>
          </w:tcPr>
          <w:p>
            <w:pPr>
              <w:spacing w:after="0"/>
              <w:rPr>
                <w:sz w:val="15"/>
                <w:szCs w:val="15"/>
                <w:color w:val="auto"/>
              </w:rPr>
            </w:pPr>
          </w:p>
        </w:tc>
        <w:tc>
          <w:tcPr>
            <w:tcW w:w="38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w w:val="91"/>
              </w:rPr>
              <w:t>Amount of gain recognized in accumulated other comprehensive loss on</w:t>
            </w:r>
          </w:p>
        </w:tc>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i w:val="1"/>
                <w:iCs w:val="1"/>
                <w:color w:val="auto"/>
                <w:shd w:val="clear" w:color="auto" w:fill="CCEEFF"/>
              </w:rPr>
              <w:t>derivatives (effective portion)</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6.1</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5.1</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i w:val="1"/>
                <w:iCs w:val="1"/>
                <w:color w:val="auto"/>
                <w:w w:val="98"/>
              </w:rPr>
              <w:t>Amount and location of (loss) gain reclassified from accumulated other comprehensive loss into income (effective portion)</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5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revenue</w:t>
            </w: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(5.5)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w:t>
            </w:r>
          </w:p>
        </w:tc>
        <w:tc>
          <w:tcPr>
            <w:tcW w:w="0" w:type="dxa"/>
            <w:vAlign w:val="bottom"/>
          </w:tcPr>
          <w:p>
            <w:pPr>
              <w:spacing w:after="0"/>
              <w:rPr>
                <w:sz w:val="1"/>
                <w:szCs w:val="1"/>
                <w:color w:val="auto"/>
              </w:rPr>
            </w:pPr>
          </w:p>
        </w:tc>
      </w:tr>
      <w:tr>
        <w:trPr>
          <w:trHeight w:val="213"/>
        </w:trPr>
        <w:tc>
          <w:tcPr>
            <w:tcW w:w="8540" w:type="dxa"/>
            <w:vAlign w:val="bottom"/>
            <w:gridSpan w:val="2"/>
          </w:tcPr>
          <w:p>
            <w:pPr>
              <w:ind w:left="360"/>
              <w:spacing w:after="0"/>
              <w:rPr>
                <w:sz w:val="20"/>
                <w:szCs w:val="20"/>
                <w:color w:val="auto"/>
              </w:rPr>
            </w:pPr>
            <w:r>
              <w:rPr>
                <w:rFonts w:ascii="Arial" w:cs="Arial" w:eastAsia="Arial" w:hAnsi="Arial"/>
                <w:sz w:val="16"/>
                <w:szCs w:val="16"/>
                <w:color w:val="auto"/>
              </w:rPr>
              <w:t>Cost of revenue</w:t>
            </w:r>
          </w:p>
        </w:tc>
        <w:tc>
          <w:tcPr>
            <w:tcW w:w="88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0.3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6"/>
                <w:szCs w:val="16"/>
                <w:color w:val="auto"/>
                <w:w w:val="97"/>
              </w:rPr>
              <w:t>(0.2)</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Operating expenses</w:t>
            </w:r>
          </w:p>
        </w:tc>
        <w:tc>
          <w:tcPr>
            <w:tcW w:w="8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(1.3)</w:t>
            </w:r>
          </w:p>
        </w:tc>
        <w:tc>
          <w:tcPr>
            <w:tcW w:w="0" w:type="dxa"/>
            <w:vAlign w:val="bottom"/>
          </w:tcPr>
          <w:p>
            <w:pPr>
              <w:spacing w:after="0"/>
              <w:rPr>
                <w:sz w:val="1"/>
                <w:szCs w:val="1"/>
                <w:color w:val="auto"/>
              </w:rPr>
            </w:pPr>
          </w:p>
        </w:tc>
      </w:tr>
      <w:tr>
        <w:trPr>
          <w:trHeight w:val="213"/>
        </w:trPr>
        <w:tc>
          <w:tcPr>
            <w:tcW w:w="8540" w:type="dxa"/>
            <w:vAlign w:val="bottom"/>
            <w:gridSpan w:val="2"/>
          </w:tcPr>
          <w:p>
            <w:pPr>
              <w:ind w:left="68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tcPr>
          <w:p>
            <w:pPr>
              <w:jc w:val="right"/>
              <w:ind w:right="70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(3.9)</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Condensed Consolidated Statements of Operations were as follows for the three months ended April 30, 2021 and 2020 (amounts presented include any income tax effects):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324"/>
              <w:spacing w:after="0"/>
              <w:rPr>
                <w:sz w:val="20"/>
                <w:szCs w:val="20"/>
                <w:color w:val="auto"/>
              </w:rPr>
            </w:pPr>
            <w:r>
              <w:rPr>
                <w:rFonts w:ascii="Arial" w:cs="Arial" w:eastAsia="Arial" w:hAnsi="Arial"/>
                <w:sz w:val="14"/>
                <w:szCs w:val="14"/>
                <w:b w:val="1"/>
                <w:bCs w:val="1"/>
                <w:color w:val="auto"/>
              </w:rPr>
              <w:t>Three Months Ended April 30,</w:t>
            </w:r>
          </w:p>
        </w:tc>
      </w:tr>
      <w:tr>
        <w:trPr>
          <w:trHeight w:val="187"/>
        </w:trPr>
        <w:tc>
          <w:tcPr>
            <w:tcW w:w="8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2020</w:t>
            </w:r>
          </w:p>
        </w:tc>
      </w:tr>
      <w:tr>
        <w:trPr>
          <w:trHeight w:val="197"/>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Amount and location of gain (loss) recognized on derivatives in net income</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0"/>
        </w:trPr>
        <w:tc>
          <w:tcPr>
            <w:tcW w:w="8500" w:type="dxa"/>
            <w:vAlign w:val="bottom"/>
          </w:tcPr>
          <w:p>
            <w:pPr>
              <w:ind w:left="360"/>
              <w:spacing w:after="0"/>
              <w:rPr>
                <w:sz w:val="20"/>
                <w:szCs w:val="20"/>
                <w:color w:val="auto"/>
              </w:rPr>
            </w:pPr>
            <w:r>
              <w:rPr>
                <w:rFonts w:ascii="Arial" w:cs="Arial" w:eastAsia="Arial" w:hAnsi="Arial"/>
                <w:sz w:val="16"/>
                <w:szCs w:val="16"/>
                <w:color w:val="auto"/>
              </w:rPr>
              <w:t>Interest and other expense, net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5"/>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ind w:left="220" w:right="9360" w:hanging="212"/>
        <w:spacing w:after="0" w:line="598" w:lineRule="auto"/>
        <w:tabs>
          <w:tab w:leader="none" w:pos="198"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Equity Compensation </w:t>
      </w:r>
      <w:r>
        <w:rPr>
          <w:rFonts w:ascii="Arial" w:cs="Arial" w:eastAsia="Arial" w:hAnsi="Arial"/>
          <w:sz w:val="16"/>
          <w:szCs w:val="16"/>
          <w:i w:val="1"/>
          <w:iCs w:val="1"/>
          <w:color w:val="auto"/>
        </w:rPr>
        <w:t>Restricted Stock Units:</w:t>
      </w:r>
    </w:p>
    <w:p>
      <w:pPr>
        <w:spacing w:after="0" w:line="1"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8"/>
          <w:szCs w:val="18"/>
          <w:color w:val="auto"/>
        </w:rPr>
        <w:t>A summary of restricted stock activity for the three months ended April 30, 2021,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Unvested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103"/>
              <w:spacing w:after="0" w:line="135"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103"/>
              <w:spacing w:after="0" w:line="135" w:lineRule="exact"/>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 units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restricted stock units at January 31, 2021</w:t>
            </w: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4,503.9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191.91</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ind w:right="3"/>
              <w:spacing w:after="0"/>
              <w:rPr>
                <w:sz w:val="20"/>
                <w:szCs w:val="20"/>
                <w:color w:val="auto"/>
              </w:rPr>
            </w:pPr>
            <w:r>
              <w:rPr>
                <w:rFonts w:ascii="Arial" w:cs="Arial" w:eastAsia="Arial" w:hAnsi="Arial"/>
                <w:sz w:val="16"/>
                <w:szCs w:val="16"/>
                <w:color w:val="auto"/>
              </w:rPr>
              <w:t>1,582.8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292.20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161.69</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Canceled/Forfeited</w:t>
            </w:r>
          </w:p>
        </w:tc>
        <w:tc>
          <w:tcPr>
            <w:tcW w:w="1440" w:type="dxa"/>
            <w:vAlign w:val="bottom"/>
          </w:tcPr>
          <w:p>
            <w:pPr>
              <w:jc w:val="right"/>
              <w:spacing w:after="0"/>
              <w:rPr>
                <w:sz w:val="20"/>
                <w:szCs w:val="20"/>
                <w:color w:val="auto"/>
              </w:rPr>
            </w:pPr>
            <w:r>
              <w:rPr>
                <w:rFonts w:ascii="Arial" w:cs="Arial" w:eastAsia="Arial" w:hAnsi="Arial"/>
                <w:sz w:val="16"/>
                <w:szCs w:val="16"/>
                <w:color w:val="auto"/>
              </w:rPr>
              <w:t>(112.6)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198.93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Performance Adjustment (1)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137.02</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Unvested restricted stock units at April 30, 2021</w:t>
            </w:r>
          </w:p>
        </w:tc>
        <w:tc>
          <w:tcPr>
            <w:tcW w:w="14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5,407.8</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226.12</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20" w:right="160" w:hanging="412"/>
        <w:spacing w:after="0" w:line="262"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Autodesk's financial results and relative total stockholder return for the fiscal 2021 performance period. The performance stock units were attained at rates ranging from 103.0% to 108.0% of the target award.</w:t>
      </w:r>
    </w:p>
    <w:p>
      <w:pPr>
        <w:spacing w:after="0" w:line="204"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7"/>
          <w:szCs w:val="17"/>
          <w:color w:val="auto"/>
        </w:rPr>
        <w:t>The fair value of the shares vested during the three months ended April 30, 2021 and 2020, was $148.8 million and $111.4 million, respectively.</w:t>
      </w:r>
    </w:p>
    <w:p>
      <w:pPr>
        <w:spacing w:after="0" w:line="264" w:lineRule="exact"/>
        <w:rPr>
          <w:sz w:val="20"/>
          <w:szCs w:val="20"/>
          <w:color w:val="auto"/>
        </w:rPr>
      </w:pPr>
    </w:p>
    <w:p>
      <w:pPr>
        <w:ind w:right="360" w:firstLine="405"/>
        <w:spacing w:after="0" w:line="342" w:lineRule="auto"/>
        <w:rPr>
          <w:sz w:val="20"/>
          <w:szCs w:val="20"/>
          <w:color w:val="auto"/>
        </w:rPr>
      </w:pPr>
      <w:r>
        <w:rPr>
          <w:rFonts w:ascii="Arial" w:cs="Arial" w:eastAsia="Arial" w:hAnsi="Arial"/>
          <w:sz w:val="16"/>
          <w:szCs w:val="16"/>
          <w:color w:val="auto"/>
        </w:rPr>
        <w:t>During the three months ended April 30, 2021, Autodesk granted 1.3 million restricted stock units. Autodesk recorded stock-based compensation expense related to restricted stock units of $89.6 million and $76.9 million during the three months ended April 30, 2021 and 2020, respectively.</w:t>
      </w:r>
    </w:p>
    <w:p>
      <w:pPr>
        <w:spacing w:after="0" w:line="151"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During the three months ended April 30, 2021 and 2020, Autodesk settled liability-classified awards in the amount of zero and $28.7 million, respectively. The ultimate number of shares earned was based on the Autodesk closing stock price on the vesting date. As these awards were settled in a fixed dollar amount of shares, the awards were accounted for as a liability-classified award and were expensed using the straight-line method over the vesting period.</w:t>
      </w:r>
    </w:p>
    <w:p>
      <w:pPr>
        <w:spacing w:after="0" w:line="214"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During the three months ended April 30, 2021, Autodesk granted 0.2 million performance stock units for which the ultimate number of shares earned is determined based on the achievement of performance criteria at the end of the stated service and performance period. The performance criteria for the performance stock units vested during the three months ended April 30, 2021, are based on revenue and free cash flow goals adopted by the Compensation and Human Resource Committee and, as applicable, total stockholder return compared against companies in the S&amp;P North American Technology Software Index with a market capitalization over $2.0 billion (“Relative TSR”). The fair value of the performance stock units is expensed using the accelerated attribution method over the three-year vesting period and have the following vesting schedule:</w:t>
      </w:r>
    </w:p>
    <w:p>
      <w:pPr>
        <w:spacing w:after="0" w:line="205" w:lineRule="exact"/>
        <w:rPr>
          <w:sz w:val="20"/>
          <w:szCs w:val="20"/>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one, depending upon the achievement of the performance criteria for fiscal 2022 as well as 1-year Relative TSR (covering year one).</w:t>
      </w:r>
    </w:p>
    <w:p>
      <w:pPr>
        <w:spacing w:after="0" w:line="197"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two, depending upon the achievement of the performance criteria for year two as well as 2-year Relative TSR (covering years one and two).</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three, depending upon the achievement of the performance criteria for year three as well as 3-year Relative TSR (covering years one, two and three).</w:t>
      </w:r>
    </w:p>
    <w:p>
      <w:pPr>
        <w:spacing w:after="0" w:line="197" w:lineRule="exact"/>
        <w:rPr>
          <w:sz w:val="20"/>
          <w:szCs w:val="20"/>
          <w:color w:val="auto"/>
        </w:rPr>
      </w:pPr>
    </w:p>
    <w:p>
      <w:pPr>
        <w:ind w:right="160" w:firstLine="405"/>
        <w:spacing w:after="0" w:line="279" w:lineRule="auto"/>
        <w:rPr>
          <w:sz w:val="20"/>
          <w:szCs w:val="20"/>
          <w:color w:val="auto"/>
        </w:rPr>
      </w:pPr>
      <w:r>
        <w:rPr>
          <w:rFonts w:ascii="Arial" w:cs="Arial" w:eastAsia="Arial" w:hAnsi="Arial"/>
          <w:sz w:val="16"/>
          <w:szCs w:val="16"/>
          <w:color w:val="auto"/>
        </w:rPr>
        <w:t>Additionally, during the three months ended April 30, 2021, Autodesk granted 96,564 performance stock units, as part of a program offering certain employees the option to receive equity in lieu of the opportunity to receive an annual cash incentive award. The ultimate number of shares earned is determined based on the achievement of performance criteria at the end of the stated service and performance period. The performance criteria for the performance stock units are based on revenue and Non-GAAP income from operations targets adopted by the Compensation and Human Resource Committee. The fair value of these performance stock units is expensed using the accelerated attribution method over the one-year vesting period.</w:t>
      </w:r>
    </w:p>
    <w:p>
      <w:pPr>
        <w:spacing w:after="0" w:line="186"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Performance stock units are not considered outstanding stock at the time of grant, as the holders of these units are not entitled to any of the rights of a stockholder, including voting rights.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6" w:name="page17"/>
    <w:bookmarkEnd w:id="16"/>
    <w:p>
      <w:pPr>
        <w:ind w:firstLine="405"/>
        <w:spacing w:after="0" w:line="277" w:lineRule="auto"/>
        <w:rPr>
          <w:sz w:val="20"/>
          <w:szCs w:val="20"/>
          <w:color w:val="auto"/>
        </w:rPr>
      </w:pPr>
      <w:r>
        <w:rPr>
          <w:rFonts w:ascii="Arial" w:cs="Arial" w:eastAsia="Arial" w:hAnsi="Arial"/>
          <w:sz w:val="18"/>
          <w:szCs w:val="18"/>
          <w:color w:val="auto"/>
        </w:rPr>
        <w:t>Autodesk recorded stock-based compensation expense related to performance stock units of $11.8 million and $7.4 million for the three months ended April 30, 2021 and 2020, respectively.</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Common Stock:</w:t>
      </w:r>
    </w:p>
    <w:p>
      <w:pPr>
        <w:spacing w:after="0" w:line="252" w:lineRule="exact"/>
        <w:rPr>
          <w:sz w:val="20"/>
          <w:szCs w:val="20"/>
          <w:color w:val="auto"/>
        </w:rPr>
      </w:pPr>
    </w:p>
    <w:p>
      <w:pPr>
        <w:ind w:right="40" w:firstLine="445"/>
        <w:spacing w:after="0" w:line="279" w:lineRule="auto"/>
        <w:rPr>
          <w:sz w:val="20"/>
          <w:szCs w:val="20"/>
          <w:color w:val="auto"/>
        </w:rPr>
      </w:pPr>
      <w:r>
        <w:rPr>
          <w:rFonts w:ascii="Arial" w:cs="Arial" w:eastAsia="Arial" w:hAnsi="Arial"/>
          <w:sz w:val="16"/>
          <w:szCs w:val="16"/>
          <w:color w:val="auto"/>
        </w:rPr>
        <w:t>Autodesk agreed to issue a fixed amount of $4.9 million in common stock at a future date to certain employees in connection with a fiscal 2021 acquisition. Issuance of the common stock is dependent on the respective employees’ continued employment through the vesting period. The number of shares to be issued will be determined based on the fair value of Autodesk’s common stock at the issuance date. Shares to be issued are estimated to be 16,786 based on the closing price of Autodesk’s common stock on April 30, 2021, the last trading day of the fiscal quarter. The awards are accounted for as liability-classified awards and are recognized as compensation expense using the straight-line method over the vesting period.</w:t>
      </w:r>
    </w:p>
    <w:p>
      <w:pPr>
        <w:spacing w:after="0" w:line="186" w:lineRule="exact"/>
        <w:rPr>
          <w:sz w:val="20"/>
          <w:szCs w:val="20"/>
          <w:color w:val="auto"/>
        </w:rPr>
      </w:pPr>
    </w:p>
    <w:p>
      <w:pPr>
        <w:ind w:right="240" w:firstLine="445"/>
        <w:spacing w:after="0" w:line="243" w:lineRule="auto"/>
        <w:rPr>
          <w:sz w:val="20"/>
          <w:szCs w:val="20"/>
          <w:color w:val="auto"/>
        </w:rPr>
      </w:pPr>
      <w:r>
        <w:rPr>
          <w:rFonts w:ascii="Arial" w:cs="Arial" w:eastAsia="Arial" w:hAnsi="Arial"/>
          <w:sz w:val="18"/>
          <w:szCs w:val="18"/>
          <w:color w:val="auto"/>
        </w:rPr>
        <w:t>Autodesk issued 73,632 shares of restricted common stock to certain employees in connection with a fiscal 2021 acquisition. These shares of restricted common stock are subject to forfeiture by the employee if employment terminates prior to the three-year employment period. The fair value of the restricted common stock is recorded as compensation for post-acquisition services and recognized as expense using the straight-line method over the three-year repurchase period.</w:t>
      </w:r>
    </w:p>
    <w:p>
      <w:pPr>
        <w:spacing w:after="0" w:line="215" w:lineRule="exact"/>
        <w:rPr>
          <w:sz w:val="20"/>
          <w:szCs w:val="20"/>
          <w:color w:val="auto"/>
        </w:rPr>
      </w:pPr>
    </w:p>
    <w:p>
      <w:pPr>
        <w:ind w:firstLine="445"/>
        <w:spacing w:after="0" w:line="243" w:lineRule="auto"/>
        <w:rPr>
          <w:sz w:val="20"/>
          <w:szCs w:val="20"/>
          <w:color w:val="auto"/>
        </w:rPr>
      </w:pPr>
      <w:r>
        <w:rPr>
          <w:rFonts w:ascii="Arial" w:cs="Arial" w:eastAsia="Arial" w:hAnsi="Arial"/>
          <w:sz w:val="18"/>
          <w:szCs w:val="18"/>
          <w:color w:val="auto"/>
        </w:rPr>
        <w:t>Autodesk issued 9,277 shares of restricted common stock to certain employees in connection with a fiscal 2022 acquisition. These shares of restricted common stock were recorded as “Prepaid expenses and other current assets” and “Long-term other assets” on our Condensed Consolidated Balance Sheets and will be amortized to stock-based compensation expense for post-acquisition services using the straight-line method over the two-year vesting period. See Note 8, “Acquisitions,” for further discussion.</w:t>
      </w:r>
    </w:p>
    <w:p>
      <w:pPr>
        <w:spacing w:after="0" w:line="215" w:lineRule="exact"/>
        <w:rPr>
          <w:sz w:val="20"/>
          <w:szCs w:val="20"/>
          <w:color w:val="auto"/>
        </w:rPr>
      </w:pPr>
    </w:p>
    <w:p>
      <w:pPr>
        <w:ind w:right="100" w:firstLine="445"/>
        <w:spacing w:after="0" w:line="261" w:lineRule="auto"/>
        <w:rPr>
          <w:sz w:val="20"/>
          <w:szCs w:val="20"/>
          <w:color w:val="auto"/>
        </w:rPr>
      </w:pPr>
      <w:r>
        <w:rPr>
          <w:rFonts w:ascii="Arial" w:cs="Arial" w:eastAsia="Arial" w:hAnsi="Arial"/>
          <w:sz w:val="18"/>
          <w:szCs w:val="18"/>
          <w:color w:val="auto"/>
        </w:rPr>
        <w:t>Autodesk recorded stock-based compensation expense related to common stock shares of $2.6 million and zero for the three months ended April 30, 2021 and 2020, respectively.</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1998 Employee Qualified Stock Purchase Plan (“ESPP”)</w:t>
      </w:r>
    </w:p>
    <w:p>
      <w:pPr>
        <w:spacing w:after="0" w:line="252"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ESPP activity for the three months ended April 30, 2021 and 2020,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60" w:type="dxa"/>
            <w:vAlign w:val="bottom"/>
            <w:tcBorders>
              <w:bottom w:val="single" w:sz="8" w:color="auto"/>
            </w:tcBorders>
          </w:tcPr>
          <w:p>
            <w:pPr>
              <w:spacing w:after="0"/>
              <w:rPr>
                <w:sz w:val="16"/>
                <w:szCs w:val="16"/>
                <w:color w:val="auto"/>
              </w:rPr>
            </w:pPr>
          </w:p>
        </w:tc>
      </w:tr>
      <w:tr>
        <w:trPr>
          <w:trHeight w:val="187"/>
        </w:trPr>
        <w:tc>
          <w:tcPr>
            <w:tcW w:w="8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Issued shares (in millions)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Average price of issued shares</w:t>
            </w:r>
          </w:p>
        </w:tc>
        <w:tc>
          <w:tcPr>
            <w:tcW w:w="960" w:type="dxa"/>
            <w:vAlign w:val="bottom"/>
          </w:tcPr>
          <w:p>
            <w:pPr>
              <w:jc w:val="right"/>
              <w:ind w:right="78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128.02</w:t>
            </w:r>
          </w:p>
        </w:tc>
        <w:tc>
          <w:tcPr>
            <w:tcW w:w="100" w:type="dxa"/>
            <w:vAlign w:val="bottom"/>
          </w:tcPr>
          <w:p>
            <w:pPr>
              <w:spacing w:after="0"/>
              <w:rPr>
                <w:sz w:val="18"/>
                <w:szCs w:val="18"/>
                <w:color w:val="auto"/>
              </w:rPr>
            </w:pP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122.54</w:t>
            </w: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 date fair value of shares granted under the ESPP (1)</w:t>
            </w: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45.70</w:t>
            </w: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Calculated as of the award grant date using the Black-Scholes Merton (“BSM”) option pricing model.</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87"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7" w:name="page18"/>
    <w:bookmarkEnd w:id="17"/>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stock-based compensation expense for the three months ended April 30, 2021 and 2020, respectively,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Three Months Ended April 30,</w:t>
            </w:r>
          </w:p>
        </w:tc>
        <w:tc>
          <w:tcPr>
            <w:tcW w:w="44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subscription and maintenance revenue</w:t>
            </w:r>
          </w:p>
        </w:tc>
        <w:tc>
          <w:tcPr>
            <w:tcW w:w="94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Cost of other revenue</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Marketing and sales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r>
      <w:tr>
        <w:trPr>
          <w:trHeight w:val="20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Stock-based compensation expense related to stock awards and ESPP purchases</w:t>
            </w: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w:t>
            </w: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7"/>
        </w:trPr>
        <w:tc>
          <w:tcPr>
            <w:tcW w:w="8260" w:type="dxa"/>
            <w:vAlign w:val="bottom"/>
          </w:tcPr>
          <w:p>
            <w:pPr>
              <w:ind w:left="20"/>
              <w:spacing w:after="0"/>
              <w:rPr>
                <w:sz w:val="20"/>
                <w:szCs w:val="20"/>
                <w:color w:val="auto"/>
              </w:rPr>
            </w:pPr>
            <w:r>
              <w:rPr>
                <w:rFonts w:ascii="Arial" w:cs="Arial" w:eastAsia="Arial" w:hAnsi="Arial"/>
                <w:sz w:val="16"/>
                <w:szCs w:val="16"/>
                <w:color w:val="auto"/>
              </w:rPr>
              <w:t>Stock-based compensation expense related to stock awards and ESPP purchases, net of tax</w:t>
            </w:r>
          </w:p>
        </w:tc>
        <w:tc>
          <w:tcPr>
            <w:tcW w:w="940" w:type="dxa"/>
            <w:vAlign w:val="bottom"/>
            <w:tcBorders>
              <w:bottom w:val="single" w:sz="8" w:color="auto"/>
            </w:tcBorders>
          </w:tcPr>
          <w:p>
            <w:pPr>
              <w:jc w:val="right"/>
              <w:ind w:right="76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w:t>
            </w:r>
          </w:p>
        </w:tc>
      </w:tr>
      <w:tr>
        <w:trPr>
          <w:trHeight w:val="23"/>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 Assumptions</w:t>
      </w:r>
    </w:p>
    <w:p>
      <w:pPr>
        <w:spacing w:after="0" w:line="252"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Autodesk determines the grant date fair value of its share-based payment awards using a BSM option pricing model or the quoted stock price on the date of grant, unless the awards are subject to market conditions, in which case Autodesk uses a binomial-lattice model (e.g., Monte Carlo simulation model). The Monte Carlo simulation model uses multiple input variables to estimate the probability that market conditions will be achieved. Autodesk uses the following assumptions to estimate the fair value of stock-based awards: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31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Three Months Ended April 30, 2021</w:t>
            </w:r>
          </w:p>
        </w:tc>
        <w:tc>
          <w:tcPr>
            <w:tcW w:w="100" w:type="dxa"/>
            <w:vAlign w:val="bottom"/>
          </w:tcPr>
          <w:p>
            <w:pPr>
              <w:spacing w:after="0"/>
              <w:rPr>
                <w:sz w:val="16"/>
                <w:szCs w:val="16"/>
                <w:color w:val="auto"/>
              </w:rPr>
            </w:pPr>
          </w:p>
        </w:tc>
        <w:tc>
          <w:tcPr>
            <w:tcW w:w="31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Three Months Ended April 30, 2020</w:t>
            </w: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6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Performance Stock</w:t>
            </w:r>
          </w:p>
        </w:tc>
        <w:tc>
          <w:tcPr>
            <w:tcW w:w="162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ESPP</w:t>
            </w: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Performance Stock</w:t>
            </w:r>
          </w:p>
        </w:tc>
        <w:tc>
          <w:tcPr>
            <w:tcW w:w="152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ESPP</w:t>
            </w:r>
          </w:p>
        </w:tc>
        <w:tc>
          <w:tcPr>
            <w:tcW w:w="0" w:type="dxa"/>
            <w:vAlign w:val="bottom"/>
          </w:tcPr>
          <w:p>
            <w:pPr>
              <w:spacing w:after="0"/>
              <w:rPr>
                <w:sz w:val="1"/>
                <w:szCs w:val="1"/>
                <w:color w:val="auto"/>
              </w:rPr>
            </w:pPr>
          </w:p>
        </w:tc>
      </w:tr>
      <w:tr>
        <w:trPr>
          <w:trHeight w:val="188"/>
        </w:trPr>
        <w:tc>
          <w:tcPr>
            <w:tcW w:w="478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Units</w:t>
            </w:r>
          </w:p>
        </w:tc>
        <w:tc>
          <w:tcPr>
            <w:tcW w:w="162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Units</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Range of expected volatility</w:t>
            </w: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36.9%</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36.5 - 41.8%</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50.7%</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39.4 - 45.8%</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Range of expected lives (in years)</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N/A</w:t>
            </w: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0.5- 2.0</w:t>
            </w:r>
          </w:p>
        </w:tc>
        <w:tc>
          <w:tcPr>
            <w:tcW w:w="10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N/A</w:t>
            </w:r>
          </w:p>
        </w:tc>
        <w:tc>
          <w:tcPr>
            <w:tcW w:w="152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dividends</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color w:val="auto"/>
              </w:rPr>
              <w:t>Range of risk-free interest rates</w:t>
            </w:r>
          </w:p>
        </w:tc>
        <w:tc>
          <w:tcPr>
            <w:tcW w:w="1500" w:type="dxa"/>
            <w:vAlign w:val="bottom"/>
          </w:tcPr>
          <w:p>
            <w:pPr>
              <w:jc w:val="center"/>
              <w:spacing w:after="0"/>
              <w:rPr>
                <w:sz w:val="20"/>
                <w:szCs w:val="20"/>
                <w:color w:val="auto"/>
              </w:rPr>
            </w:pPr>
            <w:r>
              <w:rPr>
                <w:rFonts w:ascii="Arial" w:cs="Arial" w:eastAsia="Arial" w:hAnsi="Arial"/>
                <w:sz w:val="16"/>
                <w:szCs w:val="16"/>
                <w:color w:val="auto"/>
                <w:w w:val="93"/>
              </w:rPr>
              <w:t>0.1%</w:t>
            </w: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3"/>
              </w:rPr>
              <w:t>0.1- 0.2%</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0.3%</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3"/>
              </w:rPr>
              <w:t>0.3 - 0.5%</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right="140" w:firstLine="445"/>
        <w:spacing w:after="0" w:line="301" w:lineRule="auto"/>
        <w:rPr>
          <w:sz w:val="20"/>
          <w:szCs w:val="20"/>
          <w:color w:val="auto"/>
        </w:rPr>
      </w:pPr>
      <w:r>
        <w:rPr>
          <w:rFonts w:ascii="Arial" w:cs="Arial" w:eastAsia="Arial" w:hAnsi="Arial"/>
          <w:sz w:val="16"/>
          <w:szCs w:val="16"/>
          <w:color w:val="auto"/>
        </w:rPr>
        <w:t>Autodesk estimates expected volatility for stock-based awards based on the average of the following two measures: (1) a measure of historical volatility in the trading market for the Company’s common stock, and (2) the implied volatility of traded forward call options to purchase shares of the Company’s common stock. The expected volatility for performance stock units subject to market conditions includes the expected volatility of Autodesk's peer companies within the S&amp;P North American Technology Software Index with a market capitalization over $2.0 billion, depending on the award type.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range of expected lives of ESPP awards are based upon the four, six-month exercise periods within a 24-month offering period.</w:t>
      </w:r>
    </w:p>
    <w:p>
      <w:pPr>
        <w:spacing w:after="0" w:line="252"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Autodesk does not currently pay, and does not anticipate paying in the foreseeable future, any cash dividends. Consequently, an expected dividend yield of zero is used in the BSM option pricing model and the Monte Carlo simulation model.</w:t>
      </w:r>
    </w:p>
    <w:p>
      <w:pPr>
        <w:spacing w:after="0" w:line="197"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97" w:lineRule="exact"/>
        <w:rPr>
          <w:sz w:val="20"/>
          <w:szCs w:val="20"/>
          <w:color w:val="auto"/>
        </w:rPr>
      </w:pPr>
    </w:p>
    <w:p>
      <w:pPr>
        <w:ind w:right="280" w:firstLine="445"/>
        <w:spacing w:after="0" w:line="277" w:lineRule="auto"/>
        <w:rPr>
          <w:sz w:val="20"/>
          <w:szCs w:val="20"/>
          <w:color w:val="auto"/>
        </w:rPr>
      </w:pPr>
      <w:r>
        <w:rPr>
          <w:rFonts w:ascii="Arial" w:cs="Arial" w:eastAsia="Arial" w:hAnsi="Arial"/>
          <w:sz w:val="18"/>
          <w:szCs w:val="18"/>
          <w:color w:val="auto"/>
        </w:rPr>
        <w:t>Autodesk recognizes expense only for the stock-based awards that ultimately vest. Autodesk accounts for forfeitures of our stock-based awards as those forfeitures occur.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7. Income Tax</w:t>
      </w:r>
    </w:p>
    <w:p>
      <w:pPr>
        <w:spacing w:after="0" w:line="252" w:lineRule="exact"/>
        <w:rPr>
          <w:sz w:val="20"/>
          <w:szCs w:val="20"/>
          <w:color w:val="auto"/>
        </w:rPr>
      </w:pPr>
    </w:p>
    <w:p>
      <w:pPr>
        <w:ind w:right="20" w:firstLine="481"/>
        <w:spacing w:after="0" w:line="257" w:lineRule="auto"/>
        <w:rPr>
          <w:sz w:val="20"/>
          <w:szCs w:val="20"/>
          <w:color w:val="auto"/>
        </w:rPr>
      </w:pPr>
      <w:r>
        <w:rPr>
          <w:rFonts w:ascii="Arial" w:cs="Arial" w:eastAsia="Arial" w:hAnsi="Arial"/>
          <w:sz w:val="18"/>
          <w:szCs w:val="18"/>
          <w:color w:val="auto"/>
        </w:rPr>
        <w:t>Autodesk had income tax benefit of $24.2 million, relative to pre-tax income of $131.4 million for the three months ended April 30, 2021, and income tax expense of $24.0 million, relative to pre-tax income of $90.5 million for the three months ended April 30, 2020. Income tax benefit for the three months ended April 30, 2021, reflects a decrease in tax expense due to a discrete tax benefit primarily related to a Supreme Court decision in India on the taxability of software license payments to nonresidents and the associated withholding taxes, offset by an increase in tax expense from jurisdictional mix of year-to-date earnings relative to the worldwide annual effective tax rate.</w:t>
      </w:r>
    </w:p>
    <w:p>
      <w:pPr>
        <w:spacing w:after="0" w:line="21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We have maintained a valuation allowance on our Netherlands, Canada, California, Michigan and capital loss deferred tax assets as it is more likely than not that some or all of the deferred tax assets will not be realized.</w:t>
      </w:r>
    </w:p>
    <w:p>
      <w:pPr>
        <w:spacing w:after="0" w:line="215"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As of April 30, 2021, the Company had $200.5 million of gross unrecognized tax benefits, of which $32.1 million would reduce our valuation allowance, if recognized. The remaining $168.4 million would impact the effective tax rate, if recognized. It is possible that the amount of unrecognized tax benefits will decrease in the next 12 months for an audit settlement of approximately $8.2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Acquisitions</w:t>
      </w:r>
    </w:p>
    <w:p>
      <w:pPr>
        <w:spacing w:after="0" w:line="256" w:lineRule="exact"/>
        <w:rPr>
          <w:sz w:val="20"/>
          <w:szCs w:val="20"/>
          <w:color w:val="auto"/>
        </w:rPr>
      </w:pPr>
    </w:p>
    <w:p>
      <w:pPr>
        <w:ind w:right="380" w:firstLine="486"/>
        <w:spacing w:after="0" w:line="311" w:lineRule="auto"/>
        <w:rPr>
          <w:sz w:val="20"/>
          <w:szCs w:val="20"/>
          <w:color w:val="auto"/>
        </w:rPr>
      </w:pPr>
      <w:r>
        <w:rPr>
          <w:rFonts w:ascii="Arial" w:cs="Arial" w:eastAsia="Arial" w:hAnsi="Arial"/>
          <w:sz w:val="16"/>
          <w:szCs w:val="16"/>
          <w:color w:val="auto"/>
        </w:rPr>
        <w:t>On March 31, 2021, Autodesk acquired all of the outstanding stock of Storm UK Holdco Limited, the parent of Innovyze, Inc. (“Innovyze”), a global leader in water infrastructure software. Innovyze is expected to provide comprehensive water modeling solutions that augment Autodesk’s BIM offerings in civil engineering, and is expected to extend Autodesk’s presence into operations and maintenance of water infrastructure assets.</w:t>
      </w:r>
    </w:p>
    <w:p>
      <w:pPr>
        <w:spacing w:after="0" w:line="176"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The results of operations for the acquisition were included in the accompanying Condensed Consolidated Statement of Operations from the date of the acquisition. Pro forma results of operations have not been presented because the effects of the acquisition were not material to Autodesk's Condensed Consolidated Financial Statements.</w:t>
      </w:r>
    </w:p>
    <w:p>
      <w:pPr>
        <w:spacing w:after="0" w:line="211" w:lineRule="exact"/>
        <w:rPr>
          <w:sz w:val="20"/>
          <w:szCs w:val="20"/>
          <w:color w:val="auto"/>
        </w:rPr>
      </w:pPr>
    </w:p>
    <w:p>
      <w:pPr>
        <w:ind w:right="60" w:firstLine="405"/>
        <w:spacing w:after="0" w:line="279" w:lineRule="auto"/>
        <w:rPr>
          <w:sz w:val="20"/>
          <w:szCs w:val="20"/>
          <w:color w:val="auto"/>
        </w:rPr>
      </w:pPr>
      <w:r>
        <w:rPr>
          <w:rFonts w:ascii="Arial" w:cs="Arial" w:eastAsia="Arial" w:hAnsi="Arial"/>
          <w:sz w:val="16"/>
          <w:szCs w:val="16"/>
          <w:color w:val="auto"/>
        </w:rPr>
        <w:t>The acquisition-date fair value of the consideration transferred totaled $1,040.9 million, which consisted of $1,038.3 million of cash and 9,277 shares of Autodesk’s restricted common stock at an aggregate fair value of $2.6 million. Of the total consideration transferred, $1,038.3 million is considered purchase consideration. The remaining amount of $2.6 million was recorded in “Prepaid expenses and other current assets” and “Long-term other assets”. The 9,277 shares of restricted common stock are subject to forfeiture until the second anniversary of the acquisition closing date. 50% are released from restriction on both the first and second anniversaries subject to continued employment. See Note 6, “Equity Compensation” for further discussion.</w:t>
      </w:r>
    </w:p>
    <w:p>
      <w:pPr>
        <w:spacing w:after="0" w:line="186"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The acquisition was accounted for as business combination, and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 The goodwill recorded was primarily attributable to synergies expected to arise after the acquisition. Goodwill of $376.2 million is deductible for U.S. income tax purposes. The transaction costs related to the acquisition were not material.</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ind w:right="320" w:firstLine="486"/>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the business combination that was completed during the three months ended April 30,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w w:val="99"/>
              </w:rPr>
              <w:t>Aggregate Total</w:t>
            </w:r>
          </w:p>
        </w:tc>
      </w:tr>
      <w:tr>
        <w:trPr>
          <w:trHeight w:val="215"/>
        </w:trPr>
        <w:tc>
          <w:tcPr>
            <w:tcW w:w="9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r>
      <w:tr>
        <w:trPr>
          <w:trHeight w:val="213"/>
        </w:trPr>
        <w:tc>
          <w:tcPr>
            <w:tcW w:w="96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221.0</w:t>
            </w:r>
          </w:p>
        </w:tc>
      </w:tr>
      <w:tr>
        <w:trPr>
          <w:trHeight w:val="219"/>
        </w:trPr>
        <w:tc>
          <w:tcPr>
            <w:tcW w:w="9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9660" w:type="dxa"/>
            <w:vAlign w:val="bottom"/>
          </w:tcPr>
          <w:p>
            <w:pPr>
              <w:ind w:left="20"/>
              <w:spacing w:after="0"/>
              <w:rPr>
                <w:sz w:val="20"/>
                <w:szCs w:val="20"/>
                <w:color w:val="auto"/>
              </w:rPr>
            </w:pPr>
            <w:r>
              <w:rPr>
                <w:rFonts w:ascii="Arial" w:cs="Arial" w:eastAsia="Arial" w:hAnsi="Arial"/>
                <w:sz w:val="16"/>
                <w:szCs w:val="16"/>
                <w:color w:val="auto"/>
              </w:rPr>
              <w:t>Backlog</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9"/>
        </w:trPr>
        <w:tc>
          <w:tcPr>
            <w:tcW w:w="9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767.2</w:t>
            </w:r>
          </w:p>
        </w:tc>
      </w:tr>
      <w:tr>
        <w:trPr>
          <w:trHeight w:val="213"/>
        </w:trPr>
        <w:tc>
          <w:tcPr>
            <w:tcW w:w="9660" w:type="dxa"/>
            <w:vAlign w:val="bottom"/>
          </w:tcPr>
          <w:p>
            <w:pPr>
              <w:ind w:left="20"/>
              <w:spacing w:after="0"/>
              <w:rPr>
                <w:sz w:val="20"/>
                <w:szCs w:val="20"/>
                <w:color w:val="auto"/>
              </w:rPr>
            </w:pPr>
            <w:r>
              <w:rPr>
                <w:rFonts w:ascii="Arial" w:cs="Arial" w:eastAsia="Arial" w:hAnsi="Arial"/>
                <w:sz w:val="16"/>
                <w:szCs w:val="16"/>
                <w:color w:val="auto"/>
              </w:rPr>
              <w:t>Deferred revenue and long-term deferred revenue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9"/>
        </w:trPr>
        <w:tc>
          <w:tcPr>
            <w:tcW w:w="9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deferred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r>
      <w:tr>
        <w:trPr>
          <w:trHeight w:val="213"/>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tangible assets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r>
      <w:tr>
        <w:trPr>
          <w:trHeight w:val="238"/>
        </w:trPr>
        <w:tc>
          <w:tcPr>
            <w:tcW w:w="9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1,038.3</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For the business combination, the allocation of purchase price consideration to certain assets and liabilities as well as the final amount of purchase consideration are not yet finalized. For the items not yet finalized, Autodesk's estimates and assumptions are subject to change within the measurement period (up to one year from the acquisition date). The primary areas of the preliminary purchase price allocation that are not yet finalized are amounts for tax assets and liabilities, deferred revenue, and residual goodwill.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Intangible Assets, Net</w:t>
      </w:r>
    </w:p>
    <w:p>
      <w:pPr>
        <w:spacing w:after="0" w:line="252" w:lineRule="exact"/>
        <w:rPr>
          <w:sz w:val="20"/>
          <w:szCs w:val="20"/>
          <w:color w:val="auto"/>
        </w:rPr>
      </w:pPr>
    </w:p>
    <w:p>
      <w:pPr>
        <w:ind w:right="540" w:firstLine="445"/>
        <w:spacing w:after="0" w:line="277" w:lineRule="auto"/>
        <w:rPr>
          <w:sz w:val="20"/>
          <w:szCs w:val="20"/>
          <w:color w:val="auto"/>
        </w:rPr>
      </w:pPr>
      <w:r>
        <w:rPr>
          <w:rFonts w:ascii="Arial" w:cs="Arial" w:eastAsia="Arial" w:hAnsi="Arial"/>
          <w:sz w:val="18"/>
          <w:szCs w:val="18"/>
          <w:color w:val="auto"/>
        </w:rPr>
        <w:t>Other intangible assets, including developed technologies, customer relationships, trade names, patents, user lists, and the related accumulated amortization,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30, 2021</w:t>
            </w:r>
          </w:p>
        </w:tc>
        <w:tc>
          <w:tcPr>
            <w:tcW w:w="140" w:type="dxa"/>
            <w:vAlign w:val="bottom"/>
          </w:tcPr>
          <w:p>
            <w:pPr>
              <w:spacing w:after="0"/>
              <w:rPr>
                <w:sz w:val="16"/>
                <w:szCs w:val="16"/>
                <w:color w:val="auto"/>
              </w:rPr>
            </w:pPr>
          </w:p>
        </w:tc>
        <w:tc>
          <w:tcPr>
            <w:tcW w:w="1300" w:type="dxa"/>
            <w:vAlign w:val="bottom"/>
          </w:tcPr>
          <w:p>
            <w:pPr>
              <w:jc w:val="right"/>
              <w:ind w:right="121"/>
              <w:spacing w:after="0"/>
              <w:rPr>
                <w:sz w:val="20"/>
                <w:szCs w:val="20"/>
                <w:color w:val="auto"/>
              </w:rPr>
            </w:pPr>
            <w:r>
              <w:rPr>
                <w:rFonts w:ascii="Arial" w:cs="Arial" w:eastAsia="Arial" w:hAnsi="Arial"/>
                <w:sz w:val="14"/>
                <w:szCs w:val="14"/>
                <w:b w:val="1"/>
                <w:bCs w:val="1"/>
                <w:color w:val="auto"/>
                <w:w w:val="96"/>
              </w:rPr>
              <w:t>January 31, 2021</w:t>
            </w:r>
          </w:p>
        </w:tc>
      </w:tr>
      <w:tr>
        <w:trPr>
          <w:trHeight w:val="216"/>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Developed technologies, at cost</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794.1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698.4</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Customer relationships, trade names, patents, and user lists, at cost (1)</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775.5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548.8</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at cost (2)</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1,569.6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1,247.2</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amortization</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(1,047.9)</w:t>
            </w:r>
          </w:p>
        </w:tc>
      </w:tr>
      <w:tr>
        <w:trPr>
          <w:trHeight w:val="23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503.1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199.3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Included in “Long-term other assets”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the effects of foreign currency translation.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Cloud Computing Arrangements</w:t>
      </w:r>
    </w:p>
    <w:p>
      <w:pPr>
        <w:spacing w:after="0" w:line="25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Autodesk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Autodesk amortizes the capitalized development costs straight-line over the fixed, non-cancellable term of the associated hosting arrangement plus any reasonably certain renewal periods. The capitalized costs are included in “Prepaid expenses and other current assets” and “Long-term other assets” on our Condensed Consolidated Balance Sheets. Capitalized costs were $87.7 million and $72.2 million at April 30, 2021, and January 31, 2021, respectively. Accumulated amortization was $6.3 million and $4.9 million at April 30, 2021, and January 31, 2021, respectively. Amortization expense for the three months ended April 30, 2021 and 2020, was $1.4 million and $0.9 million, respectively.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11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Goodwill</w:t>
      </w:r>
    </w:p>
    <w:p>
      <w:pPr>
        <w:spacing w:after="0" w:line="252"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Goodwill consists of the excess of the consideration transferred over the fair value of net assets acquired in business combinations. The following table summarizes the changes in the carrying amount of goodwill for the three months ended April 30, 2021,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January 31, 2021</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2,855.7</w:t>
            </w:r>
          </w:p>
        </w:tc>
      </w:tr>
      <w:tr>
        <w:trPr>
          <w:trHeight w:val="213"/>
        </w:trPr>
        <w:tc>
          <w:tcPr>
            <w:tcW w:w="9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accumulated impairment losses as of January 31, 2021</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w:t>
            </w:r>
          </w:p>
        </w:tc>
      </w:tr>
      <w:tr>
        <w:trPr>
          <w:trHeight w:val="213"/>
        </w:trPr>
        <w:tc>
          <w:tcPr>
            <w:tcW w:w="9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balance as of January 31, 2021</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2,706.5</w:t>
            </w:r>
          </w:p>
        </w:tc>
      </w:tr>
      <w:tr>
        <w:trPr>
          <w:trHeight w:val="213"/>
        </w:trPr>
        <w:tc>
          <w:tcPr>
            <w:tcW w:w="9780" w:type="dxa"/>
            <w:vAlign w:val="bottom"/>
          </w:tcPr>
          <w:p>
            <w:pPr>
              <w:ind w:left="20"/>
              <w:spacing w:after="0"/>
              <w:rPr>
                <w:sz w:val="20"/>
                <w:szCs w:val="20"/>
                <w:color w:val="auto"/>
              </w:rPr>
            </w:pPr>
            <w:r>
              <w:rPr>
                <w:rFonts w:ascii="Arial" w:cs="Arial" w:eastAsia="Arial" w:hAnsi="Arial"/>
                <w:sz w:val="16"/>
                <w:szCs w:val="16"/>
                <w:color w:val="auto"/>
              </w:rPr>
              <w:t>Additions arising from acquisitions during the period</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767.2</w:t>
            </w:r>
          </w:p>
        </w:tc>
      </w:tr>
      <w:tr>
        <w:trPr>
          <w:trHeight w:val="21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foreign currency translation</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13"/>
        </w:trPr>
        <w:tc>
          <w:tcPr>
            <w:tcW w:w="9780" w:type="dxa"/>
            <w:vAlign w:val="bottom"/>
          </w:tcPr>
          <w:p>
            <w:pPr>
              <w:ind w:left="20"/>
              <w:spacing w:after="0"/>
              <w:rPr>
                <w:sz w:val="20"/>
                <w:szCs w:val="20"/>
                <w:color w:val="auto"/>
              </w:rPr>
            </w:pPr>
            <w:r>
              <w:rPr>
                <w:rFonts w:ascii="Arial" w:cs="Arial" w:eastAsia="Arial" w:hAnsi="Arial"/>
                <w:sz w:val="16"/>
                <w:szCs w:val="16"/>
                <w:color w:val="auto"/>
              </w:rPr>
              <w:t>Balance as of April 30, 2021</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3,484.0</w:t>
            </w:r>
          </w:p>
        </w:tc>
      </w:tr>
      <w:tr>
        <w:trPr>
          <w:trHeight w:val="24"/>
        </w:trPr>
        <w:tc>
          <w:tcPr>
            <w:tcW w:w="97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Autodesk operates as a single operating segment and single reporting unit. As such, when Autodesk tests goodwill for impairment annually in its fourth fiscal quarter, it is performed on the Company's single reporting unit. Autodesk performs impairment testing more often if circumstances indicate a potential impairment may exist, or if events have affected the composition of reporting units.</w:t>
      </w:r>
    </w:p>
    <w:p>
      <w:pPr>
        <w:spacing w:after="0" w:line="21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When goodwill is assessed for impairment, Autodesk has the option to perform an assessment of qualitative factors of impairment (“optional assessment”) prior to necessitating a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quantitative impairment test is unnecessary.</w:t>
      </w:r>
    </w:p>
    <w:p>
      <w:pPr>
        <w:spacing w:after="0" w:line="219" w:lineRule="exact"/>
        <w:rPr>
          <w:sz w:val="20"/>
          <w:szCs w:val="20"/>
          <w:color w:val="auto"/>
        </w:rPr>
      </w:pPr>
    </w:p>
    <w:p>
      <w:pPr>
        <w:ind w:right="120" w:firstLine="405"/>
        <w:spacing w:after="0" w:line="311" w:lineRule="auto"/>
        <w:rPr>
          <w:sz w:val="20"/>
          <w:szCs w:val="20"/>
          <w:color w:val="auto"/>
        </w:rPr>
      </w:pPr>
      <w:r>
        <w:rPr>
          <w:rFonts w:ascii="Arial" w:cs="Arial" w:eastAsia="Arial" w:hAnsi="Arial"/>
          <w:sz w:val="16"/>
          <w:szCs w:val="16"/>
          <w:color w:val="auto"/>
        </w:rPr>
        <w:t>The quantitative impairment test is necessary when either Autodesk does not use the optional assessment or, as a result of the optional assessment, it is not more likely than not that the fair value of the reporting unit is greater than its carrying value. In situations in which an entity’s reporting unit is publicly traded, the fair value of the company may be approximated by its market capitalization in performing the quantitative impairment test.</w:t>
      </w:r>
    </w:p>
    <w:p>
      <w:pPr>
        <w:spacing w:after="0" w:line="17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Goodwill impairment exists when the estimated fair value of goodwill is less than its carrying value. If impairment exists, the carrying value of the goodwill is reduced to fair value through an impairment charge recorded in our Condensed Consolidated Statements of Operations.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a significant slowdown in the worldwide economy or the industries Autodesk serves, or (iv) changes in Autodesk’s business strategy.</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goodwill impairment during both the three months ended April 30, 2021 and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Deferred Compensation</w:t>
      </w:r>
    </w:p>
    <w:p>
      <w:pPr>
        <w:spacing w:after="0" w:line="252" w:lineRule="exact"/>
        <w:rPr>
          <w:sz w:val="20"/>
          <w:szCs w:val="20"/>
          <w:color w:val="auto"/>
        </w:rPr>
      </w:pPr>
    </w:p>
    <w:p>
      <w:pPr>
        <w:ind w:right="160" w:firstLine="445"/>
        <w:spacing w:after="0" w:line="289" w:lineRule="auto"/>
        <w:rPr>
          <w:sz w:val="20"/>
          <w:szCs w:val="20"/>
          <w:color w:val="auto"/>
        </w:rPr>
      </w:pPr>
      <w:r>
        <w:rPr>
          <w:rFonts w:ascii="Arial" w:cs="Arial" w:eastAsia="Arial" w:hAnsi="Arial"/>
          <w:sz w:val="16"/>
          <w:szCs w:val="16"/>
          <w:color w:val="auto"/>
        </w:rPr>
        <w:t>At April 30, 2021, Autodesk had investments in debt and equity securities that are held in a rabbi trust under non-qualified deferred compensation plans and a corresponding deferred compensation liability totaling $91.2 million. Of this amount, $7.6 million was classified as current and $83.6 million was classified as non-current in the Condensed Consolidated Balance Sheets. Of the $81.0 million related to the investments in a rabbi trust as of January 31, 2021, $7.3 million was classified as current and $73.7 million was classified as non-current. The current and non-current asset portions of the investments in debt and equity securities that are held in a rabbi trust under non-qualified deferred compensation plans are recorded in the Condensed Consolidated Balance Sheets under “Prepaid expenses and other current assets” and “Long-term other assets,” respectively. The current and non-current portions of the liability are recorded in the Condensed Consolidated Balance Sheets under “Accrued compensation” and “Long-term other liabilities,” respectively See Note 1 “Basis of Presentation” for a change in the presentation and immaterial correction of an error on the Condensed Consolidated Balance Sheets for investments in debt and equity securities that are held in a rabbi trust.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1" w:name="page22"/>
    <w:bookmarkEnd w:id="21"/>
    <w:p>
      <w:pPr>
        <w:ind w:left="220"/>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52"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Sales commissions earned by our internal sales personnel and our reseller partners are considered incremental and recoverable costs of obtaining a contract with a customer. The ending balance of assets recognized from costs to obtain a contract with a customer was $118.1 million as of April 30, 2021, and $120.9 million as of January 31, 2021. These assets are recorded in “Prepaid expenses and other current assets” and “Long-term other assets” in the Condensed Consolidated Balance Sheets. Amortization expense related to assets recognized from costs to obtain a contract with a customer was $25.8 million and $22.8 million during the three months ended April 30, 2021 and 2020, respectively. Autodesk did not recognize any contract cost impairment losses during the three months ended April 30, 2021 and 2020.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Computer Equipment, Software, Leasehold Improvements, and Furniture, Net</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Computer equipment, software, leasehold improvements, and furniture and equipment and the related accumulated depreciation were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30, 2021</w:t>
            </w:r>
          </w:p>
        </w:tc>
        <w:tc>
          <w:tcPr>
            <w:tcW w:w="14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2021</w:t>
            </w:r>
          </w:p>
        </w:tc>
      </w:tr>
      <w:tr>
        <w:trPr>
          <w:trHeight w:val="216"/>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hardware, at cost</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153.3</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Computer software, at cost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57.9</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 land and buildings, at cost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Furniture and equipment, at cost</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w:t>
            </w:r>
          </w:p>
        </w:tc>
      </w:tr>
      <w:tr>
        <w:trPr>
          <w:trHeight w:val="213"/>
        </w:trPr>
        <w:tc>
          <w:tcPr>
            <w:tcW w:w="8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635.5</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(442.7)</w:t>
            </w: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hardware, software, leasehold improvements, and furniture and equipment, net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Borrowing Arrangements</w:t>
      </w:r>
    </w:p>
    <w:p>
      <w:pPr>
        <w:spacing w:after="0" w:line="252" w:lineRule="exact"/>
        <w:rPr>
          <w:sz w:val="20"/>
          <w:szCs w:val="20"/>
          <w:color w:val="auto"/>
        </w:rPr>
      </w:pPr>
    </w:p>
    <w:p>
      <w:pPr>
        <w:ind w:right="60" w:firstLine="405"/>
        <w:spacing w:after="0" w:line="301" w:lineRule="auto"/>
        <w:rPr>
          <w:sz w:val="20"/>
          <w:szCs w:val="20"/>
          <w:color w:val="auto"/>
        </w:rPr>
      </w:pPr>
      <w:r>
        <w:rPr>
          <w:rFonts w:ascii="Arial" w:cs="Arial" w:eastAsia="Arial" w:hAnsi="Arial"/>
          <w:sz w:val="16"/>
          <w:szCs w:val="16"/>
          <w:color w:val="auto"/>
        </w:rPr>
        <w:t>In January 2020, Autodesk issued $500.0 million aggregate principal amount of 2.85% notes due January 15, 2030 (“2020 Notes”). Net of a discount of $1.1 million and issuance costs of $4.8 million, Autodesk received net proceeds of $494.1 million from issuance of the 2020 Notes. Both the discount and issuance costs are being amortized to interest expense over the term of the 2020 Notes using the effective interest method. The proceeds of the 2020 Notes were used for the repayment of the $450.0 million 2015 Notes, as defined below, and the remainder is available for general corporate purposes.</w:t>
      </w:r>
    </w:p>
    <w:p>
      <w:pPr>
        <w:spacing w:after="0" w:line="184" w:lineRule="exact"/>
        <w:rPr>
          <w:sz w:val="20"/>
          <w:szCs w:val="20"/>
          <w:color w:val="auto"/>
        </w:rPr>
      </w:pPr>
    </w:p>
    <w:p>
      <w:pPr>
        <w:ind w:right="140" w:firstLine="405"/>
        <w:spacing w:after="0" w:line="269" w:lineRule="auto"/>
        <w:rPr>
          <w:sz w:val="20"/>
          <w:szCs w:val="20"/>
          <w:color w:val="auto"/>
        </w:rPr>
      </w:pPr>
      <w:r>
        <w:rPr>
          <w:rFonts w:ascii="Arial" w:cs="Arial" w:eastAsia="Arial" w:hAnsi="Arial"/>
          <w:sz w:val="17"/>
          <w:szCs w:val="17"/>
          <w:color w:val="auto"/>
        </w:rPr>
        <w:t>In December 2018, Autodesk entered into a credit agreement by and among Autodesk, the lenders from time to time party thereto, and Citibank, N.A., as agent, which provides for an unsecured revolving loan facility in the aggregate principal amount of $650.0 million with an option, subject to customary conditions, to request an increase in the amount of the credit facility by up to an additional $350.0 million, and is available for working capital or other business needs. The credit agreement contains customary covenants that could, among other things, restrict the imposition of liens on Autodesk’s assets, and restrict Autodesk’s ability to incur additional indebtedness or make dispositions of assets if Autodesk fails to maintain compliance with the financial covenants. The credit agreement financial covenants consist of (1) a minimum interest coverage ratio of 3.00:1.0 and (2) a maximum leverage ratio of 3.00:1.0. At April 30, 2021, Autodesk was in compliance with the credit agreement covenants. Revolving loans under the credit agreement bear interest, at Autodesk’s option, at either (i) a floating rate per annum equal to the base rate plus a margin of between 0.000% and 0.500%, depending on Autodesk’s Public Debt Rating (as defined in the credit agreement) or (ii) a per annum rate equal to the rate at which dollar deposits are offered in the London interbank market, plus a margin of between 0.900% and 1.500%, depending on Autodesk’s Public Debt Rating. The maturity date on the credit agreement is December 2023.</w:t>
      </w:r>
    </w:p>
    <w:p>
      <w:pPr>
        <w:spacing w:after="0" w:line="209" w:lineRule="exact"/>
        <w:rPr>
          <w:sz w:val="20"/>
          <w:szCs w:val="20"/>
          <w:color w:val="auto"/>
        </w:rPr>
      </w:pPr>
    </w:p>
    <w:p>
      <w:pPr>
        <w:jc w:val="both"/>
        <w:ind w:right="100" w:firstLine="405"/>
        <w:spacing w:after="0" w:line="301" w:lineRule="auto"/>
        <w:rPr>
          <w:sz w:val="20"/>
          <w:szCs w:val="20"/>
          <w:color w:val="auto"/>
        </w:rPr>
      </w:pPr>
      <w:r>
        <w:rPr>
          <w:rFonts w:ascii="Arial" w:cs="Arial" w:eastAsia="Arial" w:hAnsi="Arial"/>
          <w:sz w:val="16"/>
          <w:szCs w:val="16"/>
          <w:color w:val="auto"/>
        </w:rPr>
        <w:t>In June 2017, Autodesk issued $500.0 million aggregate principal amount of 3.5% notes due June 15, 2027 (the “2017 Notes”). Net of a discount of $3.1 million and issuance costs of $4.9 million, Autodesk received net proceeds of $492.0 million from issuance of the 2017 Notes. Both the discount and issuance costs are being amortized to interest expense over the term of the 2017 Notes using the effective interest method. The proceeds of the 2017 Notes have been used for the repayment of $400.0 million of debt due December 15, 2017, and the remainder is available for general corporate purposes.</w:t>
      </w:r>
    </w:p>
    <w:p>
      <w:pPr>
        <w:spacing w:after="0" w:line="18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June 2015, Autodesk issued $300.0 million aggregate principal amount of 4.375% notes due June 15, 2025 (“2015 Notes”). Net of a discount of $1.1 million, and issuance costs of $2.5 million, Autodesk received net proceeds of $296.4 million from issuance of the 2015 Notes. Both the discount and issuance costs are being amortized to interest expense over the respective term of the 2015 Notes using the effective interest method. The proceeds of the 2015 Notes is available for general corporate purposes.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2" w:name="page23"/>
    <w:bookmarkEnd w:id="22"/>
    <w:p>
      <w:pPr>
        <w:jc w:val="both"/>
        <w:ind w:right="320" w:firstLine="405"/>
        <w:spacing w:after="0" w:line="259" w:lineRule="auto"/>
        <w:rPr>
          <w:sz w:val="20"/>
          <w:szCs w:val="20"/>
          <w:color w:val="auto"/>
        </w:rPr>
      </w:pPr>
      <w:r>
        <w:rPr>
          <w:rFonts w:ascii="Arial" w:cs="Arial" w:eastAsia="Arial" w:hAnsi="Arial"/>
          <w:sz w:val="18"/>
          <w:szCs w:val="18"/>
          <w:color w:val="auto"/>
        </w:rPr>
        <w:t>In December 2012, Autodesk issued $350.0 million aggregate principal amount of 3.6% notes due December 15, 2022 (“2012 Notes”). Autodesk received net proceeds of $346.7 million from issuance of the 2012 Notes, net of a discount of $0.5 million and issuance costs of $2.8 million. Both the discount and issuance costs are being amortized to interest expense over the respective terms of the 2012 Notes using the effective interest method. The proceeds of the 2012 Notes are available for general corporate purposes.</w:t>
      </w:r>
    </w:p>
    <w:p>
      <w:pPr>
        <w:spacing w:after="0" w:line="214" w:lineRule="exact"/>
        <w:rPr>
          <w:sz w:val="20"/>
          <w:szCs w:val="20"/>
          <w:color w:val="auto"/>
        </w:rPr>
      </w:pPr>
    </w:p>
    <w:p>
      <w:pPr>
        <w:ind w:right="140" w:firstLine="445"/>
        <w:spacing w:after="0" w:line="275" w:lineRule="auto"/>
        <w:rPr>
          <w:sz w:val="20"/>
          <w:szCs w:val="20"/>
          <w:color w:val="auto"/>
        </w:rPr>
      </w:pPr>
      <w:r>
        <w:rPr>
          <w:rFonts w:ascii="Arial" w:cs="Arial" w:eastAsia="Arial" w:hAnsi="Arial"/>
          <w:sz w:val="17"/>
          <w:szCs w:val="17"/>
          <w:color w:val="auto"/>
        </w:rPr>
        <w:t>The 2020 Notes, 2017 Notes, 2015 Notes and the 2012 Notes may all be redeemed at any time, subject to a make whole premium. In addition, upon the occurrence of certain change of control triggering events, Autodesk may be required to repurchase all the aforementioned notes, at a price equal to 101% of their principal amount, plus accrued and unpaid interest to the date of repurchase. All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the quoted market prices, the approximate fair value of the notes as of April 30, 2021,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520" w:type="dxa"/>
            <w:vAlign w:val="bottom"/>
          </w:tcPr>
          <w:p>
            <w:pPr>
              <w:jc w:val="right"/>
              <w:ind w:right="162"/>
              <w:spacing w:after="0"/>
              <w:rPr>
                <w:sz w:val="20"/>
                <w:szCs w:val="20"/>
                <w:color w:val="auto"/>
              </w:rPr>
            </w:pPr>
            <w:r>
              <w:rPr>
                <w:rFonts w:ascii="Arial" w:cs="Arial" w:eastAsia="Arial" w:hAnsi="Arial"/>
                <w:sz w:val="14"/>
                <w:szCs w:val="14"/>
                <w:b w:val="1"/>
                <w:bCs w:val="1"/>
                <w:color w:val="auto"/>
                <w:w w:val="95"/>
              </w:rPr>
              <w:t>Aggregate Principal</w:t>
            </w:r>
          </w:p>
        </w:tc>
        <w:tc>
          <w:tcPr>
            <w:tcW w:w="380" w:type="dxa"/>
            <w:vAlign w:val="bottom"/>
          </w:tcPr>
          <w:p>
            <w:pPr>
              <w:spacing w:after="0"/>
              <w:rPr>
                <w:sz w:val="14"/>
                <w:szCs w:val="14"/>
                <w:color w:val="auto"/>
              </w:rPr>
            </w:pPr>
          </w:p>
        </w:tc>
        <w:tc>
          <w:tcPr>
            <w:tcW w:w="132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42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520" w:type="dxa"/>
            <w:vAlign w:val="bottom"/>
          </w:tcPr>
          <w:p>
            <w:pPr>
              <w:jc w:val="right"/>
              <w:ind w:right="522"/>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2012 Notes</w:t>
            </w:r>
          </w:p>
        </w:tc>
        <w:tc>
          <w:tcPr>
            <w:tcW w:w="3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350.0</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364.6</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2015 Notes</w:t>
            </w:r>
          </w:p>
        </w:tc>
        <w:tc>
          <w:tcPr>
            <w:tcW w:w="3620" w:type="dxa"/>
            <w:vAlign w:val="bottom"/>
          </w:tcPr>
          <w:p>
            <w:pPr>
              <w:spacing w:after="0"/>
              <w:rPr>
                <w:sz w:val="18"/>
                <w:szCs w:val="18"/>
                <w:color w:val="auto"/>
              </w:rPr>
            </w:pPr>
          </w:p>
        </w:tc>
        <w:tc>
          <w:tcPr>
            <w:tcW w:w="1520" w:type="dxa"/>
            <w:vAlign w:val="bottom"/>
          </w:tcPr>
          <w:p>
            <w:pPr>
              <w:jc w:val="right"/>
              <w:ind w:right="22"/>
              <w:spacing w:after="0"/>
              <w:rPr>
                <w:sz w:val="20"/>
                <w:szCs w:val="20"/>
                <w:color w:val="auto"/>
              </w:rPr>
            </w:pPr>
            <w:r>
              <w:rPr>
                <w:rFonts w:ascii="Arial" w:cs="Arial" w:eastAsia="Arial" w:hAnsi="Arial"/>
                <w:sz w:val="16"/>
                <w:szCs w:val="16"/>
                <w:color w:val="auto"/>
              </w:rPr>
              <w:t>300.0</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335.7</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2017 Notes</w:t>
            </w:r>
          </w:p>
        </w:tc>
        <w:tc>
          <w:tcPr>
            <w:tcW w:w="36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500.0</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551.3</w:t>
            </w: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Arial" w:cs="Arial" w:eastAsia="Arial" w:hAnsi="Arial"/>
                <w:sz w:val="16"/>
                <w:szCs w:val="16"/>
                <w:color w:val="auto"/>
              </w:rPr>
              <w:t>2020 Notes</w:t>
            </w:r>
          </w:p>
        </w:tc>
        <w:tc>
          <w:tcPr>
            <w:tcW w:w="3620" w:type="dxa"/>
            <w:vAlign w:val="bottom"/>
          </w:tcPr>
          <w:p>
            <w:pPr>
              <w:spacing w:after="0"/>
              <w:rPr>
                <w:sz w:val="18"/>
                <w:szCs w:val="18"/>
                <w:color w:val="auto"/>
              </w:rPr>
            </w:pPr>
          </w:p>
        </w:tc>
        <w:tc>
          <w:tcPr>
            <w:tcW w:w="1520" w:type="dxa"/>
            <w:vAlign w:val="bottom"/>
          </w:tcPr>
          <w:p>
            <w:pPr>
              <w:jc w:val="right"/>
              <w:ind w:right="22"/>
              <w:spacing w:after="0"/>
              <w:rPr>
                <w:sz w:val="20"/>
                <w:szCs w:val="20"/>
                <w:color w:val="auto"/>
              </w:rPr>
            </w:pPr>
            <w:r>
              <w:rPr>
                <w:rFonts w:ascii="Arial" w:cs="Arial" w:eastAsia="Arial" w:hAnsi="Arial"/>
                <w:sz w:val="16"/>
                <w:szCs w:val="16"/>
                <w:color w:val="auto"/>
              </w:rPr>
              <w:t>500.0</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522.3</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expected future principal payments for all borrowings as of April 30, 2021, is as follows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340" w:type="dxa"/>
            <w:vAlign w:val="bottom"/>
          </w:tcPr>
          <w:p>
            <w:pPr>
              <w:ind w:left="20"/>
              <w:spacing w:after="0"/>
              <w:rPr>
                <w:sz w:val="20"/>
                <w:szCs w:val="20"/>
                <w:color w:val="auto"/>
              </w:rPr>
            </w:pPr>
            <w:r>
              <w:rPr>
                <w:rFonts w:ascii="Arial" w:cs="Arial" w:eastAsia="Arial" w:hAnsi="Arial"/>
                <w:sz w:val="16"/>
                <w:szCs w:val="16"/>
                <w:color w:val="auto"/>
              </w:rPr>
              <w:t>Fiscal year ending</w:t>
            </w: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 (remainder)</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340" w:type="dxa"/>
            <w:vAlign w:val="bottom"/>
          </w:tcPr>
          <w:p>
            <w:pPr>
              <w:ind w:left="20"/>
              <w:spacing w:after="0"/>
              <w:rPr>
                <w:sz w:val="20"/>
                <w:szCs w:val="20"/>
                <w:color w:val="auto"/>
              </w:rPr>
            </w:pPr>
            <w:r>
              <w:rPr>
                <w:rFonts w:ascii="Arial" w:cs="Arial" w:eastAsia="Arial" w:hAnsi="Arial"/>
                <w:sz w:val="16"/>
                <w:szCs w:val="16"/>
                <w:color w:val="auto"/>
              </w:rPr>
              <w:t>2023</w:t>
            </w: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350.0</w:t>
            </w:r>
          </w:p>
        </w:tc>
      </w:tr>
      <w:tr>
        <w:trPr>
          <w:trHeight w:val="219"/>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340" w:type="dxa"/>
            <w:vAlign w:val="bottom"/>
          </w:tcPr>
          <w:p>
            <w:pPr>
              <w:ind w:left="20"/>
              <w:spacing w:after="0"/>
              <w:rPr>
                <w:sz w:val="20"/>
                <w:szCs w:val="20"/>
                <w:color w:val="auto"/>
              </w:rPr>
            </w:pPr>
            <w:r>
              <w:rPr>
                <w:rFonts w:ascii="Arial" w:cs="Arial" w:eastAsia="Arial" w:hAnsi="Arial"/>
                <w:sz w:val="16"/>
                <w:szCs w:val="16"/>
                <w:color w:val="auto"/>
              </w:rPr>
              <w:t>2025</w:t>
            </w: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213"/>
        </w:trPr>
        <w:tc>
          <w:tcPr>
            <w:tcW w:w="9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7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r>
      <w:tr>
        <w:trPr>
          <w:trHeight w:val="238"/>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principal outstanding</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1,650.0</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Leases</w:t>
      </w:r>
    </w:p>
    <w:p>
      <w:pPr>
        <w:spacing w:after="0" w:line="252"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Autodesk has operating leases for real estate, vehicles, and certain equipment. Leases have remaining lease terms of less than 1 year to 69 years, some of which include options to extend the lease with renewal terms from 1 year to 10 years and some of which include options to terminate the leases from less than 1 year to 9 years. Options to extend the lease are included in the lease liability if they are reasonably certain of being exercised. Payments under our lease arrangements are primarily fixed; however, certain lease agreements contain variable payments, which are expensed as incurred and not included in the operating lease assets and liabilities. These amounts include payments affected by the Consumer Price Index, payments for common area maintenance that are subject to annual reconciliation, and payments for maintenance and utilities. The Company’s leases do not contain residual value guarantees or material restrictive covenants. Short-term leases are recognized in the Condensed Consolidated Statements of Operations on a straight-line basis over the lease term. Short-term lease expense was not material for the periods presented. Changes in operating lease right-of-use assets and operating lease liabilities are presented net in the “accounts payable and other liabilities” line in the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3" w:name="page24"/>
    <w:bookmarkEnd w:id="23"/>
    <w:p>
      <w:pPr>
        <w:ind w:left="420"/>
        <w:spacing w:after="0"/>
        <w:rPr>
          <w:sz w:val="20"/>
          <w:szCs w:val="20"/>
          <w:color w:val="auto"/>
        </w:rPr>
      </w:pPr>
      <w:r>
        <w:rPr>
          <w:rFonts w:ascii="Arial" w:cs="Arial" w:eastAsia="Arial" w:hAnsi="Arial"/>
          <w:sz w:val="18"/>
          <w:szCs w:val="18"/>
          <w:color w:val="auto"/>
        </w:rPr>
        <w:t>The components of lease cost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Three Months Ended April 30, 2021</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Cost of</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4"/>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subscription and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Cost of other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6"/>
              </w:rPr>
              <w:t>Marketing and</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Research 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General and</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maintenance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revenue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revenue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79"/>
              </w:rPr>
              <w:t>sales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development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administrative</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0.5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0"/>
        </w:trPr>
        <w:tc>
          <w:tcPr>
            <w:tcW w:w="3180" w:type="dxa"/>
            <w:vAlign w:val="bottom"/>
            <w:gridSpan w:val="2"/>
          </w:tcPr>
          <w:p>
            <w:pPr>
              <w:ind w:left="20"/>
              <w:spacing w:after="0"/>
              <w:rPr>
                <w:sz w:val="20"/>
                <w:szCs w:val="20"/>
                <w:color w:val="auto"/>
              </w:rPr>
            </w:pPr>
            <w:r>
              <w:rPr>
                <w:rFonts w:ascii="Arial" w:cs="Arial" w:eastAsia="Arial" w:hAnsi="Arial"/>
                <w:sz w:val="16"/>
                <w:szCs w:val="16"/>
                <w:color w:val="auto"/>
              </w:rPr>
              <w:t>Variable lease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April 30, 2020</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87"/>
              </w:rPr>
              <w:t>Cost of</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subscription and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 of other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6"/>
              </w:rPr>
              <w:t>Marketing and</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Research 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General and</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maintenance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revenue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79"/>
              </w:rPr>
              <w:t>sales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0"/>
              </w:rPr>
              <w:t>development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administrative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operating cash flow information related to leases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4"/>
              <w:spacing w:after="0"/>
              <w:rPr>
                <w:sz w:val="20"/>
                <w:szCs w:val="20"/>
                <w:color w:val="auto"/>
              </w:rPr>
            </w:pPr>
            <w:r>
              <w:rPr>
                <w:rFonts w:ascii="Arial" w:cs="Arial" w:eastAsia="Arial" w:hAnsi="Arial"/>
                <w:sz w:val="14"/>
                <w:szCs w:val="14"/>
                <w:b w:val="1"/>
                <w:bCs w:val="1"/>
                <w:color w:val="auto"/>
              </w:rPr>
              <w:t>Three Months Ended April 30,</w:t>
            </w:r>
          </w:p>
        </w:tc>
        <w:tc>
          <w:tcPr>
            <w:tcW w:w="460" w:type="dxa"/>
            <w:vAlign w:val="bottom"/>
            <w:tcBorders>
              <w:bottom w:val="single" w:sz="8" w:color="auto"/>
            </w:tcBorders>
          </w:tcPr>
          <w:p>
            <w:pPr>
              <w:spacing w:after="0"/>
              <w:rPr>
                <w:sz w:val="16"/>
                <w:szCs w:val="16"/>
                <w:color w:val="auto"/>
              </w:rPr>
            </w:pPr>
          </w:p>
        </w:tc>
      </w:tr>
      <w:tr>
        <w:trPr>
          <w:trHeight w:val="187"/>
        </w:trPr>
        <w:tc>
          <w:tcPr>
            <w:tcW w:w="82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operating leases included in operating cash flows (1)</w:t>
            </w:r>
          </w:p>
        </w:tc>
        <w:tc>
          <w:tcPr>
            <w:tcW w:w="980" w:type="dxa"/>
            <w:vAlign w:val="bottom"/>
            <w:shd w:val="clear" w:color="auto" w:fill="CCEEFF"/>
          </w:tcPr>
          <w:p>
            <w:pPr>
              <w:jc w:val="right"/>
              <w:ind w:right="805"/>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Non-cash operating lease liabilities arising from obtaining operating lease right-of-use assets</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8.5</w:t>
            </w:r>
          </w:p>
        </w:tc>
      </w:tr>
    </w:tbl>
    <w:p>
      <w:pPr>
        <w:spacing w:after="0" w:line="7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right="160" w:firstLine="8"/>
        <w:spacing w:after="0" w:line="283" w:lineRule="auto"/>
        <w:tabs>
          <w:tab w:leader="none" w:pos="229"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Includes $5.3 million and $3.4 million in variable lease payments for the </w:t>
      </w:r>
      <w:r>
        <w:rPr>
          <w:rFonts w:ascii="Arial" w:cs="Arial" w:eastAsia="Arial" w:hAnsi="Arial"/>
          <w:sz w:val="17"/>
          <w:szCs w:val="17"/>
          <w:color w:val="auto"/>
        </w:rPr>
        <w:t>three months ended</w:t>
      </w:r>
      <w:r>
        <w:rPr>
          <w:rFonts w:ascii="Arial" w:cs="Arial" w:eastAsia="Arial" w:hAnsi="Arial"/>
          <w:sz w:val="16"/>
          <w:szCs w:val="16"/>
          <w:color w:val="auto"/>
        </w:rPr>
        <w:t xml:space="preserve"> April 30, 2021 and 2020, respectively, not included in “Operating lease liabilities” and “Long-term operating lease liabilities” on the Condensed Consolidated Balance Sheets.</w:t>
      </w:r>
    </w:p>
    <w:p>
      <w:pPr>
        <w:spacing w:after="0" w:line="186"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weighted average remaining lease term for operating leases is 7.1 and 7.3 years at April 30, 2021, and January 31, 2021, respectively. The weighted average discount rate was 2.66% and 2.69% at April 30, 2021, and January 31, 2021, respectively.</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Maturities of operating lease liabilities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400" w:type="dxa"/>
            <w:vAlign w:val="bottom"/>
          </w:tcPr>
          <w:p>
            <w:pPr>
              <w:ind w:left="20"/>
              <w:spacing w:after="0"/>
              <w:rPr>
                <w:sz w:val="20"/>
                <w:szCs w:val="20"/>
                <w:color w:val="auto"/>
              </w:rPr>
            </w:pPr>
            <w:r>
              <w:rPr>
                <w:rFonts w:ascii="Arial" w:cs="Arial" w:eastAsia="Arial" w:hAnsi="Arial"/>
                <w:sz w:val="16"/>
                <w:szCs w:val="16"/>
                <w:color w:val="auto"/>
              </w:rPr>
              <w:t>Fiscal year ending</w:t>
            </w: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 (remainder)</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r>
      <w:tr>
        <w:trPr>
          <w:trHeight w:val="213"/>
        </w:trPr>
        <w:tc>
          <w:tcPr>
            <w:tcW w:w="9400" w:type="dxa"/>
            <w:vAlign w:val="bottom"/>
          </w:tcPr>
          <w:p>
            <w:pPr>
              <w:ind w:left="20"/>
              <w:spacing w:after="0"/>
              <w:rPr>
                <w:sz w:val="20"/>
                <w:szCs w:val="20"/>
                <w:color w:val="auto"/>
              </w:rPr>
            </w:pPr>
            <w:r>
              <w:rPr>
                <w:rFonts w:ascii="Arial" w:cs="Arial" w:eastAsia="Arial" w:hAnsi="Arial"/>
                <w:sz w:val="16"/>
                <w:szCs w:val="16"/>
                <w:color w:val="auto"/>
              </w:rPr>
              <w:t>2023</w:t>
            </w:r>
          </w:p>
        </w:tc>
        <w:tc>
          <w:tcPr>
            <w:tcW w:w="7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98.2</w:t>
            </w:r>
          </w:p>
        </w:tc>
      </w:tr>
      <w:tr>
        <w:trPr>
          <w:trHeight w:val="219"/>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r>
      <w:tr>
        <w:trPr>
          <w:trHeight w:val="213"/>
        </w:trPr>
        <w:tc>
          <w:tcPr>
            <w:tcW w:w="9400" w:type="dxa"/>
            <w:vAlign w:val="bottom"/>
          </w:tcPr>
          <w:p>
            <w:pPr>
              <w:ind w:left="20"/>
              <w:spacing w:after="0"/>
              <w:rPr>
                <w:sz w:val="20"/>
                <w:szCs w:val="20"/>
                <w:color w:val="auto"/>
              </w:rPr>
            </w:pPr>
            <w:r>
              <w:rPr>
                <w:rFonts w:ascii="Arial" w:cs="Arial" w:eastAsia="Arial" w:hAnsi="Arial"/>
                <w:sz w:val="16"/>
                <w:szCs w:val="16"/>
                <w:color w:val="auto"/>
              </w:rPr>
              <w:t>2025</w:t>
            </w:r>
          </w:p>
        </w:tc>
        <w:tc>
          <w:tcPr>
            <w:tcW w:w="7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59.6</w:t>
            </w:r>
          </w:p>
        </w:tc>
      </w:tr>
      <w:tr>
        <w:trPr>
          <w:trHeight w:val="219"/>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r>
      <w:tr>
        <w:trPr>
          <w:trHeight w:val="213"/>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7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w:t>
            </w:r>
          </w:p>
        </w:tc>
      </w:tr>
      <w:tr>
        <w:trPr>
          <w:trHeight w:val="213"/>
        </w:trPr>
        <w:tc>
          <w:tcPr>
            <w:tcW w:w="9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493.3</w:t>
            </w:r>
          </w:p>
        </w:tc>
      </w:tr>
      <w:tr>
        <w:trPr>
          <w:trHeight w:val="213"/>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7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r>
      <w:tr>
        <w:trPr>
          <w:trHeight w:val="237"/>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453.3</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April 30, 2021, Autodesk had no additional operating lease minimum lease payments for executed leases that have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16. Commitments and Contingencies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52"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15" w:lineRule="exact"/>
        <w:rPr>
          <w:sz w:val="20"/>
          <w:szCs w:val="20"/>
          <w:color w:val="auto"/>
        </w:rPr>
      </w:pPr>
    </w:p>
    <w:p>
      <w:pPr>
        <w:ind w:right="320" w:firstLine="445"/>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14" w:lineRule="exact"/>
        <w:rPr>
          <w:sz w:val="20"/>
          <w:szCs w:val="20"/>
          <w:color w:val="auto"/>
        </w:rPr>
      </w:pPr>
    </w:p>
    <w:p>
      <w:pPr>
        <w:ind w:right="120" w:firstLine="445"/>
        <w:spacing w:after="0" w:line="275"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Autodesk is involved in a variety of claims, suits, investigations, inquiries, and proceedings in the normal course of business including claims of alleged infringement of intellectual property rights, commercial, employment, tax, prosecution of unauthorized use,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 Stockholders' Equity</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stockholders' equity by component, net of tax, for the three months ended April 30, 2021,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320" w:type="dxa"/>
            <w:vAlign w:val="bottom"/>
            <w:gridSpan w:val="5"/>
          </w:tcPr>
          <w:p>
            <w:pPr>
              <w:ind w:left="180"/>
              <w:spacing w:after="0"/>
              <w:rPr>
                <w:sz w:val="20"/>
                <w:szCs w:val="20"/>
                <w:color w:val="auto"/>
              </w:rPr>
            </w:pPr>
            <w:r>
              <w:rPr>
                <w:rFonts w:ascii="Arial" w:cs="Arial" w:eastAsia="Arial" w:hAnsi="Arial"/>
                <w:sz w:val="14"/>
                <w:szCs w:val="14"/>
                <w:b w:val="1"/>
                <w:bCs w:val="1"/>
                <w:color w:val="auto"/>
              </w:rPr>
              <w:t>Common stock and additional</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6"/>
        </w:trPr>
        <w:tc>
          <w:tcPr>
            <w:tcW w:w="4800" w:type="dxa"/>
            <w:vAlign w:val="bottom"/>
          </w:tcPr>
          <w:p>
            <w:pPr>
              <w:spacing w:after="0"/>
              <w:rPr>
                <w:sz w:val="16"/>
                <w:szCs w:val="16"/>
                <w:color w:val="auto"/>
              </w:rPr>
            </w:pPr>
          </w:p>
        </w:tc>
        <w:tc>
          <w:tcPr>
            <w:tcW w:w="22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paid-in capital</w:t>
            </w:r>
          </w:p>
        </w:tc>
        <w:tc>
          <w:tcPr>
            <w:tcW w:w="100" w:type="dxa"/>
            <w:vAlign w:val="bottom"/>
          </w:tcPr>
          <w:p>
            <w:pPr>
              <w:spacing w:after="0"/>
              <w:rPr>
                <w:sz w:val="16"/>
                <w:szCs w:val="16"/>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 other</w:t>
            </w: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Total stockholders'</w:t>
            </w:r>
          </w:p>
        </w:tc>
      </w:tr>
      <w:tr>
        <w:trPr>
          <w:trHeight w:val="197"/>
        </w:trPr>
        <w:tc>
          <w:tcPr>
            <w:tcW w:w="480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comprehensive loss</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280" w:type="dxa"/>
            <w:vAlign w:val="bottom"/>
          </w:tcPr>
          <w:p>
            <w:pPr>
              <w:spacing w:after="0"/>
              <w:rPr>
                <w:sz w:val="17"/>
                <w:szCs w:val="17"/>
                <w:color w:val="auto"/>
              </w:rPr>
            </w:pPr>
          </w:p>
        </w:tc>
        <w:tc>
          <w:tcPr>
            <w:tcW w:w="1020" w:type="dxa"/>
            <w:vAlign w:val="bottom"/>
          </w:tcPr>
          <w:p>
            <w:pPr>
              <w:jc w:val="right"/>
              <w:ind w:right="380"/>
              <w:spacing w:after="0"/>
              <w:rPr>
                <w:sz w:val="20"/>
                <w:szCs w:val="20"/>
                <w:color w:val="auto"/>
              </w:rPr>
            </w:pPr>
            <w:r>
              <w:rPr>
                <w:rFonts w:ascii="Arial" w:cs="Arial" w:eastAsia="Arial" w:hAnsi="Arial"/>
                <w:sz w:val="14"/>
                <w:szCs w:val="14"/>
                <w:b w:val="1"/>
                <w:bCs w:val="1"/>
                <w:color w:val="auto"/>
              </w:rPr>
              <w:t>equity</w:t>
            </w:r>
          </w:p>
        </w:tc>
      </w:tr>
      <w:tr>
        <w:trPr>
          <w:trHeight w:val="211"/>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2,578.9</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(1,487.5)</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965.5</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Common shares issued under stock plans</w:t>
            </w:r>
          </w:p>
        </w:tc>
        <w:tc>
          <w:tcPr>
            <w:tcW w:w="104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Post-combination expense related to equity awards assumed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 related to business combination</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155.6</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13"/>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(142.7)</w:t>
            </w:r>
          </w:p>
        </w:tc>
      </w:tr>
      <w:tr>
        <w:trPr>
          <w:trHeight w:val="235"/>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April 30, 2021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2,639.4</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(1,409.3)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1,128.4</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420" w:right="140" w:hanging="412"/>
        <w:spacing w:after="0" w:line="262"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During the three months ended April 30, 2021, Autodesk repurchased 0.5 million shares at an average repurchase price of $276.96 per share. At April 30, 2021, 11.6 million shares remained available for repurchase under the repurchase program approved by the Board of Directors.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ind w:left="420"/>
        <w:spacing w:after="0"/>
        <w:rPr>
          <w:sz w:val="20"/>
          <w:szCs w:val="20"/>
          <w:color w:val="auto"/>
        </w:rPr>
      </w:pPr>
      <w:r>
        <w:rPr>
          <w:rFonts w:ascii="Arial" w:cs="Arial" w:eastAsia="Arial" w:hAnsi="Arial"/>
          <w:sz w:val="18"/>
          <w:szCs w:val="18"/>
          <w:color w:val="auto"/>
        </w:rPr>
        <w:t>Changes in stockholders' deficit by component, net of tax, for the three months ended April 30, 2020,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320" w:type="dxa"/>
            <w:vAlign w:val="bottom"/>
            <w:gridSpan w:val="5"/>
          </w:tcPr>
          <w:p>
            <w:pPr>
              <w:ind w:left="180"/>
              <w:spacing w:after="0"/>
              <w:rPr>
                <w:sz w:val="20"/>
                <w:szCs w:val="20"/>
                <w:color w:val="auto"/>
              </w:rPr>
            </w:pPr>
            <w:r>
              <w:rPr>
                <w:rFonts w:ascii="Arial" w:cs="Arial" w:eastAsia="Arial" w:hAnsi="Arial"/>
                <w:sz w:val="14"/>
                <w:szCs w:val="14"/>
                <w:b w:val="1"/>
                <w:bCs w:val="1"/>
                <w:color w:val="auto"/>
              </w:rPr>
              <w:t>Common stock and additional</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8"/>
        </w:trPr>
        <w:tc>
          <w:tcPr>
            <w:tcW w:w="4880" w:type="dxa"/>
            <w:vAlign w:val="bottom"/>
          </w:tcPr>
          <w:p>
            <w:pPr>
              <w:spacing w:after="0"/>
              <w:rPr>
                <w:sz w:val="16"/>
                <w:szCs w:val="16"/>
                <w:color w:val="auto"/>
              </w:rPr>
            </w:pPr>
          </w:p>
        </w:tc>
        <w:tc>
          <w:tcPr>
            <w:tcW w:w="22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paid-in capital</w:t>
            </w:r>
          </w:p>
        </w:tc>
        <w:tc>
          <w:tcPr>
            <w:tcW w:w="100" w:type="dxa"/>
            <w:vAlign w:val="bottom"/>
          </w:tcPr>
          <w:p>
            <w:pPr>
              <w:spacing w:after="0"/>
              <w:rPr>
                <w:sz w:val="16"/>
                <w:szCs w:val="16"/>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6"/>
              </w:rPr>
              <w:t>Total stockholders'</w:t>
            </w:r>
          </w:p>
        </w:tc>
      </w:tr>
      <w:tr>
        <w:trPr>
          <w:trHeight w:val="196"/>
        </w:trPr>
        <w:tc>
          <w:tcPr>
            <w:tcW w:w="4880" w:type="dxa"/>
            <w:vAlign w:val="bottom"/>
          </w:tcPr>
          <w:p>
            <w:pPr>
              <w:spacing w:after="0"/>
              <w:rPr>
                <w:sz w:val="17"/>
                <w:szCs w:val="17"/>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comprehensive loss</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deficit</w:t>
            </w:r>
          </w:p>
        </w:tc>
        <w:tc>
          <w:tcPr>
            <w:tcW w:w="300" w:type="dxa"/>
            <w:vAlign w:val="bottom"/>
          </w:tcPr>
          <w:p>
            <w:pPr>
              <w:spacing w:after="0"/>
              <w:rPr>
                <w:sz w:val="17"/>
                <w:szCs w:val="17"/>
                <w:color w:val="auto"/>
              </w:rPr>
            </w:pPr>
          </w:p>
        </w:tc>
        <w:tc>
          <w:tcPr>
            <w:tcW w:w="1060" w:type="dxa"/>
            <w:vAlign w:val="bottom"/>
          </w:tcPr>
          <w:p>
            <w:pPr>
              <w:jc w:val="right"/>
              <w:ind w:right="400"/>
              <w:spacing w:after="0"/>
              <w:rPr>
                <w:sz w:val="20"/>
                <w:szCs w:val="20"/>
                <w:color w:val="auto"/>
              </w:rPr>
            </w:pPr>
            <w:r>
              <w:rPr>
                <w:rFonts w:ascii="Arial" w:cs="Arial" w:eastAsia="Arial" w:hAnsi="Arial"/>
                <w:sz w:val="14"/>
                <w:szCs w:val="14"/>
                <w:b w:val="1"/>
                <w:bCs w:val="1"/>
                <w:color w:val="auto"/>
              </w:rPr>
              <w:t>deficit</w:t>
            </w:r>
          </w:p>
        </w:tc>
      </w:tr>
      <w:tr>
        <w:trPr>
          <w:trHeight w:val="211"/>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2020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2,317.0</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(2,295.8)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Common shares issued under stock plans</w:t>
            </w: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Settlement of liability-classified restricted stock units</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Post-combination expense related to equity awards assumed</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66.5</w:t>
            </w: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(189.0)</w:t>
            </w:r>
          </w:p>
        </w:tc>
      </w:tr>
      <w:tr>
        <w:trPr>
          <w:trHeight w:val="234"/>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April 30, 2020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420" w:right="460" w:hanging="412"/>
        <w:spacing w:after="0" w:line="262"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three months ended April 30, 2020, Autodesk repurchased 1.2 million shares at an average repurchase price of $153.41 per share. At April 30, 2020, 13.5 million shares remained available for repurchase under the repurchase program approved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18. Accumulated Other Comprehensive Loss</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Accumulated other comprehensive loss, net of taxes, consisted of the following at April 30, 2021:</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Net Unrealized</w:t>
            </w: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Net Unrealized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Gains on</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Defined Benefit</w:t>
            </w: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Gains (Losses)</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Available-for-</w:t>
            </w: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Currency</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on Derivative</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Sale Debt</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240" w:type="dxa"/>
            <w:vAlign w:val="bottom"/>
          </w:tcPr>
          <w:p>
            <w:pPr>
              <w:spacing w:after="0"/>
              <w:rPr>
                <w:sz w:val="11"/>
                <w:szCs w:val="11"/>
                <w:color w:val="auto"/>
              </w:rPr>
            </w:pPr>
          </w:p>
        </w:tc>
        <w:tc>
          <w:tcPr>
            <w:tcW w:w="86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Instruments</w:t>
            </w:r>
          </w:p>
        </w:tc>
        <w:tc>
          <w:tcPr>
            <w:tcW w:w="10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Components</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Other comprehensive income before reclassifications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losses reclassified from accumulated other comprehensive loss</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Tax effects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9"/>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2"/>
        </w:trPr>
        <w:tc>
          <w:tcPr>
            <w:tcW w:w="5240" w:type="dxa"/>
            <w:vAlign w:val="bottom"/>
          </w:tcPr>
          <w:p>
            <w:pPr>
              <w:ind w:left="20"/>
              <w:spacing w:after="0"/>
              <w:rPr>
                <w:sz w:val="20"/>
                <w:szCs w:val="20"/>
                <w:color w:val="auto"/>
              </w:rPr>
            </w:pPr>
            <w:r>
              <w:rPr>
                <w:rFonts w:ascii="Arial" w:cs="Arial" w:eastAsia="Arial" w:hAnsi="Arial"/>
                <w:sz w:val="16"/>
                <w:szCs w:val="16"/>
                <w:color w:val="auto"/>
              </w:rPr>
              <w:t>Balances, April 30, 2021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Accumulated other comprehensive loss, net of taxes, consisted of the following at April 30,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Net Unrealized</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Gains on</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Defined Benefit</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7"/>
              </w:rPr>
              <w:t>Gains (Losses)</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Available-for-</w:t>
            </w:r>
          </w:p>
        </w:tc>
        <w:tc>
          <w:tcPr>
            <w:tcW w:w="12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on Derivative</w:t>
            </w: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Sale Debt</w:t>
            </w:r>
          </w:p>
        </w:tc>
        <w:tc>
          <w:tcPr>
            <w:tcW w:w="12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1"/>
                <w:szCs w:val="11"/>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1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Pre-tax (gains) losses reclassified from accumulated other comprehensive loss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Tax effects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9"/>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current period other comprehensive income (loss)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Balances, April 30, 2020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(179.1)</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Reclassifications related to gains and losses on available-for-sale debt securities are included in “Interest and other expense, net.” Refer to Note 5, “Financial Instruments,” for the amount and location of reclassifications related to derivative instruments. Reclassifications of the defined benefit pension components of net periodic benefit cost are included in “Interest and other expense, net.”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19</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 Income Per Share</w:t>
      </w:r>
    </w:p>
    <w:p>
      <w:pPr>
        <w:spacing w:after="0" w:line="252" w:lineRule="exact"/>
        <w:rPr>
          <w:sz w:val="20"/>
          <w:szCs w:val="20"/>
          <w:color w:val="auto"/>
        </w:rPr>
      </w:pPr>
    </w:p>
    <w:p>
      <w:pPr>
        <w:ind w:right="100" w:firstLine="445"/>
        <w:spacing w:after="0" w:line="301" w:lineRule="auto"/>
        <w:rPr>
          <w:sz w:val="20"/>
          <w:szCs w:val="20"/>
          <w:color w:val="auto"/>
        </w:rPr>
      </w:pPr>
      <w:r>
        <w:rPr>
          <w:rFonts w:ascii="Arial" w:cs="Arial" w:eastAsia="Arial" w:hAnsi="Arial"/>
          <w:sz w:val="16"/>
          <w:szCs w:val="16"/>
          <w:color w:val="auto"/>
        </w:rPr>
        <w:t>Basic net income per share is computed using the weighted average number of shares of common stock outstanding for the period, excluding stock options and restricted stock units. Diluted net income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7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87"/>
        </w:trPr>
        <w:tc>
          <w:tcPr>
            <w:tcW w:w="83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155.6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360"/>
              <w:spacing w:after="0"/>
              <w:rPr>
                <w:sz w:val="20"/>
                <w:szCs w:val="20"/>
                <w:color w:val="auto"/>
              </w:rPr>
            </w:pPr>
            <w:r>
              <w:rPr>
                <w:rFonts w:ascii="Arial" w:cs="Arial" w:eastAsia="Arial" w:hAnsi="Arial"/>
                <w:sz w:val="16"/>
                <w:szCs w:val="16"/>
                <w:color w:val="auto"/>
              </w:rPr>
              <w:t>Denominator for basic net income per share—weighted average shares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219.6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219.2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dilutive securities</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6"/>
        </w:trPr>
        <w:tc>
          <w:tcPr>
            <w:tcW w:w="8320" w:type="dxa"/>
            <w:vAlign w:val="bottom"/>
          </w:tcPr>
          <w:p>
            <w:pPr>
              <w:ind w:left="360"/>
              <w:spacing w:after="0"/>
              <w:rPr>
                <w:sz w:val="20"/>
                <w:szCs w:val="20"/>
                <w:color w:val="auto"/>
              </w:rPr>
            </w:pPr>
            <w:r>
              <w:rPr>
                <w:rFonts w:ascii="Arial" w:cs="Arial" w:eastAsia="Arial" w:hAnsi="Arial"/>
                <w:sz w:val="16"/>
                <w:szCs w:val="16"/>
                <w:color w:val="auto"/>
              </w:rPr>
              <w:t>Denominator for dilutive net income per share</w:t>
            </w:r>
          </w:p>
        </w:tc>
        <w:tc>
          <w:tcPr>
            <w:tcW w:w="8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222.0</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221.3</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net income per share</w:t>
            </w:r>
          </w:p>
        </w:tc>
        <w:tc>
          <w:tcPr>
            <w:tcW w:w="820" w:type="dxa"/>
            <w:vAlign w:val="bottom"/>
            <w:tcBorders>
              <w:bottom w:val="single" w:sz="8" w:color="auto"/>
            </w:tcBorders>
            <w:shd w:val="clear" w:color="auto" w:fill="CCEEFF"/>
          </w:tcPr>
          <w:p>
            <w:pPr>
              <w:jc w:val="right"/>
              <w:ind w:right="666"/>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net income per share</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20" w:type="dxa"/>
            <w:vAlign w:val="bottom"/>
            <w:vMerge w:val="continue"/>
          </w:tcPr>
          <w:p>
            <w:pPr>
              <w:spacing w:after="0"/>
              <w:rPr>
                <w:sz w:val="16"/>
                <w:szCs w:val="16"/>
                <w:color w:val="auto"/>
              </w:rPr>
            </w:pPr>
          </w:p>
        </w:tc>
        <w:tc>
          <w:tcPr>
            <w:tcW w:w="820" w:type="dxa"/>
            <w:vAlign w:val="bottom"/>
            <w:tcBorders>
              <w:bottom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0.70</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4"/>
        </w:trPr>
        <w:tc>
          <w:tcPr>
            <w:tcW w:w="83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computation of diluted net income per share does not include shares that are anti-dilutive under the treasury stock method because their exercise prices are higher than the average market value of Autodesk’s stock during the periods. For the three months ended April 30, 2021 and 2020, there were 0.4 million and no potentially anti-dilutive shares excluded from the computation of diluted net income per share,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 Segments</w:t>
      </w:r>
    </w:p>
    <w:p>
      <w:pPr>
        <w:spacing w:after="0" w:line="252"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Autodesk operates in one operating segment and accordingly, all required financial segment information is included in the condensed consolidated financial statements. Operating segments are defined as components of an enterprise for which separate financial information is evaluated regularly by the chief operating decision makers (“CODM”) in deciding how to allocate resources and assess performance. Autodesk reports segment information based on the “management” approach. The management approach designates the internal reporting used by management for making decisions, allocating resources, and assessing performance as the source of the Company’s reportable segments. The Company’s CODM allocates resources and assesses the operating performance of the Company as a whole.</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regarding Autodesk’s long-lived assets by geographic area is as follows:</w:t>
      </w:r>
    </w:p>
    <w:p>
      <w:pPr>
        <w:spacing w:after="0" w:line="125" w:lineRule="exact"/>
        <w:rPr>
          <w:sz w:val="20"/>
          <w:szCs w:val="20"/>
          <w:color w:val="auto"/>
        </w:rPr>
      </w:pPr>
    </w:p>
    <w:tbl>
      <w:tblPr>
        <w:tblLayout w:type="fixed"/>
        <w:tblInd w:w="100" w:type="dxa"/>
        <w:tblCellMar>
          <w:top w:w="0" w:type="dxa"/>
          <w:left w:w="0" w:type="dxa"/>
          <w:bottom w:w="0" w:type="dxa"/>
          <w:right w:w="0" w:type="dxa"/>
        </w:tblCellMar>
      </w:tblPr>
      <w:tr>
        <w:trPr>
          <w:trHeight w:val="200"/>
        </w:trPr>
        <w:tc>
          <w:tcPr>
            <w:tcW w:w="78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April 30, 2021</w:t>
            </w: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9"/>
              </w:rPr>
              <w:t>January 31, 2021</w:t>
            </w:r>
          </w:p>
        </w:tc>
      </w:tr>
      <w:tr>
        <w:trPr>
          <w:trHeight w:val="196"/>
        </w:trPr>
        <w:tc>
          <w:tcPr>
            <w:tcW w:w="7860" w:type="dxa"/>
            <w:vAlign w:val="bottom"/>
          </w:tcPr>
          <w:p>
            <w:pPr>
              <w:ind w:left="20"/>
              <w:spacing w:after="0"/>
              <w:rPr>
                <w:sz w:val="20"/>
                <w:szCs w:val="20"/>
                <w:color w:val="auto"/>
              </w:rPr>
            </w:pPr>
            <w:r>
              <w:rPr>
                <w:rFonts w:ascii="Arial" w:cs="Arial" w:eastAsia="Arial" w:hAnsi="Arial"/>
                <w:sz w:val="16"/>
                <w:szCs w:val="16"/>
                <w:color w:val="auto"/>
              </w:rPr>
              <w:t>Long-lived assets (1):</w:t>
            </w: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19"/>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Americas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7860" w:type="dxa"/>
            <w:vAlign w:val="bottom"/>
          </w:tcPr>
          <w:p>
            <w:pPr>
              <w:ind w:left="660"/>
              <w:spacing w:after="0"/>
              <w:rPr>
                <w:sz w:val="20"/>
                <w:szCs w:val="20"/>
                <w:color w:val="auto"/>
              </w:rPr>
            </w:pPr>
            <w:r>
              <w:rPr>
                <w:rFonts w:ascii="Arial" w:cs="Arial" w:eastAsia="Arial" w:hAnsi="Arial"/>
                <w:sz w:val="16"/>
                <w:szCs w:val="16"/>
                <w:color w:val="auto"/>
              </w:rPr>
              <w:t>U.S.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414.2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423.6</w:t>
            </w:r>
          </w:p>
        </w:tc>
      </w:tr>
      <w:tr>
        <w:trPr>
          <w:trHeight w:val="219"/>
        </w:trPr>
        <w:tc>
          <w:tcPr>
            <w:tcW w:w="7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Americas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Total Americas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453.1</w:t>
            </w:r>
          </w:p>
        </w:tc>
      </w:tr>
      <w:tr>
        <w:trPr>
          <w:trHeight w:val="219"/>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Europe, Middle East, and Africa</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w:t>
            </w:r>
          </w:p>
        </w:tc>
      </w:tr>
      <w:tr>
        <w:trPr>
          <w:trHeight w:val="213"/>
        </w:trPr>
        <w:tc>
          <w:tcPr>
            <w:tcW w:w="78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Asia Pacific</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r>
      <w:tr>
        <w:trPr>
          <w:trHeight w:val="23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long-lived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Long-lived assets exclude deferred tax assets, marketable securities, goodwill, and other intangible assets.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 Subsequent Events</w:t>
      </w:r>
    </w:p>
    <w:p>
      <w:pPr>
        <w:spacing w:after="0" w:line="239" w:lineRule="exact"/>
        <w:rPr>
          <w:sz w:val="20"/>
          <w:szCs w:val="20"/>
          <w:color w:val="auto"/>
        </w:rPr>
      </w:pPr>
    </w:p>
    <w:p>
      <w:pPr>
        <w:ind w:firstLine="405"/>
        <w:spacing w:after="0" w:line="228" w:lineRule="auto"/>
        <w:rPr>
          <w:sz w:val="20"/>
          <w:szCs w:val="20"/>
          <w:color w:val="auto"/>
        </w:rPr>
      </w:pPr>
      <w:r>
        <w:rPr>
          <w:rFonts w:ascii="Arial" w:cs="Arial" w:eastAsia="Arial" w:hAnsi="Arial"/>
          <w:sz w:val="18"/>
          <w:szCs w:val="18"/>
          <w:color w:val="auto"/>
        </w:rPr>
        <w:t>On May 11, 2021, Autodesk acquired 100% of the outstanding equity of Upchain Inc. (“Upchain”), a cloud-based provider of product lifecycle management and product data management systems, for approximately $126.7 million in cash and $13.1 million in Autodesk common stock to be issued at future dates on the first and second anniversaries of the closing date. Autodesk expects to integrate Upchain’s unified cloud platform in Autodesk solutions. Autodesk is in the process of accounting for this transaction and expects to disclose the preliminary allocation of the purchase consideration to the assets acquired and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8" w:name="page29"/>
    <w:bookmarkEnd w:id="28"/>
    <w:p>
      <w:pPr>
        <w:ind w:right="700"/>
        <w:spacing w:after="0" w:line="246" w:lineRule="auto"/>
        <w:rPr>
          <w:sz w:val="20"/>
          <w:szCs w:val="20"/>
          <w:color w:val="auto"/>
        </w:rPr>
      </w:pPr>
      <w:r>
        <w:rPr>
          <w:rFonts w:ascii="Arial" w:cs="Arial" w:eastAsia="Arial" w:hAnsi="Arial"/>
          <w:sz w:val="18"/>
          <w:szCs w:val="18"/>
          <w:color w:val="auto"/>
        </w:rPr>
        <w:t>liabilities assumed, including the amount of goodwill, in Autodesk’s second fiscal quarter ended July 31, 2021. Additionally, Autodesk has not yet determined the amount of the purchase price attributed to purchase consideration.</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firstLine="180"/>
        <w:spacing w:after="0" w:line="284" w:lineRule="auto"/>
        <w:rPr>
          <w:sz w:val="20"/>
          <w:szCs w:val="20"/>
          <w:color w:val="auto"/>
        </w:rPr>
      </w:pPr>
      <w:r>
        <w:rPr>
          <w:rFonts w:ascii="Arial" w:cs="Arial" w:eastAsia="Arial" w:hAnsi="Arial"/>
          <w:sz w:val="16"/>
          <w:szCs w:val="16"/>
          <w:i w:val="1"/>
          <w:iCs w:val="1"/>
          <w:color w:val="auto"/>
        </w:rPr>
        <w:t xml:space="preserve">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“Overview of the Three Months Ended April 30, 2021,” and in </w:t>
      </w:r>
      <w:r>
        <w:rPr>
          <w:rFonts w:ascii="Arial" w:cs="Arial" w:eastAsia="Arial" w:hAnsi="Arial"/>
          <w:sz w:val="16"/>
          <w:szCs w:val="16"/>
          <w:i w:val="1"/>
          <w:iCs w:val="1"/>
          <w:color w:val="212529"/>
        </w:rPr>
        <w:t>“Results of Operations-Impacts of COVID-19 to Autodesk’s Business.”</w:t>
      </w:r>
      <w:r>
        <w:rPr>
          <w:rFonts w:ascii="Arial" w:cs="Arial" w:eastAsia="Arial" w:hAnsi="Arial"/>
          <w:sz w:val="16"/>
          <w:szCs w:val="16"/>
          <w:i w:val="1"/>
          <w:iCs w:val="1"/>
          <w:color w:val="auto"/>
        </w:rPr>
        <w:t xml:space="preserve"> Examples of such forward-looking statements may relate to items such as future net revenue, operating expenses, recurring revenue, net revenue retention rate, cash flow, remaining performance obligations, and other future financial results (by product type and geography), the effectiveness of our efforts to successfully manage transitions to new markets; our ability to increase our subscription base; expected market trends, including the growth of cloud and mobile computing; the availability of credit; the effect of unemployment; the effects of global economic conditions, including from an economic downturn or recession in the United States or in other countries around the world; the effects of revenue recognition; the effects of recently issued accounting standards; expected trends in certain financial metrics, including expenses; expectations regarding our cash needs; the effects of fluctuations in exchange rates and our hedging activities on our financial results; our ability to successfully expand adoption of our products; our ability to gain market acceptance of new business and sales initiatives; the impact of past acquisitions, including our integration efforts and expected synergies;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Quarterly Report on Form 10-Q and are subject to business and economic risks. As such, our actual results could differ materially from those set forth in the forward-looking statements as a result of a number of factors, including those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Autodesk makes software for people who make things. If you have ever driven a high-performance car, admired a towering skyscraper, used a smartphone, or watched a great film, chances are you have experienced what millions of Autodesk customers are doing with our software. We empower innovators to achieve the new possible - enabling them to discover first-in-kind solutions to complex design challenges, deliver tangible outcomes in record time, and make data-powered decisions for sustainable outcomes.</w:t>
      </w:r>
    </w:p>
    <w:p>
      <w:pPr>
        <w:spacing w:after="0" w:line="214" w:lineRule="exact"/>
        <w:rPr>
          <w:sz w:val="20"/>
          <w:szCs w:val="20"/>
          <w:color w:val="auto"/>
        </w:rPr>
      </w:pPr>
    </w:p>
    <w:p>
      <w:pPr>
        <w:jc w:val="both"/>
        <w:ind w:right="260" w:firstLine="405"/>
        <w:spacing w:after="0" w:line="263" w:lineRule="auto"/>
        <w:rPr>
          <w:sz w:val="20"/>
          <w:szCs w:val="20"/>
          <w:color w:val="auto"/>
        </w:rPr>
      </w:pPr>
      <w:r>
        <w:rPr>
          <w:rFonts w:ascii="Arial" w:cs="Arial" w:eastAsia="Arial" w:hAnsi="Arial"/>
          <w:sz w:val="18"/>
          <w:szCs w:val="18"/>
          <w:color w:val="auto"/>
        </w:rPr>
        <w:t>Our strategy is to build enduring relationships with customers, delivering innovative technology that provides valuable automation and insight into their design and make process. To drive execution of our strategy, we are focused on three strategic priorities: delivering on the promise of subscription, digitizing the company, and reimagining construction, manufacturing, and production.</w:t>
      </w:r>
    </w:p>
    <w:p>
      <w:pPr>
        <w:spacing w:after="0" w:line="211"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We equip and inspire our users with the tailored tools, services, and access they need for success today and tomorrow. At every step, we help users harness the power of data to build upon their ideas and explore new ways of imagining, collaborating, and creating to achieve better outcomes for their customers, for society, and for the world. And because creativity can’t flourish in silos, we connect what matters - from steps in a project to collaborators on a unified platform.</w:t>
      </w:r>
    </w:p>
    <w:p>
      <w:pPr>
        <w:spacing w:after="0" w:line="214"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Autodesk was founded during the platform transition from mainframe computers and engineering workstations to personal computers. We have developed and sustained a compelling value proposition based upon desktop software for the personal computer. Just as the transition from mainframes to personal computers transformed the industry over 30 years ago, the software industry has undergone a transition from developing and selling perpetual licenses and on-premises products to subscriptions and cloud-enabled technologies.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Product Evolution</w:t>
      </w:r>
    </w:p>
    <w:p>
      <w:pPr>
        <w:spacing w:after="0" w:line="252"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We offer subscriptions for individual products and Industry Collections, enterprise business arrangements (“EBAs”), and cloud service offerings (collectively referred to as “subscription plan”). Subscription plans are designed to give our customers more flexibility with how they use our offerings and to attract a broader range of customers, such as project-based users and small businesses.</w:t>
      </w:r>
    </w:p>
    <w:p>
      <w:pPr>
        <w:spacing w:after="0" w:line="211"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Our subscription plans currently represent a hybrid of desktop software and cloud functionality, which provides a device-independent, collaborative design workflow for designers and their stakeholders. Our cloud offerings, for example, BIM 360, Shotgrid (formerly Shotgun), AutoCAD web app, and AutoCAD mobile app, provide tools, including mobile and collaboration capabilities, to streamline design, collaboration, building and manufacturing, and data management processes. We believe that customer adoption of these latest offerings will continue to grow as customers across a range of industries begin to take advantage of the scalable computing power and flexibility provided through these services.</w:t>
      </w:r>
    </w:p>
    <w:p>
      <w:pPr>
        <w:spacing w:after="0" w:line="20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Industry Collections provide our customers with access to a broader selection of Autodesk solutions and services, simplifying the customers’ ability to benefit from a complete set of tools for their industry.</w:t>
      </w:r>
    </w:p>
    <w:p>
      <w:pPr>
        <w:spacing w:after="0" w:line="197"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factors in making decisions regarding acquisitions. We currently anticipate that we will continue to acquire products, technology, and businesses as compelling opportunities become available.</w:t>
      </w:r>
    </w:p>
    <w:p>
      <w:pPr>
        <w:spacing w:after="0" w:line="21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To support our strategic priority of re-imagining Architecture, Engineering, and Construction (“AEC”), we are strengthening the foundation of our AEC solutions with both organic and inorganic investments. In the fiscal quarter ended April 30, 2021, we acquired Storm UK Holdco Limited, the parent of Innovyze, Inc. (“Innovyze”), which provides water infrastructure software. Combining Innovyze’s hydraulic modeling, simulation, asset performance management and operational analytics solutions with Autodesk’s design and analysis solutions (including Autodesk Civil 3D, Autodesk InfraWorks, and the Autodesk Construction Cloud) enables us to deliver end-to-end, cloud-based solutions for our water infrastructure customers that drive efficiency and sustainability. In fiscal 2021, we acquired Spacemaker which uses cloud-based, artificial intelligence (AI), and generative design to help architects, urban designers, and real estate developers make faster and more informed early-stage design decisions which can help maximize the long-term sustainability and return from property investments. Other acquisitions in fiscal 2021 included solutions that use artificial intelligence and machine learning to extract and process data from project plans and specifications allowing general contractors, subcontractors, and owners to automate workflows such as submittals and project closeout.</w:t>
      </w:r>
    </w:p>
    <w:p>
      <w:pPr>
        <w:spacing w:after="0" w:line="212"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In Manufacturing, our strategy is to combine organic and acquired software in existing and adjacent verticals to create end-to-end, cloud-based solutions for our customers that drive efficiency and sustainability. We continue to attract both global manufacturing leaders and disruptive startups with our generative design and cloud-based Fusion 360 that converges the process of design with manufacturing. A fiscal 2021 acquisition included a leading provider of post-processing and machine simulation solutions. In May 2021, we acquired Upchain, an instant-on, cloud-based data management technology that allows product design and manufacturing customers to collaborate in the cloud across their value chains and bring products to market faster.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Reach</w:t>
      </w:r>
    </w:p>
    <w:p>
      <w:pPr>
        <w:spacing w:after="0" w:line="25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sell our products and services globally, through a combination of indirect and direct channels. Our indirect channels include value added resellers, direct market resellers, distributors, computer manufacturers, and other software developers. Our direct channels include internal sales resources dedicated to selling in our largest accounts, our highly specialized solutions, and business transacted through our online Autodesk branded store. See Note 3, “Revenue Recognition” in the Notes to the Condensed Consolidated Financial Statements for further detail on the results of our indirect and direct channel sales for the three months ended April 30, 2021 and 2020.</w:t>
      </w:r>
    </w:p>
    <w:p>
      <w:pPr>
        <w:spacing w:after="0" w:line="21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We anticipate that our channel mix will continue to change as we scale our online Autodesk branded store business and our largest accounts shift towards direct-only business models. However, we expect our indirect channel will continue to transact and support the majority of our customers and revenue. We employ a variety of incentive programs and promotions to align our direct and indirect channels with our business strategies. In addition, we have a worldwide user group organization and we have created online user communities dedicated to the exchange of information related to the use of our products.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0" w:name="page31"/>
    <w:bookmarkEnd w:id="30"/>
    <w:p>
      <w:pPr>
        <w:ind w:right="120" w:firstLine="405"/>
        <w:spacing w:after="0" w:line="273" w:lineRule="auto"/>
        <w:rPr>
          <w:sz w:val="20"/>
          <w:szCs w:val="20"/>
          <w:color w:val="auto"/>
        </w:rPr>
      </w:pPr>
      <w:r>
        <w:rPr>
          <w:rFonts w:ascii="Arial" w:cs="Arial" w:eastAsia="Arial" w:hAnsi="Arial"/>
          <w:sz w:val="17"/>
          <w:szCs w:val="17"/>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Forge developer program to support innovators that build solutions to facilitate the development of a single connected ecosystem for the future of how things are designed, made, and used as well as support ideas that push the boundaries of 3D printing.</w:t>
      </w:r>
    </w:p>
    <w:p>
      <w:pPr>
        <w:spacing w:after="0" w:line="205"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In addition to the competitive advantages afforded by our technology, our large global network of distributors, resellers, third-party developers, customers, educators, educational institutions, learning partners, and students is a key competitive advantage which has been cultivated over an extensive period. This network of partners and relationships provides us with a broad and deep reach into volume markets around the world. Our distributor and reseller network is extensive and provides our customers with the resources to purchase, deploy, learn, and support our solutions quickly and easily. We have a significant number of registered third-party developers who create products that work well with our solutions and extend them for a variety of specialized applications.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at Autodesk</w:t>
      </w:r>
    </w:p>
    <w:p>
      <w:pPr>
        <w:spacing w:after="0" w:line="252"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To help our customers imagine, design, and make a better world, our impact initiatives focus our efforts on the areas where we can have the greatest positive impact: products and support for our customers, catalyzing impact and innovation across industry, investing in our customers’ and employees’ access and ability to learn and develop relevant skills for in-demand roles, and leading by example with our 100% renewable, net-zero greenhouse gas emissions, and inclusive business practices. Through our products and services, we partner with customers to help them better understand and improve the environmental, energy, and materials performance of everything they make, help them make products, buildings, and entire cities that foster healthy and resilient communities, and help them adapt, grow, and prosper alongside increasing levels of automation.</w:t>
      </w:r>
    </w:p>
    <w:p>
      <w:pPr>
        <w:spacing w:after="0" w:line="205"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The Autodesk Foundation (the “Foundation”), a privately funded 501(c)(3) charity organization established and solely funded by us, leads our philanthropic efforts. The purpose of the Foundation is twofold: to support employees to make a better world by matching employees’ volunteer time and/or donations to nonprofit organizations; and to support organizations and individuals using design to drive positive social and environmental impact. On our behalf, the Foundation also administers a discounted software donation program to nonprofit organizations, social and environmental entrepreneurs, and others who are developing design solutions that will shape a more sustainable future.</w:t>
      </w:r>
    </w:p>
    <w:p>
      <w:pPr>
        <w:spacing w:after="0" w:line="203"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Additional information about our environmental, social, and governance program are available in our annual impact report on our website at www.autodesk.com.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 Behind Our Strategy</w:t>
      </w:r>
    </w:p>
    <w:p>
      <w:pPr>
        <w:spacing w:after="0" w:line="252"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strategy depends upon a number of assumptions, including: making our technology available to mainstream markets; leveraging our large global network of distributors, resellers, third-party developers, customers, educators, educational institutions, learning partners,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evaluate our estimates and assumptions on an ongoing basis. We base our assumptions, judgments, and estimates on historical experience and various other factors that we believe to be reasonable under the circumstances. Actual results could differ materially from these estimates under different assumptions or conditions. Our significant accounting policies are described in Note 1, “Business and Summary of Significant Accounting Policies,” in the Notes to Consolidated Financial Statements in our Form 10-K for the fiscal year ended January 31, 2021.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31" w:name="page32"/>
    <w:bookmarkEnd w:id="31"/>
    <w:p>
      <w:pPr>
        <w:ind w:right="100" w:firstLine="445"/>
        <w:spacing w:after="0" w:line="254"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highlighted those policies that involve a higher degree of judgment and complexity with further discussion in Item 7, “Management’s Discussion and Analysis of Financial Condition and Results of Operations,” in our Form 10-K. There have been no material changes to our critical accounting policies and estimates during the three months ended April 30, 2021, as compared to those disclosed in our Form 10-K for the fiscal year ended January 31, 2021. We believe these policies are the most critical to aid in fully understanding and evaluating our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Months Ended April 30, 2021</w:t>
      </w:r>
    </w:p>
    <w:p>
      <w:pPr>
        <w:spacing w:after="0" w:line="202" w:lineRule="exact"/>
        <w:rPr>
          <w:sz w:val="20"/>
          <w:szCs w:val="20"/>
          <w:color w:val="auto"/>
        </w:rPr>
      </w:pPr>
    </w:p>
    <w:p>
      <w:pPr>
        <w:ind w:left="660" w:right="3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net revenue increased 12% to $989.3 million for the three months ended April 30, 2021, compared to the same periods in the prior fiscal year.</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Recurring revenue as a percentage of net revenue was 98% for the three months ended April 30, 2021, compared to 98% for the same period in the prior fiscal year.</w:t>
      </w:r>
    </w:p>
    <w:p>
      <w:pPr>
        <w:spacing w:after="0" w:line="8"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revenue retention rate (“NR3”) was within the range of 100% and 110% as of April 30, 2021, and within the range of 110% and 120% as of April 30, 2020.</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Deferred revenue was $3.35 billion, a decrease of 0.5% compared to the fourth quarter in the prior fiscal year.</w:t>
      </w:r>
    </w:p>
    <w:p>
      <w:pPr>
        <w:spacing w:after="0" w:line="63"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Remaining performance obligations (short-term and long-term deferred revenue plus unbilled deferred revenue) (“RPO”) was $4.23 billion, a decrease of 0.1% compared to the fourth quarter in the prior fiscal year.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Current remaining performance obligations were $2.86 billion, an increase of 5% compared to the fourth quarter in the prior fiscal year.</w:t>
      </w:r>
    </w:p>
    <w:p>
      <w:pPr>
        <w:spacing w:after="0" w:line="3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Analysis</w:t>
      </w:r>
    </w:p>
    <w:p>
      <w:pPr>
        <w:spacing w:after="0" w:line="252"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Net revenue increased during the three months ended April 30, 2021, as compared to the same period in the prior fiscal year, primarily due to a 18% increase in subscription revenue, partially offset by a 69% decrease in maintenance revenue.</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further discussion of the drivers of these results, see below under the heading “Results of Operations.”</w:t>
      </w:r>
    </w:p>
    <w:p>
      <w:pPr>
        <w:spacing w:after="0" w:line="25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Tech Data Corporation and its global affiliates (collectively, “Tech Data”) and Ingram Micro Inc. (“Ingram Micro”). Total sales to Tech Data accounted for 36% and 38% of our total net revenue for the three months ended April 30, 2021 and 2020, respectively. During both the three months ended April 30, 2021 and 2020, Ingram Micro accounted for 10% of Autodesk's total net revenue. Our customers through Tech Data and Ingram Micro are the resellers and end users who purchase our software subscriptions and services. Should any of our agreements with Tech Data or Ingram Micro be terminated for any reason, we believe the resellers and end users who currently purchase our products through Tech Data or Ingram Micro would be able to continue to do so under substantially the same terms from one of our many other distributors without substantial disruption to our revenue. Consequently, we believe our business is not substantially dependent on Tech Data or Ingram Micro.</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Recurring Revenue and Net Revenue Retention Rate</w:t>
      </w:r>
    </w:p>
    <w:p>
      <w:pPr>
        <w:spacing w:after="0" w:line="252"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 order to help better understand our financial performance we use several key performance metrics including recurring revenue and NR3. These metrics are key performance metrics and should be viewed independently of revenue and deferred revenue as these metrics are not intended to be combined with those items. We use these metrics to monitor the strength of our recurring business. We believe these metrics are useful to investors because they can help in monitoring the long-term health of our business. Our determination and presentation of these metrics may differ from that of other companies. The presentation of these metrics is meant to be considered in addition to, not as a substitute for or in isolation from, our financial measures prepared in accordance with GAAP. Please refer to the Glossary of Terms for the definitions of these metrics.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ind w:left="420"/>
        <w:spacing w:after="0"/>
        <w:rPr>
          <w:sz w:val="20"/>
          <w:szCs w:val="20"/>
          <w:color w:val="auto"/>
        </w:rPr>
      </w:pPr>
      <w:r>
        <w:rPr>
          <w:rFonts w:ascii="Arial" w:cs="Arial" w:eastAsia="Arial" w:hAnsi="Arial"/>
          <w:sz w:val="18"/>
          <w:szCs w:val="18"/>
          <w:color w:val="auto"/>
        </w:rPr>
        <w:t>The following table outlines our recurring revenue metric for the three months ended April 30, 2021 and 2020:</w:t>
      </w:r>
    </w:p>
    <w:p>
      <w:pPr>
        <w:spacing w:after="0" w:line="166"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Change compared to</w:t>
      </w:r>
    </w:p>
    <w:p>
      <w:pPr>
        <w:jc w:val="center"/>
        <w:ind w:left="5260"/>
        <w:spacing w:after="0"/>
        <w:rPr>
          <w:sz w:val="20"/>
          <w:szCs w:val="20"/>
          <w:color w:val="auto"/>
        </w:rPr>
      </w:pPr>
      <w:r>
        <w:rPr>
          <w:rFonts w:ascii="Arial" w:cs="Arial" w:eastAsia="Arial" w:hAnsi="Arial"/>
          <w:sz w:val="14"/>
          <w:szCs w:val="14"/>
          <w:b w:val="1"/>
          <w:bCs w:val="1"/>
          <w:color w:val="auto"/>
        </w:rPr>
        <w:t>prior fiscal year</w:t>
      </w:r>
    </w:p>
    <w:tbl>
      <w:tblPr>
        <w:tblLayout w:type="fixed"/>
        <w:tblInd w:w="40" w:type="dxa"/>
        <w:tblCellMar>
          <w:top w:w="0" w:type="dxa"/>
          <w:left w:w="0" w:type="dxa"/>
          <w:bottom w:w="0" w:type="dxa"/>
          <w:right w:w="0" w:type="dxa"/>
        </w:tblCellMar>
      </w:tblPr>
      <w:tr>
        <w:trPr>
          <w:trHeight w:val="123"/>
        </w:trPr>
        <w:tc>
          <w:tcPr>
            <w:tcW w:w="52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percentage data)</w:t>
            </w:r>
          </w:p>
        </w:tc>
        <w:tc>
          <w:tcPr>
            <w:tcW w:w="1540" w:type="dxa"/>
            <w:vAlign w:val="bottom"/>
            <w:gridSpan w:val="3"/>
          </w:tcPr>
          <w:p>
            <w:pPr>
              <w:ind w:left="60"/>
              <w:spacing w:after="0" w:line="123" w:lineRule="exact"/>
              <w:rPr>
                <w:sz w:val="20"/>
                <w:szCs w:val="20"/>
                <w:color w:val="auto"/>
              </w:rPr>
            </w:pPr>
            <w:r>
              <w:rPr>
                <w:rFonts w:ascii="Arial" w:cs="Arial" w:eastAsia="Arial" w:hAnsi="Arial"/>
                <w:sz w:val="14"/>
                <w:szCs w:val="14"/>
                <w:b w:val="1"/>
                <w:bCs w:val="1"/>
                <w:color w:val="auto"/>
              </w:rPr>
              <w:t>Three Months Ended</w:t>
            </w:r>
          </w:p>
        </w:tc>
        <w:tc>
          <w:tcPr>
            <w:tcW w:w="3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54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vMerge w:val="restart"/>
          </w:tcPr>
          <w:p>
            <w:pPr>
              <w:jc w:val="right"/>
              <w:ind w:right="64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0"/>
                <w:szCs w:val="10"/>
                <w:color w:val="auto"/>
              </w:rPr>
            </w:pPr>
          </w:p>
        </w:tc>
        <w:tc>
          <w:tcPr>
            <w:tcW w:w="1420" w:type="dxa"/>
            <w:vAlign w:val="bottom"/>
            <w:gridSpan w:val="2"/>
          </w:tcPr>
          <w:p>
            <w:pPr>
              <w:jc w:val="right"/>
              <w:spacing w:after="0" w:line="123" w:lineRule="exact"/>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88"/>
        </w:trPr>
        <w:tc>
          <w:tcPr>
            <w:tcW w:w="52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April 30, 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April 30, 2020</w:t>
            </w:r>
          </w:p>
        </w:tc>
        <w:tc>
          <w:tcPr>
            <w:tcW w:w="0" w:type="dxa"/>
            <w:vAlign w:val="bottom"/>
          </w:tcPr>
          <w:p>
            <w:pPr>
              <w:spacing w:after="0"/>
              <w:rPr>
                <w:sz w:val="1"/>
                <w:szCs w:val="1"/>
                <w:color w:val="auto"/>
              </w:rPr>
            </w:pPr>
          </w:p>
        </w:tc>
      </w:tr>
      <w:tr>
        <w:trPr>
          <w:trHeight w:val="211"/>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Recurring revenue (1)</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966.6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865.1</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6"/>
                <w:szCs w:val="16"/>
                <w:color w:val="auto"/>
              </w:rPr>
              <w:t>As a percentage of net revenue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ind w:left="640"/>
              <w:spacing w:after="0"/>
              <w:rPr>
                <w:sz w:val="20"/>
                <w:szCs w:val="20"/>
                <w:color w:val="auto"/>
              </w:rPr>
            </w:pPr>
            <w:r>
              <w:rPr>
                <w:rFonts w:ascii="Arial" w:cs="Arial" w:eastAsia="Arial" w:hAnsi="Arial"/>
                <w:sz w:val="16"/>
                <w:szCs w:val="16"/>
                <w:color w:val="auto"/>
              </w:rPr>
              <w:t>N/A</w:t>
            </w:r>
          </w:p>
        </w:tc>
        <w:tc>
          <w:tcPr>
            <w:tcW w:w="1420" w:type="dxa"/>
            <w:vAlign w:val="bottom"/>
          </w:tcPr>
          <w:p>
            <w:pPr>
              <w:jc w:val="right"/>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420" w:right="20" w:hanging="412"/>
        <w:spacing w:after="0" w:line="262"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recurring revenue in this table above and recurring revenue derived from the revenue reported in the Condensed Consolidated Statements of Operations.</w:t>
      </w:r>
    </w:p>
    <w:p>
      <w:pPr>
        <w:spacing w:after="0" w:line="204"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NR3 was within the range of 100% and 110% as of April 30, 2021, and within the range of 110% and 120% as of April 30, 2020.</w:t>
      </w:r>
    </w:p>
    <w:p>
      <w:pPr>
        <w:spacing w:after="0" w:line="3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Analysis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a significant amount of our revenue in the United States, Japan, Germany, Finland, and the United Kingdom.</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impact of foreign exchange rate changes on our net revenue and total spend: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5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Three Months Ended April 30, 2021</w:t>
            </w:r>
          </w:p>
        </w:tc>
        <w:tc>
          <w:tcPr>
            <w:tcW w:w="0" w:type="dxa"/>
            <w:vAlign w:val="bottom"/>
          </w:tcPr>
          <w:p>
            <w:pPr>
              <w:spacing w:after="0"/>
              <w:rPr>
                <w:sz w:val="1"/>
                <w:szCs w:val="1"/>
                <w:color w:val="auto"/>
              </w:rPr>
            </w:pPr>
          </w:p>
        </w:tc>
      </w:tr>
      <w:tr>
        <w:trPr>
          <w:trHeight w:val="135"/>
        </w:trPr>
        <w:tc>
          <w:tcPr>
            <w:tcW w:w="6160" w:type="dxa"/>
            <w:vAlign w:val="bottom"/>
          </w:tcPr>
          <w:p>
            <w:pPr>
              <w:spacing w:after="0"/>
              <w:rPr>
                <w:sz w:val="11"/>
                <w:szCs w:val="11"/>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Percent</w:t>
            </w:r>
          </w:p>
        </w:tc>
        <w:tc>
          <w:tcPr>
            <w:tcW w:w="17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Constant Currency</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Positive/Negative/Neutral</w:t>
            </w:r>
          </w:p>
        </w:tc>
        <w:tc>
          <w:tcPr>
            <w:tcW w:w="0" w:type="dxa"/>
            <w:vAlign w:val="bottom"/>
          </w:tcPr>
          <w:p>
            <w:pPr>
              <w:spacing w:after="0"/>
              <w:rPr>
                <w:sz w:val="1"/>
                <w:szCs w:val="1"/>
                <w:color w:val="auto"/>
              </w:rPr>
            </w:pPr>
          </w:p>
        </w:tc>
      </w:tr>
      <w:tr>
        <w:trPr>
          <w:trHeight w:val="135"/>
        </w:trPr>
        <w:tc>
          <w:tcPr>
            <w:tcW w:w="616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7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percent</w:t>
            </w: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60" w:type="dxa"/>
            <w:vAlign w:val="bottom"/>
          </w:tcPr>
          <w:p>
            <w:pPr>
              <w:spacing w:after="0"/>
              <w:rPr>
                <w:sz w:val="11"/>
                <w:szCs w:val="11"/>
                <w:color w:val="auto"/>
              </w:rPr>
            </w:pPr>
          </w:p>
        </w:tc>
        <w:tc>
          <w:tcPr>
            <w:tcW w:w="17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change compared to</w:t>
            </w:r>
          </w:p>
        </w:tc>
        <w:tc>
          <w:tcPr>
            <w:tcW w:w="17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change compared to</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impact from foreign</w:t>
            </w:r>
          </w:p>
        </w:tc>
        <w:tc>
          <w:tcPr>
            <w:tcW w:w="0" w:type="dxa"/>
            <w:vAlign w:val="bottom"/>
          </w:tcPr>
          <w:p>
            <w:pPr>
              <w:spacing w:after="0"/>
              <w:rPr>
                <w:sz w:val="1"/>
                <w:szCs w:val="1"/>
                <w:color w:val="auto"/>
              </w:rPr>
            </w:pPr>
          </w:p>
        </w:tc>
      </w:tr>
      <w:tr>
        <w:trPr>
          <w:trHeight w:val="188"/>
        </w:trPr>
        <w:tc>
          <w:tcPr>
            <w:tcW w:w="616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prior fiscal year</w:t>
            </w: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prior fiscal year (1)</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exchange rate changes</w:t>
            </w:r>
          </w:p>
        </w:tc>
        <w:tc>
          <w:tcPr>
            <w:tcW w:w="0" w:type="dxa"/>
            <w:vAlign w:val="bottom"/>
          </w:tcPr>
          <w:p>
            <w:pPr>
              <w:spacing w:after="0"/>
              <w:rPr>
                <w:sz w:val="1"/>
                <w:szCs w:val="1"/>
                <w:color w:val="auto"/>
              </w:rPr>
            </w:pPr>
          </w:p>
        </w:tc>
      </w:tr>
      <w:tr>
        <w:trPr>
          <w:trHeight w:val="211"/>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Positive</w:t>
            </w:r>
          </w:p>
        </w:tc>
        <w:tc>
          <w:tcPr>
            <w:tcW w:w="0" w:type="dxa"/>
            <w:vAlign w:val="bottom"/>
          </w:tcPr>
          <w:p>
            <w:pPr>
              <w:spacing w:after="0"/>
              <w:rPr>
                <w:sz w:val="1"/>
                <w:szCs w:val="1"/>
                <w:color w:val="auto"/>
              </w:rPr>
            </w:pPr>
          </w:p>
        </w:tc>
      </w:tr>
      <w:tr>
        <w:trPr>
          <w:trHeight w:val="210"/>
        </w:trPr>
        <w:tc>
          <w:tcPr>
            <w:tcW w:w="6160" w:type="dxa"/>
            <w:vAlign w:val="bottom"/>
          </w:tcPr>
          <w:p>
            <w:pPr>
              <w:ind w:left="20"/>
              <w:spacing w:after="0"/>
              <w:rPr>
                <w:sz w:val="20"/>
                <w:szCs w:val="20"/>
                <w:color w:val="auto"/>
              </w:rPr>
            </w:pPr>
            <w:r>
              <w:rPr>
                <w:rFonts w:ascii="Arial" w:cs="Arial" w:eastAsia="Arial" w:hAnsi="Arial"/>
                <w:sz w:val="16"/>
                <w:szCs w:val="16"/>
                <w:color w:val="auto"/>
              </w:rPr>
              <w:t>Total spend</w:t>
            </w:r>
          </w:p>
        </w:tc>
        <w:tc>
          <w:tcPr>
            <w:tcW w:w="162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Negative</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Please refer to the Glossary of Terms for the definitions of our constant currency growth rates.</w:t>
      </w:r>
    </w:p>
    <w:p>
      <w:pPr>
        <w:spacing w:after="0" w:line="234" w:lineRule="exact"/>
        <w:rPr>
          <w:sz w:val="20"/>
          <w:szCs w:val="20"/>
          <w:color w:val="auto"/>
        </w:rPr>
      </w:pPr>
    </w:p>
    <w:p>
      <w:pPr>
        <w:jc w:val="both"/>
        <w:ind w:right="40" w:firstLine="405"/>
        <w:spacing w:after="0" w:line="263"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(loss)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Remaining Performance Obligations</w:t>
      </w:r>
    </w:p>
    <w:p>
      <w:pPr>
        <w:spacing w:after="0" w:line="252"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RPO represents deferred revenue and contractually stated or committed orders under early renewal and multi-year billing plans for subscription, services, license, and maintenance for which the associated deferred revenue has not yet been recognized. Unbilled deferred revenue is not included as a receivable or deferred revenue on our Condensed Consolidated Balance Sheets. See Note 3, “Revenue Recognition,” for more details on Autodesk's performance obligations.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180" w:type="dxa"/>
            <w:vAlign w:val="bottom"/>
          </w:tcPr>
          <w:p>
            <w:pPr>
              <w:ind w:left="1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2021</w:t>
            </w:r>
          </w:p>
        </w:tc>
        <w:tc>
          <w:tcPr>
            <w:tcW w:w="140" w:type="dxa"/>
            <w:vAlign w:val="bottom"/>
          </w:tcPr>
          <w:p>
            <w:pPr>
              <w:spacing w:after="0"/>
              <w:rPr>
                <w:sz w:val="16"/>
                <w:szCs w:val="16"/>
                <w:color w:val="auto"/>
              </w:rPr>
            </w:pPr>
          </w:p>
        </w:tc>
        <w:tc>
          <w:tcPr>
            <w:tcW w:w="1300" w:type="dxa"/>
            <w:vAlign w:val="bottom"/>
          </w:tcPr>
          <w:p>
            <w:pPr>
              <w:jc w:val="right"/>
              <w:ind w:right="121"/>
              <w:spacing w:after="0"/>
              <w:rPr>
                <w:sz w:val="20"/>
                <w:szCs w:val="20"/>
                <w:color w:val="auto"/>
              </w:rPr>
            </w:pPr>
            <w:r>
              <w:rPr>
                <w:rFonts w:ascii="Arial" w:cs="Arial" w:eastAsia="Arial" w:hAnsi="Arial"/>
                <w:sz w:val="14"/>
                <w:szCs w:val="14"/>
                <w:b w:val="1"/>
                <w:bCs w:val="1"/>
                <w:color w:val="auto"/>
                <w:w w:val="96"/>
              </w:rPr>
              <w:t>January 31, 2021</w:t>
            </w:r>
          </w:p>
        </w:tc>
      </w:tr>
      <w:tr>
        <w:trPr>
          <w:trHeight w:val="215"/>
        </w:trPr>
        <w:tc>
          <w:tcPr>
            <w:tcW w:w="81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revenue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3,345.0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3,360.2</w:t>
            </w:r>
          </w:p>
        </w:tc>
      </w:tr>
      <w:tr>
        <w:trPr>
          <w:trHeight w:val="213"/>
        </w:trPr>
        <w:tc>
          <w:tcPr>
            <w:tcW w:w="8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Unbilled deferred revenue</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889.4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880.5</w:t>
            </w:r>
          </w:p>
        </w:tc>
      </w:tr>
      <w:tr>
        <w:trPr>
          <w:trHeight w:val="238"/>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RPO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4,234.4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4,240.7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RPO consisted of the following:</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180" w:type="dxa"/>
            <w:vAlign w:val="bottom"/>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2021</w:t>
            </w:r>
          </w:p>
        </w:tc>
        <w:tc>
          <w:tcPr>
            <w:tcW w:w="140" w:type="dxa"/>
            <w:vAlign w:val="bottom"/>
          </w:tcPr>
          <w:p>
            <w:pPr>
              <w:spacing w:after="0"/>
              <w:rPr>
                <w:sz w:val="16"/>
                <w:szCs w:val="16"/>
                <w:color w:val="auto"/>
              </w:rPr>
            </w:pPr>
          </w:p>
        </w:tc>
        <w:tc>
          <w:tcPr>
            <w:tcW w:w="1320" w:type="dxa"/>
            <w:vAlign w:val="bottom"/>
          </w:tcPr>
          <w:p>
            <w:pPr>
              <w:jc w:val="right"/>
              <w:ind w:right="141"/>
              <w:spacing w:after="0"/>
              <w:rPr>
                <w:sz w:val="20"/>
                <w:szCs w:val="20"/>
                <w:color w:val="auto"/>
              </w:rPr>
            </w:pPr>
            <w:r>
              <w:rPr>
                <w:rFonts w:ascii="Arial" w:cs="Arial" w:eastAsia="Arial" w:hAnsi="Arial"/>
                <w:sz w:val="14"/>
                <w:szCs w:val="14"/>
                <w:b w:val="1"/>
                <w:bCs w:val="1"/>
                <w:color w:val="auto"/>
                <w:w w:val="96"/>
              </w:rPr>
              <w:t>January 31, 2021</w:t>
            </w:r>
          </w:p>
        </w:tc>
      </w:tr>
      <w:tr>
        <w:trPr>
          <w:trHeight w:val="215"/>
        </w:trPr>
        <w:tc>
          <w:tcPr>
            <w:tcW w:w="81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Current RPO</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2,862.8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2,738.0</w:t>
            </w:r>
          </w:p>
        </w:tc>
      </w:tr>
      <w:tr>
        <w:trPr>
          <w:trHeight w:val="213"/>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Non-current RPO</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1,371.6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1,502.7</w:t>
            </w:r>
          </w:p>
        </w:tc>
      </w:tr>
      <w:tr>
        <w:trPr>
          <w:trHeight w:val="238"/>
        </w:trPr>
        <w:tc>
          <w:tcPr>
            <w:tcW w:w="81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RPO</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4,234.4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4,240.7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ind w:right="180" w:firstLine="405"/>
        <w:spacing w:after="0" w:line="259" w:lineRule="auto"/>
        <w:rPr>
          <w:sz w:val="20"/>
          <w:szCs w:val="20"/>
          <w:color w:val="auto"/>
        </w:rPr>
      </w:pPr>
      <w:r>
        <w:rPr>
          <w:rFonts w:ascii="Arial" w:cs="Arial" w:eastAsia="Arial" w:hAnsi="Arial"/>
          <w:sz w:val="18"/>
          <w:szCs w:val="18"/>
          <w:color w:val="auto"/>
        </w:rPr>
        <w:t>We expect that the amount of RPO will change from quarter to quarter for several reasons, including the specific timing, duration, and size of customer subscription and support agreements, varying billing cycles of such agreements, the specific timing of customer renewals, and foreign currency fluctuations. Historically, we have had increased EBA sales activity in our fourth fiscal quarter and this seasonality may affect the relative value of our billings, RPO, and collections in the fourth and first fiscal quarters.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Balance Sheet and Cash Flow Items</w:t>
      </w:r>
    </w:p>
    <w:p>
      <w:pPr>
        <w:spacing w:after="0" w:line="252"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At April 30, 2021, we had $923.2 million in cash and marketable securities. Our cash flow from operations increased to $336.1 million for the three months ended April 30, 2021, compared to $327.3 million for the three months ended April 30, 2020. We repurchased 0.5 million shares of our common stock for $142.7 million during the three months ended April 30, 2021. Comparatively, we repurchased 1.2 million shares of our common stock for $189.0 million during the three months ended April 30, 2020. See further discussion regarding the balance sheet and cash flow activities under the heading “Liquidity and Capital Resources.”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Impacts of COVID-19 to Autodesk’s Business</w:t>
      </w:r>
    </w:p>
    <w:p>
      <w:pPr>
        <w:spacing w:after="0" w:line="239" w:lineRule="exact"/>
        <w:rPr>
          <w:sz w:val="20"/>
          <w:szCs w:val="20"/>
          <w:color w:val="auto"/>
        </w:rPr>
      </w:pPr>
    </w:p>
    <w:p>
      <w:pPr>
        <w:ind w:firstLine="405"/>
        <w:spacing w:after="0"/>
        <w:rPr>
          <w:sz w:val="20"/>
          <w:szCs w:val="20"/>
          <w:color w:val="auto"/>
        </w:rPr>
      </w:pPr>
      <w:r>
        <w:rPr>
          <w:rFonts w:ascii="Arial" w:cs="Arial" w:eastAsia="Arial" w:hAnsi="Arial"/>
          <w:sz w:val="17"/>
          <w:szCs w:val="17"/>
          <w:color w:val="auto"/>
        </w:rPr>
        <w:t>We are continuing to conduct business during the COVID-19 pandemic with substantial modifications to employee travel, employee work locations, and virtualization, postponement or cancellation of certain sales and marketing events, among other modifications. We have observed other companies, as well as many governments continuing to take precautionary measures to address COVID-19, and they may take further actions that alter their normal business operations. While government authorities in some geographies are removing COVID-19 related business operations restrictions, we continue to actively monitor the situation and may take further actions that alter our business operations as may be required by federal, state, or local authorities, or that we determine are in the best interests of our employees, customers, partners, suppliers, and stockholders.</w:t>
      </w:r>
    </w:p>
    <w:p>
      <w:pPr>
        <w:spacing w:after="0" w:line="218" w:lineRule="exact"/>
        <w:rPr>
          <w:sz w:val="20"/>
          <w:szCs w:val="20"/>
          <w:color w:val="auto"/>
        </w:rPr>
      </w:pPr>
    </w:p>
    <w:p>
      <w:pPr>
        <w:ind w:right="160" w:firstLine="405"/>
        <w:spacing w:after="0" w:line="241" w:lineRule="auto"/>
        <w:rPr>
          <w:sz w:val="20"/>
          <w:szCs w:val="20"/>
          <w:color w:val="auto"/>
        </w:rPr>
      </w:pPr>
      <w:r>
        <w:rPr>
          <w:rFonts w:ascii="Arial" w:cs="Arial" w:eastAsia="Arial" w:hAnsi="Arial"/>
          <w:sz w:val="18"/>
          <w:szCs w:val="18"/>
          <w:color w:val="auto"/>
        </w:rPr>
        <w:t>In the fiscal quarter ended April 30, 2021, we experienced new product subscriptions growth, improving usage and renewal rates, and accelerating billings and RPO growth. Contributing to our financial performance in the first fiscal quarter ended April 30, 2021, was robust growth in new product subscriptions, accelerating digital sales, stronger than expected upfront revenue, and improving subscription renewal rates. In our target markets, both Architecture, Engineering, and Construction (“AEC”) and Manufacturing (“MFG”) experienced growth as compared to the first fiscal quarter in the prior year.</w:t>
      </w:r>
    </w:p>
    <w:p>
      <w:pPr>
        <w:spacing w:after="0" w:line="216"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color w:val="auto"/>
        </w:rPr>
        <w:t>We will continue to invest in critical areas such as R&amp;D, construction, and digitizing the company to ensure our future success as we come out of the pandemic.</w:t>
      </w:r>
    </w:p>
    <w:p>
      <w:pPr>
        <w:spacing w:after="0" w:line="184" w:lineRule="exact"/>
        <w:rPr>
          <w:sz w:val="20"/>
          <w:szCs w:val="20"/>
          <w:color w:val="auto"/>
        </w:rPr>
      </w:pPr>
    </w:p>
    <w:p>
      <w:pPr>
        <w:ind w:right="20" w:firstLine="405"/>
        <w:spacing w:after="0" w:line="238" w:lineRule="auto"/>
        <w:rPr>
          <w:sz w:val="20"/>
          <w:szCs w:val="20"/>
          <w:color w:val="auto"/>
        </w:rPr>
      </w:pPr>
      <w:r>
        <w:rPr>
          <w:rFonts w:ascii="Arial" w:cs="Arial" w:eastAsia="Arial" w:hAnsi="Arial"/>
          <w:sz w:val="17"/>
          <w:szCs w:val="17"/>
          <w:color w:val="auto"/>
        </w:rPr>
        <w:t>We believe our investment in cloud products and a subscription business model, backed by a strong balance sheet, give us a robust foundation to successfully navigate the economic challenges of COVID-19. The extent of the impact on our business in fiscal 2022 and beyond will depend on several factors, including the full duration and the extent of the pandemic; actions taken by governments, businesses, and consumers in response to the pandemic; speed and timing of economic recovery; speed of rollout of COVID-19 vaccines, lifting of restrictions on movement, and normalization of full-time return to work and social events; our billings and renewal rates, including new business close rates, rate of multi-year contracts, pace of closing larger transactions, and new unit volume growth; and effect of the pandemic on margins and cash flow. All of these factors continue to evolve and remain uncertain at this time, and some of these factors are not within our control. Further discussion of the potential impacts of COVID-19 on our business can be found in Part II, Item 1A, “Risk Factors.”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Income Statement Presentation</w:t>
      </w:r>
    </w:p>
    <w:p>
      <w:pPr>
        <w:spacing w:after="0" w:line="252"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Subscription revenue consists of our term-based product subscriptions, cloud service offerings, and flexible EBAs. Revenue from these arrangements is predominately recognized ratably over the contract term commencing with the date our service is made available to customers and when all other revenue recognition criteria have been satisfied.</w:t>
      </w:r>
    </w:p>
    <w:p>
      <w:pPr>
        <w:spacing w:after="0" w:line="211" w:lineRule="exact"/>
        <w:rPr>
          <w:sz w:val="20"/>
          <w:szCs w:val="20"/>
          <w:color w:val="auto"/>
        </w:rPr>
      </w:pPr>
    </w:p>
    <w:p>
      <w:pPr>
        <w:ind w:right="260" w:firstLine="445"/>
        <w:spacing w:after="0" w:line="263" w:lineRule="auto"/>
        <w:rPr>
          <w:sz w:val="20"/>
          <w:szCs w:val="20"/>
          <w:color w:val="auto"/>
        </w:rPr>
      </w:pPr>
      <w:r>
        <w:rPr>
          <w:rFonts w:ascii="Arial" w:cs="Arial" w:eastAsia="Arial" w:hAnsi="Arial"/>
          <w:sz w:val="18"/>
          <w:szCs w:val="18"/>
          <w:color w:val="auto"/>
        </w:rPr>
        <w:t>Maintenance revenue consists of renewal fees for existing maintenance plan agreements that were initially purchased with a perpetual software license. Under our maintenance plan, customers are eligible to receive unspecified upgrades, when and if available, and technical support. We recognize maintenance revenue ratably over the term of the agreements, which is generally one year.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4" w:name="page35"/>
    <w:bookmarkEnd w:id="34"/>
    <w:p>
      <w:pPr>
        <w:ind w:right="380" w:firstLine="445"/>
        <w:spacing w:after="0" w:line="277" w:lineRule="auto"/>
        <w:rPr>
          <w:sz w:val="20"/>
          <w:szCs w:val="20"/>
          <w:color w:val="auto"/>
        </w:rPr>
      </w:pPr>
      <w:r>
        <w:rPr>
          <w:rFonts w:ascii="Arial" w:cs="Arial" w:eastAsia="Arial" w:hAnsi="Arial"/>
          <w:sz w:val="18"/>
          <w:szCs w:val="18"/>
          <w:color w:val="auto"/>
        </w:rPr>
        <w:t>Other revenue consists of revenue from consulting, training, and other products and services, and is recognized as the products are delivered and services are performed.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4"/>
                <w:szCs w:val="14"/>
                <w:color w:val="auto"/>
              </w:rPr>
            </w:pPr>
          </w:p>
        </w:tc>
        <w:tc>
          <w:tcPr>
            <w:tcW w:w="192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4"/>
              </w:rPr>
              <w:t>Change Compared to Prior</w:t>
            </w:r>
          </w:p>
        </w:tc>
        <w:tc>
          <w:tcPr>
            <w:tcW w:w="140" w:type="dxa"/>
            <w:vAlign w:val="bottom"/>
          </w:tcPr>
          <w:p>
            <w:pPr>
              <w:spacing w:after="0"/>
              <w:rPr>
                <w:sz w:val="14"/>
                <w:szCs w:val="14"/>
                <w:color w:val="auto"/>
              </w:rPr>
            </w:pPr>
          </w:p>
        </w:tc>
        <w:tc>
          <w:tcPr>
            <w:tcW w:w="720" w:type="dxa"/>
            <w:vAlign w:val="bottom"/>
          </w:tcPr>
          <w:p>
            <w:pPr>
              <w:jc w:val="center"/>
              <w:ind w:right="64"/>
              <w:spacing w:after="0"/>
              <w:rPr>
                <w:sz w:val="20"/>
                <w:szCs w:val="20"/>
                <w:color w:val="auto"/>
              </w:rPr>
            </w:pPr>
            <w:r>
              <w:rPr>
                <w:rFonts w:ascii="Arial" w:cs="Arial" w:eastAsia="Arial" w:hAnsi="Arial"/>
                <w:sz w:val="14"/>
                <w:szCs w:val="14"/>
                <w:b w:val="1"/>
                <w:bCs w:val="1"/>
                <w:color w:val="auto"/>
                <w:w w:val="99"/>
              </w:rPr>
              <w:t>Three</w:t>
            </w:r>
          </w:p>
        </w:tc>
        <w:tc>
          <w:tcPr>
            <w:tcW w:w="1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1"/>
                <w:szCs w:val="11"/>
                <w:color w:val="auto"/>
              </w:rPr>
            </w:pPr>
          </w:p>
        </w:tc>
        <w:tc>
          <w:tcPr>
            <w:tcW w:w="192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422"/>
              <w:spacing w:after="0"/>
              <w:rPr>
                <w:sz w:val="20"/>
                <w:szCs w:val="20"/>
                <w:color w:val="auto"/>
              </w:rPr>
            </w:pPr>
            <w:r>
              <w:rPr>
                <w:rFonts w:ascii="Arial" w:cs="Arial" w:eastAsia="Arial" w:hAnsi="Arial"/>
                <w:sz w:val="14"/>
                <w:szCs w:val="14"/>
                <w:b w:val="1"/>
                <w:bCs w:val="1"/>
                <w:color w:val="auto"/>
                <w:w w:val="91"/>
              </w:rPr>
              <w:t>Fiscal Year</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9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April 30,</w:t>
            </w:r>
          </w:p>
        </w:tc>
        <w:tc>
          <w:tcPr>
            <w:tcW w:w="120" w:type="dxa"/>
            <w:vAlign w:val="bottom"/>
          </w:tcPr>
          <w:p>
            <w:pPr>
              <w:spacing w:after="0"/>
              <w:rPr>
                <w:sz w:val="14"/>
                <w:szCs w:val="14"/>
                <w:color w:val="auto"/>
              </w:rPr>
            </w:pPr>
          </w:p>
        </w:tc>
        <w:tc>
          <w:tcPr>
            <w:tcW w:w="74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64"/>
              <w:spacing w:after="0"/>
              <w:rPr>
                <w:sz w:val="20"/>
                <w:szCs w:val="20"/>
                <w:color w:val="auto"/>
              </w:rPr>
            </w:pPr>
            <w:r>
              <w:rPr>
                <w:rFonts w:ascii="Arial" w:cs="Arial" w:eastAsia="Arial" w:hAnsi="Arial"/>
                <w:sz w:val="14"/>
                <w:szCs w:val="14"/>
                <w:b w:val="1"/>
                <w:bCs w:val="1"/>
                <w:color w:val="auto"/>
                <w:w w:val="97"/>
              </w:rPr>
              <w:t>April 30,</w:t>
            </w:r>
          </w:p>
        </w:tc>
        <w:tc>
          <w:tcPr>
            <w:tcW w:w="100" w:type="dxa"/>
            <w:vAlign w:val="bottom"/>
          </w:tcPr>
          <w:p>
            <w:pPr>
              <w:spacing w:after="0"/>
              <w:rPr>
                <w:sz w:val="14"/>
                <w:szCs w:val="14"/>
                <w:color w:val="auto"/>
              </w:rPr>
            </w:pPr>
          </w:p>
        </w:tc>
        <w:tc>
          <w:tcPr>
            <w:tcW w:w="334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88"/>
        </w:trPr>
        <w:tc>
          <w:tcPr>
            <w:tcW w:w="39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3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940" w:type="dxa"/>
            <w:vAlign w:val="bottom"/>
          </w:tcPr>
          <w:p>
            <w:pPr>
              <w:ind w:left="360"/>
              <w:spacing w:after="0" w:line="166" w:lineRule="exact"/>
              <w:rPr>
                <w:sz w:val="20"/>
                <w:szCs w:val="20"/>
                <w:color w:val="auto"/>
              </w:rPr>
            </w:pPr>
            <w:r>
              <w:rPr>
                <w:rFonts w:ascii="Arial" w:cs="Arial" w:eastAsia="Arial" w:hAnsi="Arial"/>
                <w:sz w:val="16"/>
                <w:szCs w:val="16"/>
                <w:color w:val="auto"/>
              </w:rPr>
              <w:t>Subscription</w:t>
            </w:r>
          </w:p>
        </w:tc>
        <w:tc>
          <w:tcPr>
            <w:tcW w:w="120" w:type="dxa"/>
            <w:vAlign w:val="bottom"/>
          </w:tcPr>
          <w:p>
            <w:pPr>
              <w:jc w:val="right"/>
              <w:spacing w:after="0" w:line="166" w:lineRule="exact"/>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line="166" w:lineRule="exact"/>
              <w:rPr>
                <w:sz w:val="20"/>
                <w:szCs w:val="20"/>
                <w:color w:val="auto"/>
              </w:rPr>
            </w:pPr>
            <w:r>
              <w:rPr>
                <w:rFonts w:ascii="Arial" w:cs="Arial" w:eastAsia="Arial" w:hAnsi="Arial"/>
                <w:sz w:val="16"/>
                <w:szCs w:val="16"/>
                <w:color w:val="auto"/>
              </w:rPr>
              <w:t>947.5</w:t>
            </w:r>
          </w:p>
        </w:tc>
        <w:tc>
          <w:tcPr>
            <w:tcW w:w="120" w:type="dxa"/>
            <w:vAlign w:val="bottom"/>
          </w:tcPr>
          <w:p>
            <w:pPr>
              <w:spacing w:after="0"/>
              <w:rPr>
                <w:sz w:val="14"/>
                <w:szCs w:val="14"/>
                <w:color w:val="auto"/>
              </w:rPr>
            </w:pPr>
          </w:p>
        </w:tc>
        <w:tc>
          <w:tcPr>
            <w:tcW w:w="120" w:type="dxa"/>
            <w:vAlign w:val="bottom"/>
          </w:tcPr>
          <w:p>
            <w:pPr>
              <w:jc w:val="right"/>
              <w:spacing w:after="0" w:line="166" w:lineRule="exact"/>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line="166" w:lineRule="exact"/>
              <w:rPr>
                <w:sz w:val="20"/>
                <w:szCs w:val="20"/>
                <w:color w:val="auto"/>
              </w:rPr>
            </w:pPr>
            <w:r>
              <w:rPr>
                <w:rFonts w:ascii="Arial" w:cs="Arial" w:eastAsia="Arial" w:hAnsi="Arial"/>
                <w:sz w:val="16"/>
                <w:szCs w:val="16"/>
                <w:color w:val="auto"/>
              </w:rPr>
              <w:t>144.5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spacing w:after="0" w:line="166" w:lineRule="exact"/>
              <w:rPr>
                <w:sz w:val="20"/>
                <w:szCs w:val="20"/>
                <w:color w:val="auto"/>
              </w:rPr>
            </w:pPr>
            <w:r>
              <w:rPr>
                <w:rFonts w:ascii="Arial" w:cs="Arial" w:eastAsia="Arial" w:hAnsi="Arial"/>
                <w:sz w:val="16"/>
                <w:szCs w:val="16"/>
                <w:color w:val="auto"/>
              </w:rPr>
              <w:t>18 %</w:t>
            </w:r>
          </w:p>
        </w:tc>
        <w:tc>
          <w:tcPr>
            <w:tcW w:w="100" w:type="dxa"/>
            <w:vAlign w:val="bottom"/>
          </w:tcPr>
          <w:p>
            <w:pPr>
              <w:spacing w:after="0"/>
              <w:rPr>
                <w:sz w:val="14"/>
                <w:szCs w:val="14"/>
                <w:color w:val="auto"/>
              </w:rPr>
            </w:pPr>
          </w:p>
        </w:tc>
        <w:tc>
          <w:tcPr>
            <w:tcW w:w="140" w:type="dxa"/>
            <w:vAlign w:val="bottom"/>
          </w:tcPr>
          <w:p>
            <w:pPr>
              <w:jc w:val="right"/>
              <w:spacing w:after="0" w:line="166" w:lineRule="exact"/>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line="166" w:lineRule="exact"/>
              <w:rPr>
                <w:sz w:val="20"/>
                <w:szCs w:val="20"/>
                <w:color w:val="auto"/>
              </w:rPr>
            </w:pPr>
            <w:r>
              <w:rPr>
                <w:rFonts w:ascii="Arial" w:cs="Arial" w:eastAsia="Arial" w:hAnsi="Arial"/>
                <w:sz w:val="16"/>
                <w:szCs w:val="16"/>
                <w:color w:val="auto"/>
              </w:rPr>
              <w:t>803.0</w:t>
            </w:r>
          </w:p>
        </w:tc>
        <w:tc>
          <w:tcPr>
            <w:tcW w:w="100" w:type="dxa"/>
            <w:vAlign w:val="bottom"/>
          </w:tcPr>
          <w:p>
            <w:pPr>
              <w:spacing w:after="0"/>
              <w:rPr>
                <w:sz w:val="14"/>
                <w:szCs w:val="14"/>
                <w:color w:val="auto"/>
              </w:rPr>
            </w:pPr>
          </w:p>
        </w:tc>
        <w:tc>
          <w:tcPr>
            <w:tcW w:w="3340" w:type="dxa"/>
            <w:vAlign w:val="bottom"/>
          </w:tcPr>
          <w:p>
            <w:pPr>
              <w:ind w:left="20"/>
              <w:spacing w:after="0" w:line="166" w:lineRule="exact"/>
              <w:rPr>
                <w:sz w:val="20"/>
                <w:szCs w:val="20"/>
                <w:color w:val="auto"/>
              </w:rPr>
            </w:pPr>
            <w:r>
              <w:rPr>
                <w:rFonts w:ascii="Arial" w:cs="Arial" w:eastAsia="Arial" w:hAnsi="Arial"/>
                <w:sz w:val="16"/>
                <w:szCs w:val="16"/>
                <w:color w:val="auto"/>
              </w:rPr>
              <w:t>Increase due to growth across all subscription</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40" w:type="dxa"/>
            <w:vAlign w:val="bottom"/>
          </w:tcPr>
          <w:p>
            <w:pPr>
              <w:ind w:left="20"/>
              <w:spacing w:after="0" w:line="162" w:lineRule="exact"/>
              <w:rPr>
                <w:sz w:val="20"/>
                <w:szCs w:val="20"/>
                <w:color w:val="auto"/>
              </w:rPr>
            </w:pPr>
            <w:r>
              <w:rPr>
                <w:rFonts w:ascii="Arial" w:cs="Arial" w:eastAsia="Arial" w:hAnsi="Arial"/>
                <w:sz w:val="16"/>
                <w:szCs w:val="16"/>
                <w:color w:val="auto"/>
              </w:rPr>
              <w:t>types, led by product subscription renewal</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40" w:type="dxa"/>
            <w:vAlign w:val="bottom"/>
          </w:tcPr>
          <w:p>
            <w:pPr>
              <w:ind w:left="20"/>
              <w:spacing w:after="0" w:line="162" w:lineRule="exact"/>
              <w:rPr>
                <w:sz w:val="20"/>
                <w:szCs w:val="20"/>
                <w:color w:val="auto"/>
              </w:rPr>
            </w:pPr>
            <w:r>
              <w:rPr>
                <w:rFonts w:ascii="Arial" w:cs="Arial" w:eastAsia="Arial" w:hAnsi="Arial"/>
                <w:sz w:val="16"/>
                <w:szCs w:val="16"/>
                <w:color w:val="auto"/>
                <w:w w:val="97"/>
              </w:rPr>
              <w:t>revenue. Also contributing to the growth was an</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40" w:type="dxa"/>
            <w:vAlign w:val="bottom"/>
          </w:tcPr>
          <w:p>
            <w:pPr>
              <w:ind w:left="20"/>
              <w:spacing w:after="0" w:line="162" w:lineRule="exact"/>
              <w:rPr>
                <w:sz w:val="20"/>
                <w:szCs w:val="20"/>
                <w:color w:val="auto"/>
              </w:rPr>
            </w:pPr>
            <w:r>
              <w:rPr>
                <w:rFonts w:ascii="Arial" w:cs="Arial" w:eastAsia="Arial" w:hAnsi="Arial"/>
                <w:sz w:val="16"/>
                <w:szCs w:val="16"/>
                <w:color w:val="auto"/>
                <w:w w:val="96"/>
              </w:rPr>
              <w:t>increase in revenue from EBA offerings and new</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Arial" w:cs="Arial" w:eastAsia="Arial" w:hAnsi="Arial"/>
                <w:sz w:val="16"/>
                <w:szCs w:val="16"/>
                <w:color w:val="auto"/>
              </w:rPr>
              <w:t>product subscriptions.</w:t>
            </w:r>
          </w:p>
        </w:tc>
        <w:tc>
          <w:tcPr>
            <w:tcW w:w="0" w:type="dxa"/>
            <w:vAlign w:val="bottom"/>
          </w:tcPr>
          <w:p>
            <w:pPr>
              <w:spacing w:after="0"/>
              <w:rPr>
                <w:sz w:val="1"/>
                <w:szCs w:val="1"/>
                <w:color w:val="auto"/>
              </w:rPr>
            </w:pPr>
          </w:p>
        </w:tc>
      </w:tr>
      <w:tr>
        <w:trPr>
          <w:trHeight w:val="169"/>
        </w:trPr>
        <w:tc>
          <w:tcPr>
            <w:tcW w:w="394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rPr>
              <w:t>Maintenance (1)</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62.1</w:t>
            </w:r>
          </w:p>
        </w:tc>
        <w:tc>
          <w:tcPr>
            <w:tcW w:w="100" w:type="dxa"/>
            <w:vAlign w:val="bottom"/>
            <w:shd w:val="clear" w:color="auto" w:fill="CCEEFF"/>
          </w:tcPr>
          <w:p>
            <w:pPr>
              <w:spacing w:after="0"/>
              <w:rPr>
                <w:sz w:val="14"/>
                <w:szCs w:val="14"/>
                <w:color w:val="auto"/>
              </w:rPr>
            </w:pPr>
          </w:p>
        </w:tc>
        <w:tc>
          <w:tcPr>
            <w:tcW w:w="33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Decrease primarily due to the migration of</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9"/>
              </w:rPr>
              <w:t>maintenance plan subscriptions to subscription</w:t>
            </w:r>
          </w:p>
        </w:tc>
        <w:tc>
          <w:tcPr>
            <w:tcW w:w="0" w:type="dxa"/>
            <w:vAlign w:val="bottom"/>
          </w:tcPr>
          <w:p>
            <w:pPr>
              <w:spacing w:after="0"/>
              <w:rPr>
                <w:sz w:val="1"/>
                <w:szCs w:val="1"/>
                <w:color w:val="auto"/>
              </w:rPr>
            </w:pPr>
          </w:p>
        </w:tc>
      </w:tr>
      <w:tr>
        <w:trPr>
          <w:trHeight w:val="212"/>
        </w:trPr>
        <w:tc>
          <w:tcPr>
            <w:tcW w:w="3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 subscriptions.</w:t>
            </w:r>
          </w:p>
        </w:tc>
        <w:tc>
          <w:tcPr>
            <w:tcW w:w="0" w:type="dxa"/>
            <w:vAlign w:val="bottom"/>
          </w:tcPr>
          <w:p>
            <w:pPr>
              <w:spacing w:after="0"/>
              <w:rPr>
                <w:sz w:val="1"/>
                <w:szCs w:val="1"/>
                <w:color w:val="auto"/>
              </w:rPr>
            </w:pPr>
          </w:p>
        </w:tc>
      </w:tr>
      <w:tr>
        <w:trPr>
          <w:trHeight w:val="207"/>
        </w:trPr>
        <w:tc>
          <w:tcPr>
            <w:tcW w:w="3940" w:type="dxa"/>
            <w:vAlign w:val="bottom"/>
          </w:tcPr>
          <w:p>
            <w:pPr>
              <w:ind w:left="540"/>
              <w:spacing w:after="0"/>
              <w:rPr>
                <w:sz w:val="20"/>
                <w:szCs w:val="20"/>
                <w:color w:val="auto"/>
              </w:rPr>
            </w:pPr>
            <w:r>
              <w:rPr>
                <w:rFonts w:ascii="Arial" w:cs="Arial" w:eastAsia="Arial" w:hAnsi="Arial"/>
                <w:sz w:val="16"/>
                <w:szCs w:val="16"/>
                <w:color w:val="auto"/>
              </w:rPr>
              <w:t>Total subscription and maintenance revenue</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966.6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865.1</w:t>
            </w:r>
          </w:p>
        </w:tc>
        <w:tc>
          <w:tcPr>
            <w:tcW w:w="1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885.7</w:t>
            </w:r>
          </w:p>
        </w:tc>
        <w:tc>
          <w:tcPr>
            <w:tcW w:w="1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480" w:hanging="412"/>
        <w:spacing w:after="0" w:line="262"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expect maintenance revenue will slowly decline; however, the rate of decline will vary based on the number of renewals, the renewal rate, and our ability to incentivize maintenance plan customers to transition to subscription plan offerings.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 by Product Family</w:t>
      </w:r>
    </w:p>
    <w:p>
      <w:pPr>
        <w:spacing w:after="0" w:line="252"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Our product offerings are focused in four primary product families: Architecture, Engineering and Construction (“AEC”), AutoCAD and AutoCAD LT, Manufacturing (“MFG”), and Media and Entertainment (“M&amp;E”).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Three</w:t>
            </w:r>
          </w:p>
        </w:tc>
        <w:tc>
          <w:tcPr>
            <w:tcW w:w="220" w:type="dxa"/>
            <w:vAlign w:val="bottom"/>
          </w:tcPr>
          <w:p>
            <w:pPr>
              <w:spacing w:after="0"/>
              <w:rPr>
                <w:sz w:val="14"/>
                <w:szCs w:val="14"/>
                <w:color w:val="auto"/>
              </w:rPr>
            </w:pPr>
          </w:p>
        </w:tc>
        <w:tc>
          <w:tcPr>
            <w:tcW w:w="1480" w:type="dxa"/>
            <w:vAlign w:val="bottom"/>
            <w:gridSpan w:val="4"/>
            <w:vMerge w:val="restart"/>
          </w:tcPr>
          <w:p>
            <w:pPr>
              <w:jc w:val="center"/>
              <w:ind w:left="88"/>
              <w:spacing w:after="0"/>
              <w:rPr>
                <w:sz w:val="20"/>
                <w:szCs w:val="20"/>
                <w:color w:val="auto"/>
              </w:rPr>
            </w:pPr>
            <w:r>
              <w:rPr>
                <w:rFonts w:ascii="Arial" w:cs="Arial" w:eastAsia="Arial" w:hAnsi="Arial"/>
                <w:sz w:val="14"/>
                <w:szCs w:val="14"/>
                <w:b w:val="1"/>
                <w:bCs w:val="1"/>
                <w:color w:val="auto"/>
                <w:w w:val="91"/>
              </w:rPr>
              <w:t>Change compared to</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63"/>
              <w:spacing w:after="0"/>
              <w:rPr>
                <w:sz w:val="20"/>
                <w:szCs w:val="20"/>
                <w:color w:val="auto"/>
              </w:rPr>
            </w:pPr>
            <w:r>
              <w:rPr>
                <w:rFonts w:ascii="Arial" w:cs="Arial" w:eastAsia="Arial" w:hAnsi="Arial"/>
                <w:sz w:val="14"/>
                <w:szCs w:val="14"/>
                <w:b w:val="1"/>
                <w:bCs w:val="1"/>
                <w:color w:val="auto"/>
                <w:w w:val="94"/>
              </w:rPr>
              <w:t>Three</w:t>
            </w:r>
          </w:p>
        </w:tc>
        <w:tc>
          <w:tcPr>
            <w:tcW w:w="1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Months</w:t>
            </w:r>
          </w:p>
        </w:tc>
        <w:tc>
          <w:tcPr>
            <w:tcW w:w="220" w:type="dxa"/>
            <w:vAlign w:val="bottom"/>
          </w:tcPr>
          <w:p>
            <w:pPr>
              <w:spacing w:after="0"/>
              <w:rPr>
                <w:sz w:val="11"/>
                <w:szCs w:val="11"/>
                <w:color w:val="auto"/>
              </w:rPr>
            </w:pPr>
          </w:p>
        </w:tc>
        <w:tc>
          <w:tcPr>
            <w:tcW w:w="1480" w:type="dxa"/>
            <w:vAlign w:val="bottom"/>
            <w:gridSpan w:val="4"/>
            <w:vMerge w:val="continue"/>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63"/>
              <w:spacing w:after="0" w:line="135" w:lineRule="exact"/>
              <w:rPr>
                <w:sz w:val="20"/>
                <w:szCs w:val="20"/>
                <w:color w:val="auto"/>
              </w:rPr>
            </w:pPr>
            <w:r>
              <w:rPr>
                <w:rFonts w:ascii="Arial" w:cs="Arial" w:eastAsia="Arial" w:hAnsi="Arial"/>
                <w:sz w:val="14"/>
                <w:szCs w:val="14"/>
                <w:b w:val="1"/>
                <w:bCs w:val="1"/>
                <w:color w:val="auto"/>
                <w:w w:val="96"/>
              </w:rPr>
              <w:t>Months</w:t>
            </w:r>
          </w:p>
        </w:tc>
        <w:tc>
          <w:tcPr>
            <w:tcW w:w="1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3"/>
              </w:rPr>
              <w:t>prior fiscal year</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3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April 30,</w:t>
            </w:r>
          </w:p>
        </w:tc>
        <w:tc>
          <w:tcPr>
            <w:tcW w:w="22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63"/>
              <w:spacing w:after="0"/>
              <w:rPr>
                <w:sz w:val="20"/>
                <w:szCs w:val="20"/>
                <w:color w:val="auto"/>
              </w:rPr>
            </w:pPr>
            <w:r>
              <w:rPr>
                <w:rFonts w:ascii="Arial" w:cs="Arial" w:eastAsia="Arial" w:hAnsi="Arial"/>
                <w:sz w:val="14"/>
                <w:szCs w:val="14"/>
                <w:b w:val="1"/>
                <w:bCs w:val="1"/>
                <w:color w:val="auto"/>
              </w:rPr>
              <w:t>April 30,</w:t>
            </w:r>
          </w:p>
        </w:tc>
        <w:tc>
          <w:tcPr>
            <w:tcW w:w="100" w:type="dxa"/>
            <w:vAlign w:val="bottom"/>
          </w:tcPr>
          <w:p>
            <w:pPr>
              <w:spacing w:after="0"/>
              <w:rPr>
                <w:sz w:val="14"/>
                <w:szCs w:val="14"/>
                <w:color w:val="auto"/>
              </w:rPr>
            </w:pPr>
          </w:p>
        </w:tc>
        <w:tc>
          <w:tcPr>
            <w:tcW w:w="382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88"/>
        </w:trPr>
        <w:tc>
          <w:tcPr>
            <w:tcW w:w="3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4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ind w:right="6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3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 by Product Family:</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320" w:type="dxa"/>
            <w:vAlign w:val="bottom"/>
          </w:tcPr>
          <w:p>
            <w:pPr>
              <w:ind w:left="360"/>
              <w:spacing w:after="0" w:line="166" w:lineRule="exact"/>
              <w:rPr>
                <w:sz w:val="20"/>
                <w:szCs w:val="20"/>
                <w:color w:val="auto"/>
              </w:rPr>
            </w:pPr>
            <w:r>
              <w:rPr>
                <w:rFonts w:ascii="Arial" w:cs="Arial" w:eastAsia="Arial" w:hAnsi="Arial"/>
                <w:sz w:val="16"/>
                <w:szCs w:val="16"/>
                <w:color w:val="auto"/>
              </w:rPr>
              <w:t>AEC</w:t>
            </w:r>
          </w:p>
        </w:tc>
        <w:tc>
          <w:tcPr>
            <w:tcW w:w="120" w:type="dxa"/>
            <w:vAlign w:val="bottom"/>
          </w:tcPr>
          <w:p>
            <w:pPr>
              <w:jc w:val="right"/>
              <w:spacing w:after="0" w:line="166" w:lineRule="exact"/>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line="166" w:lineRule="exact"/>
              <w:rPr>
                <w:sz w:val="20"/>
                <w:szCs w:val="20"/>
                <w:color w:val="auto"/>
              </w:rPr>
            </w:pPr>
            <w:r>
              <w:rPr>
                <w:rFonts w:ascii="Arial" w:cs="Arial" w:eastAsia="Arial" w:hAnsi="Arial"/>
                <w:sz w:val="16"/>
                <w:szCs w:val="16"/>
                <w:color w:val="auto"/>
              </w:rPr>
              <w:t>442.6</w:t>
            </w:r>
          </w:p>
        </w:tc>
        <w:tc>
          <w:tcPr>
            <w:tcW w:w="100" w:type="dxa"/>
            <w:vAlign w:val="bottom"/>
          </w:tcPr>
          <w:p>
            <w:pPr>
              <w:spacing w:after="0"/>
              <w:rPr>
                <w:sz w:val="14"/>
                <w:szCs w:val="14"/>
                <w:color w:val="auto"/>
              </w:rPr>
            </w:pPr>
          </w:p>
        </w:tc>
        <w:tc>
          <w:tcPr>
            <w:tcW w:w="220" w:type="dxa"/>
            <w:vAlign w:val="bottom"/>
          </w:tcPr>
          <w:p>
            <w:pPr>
              <w:jc w:val="right"/>
              <w:ind w:right="39"/>
              <w:spacing w:after="0" w:line="166" w:lineRule="exact"/>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14"/>
                <w:szCs w:val="14"/>
                <w:color w:val="auto"/>
              </w:rPr>
            </w:pPr>
          </w:p>
        </w:tc>
        <w:tc>
          <w:tcPr>
            <w:tcW w:w="460" w:type="dxa"/>
            <w:vAlign w:val="bottom"/>
          </w:tcPr>
          <w:p>
            <w:pPr>
              <w:jc w:val="right"/>
              <w:spacing w:after="0" w:line="166" w:lineRule="exact"/>
              <w:rPr>
                <w:sz w:val="20"/>
                <w:szCs w:val="20"/>
                <w:color w:val="auto"/>
              </w:rPr>
            </w:pPr>
            <w:r>
              <w:rPr>
                <w:rFonts w:ascii="Arial" w:cs="Arial" w:eastAsia="Arial" w:hAnsi="Arial"/>
                <w:sz w:val="16"/>
                <w:szCs w:val="16"/>
                <w:color w:val="auto"/>
              </w:rPr>
              <w:t>59.9</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jc w:val="right"/>
              <w:spacing w:after="0" w:line="166" w:lineRule="exact"/>
              <w:rPr>
                <w:sz w:val="20"/>
                <w:szCs w:val="20"/>
                <w:color w:val="auto"/>
              </w:rPr>
            </w:pPr>
            <w:r>
              <w:rPr>
                <w:rFonts w:ascii="Arial" w:cs="Arial" w:eastAsia="Arial" w:hAnsi="Arial"/>
                <w:sz w:val="16"/>
                <w:szCs w:val="16"/>
                <w:color w:val="auto"/>
                <w:w w:val="93"/>
              </w:rPr>
              <w:t>16 %</w:t>
            </w:r>
          </w:p>
        </w:tc>
        <w:tc>
          <w:tcPr>
            <w:tcW w:w="120" w:type="dxa"/>
            <w:vAlign w:val="bottom"/>
          </w:tcPr>
          <w:p>
            <w:pPr>
              <w:spacing w:after="0"/>
              <w:rPr>
                <w:sz w:val="14"/>
                <w:szCs w:val="14"/>
                <w:color w:val="auto"/>
              </w:rPr>
            </w:pPr>
          </w:p>
        </w:tc>
        <w:tc>
          <w:tcPr>
            <w:tcW w:w="140" w:type="dxa"/>
            <w:vAlign w:val="bottom"/>
          </w:tcPr>
          <w:p>
            <w:pPr>
              <w:jc w:val="right"/>
              <w:spacing w:after="0" w:line="166" w:lineRule="exact"/>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line="166" w:lineRule="exact"/>
              <w:rPr>
                <w:sz w:val="20"/>
                <w:szCs w:val="20"/>
                <w:color w:val="auto"/>
              </w:rPr>
            </w:pPr>
            <w:r>
              <w:rPr>
                <w:rFonts w:ascii="Arial" w:cs="Arial" w:eastAsia="Arial" w:hAnsi="Arial"/>
                <w:sz w:val="16"/>
                <w:szCs w:val="16"/>
                <w:color w:val="auto"/>
              </w:rPr>
              <w:t>382.7</w:t>
            </w:r>
          </w:p>
        </w:tc>
        <w:tc>
          <w:tcPr>
            <w:tcW w:w="100" w:type="dxa"/>
            <w:vAlign w:val="bottom"/>
          </w:tcPr>
          <w:p>
            <w:pPr>
              <w:spacing w:after="0"/>
              <w:rPr>
                <w:sz w:val="14"/>
                <w:szCs w:val="14"/>
                <w:color w:val="auto"/>
              </w:rPr>
            </w:pPr>
          </w:p>
        </w:tc>
        <w:tc>
          <w:tcPr>
            <w:tcW w:w="3820" w:type="dxa"/>
            <w:vAlign w:val="bottom"/>
          </w:tcPr>
          <w:p>
            <w:pPr>
              <w:ind w:left="20"/>
              <w:spacing w:after="0" w:line="166" w:lineRule="exact"/>
              <w:rPr>
                <w:sz w:val="20"/>
                <w:szCs w:val="20"/>
                <w:color w:val="auto"/>
              </w:rPr>
            </w:pPr>
            <w:r>
              <w:rPr>
                <w:rFonts w:ascii="Arial" w:cs="Arial" w:eastAsia="Arial" w:hAnsi="Arial"/>
                <w:sz w:val="16"/>
                <w:szCs w:val="16"/>
                <w:color w:val="auto"/>
              </w:rPr>
              <w:t>Increase due to growth in revenue from EBAs, AEC</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6"/>
                <w:szCs w:val="16"/>
                <w:color w:val="auto"/>
              </w:rPr>
              <w:t>Collections, BIM 360, and Revit.</w:t>
            </w:r>
          </w:p>
        </w:tc>
        <w:tc>
          <w:tcPr>
            <w:tcW w:w="0" w:type="dxa"/>
            <w:vAlign w:val="bottom"/>
          </w:tcPr>
          <w:p>
            <w:pPr>
              <w:spacing w:after="0"/>
              <w:rPr>
                <w:sz w:val="1"/>
                <w:szCs w:val="1"/>
                <w:color w:val="auto"/>
              </w:rPr>
            </w:pPr>
          </w:p>
        </w:tc>
      </w:tr>
      <w:tr>
        <w:trPr>
          <w:trHeight w:val="169"/>
        </w:trPr>
        <w:tc>
          <w:tcPr>
            <w:tcW w:w="332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rPr>
              <w:t>AutoCAD and AutoCAD LT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285.1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9 %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262.2</w:t>
            </w:r>
          </w:p>
        </w:tc>
        <w:tc>
          <w:tcPr>
            <w:tcW w:w="100" w:type="dxa"/>
            <w:vAlign w:val="bottom"/>
            <w:shd w:val="clear" w:color="auto" w:fill="CCEEFF"/>
          </w:tcPr>
          <w:p>
            <w:pPr>
              <w:spacing w:after="0"/>
              <w:rPr>
                <w:sz w:val="14"/>
                <w:szCs w:val="14"/>
                <w:color w:val="auto"/>
              </w:rPr>
            </w:pPr>
          </w:p>
        </w:tc>
        <w:tc>
          <w:tcPr>
            <w:tcW w:w="38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Increase due to growth in revenue from both AutoCAD</w:t>
            </w: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LT and AutoCAD.</w:t>
            </w:r>
          </w:p>
        </w:tc>
        <w:tc>
          <w:tcPr>
            <w:tcW w:w="0" w:type="dxa"/>
            <w:vAlign w:val="bottom"/>
          </w:tcPr>
          <w:p>
            <w:pPr>
              <w:spacing w:after="0"/>
              <w:rPr>
                <w:sz w:val="1"/>
                <w:szCs w:val="1"/>
                <w:color w:val="auto"/>
              </w:rPr>
            </w:pPr>
          </w:p>
        </w:tc>
      </w:tr>
      <w:tr>
        <w:trPr>
          <w:trHeight w:val="166"/>
        </w:trPr>
        <w:tc>
          <w:tcPr>
            <w:tcW w:w="3320" w:type="dxa"/>
            <w:vAlign w:val="bottom"/>
          </w:tcPr>
          <w:p>
            <w:pPr>
              <w:ind w:left="360"/>
              <w:spacing w:after="0" w:line="166" w:lineRule="exact"/>
              <w:rPr>
                <w:sz w:val="20"/>
                <w:szCs w:val="20"/>
                <w:color w:val="auto"/>
              </w:rPr>
            </w:pPr>
            <w:r>
              <w:rPr>
                <w:rFonts w:ascii="Arial" w:cs="Arial" w:eastAsia="Arial" w:hAnsi="Arial"/>
                <w:sz w:val="16"/>
                <w:szCs w:val="16"/>
                <w:color w:val="auto"/>
              </w:rPr>
              <w:t>MFG</w:t>
            </w:r>
          </w:p>
        </w:tc>
        <w:tc>
          <w:tcPr>
            <w:tcW w:w="120" w:type="dxa"/>
            <w:vAlign w:val="bottom"/>
          </w:tcPr>
          <w:p>
            <w:pPr>
              <w:spacing w:after="0"/>
              <w:rPr>
                <w:sz w:val="14"/>
                <w:szCs w:val="14"/>
                <w:color w:val="auto"/>
              </w:rPr>
            </w:pPr>
          </w:p>
        </w:tc>
        <w:tc>
          <w:tcPr>
            <w:tcW w:w="700" w:type="dxa"/>
            <w:vAlign w:val="bottom"/>
          </w:tcPr>
          <w:p>
            <w:pPr>
              <w:jc w:val="right"/>
              <w:spacing w:after="0" w:line="166" w:lineRule="exact"/>
              <w:rPr>
                <w:sz w:val="20"/>
                <w:szCs w:val="20"/>
                <w:color w:val="auto"/>
              </w:rPr>
            </w:pPr>
            <w:r>
              <w:rPr>
                <w:rFonts w:ascii="Arial" w:cs="Arial" w:eastAsia="Arial" w:hAnsi="Arial"/>
                <w:sz w:val="16"/>
                <w:szCs w:val="16"/>
                <w:color w:val="auto"/>
              </w:rPr>
              <w:t>197.3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jc w:val="right"/>
              <w:spacing w:after="0" w:line="166" w:lineRule="exact"/>
              <w:rPr>
                <w:sz w:val="20"/>
                <w:szCs w:val="20"/>
                <w:color w:val="auto"/>
              </w:rPr>
            </w:pPr>
            <w:r>
              <w:rPr>
                <w:rFonts w:ascii="Arial" w:cs="Arial" w:eastAsia="Arial" w:hAnsi="Arial"/>
                <w:sz w:val="16"/>
                <w:szCs w:val="16"/>
                <w:color w:val="auto"/>
              </w:rPr>
              <w:t>14.4</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jc w:val="right"/>
              <w:spacing w:after="0" w:line="166" w:lineRule="exact"/>
              <w:rPr>
                <w:sz w:val="20"/>
                <w:szCs w:val="20"/>
                <w:color w:val="auto"/>
              </w:rPr>
            </w:pPr>
            <w:r>
              <w:rPr>
                <w:rFonts w:ascii="Arial" w:cs="Arial" w:eastAsia="Arial" w:hAnsi="Arial"/>
                <w:sz w:val="16"/>
                <w:szCs w:val="16"/>
                <w:color w:val="auto"/>
              </w:rPr>
              <w:t>8 %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66" w:lineRule="exact"/>
              <w:rPr>
                <w:sz w:val="20"/>
                <w:szCs w:val="20"/>
                <w:color w:val="auto"/>
              </w:rPr>
            </w:pPr>
            <w:r>
              <w:rPr>
                <w:rFonts w:ascii="Arial" w:cs="Arial" w:eastAsia="Arial" w:hAnsi="Arial"/>
                <w:sz w:val="16"/>
                <w:szCs w:val="16"/>
                <w:color w:val="auto"/>
              </w:rPr>
              <w:t>182.9</w:t>
            </w:r>
          </w:p>
        </w:tc>
        <w:tc>
          <w:tcPr>
            <w:tcW w:w="100" w:type="dxa"/>
            <w:vAlign w:val="bottom"/>
          </w:tcPr>
          <w:p>
            <w:pPr>
              <w:spacing w:after="0"/>
              <w:rPr>
                <w:sz w:val="14"/>
                <w:szCs w:val="14"/>
                <w:color w:val="auto"/>
              </w:rPr>
            </w:pPr>
          </w:p>
        </w:tc>
        <w:tc>
          <w:tcPr>
            <w:tcW w:w="3820" w:type="dxa"/>
            <w:vAlign w:val="bottom"/>
          </w:tcPr>
          <w:p>
            <w:pPr>
              <w:ind w:left="20"/>
              <w:spacing w:after="0" w:line="166" w:lineRule="exact"/>
              <w:rPr>
                <w:sz w:val="20"/>
                <w:szCs w:val="20"/>
                <w:color w:val="auto"/>
              </w:rPr>
            </w:pPr>
            <w:r>
              <w:rPr>
                <w:rFonts w:ascii="Arial" w:cs="Arial" w:eastAsia="Arial" w:hAnsi="Arial"/>
                <w:sz w:val="16"/>
                <w:szCs w:val="16"/>
                <w:color w:val="auto"/>
              </w:rPr>
              <w:t>Increase due to growth in revenue from EBAs, MFG</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6"/>
                <w:szCs w:val="16"/>
                <w:color w:val="auto"/>
              </w:rPr>
              <w:t>Collections and Fusion360.</w:t>
            </w:r>
          </w:p>
        </w:tc>
        <w:tc>
          <w:tcPr>
            <w:tcW w:w="0" w:type="dxa"/>
            <w:vAlign w:val="bottom"/>
          </w:tcPr>
          <w:p>
            <w:pPr>
              <w:spacing w:after="0"/>
              <w:rPr>
                <w:sz w:val="1"/>
                <w:szCs w:val="1"/>
                <w:color w:val="auto"/>
              </w:rPr>
            </w:pPr>
          </w:p>
        </w:tc>
      </w:tr>
      <w:tr>
        <w:trPr>
          <w:trHeight w:val="169"/>
        </w:trPr>
        <w:tc>
          <w:tcPr>
            <w:tcW w:w="332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rPr>
              <w:t>M&amp;E</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14"/>
                <w:szCs w:val="14"/>
                <w:color w:val="auto"/>
              </w:rPr>
            </w:pPr>
          </w:p>
        </w:tc>
        <w:tc>
          <w:tcPr>
            <w:tcW w:w="38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Increase due to growth in revenue from M&amp;E Collections,</w:t>
            </w: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EBAs, and Maya.</w:t>
            </w:r>
          </w:p>
        </w:tc>
        <w:tc>
          <w:tcPr>
            <w:tcW w:w="0" w:type="dxa"/>
            <w:vAlign w:val="bottom"/>
          </w:tcPr>
          <w:p>
            <w:pPr>
              <w:spacing w:after="0"/>
              <w:rPr>
                <w:sz w:val="1"/>
                <w:szCs w:val="1"/>
                <w:color w:val="auto"/>
              </w:rPr>
            </w:pPr>
          </w:p>
        </w:tc>
      </w:tr>
      <w:tr>
        <w:trPr>
          <w:trHeight w:val="213"/>
        </w:trPr>
        <w:tc>
          <w:tcPr>
            <w:tcW w:w="3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93"/>
              </w:rPr>
              <w:t>75 %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3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103.6</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12 %</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885.7</w:t>
            </w:r>
          </w:p>
        </w:tc>
        <w:tc>
          <w:tcPr>
            <w:tcW w:w="100" w:type="dxa"/>
            <w:vAlign w:val="bottom"/>
            <w:tcBorders>
              <w:bottom w:val="single" w:sz="8" w:color="CCEEFF"/>
            </w:tcBorders>
            <w:shd w:val="clear" w:color="auto" w:fill="CCEEFF"/>
          </w:tcPr>
          <w:p>
            <w:pPr>
              <w:spacing w:after="0"/>
              <w:rPr>
                <w:sz w:val="20"/>
                <w:szCs w:val="20"/>
                <w:color w:val="auto"/>
              </w:rPr>
            </w:pPr>
          </w:p>
        </w:tc>
        <w:tc>
          <w:tcPr>
            <w:tcW w:w="3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1"/>
              </w:rPr>
              <w:t>Change compared to</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Constant currency change</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gridSpan w:val="4"/>
            <w:vMerge w:val="continue"/>
          </w:tcPr>
          <w:p>
            <w:pPr>
              <w:spacing w:after="0"/>
              <w:rPr>
                <w:sz w:val="11"/>
                <w:szCs w:val="11"/>
                <w:color w:val="auto"/>
              </w:rPr>
            </w:pPr>
          </w:p>
        </w:tc>
        <w:tc>
          <w:tcPr>
            <w:tcW w:w="18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compared to prior fiscal</w:t>
            </w:r>
          </w:p>
        </w:tc>
        <w:tc>
          <w:tcPr>
            <w:tcW w:w="140" w:type="dxa"/>
            <w:vAlign w:val="bottom"/>
          </w:tcPr>
          <w:p>
            <w:pPr>
              <w:spacing w:after="0"/>
              <w:rPr>
                <w:sz w:val="11"/>
                <w:szCs w:val="11"/>
                <w:color w:val="auto"/>
              </w:rPr>
            </w:pPr>
          </w:p>
        </w:tc>
        <w:tc>
          <w:tcPr>
            <w:tcW w:w="120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gridSpan w:val="4"/>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prior fiscal year</w:t>
            </w:r>
          </w:p>
        </w:tc>
        <w:tc>
          <w:tcPr>
            <w:tcW w:w="18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year</w:t>
            </w:r>
          </w:p>
        </w:tc>
        <w:tc>
          <w:tcPr>
            <w:tcW w:w="1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1500" w:type="dxa"/>
            <w:vAlign w:val="bottom"/>
            <w:gridSpan w:val="3"/>
            <w:vMerge w:val="restart"/>
          </w:tcPr>
          <w:p>
            <w:pPr>
              <w:jc w:val="center"/>
              <w:ind w:right="120"/>
              <w:spacing w:after="0" w:line="122" w:lineRule="exact"/>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vMerge w:val="restart"/>
          </w:tcPr>
          <w:p>
            <w:pPr>
              <w:jc w:val="center"/>
              <w:ind w:right="62"/>
              <w:spacing w:after="0" w:line="122" w:lineRule="exact"/>
              <w:rPr>
                <w:sz w:val="20"/>
                <w:szCs w:val="20"/>
                <w:color w:val="auto"/>
              </w:rPr>
            </w:pPr>
            <w:r>
              <w:rPr>
                <w:rFonts w:ascii="Arial" w:cs="Arial" w:eastAsia="Arial" w:hAnsi="Arial"/>
                <w:sz w:val="14"/>
                <w:szCs w:val="14"/>
                <w:b w:val="1"/>
                <w:bCs w:val="1"/>
                <w:color w:val="auto"/>
                <w:w w:val="96"/>
              </w:rPr>
              <w:t>Ended April 30,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4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150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4"/>
                <w:szCs w:val="4"/>
                <w:color w:val="auto"/>
              </w:rPr>
            </w:pPr>
          </w:p>
        </w:tc>
        <w:tc>
          <w:tcPr>
            <w:tcW w:w="1720" w:type="dxa"/>
            <w:vAlign w:val="bottom"/>
            <w:vMerge w:val="restart"/>
          </w:tcPr>
          <w:p>
            <w:pPr>
              <w:jc w:val="right"/>
              <w:ind w:right="78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April 30, 2021</w:t>
            </w: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tcPr>
          <w:p>
            <w:pPr>
              <w:ind w:left="140"/>
              <w:spacing w:after="0"/>
              <w:rPr>
                <w:sz w:val="20"/>
                <w:szCs w:val="20"/>
                <w:color w:val="auto"/>
              </w:rPr>
            </w:pPr>
            <w:r>
              <w:rPr>
                <w:rFonts w:ascii="Arial" w:cs="Arial" w:eastAsia="Arial" w:hAnsi="Arial"/>
                <w:sz w:val="16"/>
                <w:szCs w:val="16"/>
                <w:color w:val="auto"/>
              </w:rPr>
              <w:t>Americas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Americas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1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10 %</w:t>
            </w:r>
          </w:p>
        </w:tc>
        <w:tc>
          <w:tcPr>
            <w:tcW w:w="12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Americas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8 %</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tcPr>
          <w:p>
            <w:pPr>
              <w:ind w:left="140"/>
              <w:spacing w:after="0"/>
              <w:rPr>
                <w:sz w:val="20"/>
                <w:szCs w:val="20"/>
                <w:color w:val="auto"/>
              </w:rPr>
            </w:pPr>
            <w:r>
              <w:rPr>
                <w:rFonts w:ascii="Arial" w:cs="Arial" w:eastAsia="Arial" w:hAnsi="Arial"/>
                <w:sz w:val="16"/>
                <w:szCs w:val="16"/>
                <w:color w:val="auto"/>
              </w:rPr>
              <w:t>EMEA</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37.7</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344.8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APAC</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rPr>
              <w:t>Total Net Revenue</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rPr>
              <w:t>Emerging Economies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121.1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9.7</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93"/>
        </w:trPr>
        <w:tc>
          <w:tcPr>
            <w:tcW w:w="4480" w:type="dxa"/>
            <w:vAlign w:val="bottom"/>
            <w:gridSpan w:val="2"/>
          </w:tcPr>
          <w:p>
            <w:pPr>
              <w:spacing w:after="0"/>
              <w:rPr>
                <w:sz w:val="20"/>
                <w:szCs w:val="20"/>
                <w:color w:val="auto"/>
              </w:rPr>
            </w:pPr>
            <w:r>
              <w:rPr>
                <w:rFonts w:ascii="Arial" w:cs="Arial" w:eastAsia="Arial" w:hAnsi="Arial"/>
                <w:sz w:val="18"/>
                <w:szCs w:val="18"/>
                <w:color w:val="auto"/>
              </w:rPr>
              <w:t>____________________</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480" w:type="dxa"/>
            <w:vAlign w:val="bottom"/>
            <w:gridSpan w:val="2"/>
          </w:tcPr>
          <w:p>
            <w:pPr>
              <w:spacing w:after="0"/>
              <w:rPr>
                <w:sz w:val="20"/>
                <w:szCs w:val="20"/>
                <w:color w:val="auto"/>
              </w:rPr>
            </w:pPr>
            <w:r>
              <w:rPr>
                <w:rFonts w:ascii="Arial" w:cs="Arial" w:eastAsia="Arial" w:hAnsi="Arial"/>
                <w:sz w:val="16"/>
                <w:szCs w:val="16"/>
                <w:color w:val="auto"/>
              </w:rPr>
              <w:t>* Constant currency data not provided at this level.</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We believe that international revenue will continue to comprise a majority of our net revenue. Unfavorable economic conditions in the countries that contribute a significant portion of our net revenue, including in emerging economies such as Brazil, Russia, India, and China,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or protectionism in the global market may impact our future financial results.</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 by Sales Channel</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220" w:type="dxa"/>
            <w:vAlign w:val="bottom"/>
          </w:tcPr>
          <w:p>
            <w:pPr>
              <w:spacing w:after="0"/>
              <w:rPr>
                <w:sz w:val="14"/>
                <w:szCs w:val="14"/>
                <w:color w:val="auto"/>
              </w:rPr>
            </w:pPr>
          </w:p>
        </w:tc>
        <w:tc>
          <w:tcPr>
            <w:tcW w:w="1480" w:type="dxa"/>
            <w:vAlign w:val="bottom"/>
            <w:gridSpan w:val="4"/>
            <w:vMerge w:val="restart"/>
          </w:tcPr>
          <w:p>
            <w:pPr>
              <w:jc w:val="center"/>
              <w:ind w:left="88"/>
              <w:spacing w:after="0"/>
              <w:rPr>
                <w:sz w:val="20"/>
                <w:szCs w:val="20"/>
                <w:color w:val="auto"/>
              </w:rPr>
            </w:pPr>
            <w:r>
              <w:rPr>
                <w:rFonts w:ascii="Arial" w:cs="Arial" w:eastAsia="Arial" w:hAnsi="Arial"/>
                <w:sz w:val="14"/>
                <w:szCs w:val="14"/>
                <w:b w:val="1"/>
                <w:bCs w:val="1"/>
                <w:color w:val="auto"/>
                <w:w w:val="91"/>
              </w:rPr>
              <w:t>Change compared to</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45"/>
              <w:spacing w:after="0"/>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4"/>
            <w:vMerge w:val="continue"/>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45"/>
              <w:spacing w:after="0" w:line="135"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3"/>
              </w:rPr>
              <w:t>prior fiscal year</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000" w:type="dxa"/>
            <w:vAlign w:val="bottom"/>
            <w:vMerge w:val="restart"/>
          </w:tcPr>
          <w:p>
            <w:pPr>
              <w:spacing w:after="0"/>
              <w:rPr>
                <w:sz w:val="20"/>
                <w:szCs w:val="20"/>
                <w:color w:val="auto"/>
              </w:rPr>
            </w:pPr>
            <w:r>
              <w:rPr>
                <w:rFonts w:ascii="Arial" w:cs="Arial" w:eastAsia="Arial" w:hAnsi="Arial"/>
                <w:sz w:val="14"/>
                <w:szCs w:val="14"/>
                <w:i w:val="1"/>
                <w:iCs w:val="1"/>
                <w:color w:val="auto"/>
              </w:rPr>
              <w:t>(In millions, except percentages)</w:t>
            </w:r>
          </w:p>
        </w:tc>
        <w:tc>
          <w:tcPr>
            <w:tcW w:w="16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April 30, 2021</w:t>
            </w:r>
          </w:p>
        </w:tc>
        <w:tc>
          <w:tcPr>
            <w:tcW w:w="22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65"/>
              <w:spacing w:after="0"/>
              <w:rPr>
                <w:sz w:val="20"/>
                <w:szCs w:val="20"/>
                <w:color w:val="auto"/>
              </w:rPr>
            </w:pPr>
            <w:r>
              <w:rPr>
                <w:rFonts w:ascii="Arial" w:cs="Arial" w:eastAsia="Arial" w:hAnsi="Arial"/>
                <w:sz w:val="14"/>
                <w:szCs w:val="14"/>
                <w:b w:val="1"/>
                <w:bCs w:val="1"/>
                <w:color w:val="auto"/>
                <w:w w:val="97"/>
              </w:rPr>
              <w:t>April 30,</w:t>
            </w:r>
          </w:p>
        </w:tc>
        <w:tc>
          <w:tcPr>
            <w:tcW w:w="120" w:type="dxa"/>
            <w:vAlign w:val="bottom"/>
          </w:tcPr>
          <w:p>
            <w:pPr>
              <w:spacing w:after="0"/>
              <w:rPr>
                <w:sz w:val="14"/>
                <w:szCs w:val="14"/>
                <w:color w:val="auto"/>
              </w:rPr>
            </w:pPr>
          </w:p>
        </w:tc>
        <w:tc>
          <w:tcPr>
            <w:tcW w:w="354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88"/>
        </w:trPr>
        <w:tc>
          <w:tcPr>
            <w:tcW w:w="3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45"/>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Revenue by Sales Channel:</w:t>
            </w: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340"/>
              <w:spacing w:after="0"/>
              <w:rPr>
                <w:sz w:val="20"/>
                <w:szCs w:val="20"/>
                <w:color w:val="auto"/>
              </w:rPr>
            </w:pPr>
            <w:r>
              <w:rPr>
                <w:rFonts w:ascii="Arial" w:cs="Arial" w:eastAsia="Arial" w:hAnsi="Arial"/>
                <w:sz w:val="16"/>
                <w:szCs w:val="16"/>
                <w:color w:val="auto"/>
              </w:rPr>
              <w:t>Indirect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661.3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18"/>
                <w:szCs w:val="18"/>
                <w:color w:val="auto"/>
              </w:rPr>
            </w:pPr>
          </w:p>
        </w:tc>
        <w:tc>
          <w:tcPr>
            <w:tcW w:w="460" w:type="dxa"/>
            <w:vAlign w:val="bottom"/>
          </w:tcPr>
          <w:p>
            <w:pPr>
              <w:jc w:val="right"/>
              <w:ind w:right="3"/>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20" w:type="dxa"/>
            <w:vAlign w:val="bottom"/>
            <w:gridSpan w:val="3"/>
          </w:tcPr>
          <w:p>
            <w:pPr>
              <w:ind w:left="320"/>
              <w:spacing w:after="0"/>
              <w:rPr>
                <w:sz w:val="20"/>
                <w:szCs w:val="20"/>
                <w:color w:val="auto"/>
              </w:rPr>
            </w:pPr>
            <w:r>
              <w:rPr>
                <w:rFonts w:ascii="Arial" w:cs="Arial" w:eastAsia="Arial" w:hAnsi="Arial"/>
                <w:sz w:val="16"/>
                <w:szCs w:val="16"/>
                <w:color w:val="auto"/>
              </w:rPr>
              <w:t>623.4   Increase due to growth in subscription revenue.</w:t>
            </w:r>
          </w:p>
        </w:tc>
        <w:tc>
          <w:tcPr>
            <w:tcW w:w="0" w:type="dxa"/>
            <w:vAlign w:val="bottom"/>
          </w:tcPr>
          <w:p>
            <w:pPr>
              <w:spacing w:after="0"/>
              <w:rPr>
                <w:sz w:val="1"/>
                <w:szCs w:val="1"/>
                <w:color w:val="auto"/>
              </w:rPr>
            </w:pPr>
          </w:p>
        </w:tc>
      </w:tr>
      <w:tr>
        <w:trPr>
          <w:trHeight w:val="169"/>
        </w:trPr>
        <w:tc>
          <w:tcPr>
            <w:tcW w:w="3000" w:type="dxa"/>
            <w:vAlign w:val="bottom"/>
            <w:shd w:val="clear" w:color="auto" w:fill="CCEEFF"/>
          </w:tcPr>
          <w:p>
            <w:pPr>
              <w:ind w:left="340"/>
              <w:spacing w:after="0" w:line="169" w:lineRule="exact"/>
              <w:rPr>
                <w:sz w:val="20"/>
                <w:szCs w:val="20"/>
                <w:color w:val="auto"/>
              </w:rPr>
            </w:pPr>
            <w:r>
              <w:rPr>
                <w:rFonts w:ascii="Arial" w:cs="Arial" w:eastAsia="Arial" w:hAnsi="Arial"/>
                <w:sz w:val="16"/>
                <w:szCs w:val="16"/>
                <w:color w:val="auto"/>
              </w:rPr>
              <w:t>Direct</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4"/>
              <w:spacing w:after="0" w:line="169" w:lineRule="exact"/>
              <w:rPr>
                <w:sz w:val="20"/>
                <w:szCs w:val="20"/>
                <w:color w:val="auto"/>
              </w:rPr>
            </w:pPr>
            <w:r>
              <w:rPr>
                <w:rFonts w:ascii="Arial" w:cs="Arial" w:eastAsia="Arial" w:hAnsi="Arial"/>
                <w:sz w:val="16"/>
                <w:szCs w:val="16"/>
                <w:color w:val="auto"/>
              </w:rPr>
              <w:t>328.0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
              <w:spacing w:after="0" w:line="169" w:lineRule="exact"/>
              <w:rPr>
                <w:sz w:val="20"/>
                <w:szCs w:val="20"/>
                <w:color w:val="auto"/>
              </w:rPr>
            </w:pPr>
            <w:r>
              <w:rPr>
                <w:rFonts w:ascii="Arial" w:cs="Arial" w:eastAsia="Arial" w:hAnsi="Arial"/>
                <w:sz w:val="16"/>
                <w:szCs w:val="16"/>
                <w:color w:val="auto"/>
              </w:rPr>
              <w:t>65.7</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93"/>
              </w:rPr>
              <w:t>25 %</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20" w:type="dxa"/>
            <w:vAlign w:val="bottom"/>
            <w:gridSpan w:val="3"/>
            <w:shd w:val="clear" w:color="auto" w:fill="CCEEFF"/>
          </w:tcPr>
          <w:p>
            <w:pPr>
              <w:ind w:left="320"/>
              <w:spacing w:after="0" w:line="169" w:lineRule="exact"/>
              <w:rPr>
                <w:sz w:val="20"/>
                <w:szCs w:val="20"/>
                <w:color w:val="auto"/>
              </w:rPr>
            </w:pPr>
            <w:r>
              <w:rPr>
                <w:rFonts w:ascii="Arial" w:cs="Arial" w:eastAsia="Arial" w:hAnsi="Arial"/>
                <w:sz w:val="16"/>
                <w:szCs w:val="16"/>
                <w:color w:val="auto"/>
                <w:w w:val="97"/>
              </w:rPr>
              <w:t>262.3   Increase due to an increase in EBAs and our online</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Autodesk branded store.</w:t>
            </w:r>
          </w:p>
        </w:tc>
        <w:tc>
          <w:tcPr>
            <w:tcW w:w="0" w:type="dxa"/>
            <w:vAlign w:val="bottom"/>
          </w:tcPr>
          <w:p>
            <w:pPr>
              <w:spacing w:after="0"/>
              <w:rPr>
                <w:sz w:val="1"/>
                <w:szCs w:val="1"/>
                <w:color w:val="auto"/>
              </w:rPr>
            </w:pPr>
          </w:p>
        </w:tc>
      </w:tr>
      <w:tr>
        <w:trPr>
          <w:trHeight w:val="209"/>
        </w:trPr>
        <w:tc>
          <w:tcPr>
            <w:tcW w:w="3000" w:type="dxa"/>
            <w:vAlign w:val="bottom"/>
          </w:tcPr>
          <w:p>
            <w:pPr>
              <w:spacing w:after="0"/>
              <w:rPr>
                <w:sz w:val="20"/>
                <w:szCs w:val="20"/>
                <w:color w:val="auto"/>
              </w:rPr>
            </w:pPr>
            <w:r>
              <w:rPr>
                <w:rFonts w:ascii="Arial" w:cs="Arial" w:eastAsia="Arial" w:hAnsi="Arial"/>
                <w:sz w:val="16"/>
                <w:szCs w:val="16"/>
                <w:color w:val="auto"/>
              </w:rPr>
              <w:t>Total Net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989.3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w w:val="89"/>
              </w:rPr>
              <w:t>103.6</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3"/>
              </w:rPr>
              <w:t>12 %</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885.7</w:t>
            </w:r>
          </w:p>
        </w:tc>
        <w:tc>
          <w:tcPr>
            <w:tcW w:w="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 by Product Type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Change compared to</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15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6"/>
                <w:szCs w:val="16"/>
                <w:color w:val="auto"/>
              </w:rPr>
            </w:pPr>
          </w:p>
        </w:tc>
        <w:tc>
          <w:tcPr>
            <w:tcW w:w="18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prior fiscal year</w:t>
            </w: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9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1500" w:type="dxa"/>
            <w:vAlign w:val="bottom"/>
            <w:gridSpan w:val="3"/>
            <w:vMerge w:val="continue"/>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60" w:type="dxa"/>
            <w:vAlign w:val="bottom"/>
            <w:tcBorders>
              <w:top w:val="single" w:sz="8" w:color="auto"/>
            </w:tcBorders>
            <w:vMerge w:val="restart"/>
          </w:tcPr>
          <w:p>
            <w:pPr>
              <w:jc w:val="right"/>
              <w:ind w:right="343"/>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22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88"/>
        </w:trPr>
        <w:tc>
          <w:tcPr>
            <w:tcW w:w="2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April 30, 2021</w:t>
            </w:r>
          </w:p>
        </w:tc>
        <w:tc>
          <w:tcPr>
            <w:tcW w:w="2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61"/>
              <w:spacing w:after="0"/>
              <w:rPr>
                <w:sz w:val="20"/>
                <w:szCs w:val="20"/>
                <w:color w:val="auto"/>
              </w:rPr>
            </w:pPr>
            <w:r>
              <w:rPr>
                <w:rFonts w:ascii="Arial" w:cs="Arial" w:eastAsia="Arial" w:hAnsi="Arial"/>
                <w:sz w:val="14"/>
                <w:szCs w:val="14"/>
                <w:b w:val="1"/>
                <w:bCs w:val="1"/>
                <w:color w:val="auto"/>
              </w:rPr>
              <w:t>April 30, 2020</w:t>
            </w:r>
          </w:p>
        </w:tc>
        <w:tc>
          <w:tcPr>
            <w:tcW w:w="100" w:type="dxa"/>
            <w:vAlign w:val="bottom"/>
          </w:tcPr>
          <w:p>
            <w:pPr>
              <w:spacing w:after="0"/>
              <w:rPr>
                <w:sz w:val="16"/>
                <w:szCs w:val="16"/>
                <w:color w:val="auto"/>
              </w:rPr>
            </w:pP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 by Product Type:</w:t>
            </w: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Design</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98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rPr>
              <w:t>Design</w:t>
            </w:r>
          </w:p>
        </w:tc>
        <w:tc>
          <w:tcPr>
            <w:tcW w:w="180" w:type="dxa"/>
            <w:vAlign w:val="bottom"/>
            <w:shd w:val="clear" w:color="auto" w:fill="CCEEFF"/>
          </w:tcPr>
          <w:p>
            <w:pPr>
              <w:jc w:val="right"/>
              <w:ind w:right="2"/>
              <w:spacing w:after="0" w:line="169" w:lineRule="exact"/>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885.1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9"/>
              <w:spacing w:after="0" w:line="169" w:lineRule="exact"/>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3"/>
              <w:spacing w:after="0" w:line="169" w:lineRule="exact"/>
              <w:rPr>
                <w:sz w:val="20"/>
                <w:szCs w:val="20"/>
                <w:color w:val="auto"/>
              </w:rPr>
            </w:pPr>
            <w:r>
              <w:rPr>
                <w:rFonts w:ascii="Arial" w:cs="Arial" w:eastAsia="Arial" w:hAnsi="Arial"/>
                <w:sz w:val="16"/>
                <w:szCs w:val="16"/>
                <w:color w:val="auto"/>
              </w:rPr>
              <w:t>87.4</w:t>
            </w:r>
          </w:p>
        </w:tc>
        <w:tc>
          <w:tcPr>
            <w:tcW w:w="112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6"/>
                <w:szCs w:val="16"/>
                <w:color w:val="auto"/>
              </w:rPr>
              <w:t>11 %</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797.7</w:t>
            </w:r>
          </w:p>
        </w:tc>
        <w:tc>
          <w:tcPr>
            <w:tcW w:w="100" w:type="dxa"/>
            <w:vAlign w:val="bottom"/>
            <w:shd w:val="clear" w:color="auto" w:fill="CCEEFF"/>
          </w:tcPr>
          <w:p>
            <w:pPr>
              <w:spacing w:after="0"/>
              <w:rPr>
                <w:sz w:val="14"/>
                <w:szCs w:val="14"/>
                <w:color w:val="auto"/>
              </w:rPr>
            </w:pPr>
          </w:p>
        </w:tc>
        <w:tc>
          <w:tcPr>
            <w:tcW w:w="3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Increase is due to growth in EBA offerings,</w:t>
            </w: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AutoCAD LT, AEC &amp; MFG collections, and</w:t>
            </w: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AutoCAD Family.</w:t>
            </w:r>
          </w:p>
        </w:tc>
        <w:tc>
          <w:tcPr>
            <w:tcW w:w="0" w:type="dxa"/>
            <w:vAlign w:val="bottom"/>
          </w:tcPr>
          <w:p>
            <w:pPr>
              <w:spacing w:after="0"/>
              <w:rPr>
                <w:sz w:val="1"/>
                <w:szCs w:val="1"/>
                <w:color w:val="auto"/>
              </w:rPr>
            </w:pPr>
          </w:p>
        </w:tc>
      </w:tr>
      <w:tr>
        <w:trPr>
          <w:trHeight w:val="166"/>
        </w:trPr>
        <w:tc>
          <w:tcPr>
            <w:tcW w:w="2980" w:type="dxa"/>
            <w:vAlign w:val="bottom"/>
          </w:tcPr>
          <w:p>
            <w:pPr>
              <w:ind w:left="360"/>
              <w:spacing w:after="0" w:line="166" w:lineRule="exact"/>
              <w:rPr>
                <w:sz w:val="20"/>
                <w:szCs w:val="20"/>
                <w:color w:val="auto"/>
              </w:rPr>
            </w:pPr>
            <w:r>
              <w:rPr>
                <w:rFonts w:ascii="Arial" w:cs="Arial" w:eastAsia="Arial" w:hAnsi="Arial"/>
                <w:sz w:val="16"/>
                <w:szCs w:val="16"/>
                <w:color w:val="auto"/>
              </w:rPr>
              <w:t>Make</w:t>
            </w:r>
          </w:p>
        </w:tc>
        <w:tc>
          <w:tcPr>
            <w:tcW w:w="180" w:type="dxa"/>
            <w:vAlign w:val="bottom"/>
          </w:tcPr>
          <w:p>
            <w:pPr>
              <w:spacing w:after="0"/>
              <w:rPr>
                <w:sz w:val="14"/>
                <w:szCs w:val="14"/>
                <w:color w:val="auto"/>
              </w:rPr>
            </w:pPr>
          </w:p>
        </w:tc>
        <w:tc>
          <w:tcPr>
            <w:tcW w:w="1220" w:type="dxa"/>
            <w:vAlign w:val="bottom"/>
          </w:tcPr>
          <w:p>
            <w:pPr>
              <w:jc w:val="right"/>
              <w:spacing w:after="0" w:line="166" w:lineRule="exact"/>
              <w:rPr>
                <w:sz w:val="20"/>
                <w:szCs w:val="20"/>
                <w:color w:val="auto"/>
              </w:rPr>
            </w:pPr>
            <w:r>
              <w:rPr>
                <w:rFonts w:ascii="Arial" w:cs="Arial" w:eastAsia="Arial" w:hAnsi="Arial"/>
                <w:sz w:val="16"/>
                <w:szCs w:val="16"/>
                <w:color w:val="auto"/>
              </w:rPr>
              <w:t>81.5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ind w:right="3"/>
              <w:spacing w:after="0" w:line="166" w:lineRule="exact"/>
              <w:rPr>
                <w:sz w:val="20"/>
                <w:szCs w:val="20"/>
                <w:color w:val="auto"/>
              </w:rPr>
            </w:pPr>
            <w:r>
              <w:rPr>
                <w:rFonts w:ascii="Arial" w:cs="Arial" w:eastAsia="Arial" w:hAnsi="Arial"/>
                <w:sz w:val="16"/>
                <w:szCs w:val="16"/>
                <w:color w:val="auto"/>
              </w:rPr>
              <w:t>14.1</w:t>
            </w:r>
          </w:p>
        </w:tc>
        <w:tc>
          <w:tcPr>
            <w:tcW w:w="1120" w:type="dxa"/>
            <w:vAlign w:val="bottom"/>
            <w:gridSpan w:val="2"/>
          </w:tcPr>
          <w:p>
            <w:pPr>
              <w:jc w:val="right"/>
              <w:ind w:right="20"/>
              <w:spacing w:after="0" w:line="166" w:lineRule="exact"/>
              <w:rPr>
                <w:sz w:val="20"/>
                <w:szCs w:val="20"/>
                <w:color w:val="auto"/>
              </w:rPr>
            </w:pPr>
            <w:r>
              <w:rPr>
                <w:rFonts w:ascii="Arial" w:cs="Arial" w:eastAsia="Arial" w:hAnsi="Arial"/>
                <w:sz w:val="16"/>
                <w:szCs w:val="16"/>
                <w:color w:val="auto"/>
              </w:rPr>
              <w:t>21 %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line="166" w:lineRule="exact"/>
              <w:rPr>
                <w:sz w:val="20"/>
                <w:szCs w:val="20"/>
                <w:color w:val="auto"/>
              </w:rPr>
            </w:pPr>
            <w:r>
              <w:rPr>
                <w:rFonts w:ascii="Arial" w:cs="Arial" w:eastAsia="Arial" w:hAnsi="Arial"/>
                <w:sz w:val="16"/>
                <w:szCs w:val="16"/>
                <w:color w:val="auto"/>
              </w:rPr>
              <w:t>67.4</w:t>
            </w:r>
          </w:p>
        </w:tc>
        <w:tc>
          <w:tcPr>
            <w:tcW w:w="100" w:type="dxa"/>
            <w:vAlign w:val="bottom"/>
          </w:tcPr>
          <w:p>
            <w:pPr>
              <w:spacing w:after="0"/>
              <w:rPr>
                <w:sz w:val="14"/>
                <w:szCs w:val="14"/>
                <w:color w:val="auto"/>
              </w:rPr>
            </w:pPr>
          </w:p>
        </w:tc>
        <w:tc>
          <w:tcPr>
            <w:tcW w:w="3220" w:type="dxa"/>
            <w:vAlign w:val="bottom"/>
          </w:tcPr>
          <w:p>
            <w:pPr>
              <w:ind w:left="20"/>
              <w:spacing w:after="0" w:line="166" w:lineRule="exact"/>
              <w:rPr>
                <w:sz w:val="20"/>
                <w:szCs w:val="20"/>
                <w:color w:val="auto"/>
              </w:rPr>
            </w:pPr>
            <w:r>
              <w:rPr>
                <w:rFonts w:ascii="Arial" w:cs="Arial" w:eastAsia="Arial" w:hAnsi="Arial"/>
                <w:sz w:val="16"/>
                <w:szCs w:val="16"/>
                <w:color w:val="auto"/>
              </w:rPr>
              <w:t>Increase primarily due to growth in revenue</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tcPr>
          <w:p>
            <w:pPr>
              <w:ind w:left="20"/>
              <w:spacing w:after="0" w:line="162" w:lineRule="exact"/>
              <w:rPr>
                <w:sz w:val="20"/>
                <w:szCs w:val="20"/>
                <w:color w:val="auto"/>
              </w:rPr>
            </w:pPr>
            <w:r>
              <w:rPr>
                <w:rFonts w:ascii="Arial" w:cs="Arial" w:eastAsia="Arial" w:hAnsi="Arial"/>
                <w:sz w:val="16"/>
                <w:szCs w:val="16"/>
                <w:color w:val="auto"/>
              </w:rPr>
              <w:t>from BIM Family, Fusion, and Plangrid</w:t>
            </w: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Arial" w:cs="Arial" w:eastAsia="Arial" w:hAnsi="Arial"/>
                <w:sz w:val="16"/>
                <w:szCs w:val="16"/>
                <w:color w:val="auto"/>
              </w:rPr>
              <w:t>products.</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2.1</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80" w:type="dxa"/>
            <w:vAlign w:val="bottom"/>
          </w:tcPr>
          <w:p>
            <w:pPr>
              <w:ind w:left="20"/>
              <w:spacing w:after="0"/>
              <w:rPr>
                <w:sz w:val="20"/>
                <w:szCs w:val="20"/>
                <w:color w:val="auto"/>
              </w:rPr>
            </w:pPr>
            <w:r>
              <w:rPr>
                <w:rFonts w:ascii="Arial" w:cs="Arial" w:eastAsia="Arial" w:hAnsi="Arial"/>
                <w:sz w:val="16"/>
                <w:szCs w:val="16"/>
                <w:color w:val="auto"/>
              </w:rPr>
              <w:t>Total Net Revenue</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103.6</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885.7</w:t>
            </w: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6" w:name="page37"/>
    <w:bookmarkEnd w:id="36"/>
    <w:p>
      <w:pPr>
        <w:ind w:left="260"/>
        <w:spacing w:after="0"/>
        <w:rPr>
          <w:sz w:val="20"/>
          <w:szCs w:val="20"/>
          <w:color w:val="auto"/>
        </w:rPr>
      </w:pPr>
      <w:r>
        <w:rPr>
          <w:rFonts w:ascii="Arial" w:cs="Arial" w:eastAsia="Arial" w:hAnsi="Arial"/>
          <w:sz w:val="18"/>
          <w:szCs w:val="18"/>
          <w:i w:val="1"/>
          <w:iCs w:val="1"/>
          <w:color w:val="auto"/>
        </w:rPr>
        <w:t>Cost of Revenue and Operating Expenses</w:t>
      </w:r>
    </w:p>
    <w:p>
      <w:pPr>
        <w:spacing w:after="0" w:line="252"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Cost of subscription and maintenance revenue includes the labor costs of providing product support to our subscription and maintenance customers, SaaS vendor costs and allocated IT costs, facilities costs, professional services fees related to operating our network and cloud infrastructure, royalties, depreciation expense and operating lease payments associated with computer equipment, data center costs, salaries, related expenses of network operations, stock-based compensation expense, and gains and losses on our operating expense cash flow hedges.</w:t>
      </w:r>
    </w:p>
    <w:p>
      <w:pPr>
        <w:spacing w:after="0" w:line="198" w:lineRule="exact"/>
        <w:rPr>
          <w:sz w:val="20"/>
          <w:szCs w:val="20"/>
          <w:color w:val="auto"/>
        </w:rPr>
      </w:pPr>
    </w:p>
    <w:p>
      <w:pPr>
        <w:jc w:val="both"/>
        <w:ind w:right="40" w:firstLine="445"/>
        <w:spacing w:after="0" w:line="263" w:lineRule="auto"/>
        <w:rPr>
          <w:sz w:val="20"/>
          <w:szCs w:val="20"/>
          <w:color w:val="auto"/>
        </w:rPr>
      </w:pPr>
      <w:r>
        <w:rPr>
          <w:rFonts w:ascii="Arial" w:cs="Arial" w:eastAsia="Arial" w:hAnsi="Arial"/>
          <w:sz w:val="18"/>
          <w:szCs w:val="18"/>
          <w:color w:val="auto"/>
        </w:rPr>
        <w:t>Cost of other revenue includes labor costs associated with product setup, costs of consulting and training services contracts, and collaborative project management services contracts. Cost of other revenue also includes stock-based compensation expense, overhead charges, allocated IT and facilities costs, professional services fees, and gains and losses on our operating expense cash flow hedges.</w:t>
      </w:r>
    </w:p>
    <w:p>
      <w:pPr>
        <w:spacing w:after="0" w:line="211" w:lineRule="exact"/>
        <w:rPr>
          <w:sz w:val="20"/>
          <w:szCs w:val="20"/>
          <w:color w:val="auto"/>
        </w:rPr>
      </w:pPr>
    </w:p>
    <w:p>
      <w:pPr>
        <w:ind w:right="100" w:firstLine="445"/>
        <w:spacing w:after="0" w:line="286" w:lineRule="auto"/>
        <w:rPr>
          <w:sz w:val="20"/>
          <w:szCs w:val="20"/>
          <w:color w:val="auto"/>
        </w:rPr>
      </w:pPr>
      <w:r>
        <w:rPr>
          <w:rFonts w:ascii="Arial" w:cs="Arial" w:eastAsia="Arial" w:hAnsi="Arial"/>
          <w:sz w:val="17"/>
          <w:szCs w:val="17"/>
          <w:color w:val="auto"/>
        </w:rPr>
        <w:t>Cost of revenue, at least over the near term, is affected by labor costs, hosting costs for our cloud offerings, the volume and mix of product sales, fluctuations in consulting costs, amortization of developed technology, new customer support offerings, royalty rates for licensed technology embedded in our products, stock-based compensation expense, and gains and losses on our operating expense cash flow hedges.</w:t>
      </w:r>
    </w:p>
    <w:p>
      <w:pPr>
        <w:spacing w:after="0" w:line="192" w:lineRule="exact"/>
        <w:rPr>
          <w:sz w:val="20"/>
          <w:szCs w:val="20"/>
          <w:color w:val="auto"/>
        </w:rPr>
      </w:pPr>
    </w:p>
    <w:p>
      <w:pPr>
        <w:ind w:right="80" w:firstLine="445"/>
        <w:spacing w:after="0" w:line="275" w:lineRule="auto"/>
        <w:rPr>
          <w:sz w:val="20"/>
          <w:szCs w:val="20"/>
          <w:color w:val="auto"/>
        </w:rPr>
      </w:pPr>
      <w:r>
        <w:rPr>
          <w:rFonts w:ascii="Arial" w:cs="Arial" w:eastAsia="Arial" w:hAnsi="Arial"/>
          <w:sz w:val="17"/>
          <w:szCs w:val="17"/>
          <w:color w:val="auto"/>
        </w:rPr>
        <w:t>Marketing and sales expenses include salaries, bonuses, benefits, and stock-based compensation expense for our marketing and sales employees, the expense of travel, entertainment, and training for such personnel, sales and dealer commissions, and the costs of programs aimed at increasing revenue, such as advertising, trade shows and expositions, and various sales and promotional programs. Marketing and sales expenses also include SaaS vendor costs and allocated IT costs, payment processing fees, the cost of supplies and equipment, gains and losses on our operating expense cash flow hedges, facilities costs, and labor costs associated with sales and order management.</w:t>
      </w:r>
    </w:p>
    <w:p>
      <w:pPr>
        <w:spacing w:after="0" w:line="203" w:lineRule="exact"/>
        <w:rPr>
          <w:sz w:val="20"/>
          <w:szCs w:val="20"/>
          <w:color w:val="auto"/>
        </w:rPr>
      </w:pPr>
    </w:p>
    <w:p>
      <w:pPr>
        <w:jc w:val="both"/>
        <w:ind w:right="80" w:firstLine="445"/>
        <w:spacing w:after="0" w:line="259"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the expense of travel, entertainment, and training for such personnel, professional services such as fees paid to software development firms and independent contractors, SaaS vendor costs and allocated IT costs, gains and losses on our operating expense cash flow hedges, and facilities costs.</w:t>
      </w:r>
    </w:p>
    <w:p>
      <w:pPr>
        <w:spacing w:after="0" w:line="214"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General and administrative expenses include salaries, bonuses, benefits, and stock-based compensation expense for our CEO, finance, human resources, and legal employees, as well as professional fees for legal and accounting services, SaaS vendor costs and net IT costs, certain foreign business taxes, gains and losses on our operating expense cash flow hedges, expense of travel, entertainment, and training, facilities costs, acquisition-related costs, and the cost of supplies and equipment.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Three</w:t>
            </w:r>
          </w:p>
        </w:tc>
        <w:tc>
          <w:tcPr>
            <w:tcW w:w="140" w:type="dxa"/>
            <w:vAlign w:val="bottom"/>
          </w:tcPr>
          <w:p>
            <w:pPr>
              <w:spacing w:after="0"/>
              <w:rPr>
                <w:sz w:val="14"/>
                <w:szCs w:val="14"/>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Change compared to</w:t>
            </w:r>
          </w:p>
        </w:tc>
        <w:tc>
          <w:tcPr>
            <w:tcW w:w="120" w:type="dxa"/>
            <w:vAlign w:val="bottom"/>
          </w:tcPr>
          <w:p>
            <w:pPr>
              <w:spacing w:after="0"/>
              <w:rPr>
                <w:sz w:val="14"/>
                <w:szCs w:val="14"/>
                <w:color w:val="auto"/>
              </w:rPr>
            </w:pPr>
          </w:p>
        </w:tc>
        <w:tc>
          <w:tcPr>
            <w:tcW w:w="74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Three</w:t>
            </w:r>
          </w:p>
        </w:tc>
        <w:tc>
          <w:tcPr>
            <w:tcW w:w="1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Months</w:t>
            </w:r>
          </w:p>
        </w:tc>
        <w:tc>
          <w:tcPr>
            <w:tcW w:w="140" w:type="dxa"/>
            <w:vAlign w:val="bottom"/>
          </w:tcPr>
          <w:p>
            <w:pPr>
              <w:spacing w:after="0"/>
              <w:rPr>
                <w:sz w:val="11"/>
                <w:szCs w:val="11"/>
                <w:color w:val="auto"/>
              </w:rPr>
            </w:pPr>
          </w:p>
        </w:tc>
        <w:tc>
          <w:tcPr>
            <w:tcW w:w="164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w w:val="96"/>
              </w:rPr>
              <w:t>Months</w:t>
            </w:r>
          </w:p>
        </w:tc>
        <w:tc>
          <w:tcPr>
            <w:tcW w:w="10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8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April 30, 2021</w:t>
            </w:r>
          </w:p>
        </w:tc>
        <w:tc>
          <w:tcPr>
            <w:tcW w:w="140" w:type="dxa"/>
            <w:vAlign w:val="bottom"/>
          </w:tcPr>
          <w:p>
            <w:pPr>
              <w:spacing w:after="0"/>
              <w:rPr>
                <w:sz w:val="14"/>
                <w:szCs w:val="14"/>
                <w:color w:val="auto"/>
              </w:rPr>
            </w:pPr>
          </w:p>
        </w:tc>
        <w:tc>
          <w:tcPr>
            <w:tcW w:w="64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42"/>
              <w:spacing w:after="0"/>
              <w:rPr>
                <w:sz w:val="20"/>
                <w:szCs w:val="20"/>
                <w:color w:val="auto"/>
              </w:rPr>
            </w:pPr>
            <w:r>
              <w:rPr>
                <w:rFonts w:ascii="Arial" w:cs="Arial" w:eastAsia="Arial" w:hAnsi="Arial"/>
                <w:sz w:val="14"/>
                <w:szCs w:val="14"/>
                <w:b w:val="1"/>
                <w:bCs w:val="1"/>
                <w:color w:val="auto"/>
                <w:w w:val="97"/>
              </w:rPr>
              <w:t>April 30,</w:t>
            </w:r>
          </w:p>
        </w:tc>
        <w:tc>
          <w:tcPr>
            <w:tcW w:w="100" w:type="dxa"/>
            <w:vAlign w:val="bottom"/>
          </w:tcPr>
          <w:p>
            <w:pPr>
              <w:spacing w:after="0"/>
              <w:rPr>
                <w:sz w:val="14"/>
                <w:szCs w:val="14"/>
                <w:color w:val="auto"/>
              </w:rPr>
            </w:pPr>
          </w:p>
        </w:tc>
        <w:tc>
          <w:tcPr>
            <w:tcW w:w="462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88"/>
        </w:trPr>
        <w:tc>
          <w:tcPr>
            <w:tcW w:w="2860" w:type="dxa"/>
            <w:vAlign w:val="bottom"/>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4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360"/>
              <w:spacing w:after="0" w:line="166" w:lineRule="exact"/>
              <w:rPr>
                <w:sz w:val="20"/>
                <w:szCs w:val="20"/>
                <w:color w:val="auto"/>
              </w:rPr>
            </w:pPr>
            <w:r>
              <w:rPr>
                <w:rFonts w:ascii="Arial" w:cs="Arial" w:eastAsia="Arial" w:hAnsi="Arial"/>
                <w:sz w:val="16"/>
                <w:szCs w:val="16"/>
                <w:color w:val="auto"/>
              </w:rPr>
              <w:t>Subscription and maintenance</w:t>
            </w:r>
          </w:p>
        </w:tc>
        <w:tc>
          <w:tcPr>
            <w:tcW w:w="160" w:type="dxa"/>
            <w:vAlign w:val="bottom"/>
          </w:tcPr>
          <w:p>
            <w:pPr>
              <w:ind w:left="20"/>
              <w:spacing w:after="0" w:line="166"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line="166" w:lineRule="exact"/>
              <w:rPr>
                <w:sz w:val="20"/>
                <w:szCs w:val="20"/>
                <w:color w:val="auto"/>
              </w:rPr>
            </w:pPr>
            <w:r>
              <w:rPr>
                <w:rFonts w:ascii="Arial" w:cs="Arial" w:eastAsia="Arial" w:hAnsi="Arial"/>
                <w:sz w:val="16"/>
                <w:szCs w:val="16"/>
                <w:color w:val="auto"/>
              </w:rPr>
              <w:t>68.5</w:t>
            </w:r>
          </w:p>
        </w:tc>
        <w:tc>
          <w:tcPr>
            <w:tcW w:w="100" w:type="dxa"/>
            <w:vAlign w:val="bottom"/>
          </w:tcPr>
          <w:p>
            <w:pPr>
              <w:spacing w:after="0"/>
              <w:rPr>
                <w:sz w:val="14"/>
                <w:szCs w:val="14"/>
                <w:color w:val="auto"/>
              </w:rPr>
            </w:pPr>
          </w:p>
        </w:tc>
        <w:tc>
          <w:tcPr>
            <w:tcW w:w="140" w:type="dxa"/>
            <w:vAlign w:val="bottom"/>
          </w:tcPr>
          <w:p>
            <w:pPr>
              <w:jc w:val="right"/>
              <w:spacing w:after="0" w:line="166" w:lineRule="exact"/>
              <w:rPr>
                <w:sz w:val="20"/>
                <w:szCs w:val="20"/>
                <w:color w:val="auto"/>
              </w:rPr>
            </w:pPr>
            <w:r>
              <w:rPr>
                <w:rFonts w:ascii="Arial" w:cs="Arial" w:eastAsia="Arial" w:hAnsi="Arial"/>
                <w:sz w:val="16"/>
                <w:szCs w:val="16"/>
                <w:color w:val="auto"/>
                <w:w w:val="89"/>
              </w:rPr>
              <w:t>$</w:t>
            </w:r>
          </w:p>
        </w:tc>
        <w:tc>
          <w:tcPr>
            <w:tcW w:w="640" w:type="dxa"/>
            <w:vAlign w:val="bottom"/>
          </w:tcPr>
          <w:p>
            <w:pPr>
              <w:jc w:val="right"/>
              <w:ind w:right="1"/>
              <w:spacing w:after="0" w:line="166" w:lineRule="exact"/>
              <w:rPr>
                <w:sz w:val="20"/>
                <w:szCs w:val="20"/>
                <w:color w:val="auto"/>
              </w:rPr>
            </w:pPr>
            <w:r>
              <w:rPr>
                <w:rFonts w:ascii="Arial" w:cs="Arial" w:eastAsia="Arial" w:hAnsi="Arial"/>
                <w:sz w:val="16"/>
                <w:szCs w:val="16"/>
                <w:color w:val="auto"/>
              </w:rPr>
              <w:t>11.1</w:t>
            </w:r>
          </w:p>
        </w:tc>
        <w:tc>
          <w:tcPr>
            <w:tcW w:w="880" w:type="dxa"/>
            <w:vAlign w:val="bottom"/>
            <w:gridSpan w:val="2"/>
          </w:tcPr>
          <w:p>
            <w:pPr>
              <w:jc w:val="right"/>
              <w:ind w:right="20"/>
              <w:spacing w:after="0" w:line="166" w:lineRule="exact"/>
              <w:rPr>
                <w:sz w:val="20"/>
                <w:szCs w:val="20"/>
                <w:color w:val="auto"/>
              </w:rPr>
            </w:pPr>
            <w:r>
              <w:rPr>
                <w:rFonts w:ascii="Arial" w:cs="Arial" w:eastAsia="Arial" w:hAnsi="Arial"/>
                <w:sz w:val="16"/>
                <w:szCs w:val="16"/>
                <w:color w:val="auto"/>
              </w:rPr>
              <w:t>19 %</w:t>
            </w:r>
          </w:p>
        </w:tc>
        <w:tc>
          <w:tcPr>
            <w:tcW w:w="120" w:type="dxa"/>
            <w:vAlign w:val="bottom"/>
          </w:tcPr>
          <w:p>
            <w:pPr>
              <w:spacing w:after="0"/>
              <w:rPr>
                <w:sz w:val="14"/>
                <w:szCs w:val="14"/>
                <w:color w:val="auto"/>
              </w:rPr>
            </w:pPr>
          </w:p>
        </w:tc>
        <w:tc>
          <w:tcPr>
            <w:tcW w:w="120" w:type="dxa"/>
            <w:vAlign w:val="bottom"/>
          </w:tcPr>
          <w:p>
            <w:pPr>
              <w:jc w:val="right"/>
              <w:spacing w:after="0" w:line="166" w:lineRule="exact"/>
              <w:rPr>
                <w:sz w:val="20"/>
                <w:szCs w:val="20"/>
                <w:color w:val="auto"/>
              </w:rPr>
            </w:pPr>
            <w:r>
              <w:rPr>
                <w:rFonts w:ascii="Arial" w:cs="Arial" w:eastAsia="Arial" w:hAnsi="Arial"/>
                <w:sz w:val="16"/>
                <w:szCs w:val="16"/>
                <w:color w:val="auto"/>
                <w:w w:val="89"/>
              </w:rPr>
              <w:t>$</w:t>
            </w:r>
          </w:p>
        </w:tc>
        <w:tc>
          <w:tcPr>
            <w:tcW w:w="740" w:type="dxa"/>
            <w:vAlign w:val="bottom"/>
          </w:tcPr>
          <w:p>
            <w:pPr>
              <w:jc w:val="right"/>
              <w:ind w:right="2"/>
              <w:spacing w:after="0" w:line="166" w:lineRule="exact"/>
              <w:rPr>
                <w:sz w:val="20"/>
                <w:szCs w:val="20"/>
                <w:color w:val="auto"/>
              </w:rPr>
            </w:pPr>
            <w:r>
              <w:rPr>
                <w:rFonts w:ascii="Arial" w:cs="Arial" w:eastAsia="Arial" w:hAnsi="Arial"/>
                <w:sz w:val="16"/>
                <w:szCs w:val="16"/>
                <w:color w:val="auto"/>
              </w:rPr>
              <w:t>57.4</w:t>
            </w:r>
          </w:p>
        </w:tc>
        <w:tc>
          <w:tcPr>
            <w:tcW w:w="100" w:type="dxa"/>
            <w:vAlign w:val="bottom"/>
          </w:tcPr>
          <w:p>
            <w:pPr>
              <w:spacing w:after="0"/>
              <w:rPr>
                <w:sz w:val="14"/>
                <w:szCs w:val="14"/>
                <w:color w:val="auto"/>
              </w:rPr>
            </w:pPr>
          </w:p>
        </w:tc>
        <w:tc>
          <w:tcPr>
            <w:tcW w:w="4620" w:type="dxa"/>
            <w:vAlign w:val="bottom"/>
          </w:tcPr>
          <w:p>
            <w:pPr>
              <w:ind w:left="20"/>
              <w:spacing w:after="0" w:line="166" w:lineRule="exact"/>
              <w:rPr>
                <w:sz w:val="20"/>
                <w:szCs w:val="20"/>
                <w:color w:val="auto"/>
              </w:rPr>
            </w:pPr>
            <w:r>
              <w:rPr>
                <w:rFonts w:ascii="Arial" w:cs="Arial" w:eastAsia="Arial" w:hAnsi="Arial"/>
                <w:sz w:val="16"/>
                <w:szCs w:val="16"/>
                <w:color w:val="auto"/>
                <w:w w:val="92"/>
              </w:rPr>
              <w:t>Increase primarily due to an increase in cloud hosting costs as well as</w:t>
            </w: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6"/>
                <w:szCs w:val="16"/>
                <w:color w:val="auto"/>
                <w:w w:val="97"/>
              </w:rPr>
              <w:t>an increase in employee-related costs driven by higher headcount.</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Decrease primarily due to a decrease in employee-related costs.</w:t>
            </w:r>
          </w:p>
        </w:tc>
        <w:tc>
          <w:tcPr>
            <w:tcW w:w="0" w:type="dxa"/>
            <w:vAlign w:val="bottom"/>
          </w:tcPr>
          <w:p>
            <w:pPr>
              <w:spacing w:after="0"/>
              <w:rPr>
                <w:sz w:val="1"/>
                <w:szCs w:val="1"/>
                <w:color w:val="auto"/>
              </w:rPr>
            </w:pPr>
          </w:p>
        </w:tc>
      </w:tr>
      <w:tr>
        <w:trPr>
          <w:trHeight w:val="166"/>
        </w:trPr>
        <w:tc>
          <w:tcPr>
            <w:tcW w:w="2860" w:type="dxa"/>
            <w:vAlign w:val="bottom"/>
          </w:tcPr>
          <w:p>
            <w:pPr>
              <w:ind w:left="360"/>
              <w:spacing w:after="0" w:line="166" w:lineRule="exact"/>
              <w:rPr>
                <w:sz w:val="20"/>
                <w:szCs w:val="20"/>
                <w:color w:val="auto"/>
              </w:rPr>
            </w:pPr>
            <w:r>
              <w:rPr>
                <w:rFonts w:ascii="Arial" w:cs="Arial" w:eastAsia="Arial" w:hAnsi="Arial"/>
                <w:sz w:val="16"/>
                <w:szCs w:val="16"/>
                <w:color w:val="auto"/>
              </w:rPr>
              <w:t>Amortization of developed</w:t>
            </w:r>
          </w:p>
        </w:tc>
        <w:tc>
          <w:tcPr>
            <w:tcW w:w="160" w:type="dxa"/>
            <w:vAlign w:val="bottom"/>
          </w:tcPr>
          <w:p>
            <w:pPr>
              <w:spacing w:after="0"/>
              <w:rPr>
                <w:sz w:val="14"/>
                <w:szCs w:val="14"/>
                <w:color w:val="auto"/>
              </w:rPr>
            </w:pPr>
          </w:p>
        </w:tc>
        <w:tc>
          <w:tcPr>
            <w:tcW w:w="760" w:type="dxa"/>
            <w:vAlign w:val="bottom"/>
          </w:tcPr>
          <w:p>
            <w:pPr>
              <w:jc w:val="right"/>
              <w:ind w:right="1"/>
              <w:spacing w:after="0" w:line="166" w:lineRule="exact"/>
              <w:rPr>
                <w:sz w:val="20"/>
                <w:szCs w:val="20"/>
                <w:color w:val="auto"/>
              </w:rPr>
            </w:pPr>
            <w:r>
              <w:rPr>
                <w:rFonts w:ascii="Arial" w:cs="Arial" w:eastAsia="Arial" w:hAnsi="Arial"/>
                <w:sz w:val="16"/>
                <w:szCs w:val="16"/>
                <w:color w:val="auto"/>
              </w:rPr>
              <w:t>10.2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
              <w:spacing w:after="0" w:line="166" w:lineRule="exact"/>
              <w:rPr>
                <w:sz w:val="20"/>
                <w:szCs w:val="20"/>
                <w:color w:val="auto"/>
              </w:rPr>
            </w:pPr>
            <w:r>
              <w:rPr>
                <w:rFonts w:ascii="Arial" w:cs="Arial" w:eastAsia="Arial" w:hAnsi="Arial"/>
                <w:sz w:val="16"/>
                <w:szCs w:val="16"/>
                <w:color w:val="auto"/>
              </w:rPr>
              <w:t>2.8</w:t>
            </w:r>
          </w:p>
        </w:tc>
        <w:tc>
          <w:tcPr>
            <w:tcW w:w="880" w:type="dxa"/>
            <w:vAlign w:val="bottom"/>
            <w:gridSpan w:val="2"/>
          </w:tcPr>
          <w:p>
            <w:pPr>
              <w:jc w:val="right"/>
              <w:ind w:right="20"/>
              <w:spacing w:after="0" w:line="166" w:lineRule="exact"/>
              <w:rPr>
                <w:sz w:val="20"/>
                <w:szCs w:val="20"/>
                <w:color w:val="auto"/>
              </w:rPr>
            </w:pPr>
            <w:r>
              <w:rPr>
                <w:rFonts w:ascii="Arial" w:cs="Arial" w:eastAsia="Arial" w:hAnsi="Arial"/>
                <w:sz w:val="16"/>
                <w:szCs w:val="16"/>
                <w:color w:val="auto"/>
              </w:rPr>
              <w:t>38 %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
              <w:spacing w:after="0" w:line="166" w:lineRule="exact"/>
              <w:rPr>
                <w:sz w:val="20"/>
                <w:szCs w:val="20"/>
                <w:color w:val="auto"/>
              </w:rPr>
            </w:pPr>
            <w:r>
              <w:rPr>
                <w:rFonts w:ascii="Arial" w:cs="Arial" w:eastAsia="Arial" w:hAnsi="Arial"/>
                <w:sz w:val="16"/>
                <w:szCs w:val="16"/>
                <w:color w:val="auto"/>
              </w:rPr>
              <w:t>7.4</w:t>
            </w:r>
          </w:p>
        </w:tc>
        <w:tc>
          <w:tcPr>
            <w:tcW w:w="100" w:type="dxa"/>
            <w:vAlign w:val="bottom"/>
          </w:tcPr>
          <w:p>
            <w:pPr>
              <w:spacing w:after="0"/>
              <w:rPr>
                <w:sz w:val="14"/>
                <w:szCs w:val="14"/>
                <w:color w:val="auto"/>
              </w:rPr>
            </w:pPr>
          </w:p>
        </w:tc>
        <w:tc>
          <w:tcPr>
            <w:tcW w:w="4620" w:type="dxa"/>
            <w:vAlign w:val="bottom"/>
          </w:tcPr>
          <w:p>
            <w:pPr>
              <w:ind w:left="20"/>
              <w:spacing w:after="0" w:line="166" w:lineRule="exact"/>
              <w:rPr>
                <w:sz w:val="20"/>
                <w:szCs w:val="20"/>
                <w:color w:val="auto"/>
              </w:rPr>
            </w:pPr>
            <w:r>
              <w:rPr>
                <w:rFonts w:ascii="Arial" w:cs="Arial" w:eastAsia="Arial" w:hAnsi="Arial"/>
                <w:sz w:val="16"/>
                <w:szCs w:val="16"/>
                <w:color w:val="auto"/>
              </w:rPr>
              <w:t>Increase due to growth in amortization expense from acquired</w:t>
            </w:r>
          </w:p>
        </w:tc>
        <w:tc>
          <w:tcPr>
            <w:tcW w:w="0" w:type="dxa"/>
            <w:vAlign w:val="bottom"/>
          </w:tcPr>
          <w:p>
            <w:pPr>
              <w:spacing w:after="0"/>
              <w:rPr>
                <w:sz w:val="1"/>
                <w:szCs w:val="1"/>
                <w:color w:val="auto"/>
              </w:rPr>
            </w:pPr>
          </w:p>
        </w:tc>
      </w:tr>
      <w:tr>
        <w:trPr>
          <w:trHeight w:val="162"/>
        </w:trPr>
        <w:tc>
          <w:tcPr>
            <w:tcW w:w="2860" w:type="dxa"/>
            <w:vAlign w:val="bottom"/>
          </w:tcPr>
          <w:p>
            <w:pPr>
              <w:ind w:left="520"/>
              <w:spacing w:after="0" w:line="162" w:lineRule="exact"/>
              <w:rPr>
                <w:sz w:val="20"/>
                <w:szCs w:val="20"/>
                <w:color w:val="auto"/>
              </w:rPr>
            </w:pPr>
            <w:r>
              <w:rPr>
                <w:rFonts w:ascii="Arial" w:cs="Arial" w:eastAsia="Arial" w:hAnsi="Arial"/>
                <w:sz w:val="16"/>
                <w:szCs w:val="16"/>
                <w:color w:val="auto"/>
              </w:rPr>
              <w:t>technologies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20" w:type="dxa"/>
            <w:vAlign w:val="bottom"/>
          </w:tcPr>
          <w:p>
            <w:pPr>
              <w:ind w:left="20"/>
              <w:spacing w:after="0" w:line="162" w:lineRule="exact"/>
              <w:rPr>
                <w:sz w:val="20"/>
                <w:szCs w:val="20"/>
                <w:color w:val="auto"/>
              </w:rPr>
            </w:pPr>
            <w:r>
              <w:rPr>
                <w:rFonts w:ascii="Arial" w:cs="Arial" w:eastAsia="Arial" w:hAnsi="Arial"/>
                <w:sz w:val="16"/>
                <w:szCs w:val="16"/>
                <w:color w:val="auto"/>
                <w:w w:val="97"/>
              </w:rPr>
              <w:t>developed technologies as a result of our acquisitions in the fourth</w:t>
            </w:r>
          </w:p>
        </w:tc>
        <w:tc>
          <w:tcPr>
            <w:tcW w:w="0" w:type="dxa"/>
            <w:vAlign w:val="bottom"/>
          </w:tcPr>
          <w:p>
            <w:pPr>
              <w:spacing w:after="0"/>
              <w:rPr>
                <w:sz w:val="1"/>
                <w:szCs w:val="1"/>
                <w:color w:val="auto"/>
              </w:rPr>
            </w:pPr>
          </w:p>
        </w:tc>
      </w:tr>
      <w:tr>
        <w:trPr>
          <w:trHeight w:val="209"/>
        </w:trPr>
        <w:tc>
          <w:tcPr>
            <w:tcW w:w="28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quarter of FY21 and in the current period.</w:t>
            </w:r>
          </w:p>
        </w:tc>
        <w:tc>
          <w:tcPr>
            <w:tcW w:w="0" w:type="dxa"/>
            <w:vAlign w:val="bottom"/>
          </w:tcPr>
          <w:p>
            <w:pPr>
              <w:spacing w:after="0"/>
              <w:rPr>
                <w:sz w:val="1"/>
                <w:szCs w:val="1"/>
                <w:color w:val="auto"/>
              </w:rPr>
            </w:pPr>
          </w:p>
        </w:tc>
      </w:tr>
      <w:tr>
        <w:trPr>
          <w:trHeight w:val="238"/>
        </w:trPr>
        <w:tc>
          <w:tcPr>
            <w:tcW w:w="28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cost of revenue</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10.9</w:t>
            </w: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81.9</w:t>
            </w:r>
          </w:p>
        </w:tc>
        <w:tc>
          <w:tcPr>
            <w:tcW w:w="10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360"/>
              <w:spacing w:after="0" w:line="166" w:lineRule="exact"/>
              <w:rPr>
                <w:sz w:val="20"/>
                <w:szCs w:val="20"/>
                <w:color w:val="auto"/>
              </w:rPr>
            </w:pPr>
            <w:r>
              <w:rPr>
                <w:rFonts w:ascii="Arial" w:cs="Arial" w:eastAsia="Arial" w:hAnsi="Arial"/>
                <w:sz w:val="16"/>
                <w:szCs w:val="16"/>
                <w:color w:val="auto"/>
              </w:rPr>
              <w:t>Marketing and sales</w:t>
            </w:r>
          </w:p>
        </w:tc>
        <w:tc>
          <w:tcPr>
            <w:tcW w:w="160" w:type="dxa"/>
            <w:vAlign w:val="bottom"/>
          </w:tcPr>
          <w:p>
            <w:pPr>
              <w:ind w:left="20"/>
              <w:spacing w:after="0" w:line="166"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line="166" w:lineRule="exact"/>
              <w:rPr>
                <w:sz w:val="20"/>
                <w:szCs w:val="20"/>
                <w:color w:val="auto"/>
              </w:rPr>
            </w:pPr>
            <w:r>
              <w:rPr>
                <w:rFonts w:ascii="Arial" w:cs="Arial" w:eastAsia="Arial" w:hAnsi="Arial"/>
                <w:sz w:val="16"/>
                <w:szCs w:val="16"/>
                <w:color w:val="auto"/>
              </w:rPr>
              <w:t>377.1</w:t>
            </w:r>
          </w:p>
        </w:tc>
        <w:tc>
          <w:tcPr>
            <w:tcW w:w="100" w:type="dxa"/>
            <w:vAlign w:val="bottom"/>
          </w:tcPr>
          <w:p>
            <w:pPr>
              <w:spacing w:after="0"/>
              <w:rPr>
                <w:sz w:val="14"/>
                <w:szCs w:val="14"/>
                <w:color w:val="auto"/>
              </w:rPr>
            </w:pPr>
          </w:p>
        </w:tc>
        <w:tc>
          <w:tcPr>
            <w:tcW w:w="140" w:type="dxa"/>
            <w:vAlign w:val="bottom"/>
          </w:tcPr>
          <w:p>
            <w:pPr>
              <w:jc w:val="right"/>
              <w:spacing w:after="0" w:line="166" w:lineRule="exact"/>
              <w:rPr>
                <w:sz w:val="20"/>
                <w:szCs w:val="20"/>
                <w:color w:val="auto"/>
              </w:rPr>
            </w:pPr>
            <w:r>
              <w:rPr>
                <w:rFonts w:ascii="Arial" w:cs="Arial" w:eastAsia="Arial" w:hAnsi="Arial"/>
                <w:sz w:val="16"/>
                <w:szCs w:val="16"/>
                <w:color w:val="auto"/>
                <w:w w:val="89"/>
              </w:rPr>
              <w:t>$</w:t>
            </w:r>
          </w:p>
        </w:tc>
        <w:tc>
          <w:tcPr>
            <w:tcW w:w="640" w:type="dxa"/>
            <w:vAlign w:val="bottom"/>
          </w:tcPr>
          <w:p>
            <w:pPr>
              <w:jc w:val="right"/>
              <w:ind w:right="1"/>
              <w:spacing w:after="0" w:line="166" w:lineRule="exact"/>
              <w:rPr>
                <w:sz w:val="20"/>
                <w:szCs w:val="20"/>
                <w:color w:val="auto"/>
              </w:rPr>
            </w:pPr>
            <w:r>
              <w:rPr>
                <w:rFonts w:ascii="Arial" w:cs="Arial" w:eastAsia="Arial" w:hAnsi="Arial"/>
                <w:sz w:val="16"/>
                <w:szCs w:val="16"/>
                <w:color w:val="auto"/>
              </w:rPr>
              <w:t>35.8</w:t>
            </w:r>
          </w:p>
        </w:tc>
        <w:tc>
          <w:tcPr>
            <w:tcW w:w="880" w:type="dxa"/>
            <w:vAlign w:val="bottom"/>
            <w:gridSpan w:val="2"/>
          </w:tcPr>
          <w:p>
            <w:pPr>
              <w:jc w:val="right"/>
              <w:ind w:right="20"/>
              <w:spacing w:after="0" w:line="166" w:lineRule="exact"/>
              <w:rPr>
                <w:sz w:val="20"/>
                <w:szCs w:val="20"/>
                <w:color w:val="auto"/>
              </w:rPr>
            </w:pPr>
            <w:r>
              <w:rPr>
                <w:rFonts w:ascii="Arial" w:cs="Arial" w:eastAsia="Arial" w:hAnsi="Arial"/>
                <w:sz w:val="16"/>
                <w:szCs w:val="16"/>
                <w:color w:val="auto"/>
              </w:rPr>
              <w:t>10 %</w:t>
            </w:r>
          </w:p>
        </w:tc>
        <w:tc>
          <w:tcPr>
            <w:tcW w:w="120" w:type="dxa"/>
            <w:vAlign w:val="bottom"/>
          </w:tcPr>
          <w:p>
            <w:pPr>
              <w:spacing w:after="0"/>
              <w:rPr>
                <w:sz w:val="14"/>
                <w:szCs w:val="14"/>
                <w:color w:val="auto"/>
              </w:rPr>
            </w:pPr>
          </w:p>
        </w:tc>
        <w:tc>
          <w:tcPr>
            <w:tcW w:w="120" w:type="dxa"/>
            <w:vAlign w:val="bottom"/>
          </w:tcPr>
          <w:p>
            <w:pPr>
              <w:jc w:val="right"/>
              <w:spacing w:after="0" w:line="166" w:lineRule="exact"/>
              <w:rPr>
                <w:sz w:val="20"/>
                <w:szCs w:val="20"/>
                <w:color w:val="auto"/>
              </w:rPr>
            </w:pPr>
            <w:r>
              <w:rPr>
                <w:rFonts w:ascii="Arial" w:cs="Arial" w:eastAsia="Arial" w:hAnsi="Arial"/>
                <w:sz w:val="16"/>
                <w:szCs w:val="16"/>
                <w:color w:val="auto"/>
                <w:w w:val="89"/>
              </w:rPr>
              <w:t>$</w:t>
            </w:r>
          </w:p>
        </w:tc>
        <w:tc>
          <w:tcPr>
            <w:tcW w:w="740" w:type="dxa"/>
            <w:vAlign w:val="bottom"/>
          </w:tcPr>
          <w:p>
            <w:pPr>
              <w:jc w:val="right"/>
              <w:ind w:right="2"/>
              <w:spacing w:after="0" w:line="166" w:lineRule="exact"/>
              <w:rPr>
                <w:sz w:val="20"/>
                <w:szCs w:val="20"/>
                <w:color w:val="auto"/>
              </w:rPr>
            </w:pPr>
            <w:r>
              <w:rPr>
                <w:rFonts w:ascii="Arial" w:cs="Arial" w:eastAsia="Arial" w:hAnsi="Arial"/>
                <w:sz w:val="16"/>
                <w:szCs w:val="16"/>
                <w:color w:val="auto"/>
              </w:rPr>
              <w:t>341.3</w:t>
            </w:r>
          </w:p>
        </w:tc>
        <w:tc>
          <w:tcPr>
            <w:tcW w:w="100" w:type="dxa"/>
            <w:vAlign w:val="bottom"/>
          </w:tcPr>
          <w:p>
            <w:pPr>
              <w:spacing w:after="0"/>
              <w:rPr>
                <w:sz w:val="14"/>
                <w:szCs w:val="14"/>
                <w:color w:val="auto"/>
              </w:rPr>
            </w:pPr>
          </w:p>
        </w:tc>
        <w:tc>
          <w:tcPr>
            <w:tcW w:w="4620" w:type="dxa"/>
            <w:vAlign w:val="bottom"/>
          </w:tcPr>
          <w:p>
            <w:pPr>
              <w:ind w:left="20"/>
              <w:spacing w:after="0" w:line="166" w:lineRule="exact"/>
              <w:rPr>
                <w:sz w:val="20"/>
                <w:szCs w:val="20"/>
                <w:color w:val="auto"/>
              </w:rPr>
            </w:pPr>
            <w:r>
              <w:rPr>
                <w:rFonts w:ascii="Arial" w:cs="Arial" w:eastAsia="Arial" w:hAnsi="Arial"/>
                <w:sz w:val="16"/>
                <w:szCs w:val="16"/>
                <w:color w:val="auto"/>
                <w:w w:val="92"/>
              </w:rPr>
              <w:t>Increase primarily due to an increase in employee-related costs driven</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20" w:type="dxa"/>
            <w:vAlign w:val="bottom"/>
          </w:tcPr>
          <w:p>
            <w:pPr>
              <w:ind w:left="20"/>
              <w:spacing w:after="0" w:line="162" w:lineRule="exact"/>
              <w:rPr>
                <w:sz w:val="20"/>
                <w:szCs w:val="20"/>
                <w:color w:val="auto"/>
              </w:rPr>
            </w:pPr>
            <w:r>
              <w:rPr>
                <w:rFonts w:ascii="Arial" w:cs="Arial" w:eastAsia="Arial" w:hAnsi="Arial"/>
                <w:sz w:val="16"/>
                <w:szCs w:val="16"/>
                <w:color w:val="auto"/>
                <w:w w:val="91"/>
              </w:rPr>
              <w:t>by higher headcount, an increase in stock-based compensation as well</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20" w:type="dxa"/>
            <w:vAlign w:val="bottom"/>
          </w:tcPr>
          <w:p>
            <w:pPr>
              <w:ind w:left="20"/>
              <w:spacing w:after="0" w:line="162" w:lineRule="exact"/>
              <w:rPr>
                <w:sz w:val="20"/>
                <w:szCs w:val="20"/>
                <w:color w:val="auto"/>
              </w:rPr>
            </w:pPr>
            <w:r>
              <w:rPr>
                <w:rFonts w:ascii="Arial" w:cs="Arial" w:eastAsia="Arial" w:hAnsi="Arial"/>
                <w:sz w:val="16"/>
                <w:szCs w:val="16"/>
                <w:color w:val="auto"/>
                <w:w w:val="91"/>
              </w:rPr>
              <w:t>as an increase in advertising cost, and professional fees partially offset</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20" w:type="dxa"/>
            <w:vAlign w:val="bottom"/>
          </w:tcPr>
          <w:p>
            <w:pPr>
              <w:ind w:left="20"/>
              <w:spacing w:after="0" w:line="162" w:lineRule="exact"/>
              <w:rPr>
                <w:sz w:val="20"/>
                <w:szCs w:val="20"/>
                <w:color w:val="auto"/>
              </w:rPr>
            </w:pPr>
            <w:r>
              <w:rPr>
                <w:rFonts w:ascii="Arial" w:cs="Arial" w:eastAsia="Arial" w:hAnsi="Arial"/>
                <w:sz w:val="16"/>
                <w:szCs w:val="16"/>
                <w:color w:val="auto"/>
              </w:rPr>
              <w:t>by lower travel and entertainment expenses and an increase in</w:t>
            </w: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6"/>
                <w:szCs w:val="16"/>
                <w:color w:val="auto"/>
              </w:rPr>
              <w:t>capitalized software costs.</w:t>
            </w:r>
          </w:p>
        </w:tc>
        <w:tc>
          <w:tcPr>
            <w:tcW w:w="0" w:type="dxa"/>
            <w:vAlign w:val="bottom"/>
          </w:tcPr>
          <w:p>
            <w:pPr>
              <w:spacing w:after="0"/>
              <w:rPr>
                <w:sz w:val="1"/>
                <w:szCs w:val="1"/>
                <w:color w:val="auto"/>
              </w:rPr>
            </w:pPr>
          </w:p>
        </w:tc>
      </w:tr>
      <w:tr>
        <w:trPr>
          <w:trHeight w:val="169"/>
        </w:trPr>
        <w:tc>
          <w:tcPr>
            <w:tcW w:w="286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rPr>
              <w:t>Research and development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
              <w:spacing w:after="0" w:line="169" w:lineRule="exact"/>
              <w:rPr>
                <w:sz w:val="20"/>
                <w:szCs w:val="20"/>
                <w:color w:val="auto"/>
              </w:rPr>
            </w:pPr>
            <w:r>
              <w:rPr>
                <w:rFonts w:ascii="Arial" w:cs="Arial" w:eastAsia="Arial" w:hAnsi="Arial"/>
                <w:sz w:val="16"/>
                <w:szCs w:val="16"/>
                <w:color w:val="auto"/>
              </w:rPr>
              <w:t>265.5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
              <w:spacing w:after="0" w:line="169" w:lineRule="exact"/>
              <w:rPr>
                <w:sz w:val="20"/>
                <w:szCs w:val="20"/>
                <w:color w:val="auto"/>
              </w:rPr>
            </w:pPr>
            <w:r>
              <w:rPr>
                <w:rFonts w:ascii="Arial" w:cs="Arial" w:eastAsia="Arial" w:hAnsi="Arial"/>
                <w:sz w:val="16"/>
                <w:szCs w:val="16"/>
                <w:color w:val="auto"/>
              </w:rPr>
              <w:t>48.1</w:t>
            </w:r>
          </w:p>
        </w:tc>
        <w:tc>
          <w:tcPr>
            <w:tcW w:w="88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6"/>
                <w:szCs w:val="16"/>
                <w:color w:val="auto"/>
              </w:rPr>
              <w:t>22 %</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
              <w:spacing w:after="0" w:line="169" w:lineRule="exact"/>
              <w:rPr>
                <w:sz w:val="20"/>
                <w:szCs w:val="20"/>
                <w:color w:val="auto"/>
              </w:rPr>
            </w:pPr>
            <w:r>
              <w:rPr>
                <w:rFonts w:ascii="Arial" w:cs="Arial" w:eastAsia="Arial" w:hAnsi="Arial"/>
                <w:sz w:val="16"/>
                <w:szCs w:val="16"/>
                <w:color w:val="auto"/>
              </w:rPr>
              <w:t>217.4</w:t>
            </w:r>
          </w:p>
        </w:tc>
        <w:tc>
          <w:tcPr>
            <w:tcW w:w="100" w:type="dxa"/>
            <w:vAlign w:val="bottom"/>
            <w:shd w:val="clear" w:color="auto" w:fill="CCEEFF"/>
          </w:tcPr>
          <w:p>
            <w:pPr>
              <w:spacing w:after="0"/>
              <w:rPr>
                <w:sz w:val="14"/>
                <w:szCs w:val="14"/>
                <w:color w:val="auto"/>
              </w:rPr>
            </w:pPr>
          </w:p>
        </w:tc>
        <w:tc>
          <w:tcPr>
            <w:tcW w:w="46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Increase primarily due to an increase in employee-related costs driven</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1"/>
              </w:rPr>
              <w:t>by higher headcount, an increase in stock-based compensation as well</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5"/>
              </w:rPr>
              <w:t>as an increase in professional fees, and cloud hosting costs partially</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offset by lower travel and entertainment expense.</w:t>
            </w:r>
          </w:p>
        </w:tc>
        <w:tc>
          <w:tcPr>
            <w:tcW w:w="0" w:type="dxa"/>
            <w:vAlign w:val="bottom"/>
          </w:tcPr>
          <w:p>
            <w:pPr>
              <w:spacing w:after="0"/>
              <w:rPr>
                <w:sz w:val="1"/>
                <w:szCs w:val="1"/>
                <w:color w:val="auto"/>
              </w:rPr>
            </w:pPr>
          </w:p>
        </w:tc>
      </w:tr>
      <w:tr>
        <w:trPr>
          <w:trHeight w:val="166"/>
        </w:trPr>
        <w:tc>
          <w:tcPr>
            <w:tcW w:w="2860" w:type="dxa"/>
            <w:vAlign w:val="bottom"/>
          </w:tcPr>
          <w:p>
            <w:pPr>
              <w:ind w:left="360"/>
              <w:spacing w:after="0" w:line="166" w:lineRule="exact"/>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14"/>
                <w:szCs w:val="14"/>
                <w:color w:val="auto"/>
              </w:rPr>
            </w:pPr>
          </w:p>
        </w:tc>
        <w:tc>
          <w:tcPr>
            <w:tcW w:w="760" w:type="dxa"/>
            <w:vAlign w:val="bottom"/>
          </w:tcPr>
          <w:p>
            <w:pPr>
              <w:jc w:val="right"/>
              <w:ind w:right="1"/>
              <w:spacing w:after="0" w:line="166" w:lineRule="exact"/>
              <w:rPr>
                <w:sz w:val="20"/>
                <w:szCs w:val="20"/>
                <w:color w:val="auto"/>
              </w:rPr>
            </w:pPr>
            <w:r>
              <w:rPr>
                <w:rFonts w:ascii="Arial" w:cs="Arial" w:eastAsia="Arial" w:hAnsi="Arial"/>
                <w:sz w:val="16"/>
                <w:szCs w:val="16"/>
                <w:color w:val="auto"/>
              </w:rPr>
              <w:t>111.9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
              <w:spacing w:after="0" w:line="166" w:lineRule="exact"/>
              <w:rPr>
                <w:sz w:val="20"/>
                <w:szCs w:val="20"/>
                <w:color w:val="auto"/>
              </w:rPr>
            </w:pPr>
            <w:r>
              <w:rPr>
                <w:rFonts w:ascii="Arial" w:cs="Arial" w:eastAsia="Arial" w:hAnsi="Arial"/>
                <w:sz w:val="16"/>
                <w:szCs w:val="16"/>
                <w:color w:val="auto"/>
              </w:rPr>
              <w:t>7.1</w:t>
            </w:r>
          </w:p>
        </w:tc>
        <w:tc>
          <w:tcPr>
            <w:tcW w:w="880" w:type="dxa"/>
            <w:vAlign w:val="bottom"/>
            <w:gridSpan w:val="2"/>
          </w:tcPr>
          <w:p>
            <w:pPr>
              <w:jc w:val="right"/>
              <w:ind w:right="20"/>
              <w:spacing w:after="0" w:line="166" w:lineRule="exact"/>
              <w:rPr>
                <w:sz w:val="20"/>
                <w:szCs w:val="20"/>
                <w:color w:val="auto"/>
              </w:rPr>
            </w:pPr>
            <w:r>
              <w:rPr>
                <w:rFonts w:ascii="Arial" w:cs="Arial" w:eastAsia="Arial" w:hAnsi="Arial"/>
                <w:sz w:val="16"/>
                <w:szCs w:val="16"/>
                <w:color w:val="auto"/>
              </w:rPr>
              <w:t>7 %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
              <w:spacing w:after="0" w:line="166" w:lineRule="exact"/>
              <w:rPr>
                <w:sz w:val="20"/>
                <w:szCs w:val="20"/>
                <w:color w:val="auto"/>
              </w:rPr>
            </w:pPr>
            <w:r>
              <w:rPr>
                <w:rFonts w:ascii="Arial" w:cs="Arial" w:eastAsia="Arial" w:hAnsi="Arial"/>
                <w:sz w:val="16"/>
                <w:szCs w:val="16"/>
                <w:color w:val="auto"/>
              </w:rPr>
              <w:t>104.8</w:t>
            </w:r>
          </w:p>
        </w:tc>
        <w:tc>
          <w:tcPr>
            <w:tcW w:w="100" w:type="dxa"/>
            <w:vAlign w:val="bottom"/>
          </w:tcPr>
          <w:p>
            <w:pPr>
              <w:spacing w:after="0"/>
              <w:rPr>
                <w:sz w:val="14"/>
                <w:szCs w:val="14"/>
                <w:color w:val="auto"/>
              </w:rPr>
            </w:pPr>
          </w:p>
        </w:tc>
        <w:tc>
          <w:tcPr>
            <w:tcW w:w="4620" w:type="dxa"/>
            <w:vAlign w:val="bottom"/>
          </w:tcPr>
          <w:p>
            <w:pPr>
              <w:ind w:left="20"/>
              <w:spacing w:after="0" w:line="166" w:lineRule="exact"/>
              <w:rPr>
                <w:sz w:val="20"/>
                <w:szCs w:val="20"/>
                <w:color w:val="auto"/>
              </w:rPr>
            </w:pPr>
            <w:r>
              <w:rPr>
                <w:rFonts w:ascii="Arial" w:cs="Arial" w:eastAsia="Arial" w:hAnsi="Arial"/>
                <w:sz w:val="16"/>
                <w:szCs w:val="16"/>
                <w:color w:val="auto"/>
                <w:w w:val="92"/>
              </w:rPr>
              <w:t>Increase primarily due to an increase in employee-related costs driven</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20" w:type="dxa"/>
            <w:vAlign w:val="bottom"/>
          </w:tcPr>
          <w:p>
            <w:pPr>
              <w:ind w:left="20"/>
              <w:spacing w:after="0" w:line="162" w:lineRule="exact"/>
              <w:rPr>
                <w:sz w:val="20"/>
                <w:szCs w:val="20"/>
                <w:color w:val="auto"/>
              </w:rPr>
            </w:pPr>
            <w:r>
              <w:rPr>
                <w:rFonts w:ascii="Arial" w:cs="Arial" w:eastAsia="Arial" w:hAnsi="Arial"/>
                <w:sz w:val="16"/>
                <w:szCs w:val="16"/>
                <w:color w:val="auto"/>
                <w:w w:val="92"/>
              </w:rPr>
              <w:t>by headcount as well as an increase in acquisition related costs offset</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20" w:type="dxa"/>
            <w:vAlign w:val="bottom"/>
          </w:tcPr>
          <w:p>
            <w:pPr>
              <w:ind w:left="20"/>
              <w:spacing w:after="0" w:line="162" w:lineRule="exact"/>
              <w:rPr>
                <w:sz w:val="20"/>
                <w:szCs w:val="20"/>
                <w:color w:val="auto"/>
              </w:rPr>
            </w:pPr>
            <w:r>
              <w:rPr>
                <w:rFonts w:ascii="Arial" w:cs="Arial" w:eastAsia="Arial" w:hAnsi="Arial"/>
                <w:sz w:val="16"/>
                <w:szCs w:val="16"/>
                <w:color w:val="auto"/>
                <w:w w:val="92"/>
              </w:rPr>
              <w:t>by lower professional fees, lower stock based compensation expense,</w:t>
            </w: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6"/>
                <w:szCs w:val="16"/>
                <w:color w:val="auto"/>
              </w:rPr>
              <w:t>and an increase in capitalized software costs.</w:t>
            </w:r>
          </w:p>
        </w:tc>
        <w:tc>
          <w:tcPr>
            <w:tcW w:w="0" w:type="dxa"/>
            <w:vAlign w:val="bottom"/>
          </w:tcPr>
          <w:p>
            <w:pPr>
              <w:spacing w:after="0"/>
              <w:rPr>
                <w:sz w:val="1"/>
                <w:szCs w:val="1"/>
                <w:color w:val="auto"/>
              </w:rPr>
            </w:pPr>
          </w:p>
        </w:tc>
      </w:tr>
      <w:tr>
        <w:trPr>
          <w:trHeight w:val="169"/>
        </w:trPr>
        <w:tc>
          <w:tcPr>
            <w:tcW w:w="286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2"/>
              </w:rPr>
              <w:t>Amortization of purchased intangibles</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
              <w:spacing w:after="0" w:line="169" w:lineRule="exact"/>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(1.5)</w:t>
            </w:r>
          </w:p>
        </w:tc>
        <w:tc>
          <w:tcPr>
            <w:tcW w:w="88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
              <w:spacing w:after="0" w:line="169" w:lineRule="exact"/>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4"/>
                <w:szCs w:val="14"/>
                <w:color w:val="auto"/>
              </w:rPr>
            </w:pPr>
          </w:p>
        </w:tc>
        <w:tc>
          <w:tcPr>
            <w:tcW w:w="46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Decrease primarily due to previously acquired intangible assets</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becoming fully amortized.</w:t>
            </w:r>
          </w:p>
        </w:tc>
        <w:tc>
          <w:tcPr>
            <w:tcW w:w="0" w:type="dxa"/>
            <w:vAlign w:val="bottom"/>
          </w:tcPr>
          <w:p>
            <w:pPr>
              <w:spacing w:after="0"/>
              <w:rPr>
                <w:sz w:val="1"/>
                <w:szCs w:val="1"/>
                <w:color w:val="auto"/>
              </w:rPr>
            </w:pPr>
          </w:p>
        </w:tc>
      </w:tr>
      <w:tr>
        <w:trPr>
          <w:trHeight w:val="206"/>
        </w:trPr>
        <w:tc>
          <w:tcPr>
            <w:tcW w:w="2860" w:type="dxa"/>
            <w:vAlign w:val="bottom"/>
          </w:tcPr>
          <w:p>
            <w:pPr>
              <w:ind w:left="68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762.7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89.5</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673.2</w:t>
            </w:r>
          </w:p>
        </w:tc>
        <w:tc>
          <w:tcPr>
            <w:tcW w:w="1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Percentage is not meaningful.</w:t>
      </w:r>
    </w:p>
    <w:p>
      <w:pPr>
        <w:spacing w:after="0" w:line="234"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color w:val="auto"/>
        </w:rPr>
        <w:t>The following table highlights our expectation for the absolute dollar change and percent of revenue change between the second quarter of fiscal 2022, as compared to the second quarter of fiscal 2021:</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68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Absolute dollar impact</w:t>
            </w:r>
          </w:p>
        </w:tc>
        <w:tc>
          <w:tcPr>
            <w:tcW w:w="14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Percent of net revenue impact</w:t>
            </w:r>
          </w:p>
        </w:tc>
      </w:tr>
      <w:tr>
        <w:trPr>
          <w:trHeight w:val="215"/>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23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7"/>
              </w:rPr>
              <w:t>Increase</w:t>
            </w: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Flat</w:t>
            </w:r>
          </w:p>
        </w:tc>
      </w:tr>
      <w:tr>
        <w:trPr>
          <w:trHeight w:val="213"/>
        </w:trPr>
        <w:tc>
          <w:tcPr>
            <w:tcW w:w="6680" w:type="dxa"/>
            <w:vAlign w:val="bottom"/>
          </w:tcPr>
          <w:p>
            <w:pPr>
              <w:spacing w:after="0"/>
              <w:rPr>
                <w:sz w:val="20"/>
                <w:szCs w:val="20"/>
                <w:color w:val="auto"/>
              </w:rPr>
            </w:pPr>
            <w:r>
              <w:rPr>
                <w:rFonts w:ascii="Arial" w:cs="Arial" w:eastAsia="Arial" w:hAnsi="Arial"/>
                <w:sz w:val="16"/>
                <w:szCs w:val="16"/>
                <w:color w:val="auto"/>
              </w:rPr>
              <w:t>Marketing and sales</w:t>
            </w:r>
          </w:p>
        </w:tc>
        <w:tc>
          <w:tcPr>
            <w:tcW w:w="2320" w:type="dxa"/>
            <w:vAlign w:val="bottom"/>
            <w:gridSpan w:val="2"/>
          </w:tcPr>
          <w:p>
            <w:pPr>
              <w:jc w:val="center"/>
              <w:ind w:right="140"/>
              <w:spacing w:after="0"/>
              <w:rPr>
                <w:sz w:val="20"/>
                <w:szCs w:val="20"/>
                <w:color w:val="auto"/>
              </w:rPr>
            </w:pPr>
            <w:r>
              <w:rPr>
                <w:rFonts w:ascii="Arial" w:cs="Arial" w:eastAsia="Arial" w:hAnsi="Arial"/>
                <w:sz w:val="16"/>
                <w:szCs w:val="16"/>
                <w:color w:val="auto"/>
                <w:w w:val="87"/>
              </w:rPr>
              <w:t>Increase</w:t>
            </w:r>
          </w:p>
        </w:tc>
        <w:tc>
          <w:tcPr>
            <w:tcW w:w="2180" w:type="dxa"/>
            <w:vAlign w:val="bottom"/>
          </w:tcPr>
          <w:p>
            <w:pPr>
              <w:jc w:val="center"/>
              <w:spacing w:after="0"/>
              <w:rPr>
                <w:sz w:val="20"/>
                <w:szCs w:val="20"/>
                <w:color w:val="auto"/>
              </w:rPr>
            </w:pPr>
            <w:r>
              <w:rPr>
                <w:rFonts w:ascii="Arial" w:cs="Arial" w:eastAsia="Arial" w:hAnsi="Arial"/>
                <w:sz w:val="16"/>
                <w:szCs w:val="16"/>
                <w:color w:val="auto"/>
                <w:w w:val="97"/>
              </w:rPr>
              <w:t>Flat</w:t>
            </w:r>
          </w:p>
        </w:tc>
      </w:tr>
      <w:tr>
        <w:trPr>
          <w:trHeight w:val="219"/>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23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7"/>
              </w:rPr>
              <w:t>Increase</w:t>
            </w: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Increase</w:t>
            </w:r>
          </w:p>
        </w:tc>
      </w:tr>
      <w:tr>
        <w:trPr>
          <w:trHeight w:val="213"/>
        </w:trPr>
        <w:tc>
          <w:tcPr>
            <w:tcW w:w="66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2320" w:type="dxa"/>
            <w:vAlign w:val="bottom"/>
            <w:gridSpan w:val="2"/>
          </w:tcPr>
          <w:p>
            <w:pPr>
              <w:jc w:val="center"/>
              <w:ind w:right="140"/>
              <w:spacing w:after="0"/>
              <w:rPr>
                <w:sz w:val="20"/>
                <w:szCs w:val="20"/>
                <w:color w:val="auto"/>
              </w:rPr>
            </w:pPr>
            <w:r>
              <w:rPr>
                <w:rFonts w:ascii="Arial" w:cs="Arial" w:eastAsia="Arial" w:hAnsi="Arial"/>
                <w:sz w:val="16"/>
                <w:szCs w:val="16"/>
                <w:color w:val="auto"/>
                <w:w w:val="87"/>
              </w:rPr>
              <w:t>Increase</w:t>
            </w:r>
          </w:p>
        </w:tc>
        <w:tc>
          <w:tcPr>
            <w:tcW w:w="2180" w:type="dxa"/>
            <w:vAlign w:val="bottom"/>
          </w:tcPr>
          <w:p>
            <w:pPr>
              <w:jc w:val="center"/>
              <w:spacing w:after="0"/>
              <w:rPr>
                <w:sz w:val="20"/>
                <w:szCs w:val="20"/>
                <w:color w:val="auto"/>
              </w:rPr>
            </w:pPr>
            <w:r>
              <w:rPr>
                <w:rFonts w:ascii="Arial" w:cs="Arial" w:eastAsia="Arial" w:hAnsi="Arial"/>
                <w:sz w:val="16"/>
                <w:szCs w:val="16"/>
                <w:color w:val="auto"/>
                <w:w w:val="97"/>
              </w:rPr>
              <w:t>Flat</w:t>
            </w:r>
          </w:p>
        </w:tc>
      </w:tr>
      <w:tr>
        <w:trPr>
          <w:trHeight w:val="219"/>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purchased intangibles</w:t>
            </w:r>
          </w:p>
        </w:tc>
        <w:tc>
          <w:tcPr>
            <w:tcW w:w="23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7"/>
              </w:rPr>
              <w:t>Flat</w:t>
            </w: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Flat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8" w:name="page39"/>
    <w:bookmarkEnd w:id="38"/>
    <w:p>
      <w:pPr>
        <w:ind w:left="260"/>
        <w:spacing w:after="0"/>
        <w:rPr>
          <w:sz w:val="20"/>
          <w:szCs w:val="20"/>
          <w:color w:val="auto"/>
        </w:rPr>
      </w:pPr>
      <w:r>
        <w:rPr>
          <w:rFonts w:ascii="Arial" w:cs="Arial" w:eastAsia="Arial" w:hAnsi="Arial"/>
          <w:sz w:val="18"/>
          <w:szCs w:val="18"/>
          <w:i w:val="1"/>
          <w:iCs w:val="1"/>
          <w:color w:val="auto"/>
        </w:rPr>
        <w:t>Interest and Other Expense, Net</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components of interest and other expense, net: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4"/>
                <w:szCs w:val="14"/>
                <w:b w:val="1"/>
                <w:bCs w:val="1"/>
                <w:color w:val="auto"/>
              </w:rPr>
              <w:t>Three Months Ended April 30,</w:t>
            </w:r>
          </w:p>
        </w:tc>
      </w:tr>
      <w:tr>
        <w:trPr>
          <w:trHeight w:val="18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investment expense, net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Gain (loss) on foreign currency</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(loss) on non-marketable equity securities, net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0.6</w:t>
            </w:r>
          </w:p>
        </w:tc>
      </w:tr>
      <w:tr>
        <w:trPr>
          <w:trHeight w:val="23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other expense,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Interest and other expense, net, decreased by $37.7 million during the three months ended April 30, 2021, as compared to the same periods in the prior fiscal year. The decrease was primarily due to a decrease in impairments and negative measurement alternative adjustments on our strategic investment equity securities, mark-to market gains on debt and equity securities held in a rabbi trust under non-qualified deferred compensation plans in the current period compared to losses in the prior period, and gains in the current period on foreign currency compared to losses in the prior period.</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and investment income fluctuates based on average cash, marketable securities, debt balances, average maturities, and interest rates.</w:t>
      </w:r>
    </w:p>
    <w:p>
      <w:pPr>
        <w:spacing w:after="0" w:line="275"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Provision for Income Taxes</w:t>
      </w:r>
    </w:p>
    <w:p>
      <w:pPr>
        <w:spacing w:after="0" w:line="252" w:lineRule="exact"/>
        <w:rPr>
          <w:sz w:val="20"/>
          <w:szCs w:val="20"/>
          <w:color w:val="auto"/>
        </w:rPr>
      </w:pPr>
    </w:p>
    <w:p>
      <w:pPr>
        <w:ind w:right="240" w:firstLine="445"/>
        <w:spacing w:after="0" w:line="263"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21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We had an income tax benefit of $24.2 million, relative to pre-tax income of $131.4 million for the three months ended April 30, 2021, and an income tax expense of $24.0 million, relative to pre-tax income of $90.5 million for the three months ended April 30, 2020. Income tax benefit for the three months ended April 30, 2021, reflects a decrease in tax expense due to a discrete tax benefit primarily related to a Supreme Court decision in India on the taxability of software license payments to nonresidents and the associated withholding taxes, offset by an increase in tax expense from jurisdictional mix of year-to-date earnings relative to the worldwide annual effective tax rate.</w:t>
      </w:r>
    </w:p>
    <w:p>
      <w:pPr>
        <w:spacing w:after="0" w:line="215" w:lineRule="exact"/>
        <w:rPr>
          <w:sz w:val="20"/>
          <w:szCs w:val="20"/>
          <w:color w:val="auto"/>
        </w:rPr>
      </w:pPr>
    </w:p>
    <w:p>
      <w:pPr>
        <w:ind w:right="60" w:firstLine="445"/>
        <w:spacing w:after="0" w:line="301" w:lineRule="auto"/>
        <w:rPr>
          <w:sz w:val="20"/>
          <w:szCs w:val="20"/>
          <w:color w:val="auto"/>
        </w:rPr>
      </w:pPr>
      <w:r>
        <w:rPr>
          <w:rFonts w:ascii="Arial" w:cs="Arial" w:eastAsia="Arial" w:hAnsi="Arial"/>
          <w:sz w:val="16"/>
          <w:szCs w:val="16"/>
          <w:color w:val="auto"/>
        </w:rPr>
        <w:t>We regularly assess the need for a valuation allowance against our deferred tax assets. In making that assessment, we consider both positive and negative evidence related to the likelihood of realization of the deferred tax assets to determine, based on the weight of available evidence, whether it is more likely than not that some or all of the deferred tax assets will not be realized. We have maintained a valuation allowance on our Netherlands, Canada, California, Michigan and capital loss deferred tax assets as it is more likely than not that some or all of the deferred tax assets will not be realized.</w:t>
      </w:r>
    </w:p>
    <w:p>
      <w:pPr>
        <w:spacing w:after="0" w:line="184" w:lineRule="exact"/>
        <w:rPr>
          <w:sz w:val="20"/>
          <w:szCs w:val="20"/>
          <w:color w:val="auto"/>
        </w:rPr>
      </w:pPr>
    </w:p>
    <w:p>
      <w:pPr>
        <w:ind w:right="160" w:firstLine="445"/>
        <w:spacing w:after="0" w:line="286" w:lineRule="auto"/>
        <w:rPr>
          <w:sz w:val="20"/>
          <w:szCs w:val="20"/>
          <w:color w:val="auto"/>
        </w:rPr>
      </w:pPr>
      <w:r>
        <w:rPr>
          <w:rFonts w:ascii="Arial" w:cs="Arial" w:eastAsia="Arial" w:hAnsi="Arial"/>
          <w:sz w:val="17"/>
          <w:szCs w:val="17"/>
          <w:color w:val="auto"/>
        </w:rPr>
        <w:t>As we continually strive to optimize our overall business model, tax planning strategies may become feasible and prudent allowing us to realize many of the deferred tax assets that are offset by a valuation allowance; therefore, we will continue to evaluate the ability to utilize the deferred tax assets each quarter, both in the U.S. and in foreign jurisdictions, based on all available evidence, both positive and negative.</w:t>
      </w:r>
    </w:p>
    <w:p>
      <w:pPr>
        <w:spacing w:after="0" w:line="192"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As of April 30, 2021, we had $200.5 million of gross unrecognized tax benefits, of which $32.1 million would reduce our valuation allowance, if recognized. The remaining $168.4 million would impact the effective tax rate, if recognized. It is possible that the amount of unrecognized tax benefits will decrease in the next 12 months for an audit settlement of approximately $8.2 million.</w:t>
      </w:r>
    </w:p>
    <w:p>
      <w:pPr>
        <w:spacing w:after="0" w:line="211"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We anticipate that the U.S. Department of Treasury will continue to interpret or issue guidance on how provisions of the U.S. Tax Cuts and Jobs Act (“Tax Act”) will be applied or otherwise administered. As future guidance is issued, we may make adjustments to the amounts that we have previously recorded that may materially impact our financial statements.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9" w:name="page40"/>
    <w:bookmarkEnd w:id="39"/>
    <w:p>
      <w:pPr>
        <w:ind w:right="80" w:firstLine="405"/>
        <w:spacing w:after="0" w:line="275" w:lineRule="auto"/>
        <w:rPr>
          <w:sz w:val="20"/>
          <w:szCs w:val="20"/>
          <w:color w:val="auto"/>
        </w:rPr>
      </w:pPr>
      <w:r>
        <w:rPr>
          <w:rFonts w:ascii="Arial" w:cs="Arial" w:eastAsia="Arial" w:hAnsi="Arial"/>
          <w:sz w:val="17"/>
          <w:szCs w:val="17"/>
          <w:color w:val="auto"/>
        </w:rPr>
        <w:t>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including impacts of the Tax Act. A significant amount of our earnings is generated by our Europe and Asia Pacific subsidiaries. Our future effective tax rates may be adversely affected to the extent earnings are lower than anticipated in countries where we have lower statutory tax rates.</w:t>
      </w:r>
    </w:p>
    <w:p>
      <w:pPr>
        <w:spacing w:after="0" w:line="203"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On June 29, 2020, California enacted Assembly Bill No. 85, suspending utilization of net operating losses and limiting R&amp;D credits utilization against California taxable income in excess of $5.0 million for the remaining 2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256" w:lineRule="exact"/>
        <w:rPr>
          <w:sz w:val="20"/>
          <w:szCs w:val="20"/>
          <w:color w:val="auto"/>
        </w:rPr>
      </w:pPr>
    </w:p>
    <w:p>
      <w:pPr>
        <w:ind w:right="20" w:firstLine="445"/>
        <w:spacing w:after="0" w:line="311" w:lineRule="auto"/>
        <w:rPr>
          <w:sz w:val="20"/>
          <w:szCs w:val="20"/>
          <w:color w:val="auto"/>
        </w:rPr>
      </w:pPr>
      <w:r>
        <w:rPr>
          <w:rFonts w:ascii="Arial" w:cs="Arial" w:eastAsia="Arial" w:hAnsi="Arial"/>
          <w:sz w:val="16"/>
          <w:szCs w:val="16"/>
          <w:color w:val="auto"/>
        </w:rPr>
        <w:t>In addition to our results determined under GAAP discussed above, we believe the following non-GAAP measures are useful to investors in evaluating our operating performance. For the three months ended April 30, 2021 and 2020, our gross profit, income from operations, operating margin, net income, and diluted net income per share on a GAAP and non-GAAP basis were as follows (in millions except for operating margin, and per share data):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Three Months Ended April 30,</w:t>
            </w:r>
          </w:p>
        </w:tc>
      </w:tr>
      <w:tr>
        <w:trPr>
          <w:trHeight w:val="187"/>
        </w:trPr>
        <w:tc>
          <w:tcPr>
            <w:tcW w:w="8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r>
      <w:tr>
        <w:trPr>
          <w:trHeight w:val="183"/>
        </w:trPr>
        <w:tc>
          <w:tcPr>
            <w:tcW w:w="8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5"/>
                <w:szCs w:val="15"/>
                <w:color w:val="auto"/>
              </w:rPr>
            </w:pP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896.5</w:t>
            </w:r>
          </w:p>
        </w:tc>
        <w:tc>
          <w:tcPr>
            <w:tcW w:w="5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803.8</w:t>
            </w: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Non-GAAP gross profit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61"/>
              <w:spacing w:after="0"/>
              <w:rPr>
                <w:sz w:val="20"/>
                <w:szCs w:val="20"/>
                <w:color w:val="auto"/>
              </w:rPr>
            </w:pPr>
            <w:r>
              <w:rPr>
                <w:rFonts w:ascii="Arial" w:cs="Arial" w:eastAsia="Arial" w:hAnsi="Arial"/>
                <w:sz w:val="16"/>
                <w:szCs w:val="16"/>
                <w:color w:val="auto"/>
              </w:rPr>
              <w:t>914.0</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816.5</w:t>
            </w: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133.8</w:t>
            </w:r>
          </w:p>
        </w:tc>
        <w:tc>
          <w:tcPr>
            <w:tcW w:w="5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130.6</w:t>
            </w: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Non-GAAP income from operations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61"/>
              <w:spacing w:after="0"/>
              <w:rPr>
                <w:sz w:val="20"/>
                <w:szCs w:val="20"/>
                <w:color w:val="auto"/>
              </w:rPr>
            </w:pPr>
            <w:r>
              <w:rPr>
                <w:rFonts w:ascii="Arial" w:cs="Arial" w:eastAsia="Arial" w:hAnsi="Arial"/>
                <w:sz w:val="16"/>
                <w:szCs w:val="16"/>
                <w:color w:val="auto"/>
              </w:rPr>
              <w:t>280.0</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247.8</w:t>
            </w: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margin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Non-GAAP operating margin</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28 %</w:t>
            </w: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155.6</w:t>
            </w:r>
          </w:p>
        </w:tc>
        <w:tc>
          <w:tcPr>
            <w:tcW w:w="5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66.5</w:t>
            </w: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Non-GAAP 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61"/>
              <w:spacing w:after="0"/>
              <w:rPr>
                <w:sz w:val="20"/>
                <w:szCs w:val="20"/>
                <w:color w:val="auto"/>
              </w:rPr>
            </w:pPr>
            <w:r>
              <w:rPr>
                <w:rFonts w:ascii="Arial" w:cs="Arial" w:eastAsia="Arial" w:hAnsi="Arial"/>
                <w:sz w:val="16"/>
                <w:szCs w:val="16"/>
                <w:color w:val="auto"/>
              </w:rPr>
              <w:t>229.2</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188.4</w:t>
            </w: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diluted net income per share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0.70</w:t>
            </w:r>
          </w:p>
        </w:tc>
        <w:tc>
          <w:tcPr>
            <w:tcW w:w="5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0.30</w:t>
            </w:r>
          </w:p>
        </w:tc>
      </w:tr>
      <w:tr>
        <w:trPr>
          <w:trHeight w:val="210"/>
        </w:trPr>
        <w:tc>
          <w:tcPr>
            <w:tcW w:w="8140" w:type="dxa"/>
            <w:vAlign w:val="bottom"/>
          </w:tcPr>
          <w:p>
            <w:pPr>
              <w:ind w:left="20"/>
              <w:spacing w:after="0"/>
              <w:rPr>
                <w:sz w:val="20"/>
                <w:szCs w:val="20"/>
                <w:color w:val="auto"/>
              </w:rPr>
            </w:pPr>
            <w:r>
              <w:rPr>
                <w:rFonts w:ascii="Arial" w:cs="Arial" w:eastAsia="Arial" w:hAnsi="Arial"/>
                <w:sz w:val="16"/>
                <w:szCs w:val="16"/>
                <w:color w:val="auto"/>
              </w:rPr>
              <w:t>Non-GAAP diluted net income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61"/>
              <w:spacing w:after="0"/>
              <w:rPr>
                <w:sz w:val="20"/>
                <w:szCs w:val="20"/>
                <w:color w:val="auto"/>
              </w:rPr>
            </w:pPr>
            <w:r>
              <w:rPr>
                <w:rFonts w:ascii="Arial" w:cs="Arial" w:eastAsia="Arial" w:hAnsi="Arial"/>
                <w:sz w:val="16"/>
                <w:szCs w:val="16"/>
                <w:color w:val="auto"/>
              </w:rPr>
              <w:t>1.03</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0.85</w:t>
            </w:r>
          </w:p>
        </w:tc>
      </w:tr>
    </w:tbl>
    <w:p>
      <w:pPr>
        <w:spacing w:after="0" w:line="316"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For our internal budgeting and resource allocation process and as a means to provide consistency in period-to-period comparisons, we use non-GAAP measures to supplement our condensed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benefits, credits,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95"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ind w:right="5160"/>
        <w:spacing w:after="0" w:line="467" w:lineRule="auto"/>
        <w:rPr>
          <w:sz w:val="20"/>
          <w:szCs w:val="20"/>
          <w:color w:val="auto"/>
        </w:rPr>
      </w:pPr>
      <w:r>
        <w:rPr>
          <w:rFonts w:ascii="Arial" w:cs="Arial" w:eastAsia="Arial" w:hAnsi="Arial"/>
          <w:sz w:val="18"/>
          <w:szCs w:val="18"/>
          <w:b w:val="1"/>
          <w:bCs w:val="1"/>
          <w:color w:val="auto"/>
        </w:rPr>
        <w:t xml:space="preserve">Reconciliation of GAAP Financial Measures to Non-GAAP Financial Measures </w:t>
      </w:r>
      <w:r>
        <w:rPr>
          <w:rFonts w:ascii="Arial" w:cs="Arial" w:eastAsia="Arial" w:hAnsi="Arial"/>
          <w:sz w:val="18"/>
          <w:szCs w:val="18"/>
          <w:color w:val="auto"/>
        </w:rPr>
        <w:t>(In millions except for operating margin and per share data):</w:t>
      </w: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Three Months Ended April 30,</w:t>
            </w:r>
          </w:p>
        </w:tc>
      </w:tr>
      <w:tr>
        <w:trPr>
          <w:trHeight w:val="187"/>
        </w:trPr>
        <w:tc>
          <w:tcPr>
            <w:tcW w:w="8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r>
      <w:tr>
        <w:trPr>
          <w:trHeight w:val="183"/>
        </w:trPr>
        <w:tc>
          <w:tcPr>
            <w:tcW w:w="8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5"/>
                <w:szCs w:val="15"/>
                <w:color w:val="auto"/>
              </w:rPr>
            </w:pPr>
          </w:p>
        </w:tc>
      </w:tr>
      <w:tr>
        <w:trPr>
          <w:trHeight w:val="217"/>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896.5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803.8</w:t>
            </w:r>
          </w:p>
        </w:tc>
      </w:tr>
      <w:tr>
        <w:trPr>
          <w:trHeight w:val="213"/>
        </w:trPr>
        <w:tc>
          <w:tcPr>
            <w:tcW w:w="8300" w:type="dxa"/>
            <w:vAlign w:val="bottom"/>
          </w:tcPr>
          <w:p>
            <w:pPr>
              <w:ind w:left="36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5.1</w:t>
            </w:r>
          </w:p>
        </w:tc>
      </w:tr>
      <w:tr>
        <w:trPr>
          <w:trHeight w:val="219"/>
        </w:trPr>
        <w:tc>
          <w:tcPr>
            <w:tcW w:w="8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developed technologies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w:t>
            </w:r>
          </w:p>
        </w:tc>
      </w:tr>
      <w:tr>
        <w:trPr>
          <w:trHeight w:val="213"/>
        </w:trPr>
        <w:tc>
          <w:tcPr>
            <w:tcW w:w="83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Acquisition-related costs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0.2</w:t>
            </w:r>
          </w:p>
        </w:tc>
      </w:tr>
      <w:tr>
        <w:trPr>
          <w:trHeight w:val="234"/>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gross profit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914.0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816.5</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8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133.8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130.6</w:t>
            </w:r>
          </w:p>
        </w:tc>
      </w:tr>
      <w:tr>
        <w:trPr>
          <w:trHeight w:val="213"/>
        </w:trPr>
        <w:tc>
          <w:tcPr>
            <w:tcW w:w="8300" w:type="dxa"/>
            <w:vAlign w:val="bottom"/>
          </w:tcPr>
          <w:p>
            <w:pPr>
              <w:ind w:left="36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115.8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98.2</w:t>
            </w:r>
          </w:p>
        </w:tc>
      </w:tr>
      <w:tr>
        <w:trPr>
          <w:trHeight w:val="219"/>
        </w:trPr>
        <w:tc>
          <w:tcPr>
            <w:tcW w:w="8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developed technologies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w:t>
            </w:r>
          </w:p>
        </w:tc>
      </w:tr>
      <w:tr>
        <w:trPr>
          <w:trHeight w:val="213"/>
        </w:trPr>
        <w:tc>
          <w:tcPr>
            <w:tcW w:w="8300" w:type="dxa"/>
            <w:vAlign w:val="bottom"/>
          </w:tcPr>
          <w:p>
            <w:pPr>
              <w:ind w:left="360"/>
              <w:spacing w:after="0"/>
              <w:rPr>
                <w:sz w:val="20"/>
                <w:szCs w:val="20"/>
                <w:color w:val="auto"/>
              </w:rPr>
            </w:pPr>
            <w:r>
              <w:rPr>
                <w:rFonts w:ascii="Arial" w:cs="Arial" w:eastAsia="Arial" w:hAnsi="Arial"/>
                <w:sz w:val="16"/>
                <w:szCs w:val="16"/>
                <w:color w:val="auto"/>
              </w:rPr>
              <w:t>Amortization of purchased intangibles</w:t>
            </w:r>
          </w:p>
        </w:tc>
        <w:tc>
          <w:tcPr>
            <w:tcW w:w="32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9.7</w:t>
            </w:r>
          </w:p>
        </w:tc>
      </w:tr>
      <w:tr>
        <w:trPr>
          <w:trHeight w:val="219"/>
        </w:trPr>
        <w:tc>
          <w:tcPr>
            <w:tcW w:w="8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Acquisition-related costs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w:t>
            </w:r>
          </w:p>
        </w:tc>
      </w:tr>
      <w:tr>
        <w:trPr>
          <w:trHeight w:val="207"/>
        </w:trPr>
        <w:tc>
          <w:tcPr>
            <w:tcW w:w="8300" w:type="dxa"/>
            <w:vAlign w:val="bottom"/>
          </w:tcPr>
          <w:p>
            <w:pPr>
              <w:ind w:left="20"/>
              <w:spacing w:after="0"/>
              <w:rPr>
                <w:sz w:val="20"/>
                <w:szCs w:val="20"/>
                <w:color w:val="auto"/>
              </w:rPr>
            </w:pPr>
            <w:r>
              <w:rPr>
                <w:rFonts w:ascii="Arial" w:cs="Arial" w:eastAsia="Arial" w:hAnsi="Arial"/>
                <w:sz w:val="16"/>
                <w:szCs w:val="16"/>
                <w:color w:val="auto"/>
              </w:rPr>
              <w:t>Non-GAAP income from operations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280.0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247.8</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6"/>
        </w:trPr>
        <w:tc>
          <w:tcPr>
            <w:tcW w:w="8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8300" w:type="dxa"/>
            <w:vAlign w:val="bottom"/>
          </w:tcPr>
          <w:p>
            <w:pPr>
              <w:ind w:left="20"/>
              <w:spacing w:after="0"/>
              <w:rPr>
                <w:sz w:val="20"/>
                <w:szCs w:val="20"/>
                <w:color w:val="auto"/>
              </w:rPr>
            </w:pPr>
            <w:r>
              <w:rPr>
                <w:rFonts w:ascii="Arial" w:cs="Arial" w:eastAsia="Arial" w:hAnsi="Arial"/>
                <w:sz w:val="16"/>
                <w:szCs w:val="16"/>
                <w:color w:val="auto"/>
              </w:rPr>
              <w:t>Operating margin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19"/>
        </w:trPr>
        <w:tc>
          <w:tcPr>
            <w:tcW w:w="8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13"/>
        </w:trPr>
        <w:tc>
          <w:tcPr>
            <w:tcW w:w="8300" w:type="dxa"/>
            <w:vAlign w:val="bottom"/>
          </w:tcPr>
          <w:p>
            <w:pPr>
              <w:ind w:left="360"/>
              <w:spacing w:after="0"/>
              <w:rPr>
                <w:sz w:val="20"/>
                <w:szCs w:val="20"/>
                <w:color w:val="auto"/>
              </w:rPr>
            </w:pPr>
            <w:r>
              <w:rPr>
                <w:rFonts w:ascii="Arial" w:cs="Arial" w:eastAsia="Arial" w:hAnsi="Arial"/>
                <w:sz w:val="16"/>
                <w:szCs w:val="16"/>
                <w:color w:val="auto"/>
              </w:rPr>
              <w:t>Amortization of developed technologies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19"/>
        </w:trPr>
        <w:tc>
          <w:tcPr>
            <w:tcW w:w="8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purchased intangibles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13"/>
        </w:trPr>
        <w:tc>
          <w:tcPr>
            <w:tcW w:w="83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Acquisition-related costs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34"/>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operating margin (1)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8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155.6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66.5</w:t>
            </w:r>
          </w:p>
        </w:tc>
      </w:tr>
      <w:tr>
        <w:trPr>
          <w:trHeight w:val="213"/>
        </w:trPr>
        <w:tc>
          <w:tcPr>
            <w:tcW w:w="8300" w:type="dxa"/>
            <w:vAlign w:val="bottom"/>
          </w:tcPr>
          <w:p>
            <w:pPr>
              <w:ind w:left="36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115.8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98.2</w:t>
            </w:r>
          </w:p>
        </w:tc>
      </w:tr>
      <w:tr>
        <w:trPr>
          <w:trHeight w:val="219"/>
        </w:trPr>
        <w:tc>
          <w:tcPr>
            <w:tcW w:w="8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developed technologies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w:t>
            </w:r>
          </w:p>
        </w:tc>
      </w:tr>
      <w:tr>
        <w:trPr>
          <w:trHeight w:val="213"/>
        </w:trPr>
        <w:tc>
          <w:tcPr>
            <w:tcW w:w="8300" w:type="dxa"/>
            <w:vAlign w:val="bottom"/>
          </w:tcPr>
          <w:p>
            <w:pPr>
              <w:ind w:left="360"/>
              <w:spacing w:after="0"/>
              <w:rPr>
                <w:sz w:val="20"/>
                <w:szCs w:val="20"/>
                <w:color w:val="auto"/>
              </w:rPr>
            </w:pPr>
            <w:r>
              <w:rPr>
                <w:rFonts w:ascii="Arial" w:cs="Arial" w:eastAsia="Arial" w:hAnsi="Arial"/>
                <w:sz w:val="16"/>
                <w:szCs w:val="16"/>
                <w:color w:val="auto"/>
              </w:rPr>
              <w:t>Amortization of purchased intangibles</w:t>
            </w:r>
          </w:p>
        </w:tc>
        <w:tc>
          <w:tcPr>
            <w:tcW w:w="32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9.7</w:t>
            </w:r>
          </w:p>
        </w:tc>
      </w:tr>
      <w:tr>
        <w:trPr>
          <w:trHeight w:val="219"/>
        </w:trPr>
        <w:tc>
          <w:tcPr>
            <w:tcW w:w="8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Acquisition-related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w:t>
            </w:r>
          </w:p>
        </w:tc>
      </w:tr>
      <w:tr>
        <w:trPr>
          <w:trHeight w:val="213"/>
        </w:trPr>
        <w:tc>
          <w:tcPr>
            <w:tcW w:w="8300" w:type="dxa"/>
            <w:vAlign w:val="bottom"/>
          </w:tcPr>
          <w:p>
            <w:pPr>
              <w:ind w:left="360"/>
              <w:spacing w:after="0"/>
              <w:rPr>
                <w:sz w:val="20"/>
                <w:szCs w:val="20"/>
                <w:color w:val="auto"/>
              </w:rPr>
            </w:pPr>
            <w:r>
              <w:rPr>
                <w:rFonts w:ascii="Arial" w:cs="Arial" w:eastAsia="Arial" w:hAnsi="Arial"/>
                <w:sz w:val="16"/>
                <w:szCs w:val="16"/>
                <w:color w:val="auto"/>
              </w:rPr>
              <w:t>(Gain) loss on strategic investments and dispositions, net</w:t>
            </w:r>
          </w:p>
        </w:tc>
        <w:tc>
          <w:tcPr>
            <w:tcW w:w="320" w:type="dxa"/>
            <w:vAlign w:val="bottom"/>
          </w:tcPr>
          <w:p>
            <w:pPr>
              <w:spacing w:after="0"/>
              <w:rPr>
                <w:sz w:val="18"/>
                <w:szCs w:val="18"/>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16.6</w:t>
            </w:r>
          </w:p>
        </w:tc>
      </w:tr>
      <w:tr>
        <w:trPr>
          <w:trHeight w:val="219"/>
        </w:trPr>
        <w:tc>
          <w:tcPr>
            <w:tcW w:w="8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Discrete tax benefit items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0.5</w:t>
            </w:r>
          </w:p>
        </w:tc>
      </w:tr>
      <w:tr>
        <w:trPr>
          <w:trHeight w:val="213"/>
        </w:trPr>
        <w:tc>
          <w:tcPr>
            <w:tcW w:w="83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 effect of non-GAAP adjustments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(12.4)</w:t>
            </w:r>
          </w:p>
        </w:tc>
      </w:tr>
      <w:tr>
        <w:trPr>
          <w:trHeight w:val="235"/>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net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229.2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188.4</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27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Three Months Ended April 30,</w:t>
            </w:r>
          </w:p>
        </w:tc>
      </w:tr>
      <w:tr>
        <w:trPr>
          <w:trHeight w:val="187"/>
        </w:trPr>
        <w:tc>
          <w:tcPr>
            <w:tcW w:w="85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r>
      <w:tr>
        <w:trPr>
          <w:trHeight w:val="183"/>
        </w:trPr>
        <w:tc>
          <w:tcPr>
            <w:tcW w:w="8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5"/>
                <w:szCs w:val="15"/>
                <w:color w:val="auto"/>
              </w:rPr>
            </w:pPr>
          </w:p>
        </w:tc>
      </w:tr>
      <w:tr>
        <w:trPr>
          <w:trHeight w:val="217"/>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per share</w:t>
            </w:r>
          </w:p>
        </w:tc>
        <w:tc>
          <w:tcPr>
            <w:tcW w:w="840" w:type="dxa"/>
            <w:vAlign w:val="bottom"/>
            <w:shd w:val="clear" w:color="auto" w:fill="CCEEFF"/>
          </w:tcPr>
          <w:p>
            <w:pPr>
              <w:jc w:val="right"/>
              <w:ind w:right="664"/>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w:t>
            </w:r>
          </w:p>
        </w:tc>
      </w:tr>
      <w:tr>
        <w:trPr>
          <w:trHeight w:val="213"/>
        </w:trPr>
        <w:tc>
          <w:tcPr>
            <w:tcW w:w="8540" w:type="dxa"/>
            <w:vAlign w:val="bottom"/>
          </w:tcPr>
          <w:p>
            <w:pPr>
              <w:ind w:left="360"/>
              <w:spacing w:after="0"/>
              <w:rPr>
                <w:sz w:val="20"/>
                <w:szCs w:val="20"/>
                <w:color w:val="auto"/>
              </w:rPr>
            </w:pPr>
            <w:r>
              <w:rPr>
                <w:rFonts w:ascii="Arial" w:cs="Arial" w:eastAsia="Arial" w:hAnsi="Arial"/>
                <w:sz w:val="16"/>
                <w:szCs w:val="16"/>
                <w:color w:val="auto"/>
              </w:rPr>
              <w:t>Stock-based compensation expense</w:t>
            </w:r>
          </w:p>
        </w:tc>
        <w:tc>
          <w:tcPr>
            <w:tcW w:w="8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0.52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0.44</w:t>
            </w:r>
          </w:p>
        </w:tc>
      </w:tr>
      <w:tr>
        <w:trPr>
          <w:trHeight w:val="219"/>
        </w:trPr>
        <w:tc>
          <w:tcPr>
            <w:tcW w:w="8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developed technologies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13"/>
        </w:trPr>
        <w:tc>
          <w:tcPr>
            <w:tcW w:w="8540" w:type="dxa"/>
            <w:vAlign w:val="bottom"/>
          </w:tcPr>
          <w:p>
            <w:pPr>
              <w:ind w:left="360"/>
              <w:spacing w:after="0"/>
              <w:rPr>
                <w:sz w:val="20"/>
                <w:szCs w:val="20"/>
                <w:color w:val="auto"/>
              </w:rPr>
            </w:pPr>
            <w:r>
              <w:rPr>
                <w:rFonts w:ascii="Arial" w:cs="Arial" w:eastAsia="Arial" w:hAnsi="Arial"/>
                <w:sz w:val="16"/>
                <w:szCs w:val="16"/>
                <w:color w:val="auto"/>
              </w:rPr>
              <w:t>Amortization of purchased intangibles</w:t>
            </w:r>
          </w:p>
        </w:tc>
        <w:tc>
          <w:tcPr>
            <w:tcW w:w="8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0.04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219"/>
        </w:trPr>
        <w:tc>
          <w:tcPr>
            <w:tcW w:w="8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Acquisition-related costs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13"/>
        </w:trPr>
        <w:tc>
          <w:tcPr>
            <w:tcW w:w="8540" w:type="dxa"/>
            <w:vAlign w:val="bottom"/>
          </w:tcPr>
          <w:p>
            <w:pPr>
              <w:ind w:left="360"/>
              <w:spacing w:after="0"/>
              <w:rPr>
                <w:sz w:val="20"/>
                <w:szCs w:val="20"/>
                <w:color w:val="auto"/>
              </w:rPr>
            </w:pPr>
            <w:r>
              <w:rPr>
                <w:rFonts w:ascii="Arial" w:cs="Arial" w:eastAsia="Arial" w:hAnsi="Arial"/>
                <w:sz w:val="16"/>
                <w:szCs w:val="16"/>
                <w:color w:val="auto"/>
              </w:rPr>
              <w:t>(Gain) loss on strategic investments and dispositions, net</w:t>
            </w:r>
          </w:p>
        </w:tc>
        <w:tc>
          <w:tcPr>
            <w:tcW w:w="8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90"/>
              </w:rPr>
              <w:t>(0.02)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0.08</w:t>
            </w:r>
          </w:p>
        </w:tc>
      </w:tr>
      <w:tr>
        <w:trPr>
          <w:trHeight w:val="219"/>
        </w:trPr>
        <w:tc>
          <w:tcPr>
            <w:tcW w:w="8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Discrete tax provision items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(0.25)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5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 effect of non-GAAP adjustments</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(0.06)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r>
      <w:tr>
        <w:trPr>
          <w:trHeight w:val="235"/>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diluted net income per share</w:t>
            </w:r>
          </w:p>
        </w:tc>
        <w:tc>
          <w:tcPr>
            <w:tcW w:w="840" w:type="dxa"/>
            <w:vAlign w:val="bottom"/>
            <w:tcBorders>
              <w:bottom w:val="single" w:sz="8" w:color="auto"/>
            </w:tcBorders>
            <w:shd w:val="clear" w:color="auto" w:fill="CCEEFF"/>
          </w:tcPr>
          <w:p>
            <w:pPr>
              <w:jc w:val="right"/>
              <w:ind w:right="664"/>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1.03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0.85</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pacing w:after="0" w:line="233"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Our non-GAAP financial measures may exclude the following, as applicable:</w:t>
      </w:r>
    </w:p>
    <w:p>
      <w:pPr>
        <w:spacing w:after="0" w:line="252"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i w:val="1"/>
          <w:iCs w:val="1"/>
          <w:color w:val="auto"/>
        </w:rPr>
        <w:t xml:space="preserve">Stock-based compensation expenses. </w:t>
      </w:r>
      <w:r>
        <w:rPr>
          <w:rFonts w:ascii="Arial" w:cs="Arial" w:eastAsia="Arial" w:hAnsi="Arial"/>
          <w:sz w:val="16"/>
          <w:szCs w:val="16"/>
          <w:color w:val="auto"/>
        </w:rPr>
        <w:t>We exclude stock-based compensation expenses from non-GAAP measures primarily because they are non-cash</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88"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i w:val="1"/>
          <w:iCs w:val="1"/>
          <w:color w:val="auto"/>
        </w:rPr>
        <w:t xml:space="preserve">Amortization of developed technologies and purchased intangibles. </w:t>
      </w:r>
      <w:r>
        <w:rPr>
          <w:rFonts w:ascii="Arial" w:cs="Arial" w:eastAsia="Arial" w:hAnsi="Arial"/>
          <w:sz w:val="17"/>
          <w:szCs w:val="17"/>
          <w:color w:val="auto"/>
        </w:rPr>
        <w:t>We incur amortization of acquisition-related developed technologies and</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purchased 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20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i w:val="1"/>
          <w:iCs w:val="1"/>
          <w:color w:val="auto"/>
        </w:rPr>
        <w:t xml:space="preserve">CEO transition costs. </w:t>
      </w:r>
      <w:r>
        <w:rPr>
          <w:rFonts w:ascii="Arial" w:cs="Arial" w:eastAsia="Arial" w:hAnsi="Arial"/>
          <w:sz w:val="18"/>
          <w:szCs w:val="18"/>
          <w:color w:val="auto"/>
        </w:rPr>
        <w:t>We exclude amounts paid to the Company’s former CEOs upon departure under the terms of their transition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severance payments, acceleration of restricted stock units, and continued vesting of performance stock units, and legal fees incurred with the transition. Also excluded from our non-GAAP measures are recruiting costs related to the search for a new CEO. These costs represent non-recurring expenses and are not indicative of our ongoing operating expenses. We further believe that excluding the CEO transition costs from our non-GAAP results is useful to investors in that it allows for period-over-period comparability.</w:t>
      </w:r>
    </w:p>
    <w:p>
      <w:pPr>
        <w:spacing w:after="0" w:line="215"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 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211"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i w:val="1"/>
          <w:iCs w:val="1"/>
          <w:color w:val="auto"/>
        </w:rPr>
        <w:t xml:space="preserve">Restructuring and other exit costs, net. </w:t>
      </w:r>
      <w:r>
        <w:rPr>
          <w:rFonts w:ascii="Arial" w:cs="Arial" w:eastAsia="Arial" w:hAnsi="Arial"/>
          <w:sz w:val="16"/>
          <w:szCs w:val="16"/>
          <w:color w:val="auto"/>
        </w:rPr>
        <w:t>These expenses are associated with realigning our business strategies based on current economic conditions.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84" w:lineRule="exact"/>
        <w:rPr>
          <w:sz w:val="20"/>
          <w:szCs w:val="20"/>
          <w:color w:val="auto"/>
        </w:rPr>
      </w:pPr>
    </w:p>
    <w:p>
      <w:pPr>
        <w:ind w:right="340" w:firstLine="405"/>
        <w:spacing w:after="0" w:line="296" w:lineRule="auto"/>
        <w:rPr>
          <w:sz w:val="20"/>
          <w:szCs w:val="20"/>
          <w:color w:val="auto"/>
        </w:rPr>
      </w:pPr>
      <w:r>
        <w:rPr>
          <w:rFonts w:ascii="Arial" w:cs="Arial" w:eastAsia="Arial" w:hAnsi="Arial"/>
          <w:sz w:val="16"/>
          <w:szCs w:val="16"/>
          <w:i w:val="1"/>
          <w:iCs w:val="1"/>
          <w:color w:val="auto"/>
        </w:rPr>
        <w:t xml:space="preserve">Acquisition-related costs. </w:t>
      </w:r>
      <w:r>
        <w:rPr>
          <w:rFonts w:ascii="Arial" w:cs="Arial" w:eastAsia="Arial" w:hAnsi="Arial"/>
          <w:sz w:val="16"/>
          <w:szCs w:val="16"/>
          <w:color w:val="auto"/>
        </w:rPr>
        <w:t>We exclude certain acquisition-related costs, including due diligence costs, professional fees in connection with an</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certain financing costs, and certain integration-related expenses. These expenses are unpredictable, and dependent on factors that may be outside of our control and unrelated to the continuing operations of the acquired business or our Company. In addition, the size and complexity of an acquisition, which often drives the magnitude of acquisition-related costs, may not be indicative of such future costs. We believe excluding acquisition-related costs facilitates the comparison of our financial results to the Company's historical operating results and to other companies in our industry.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42" w:name="page43"/>
    <w:bookmarkEnd w:id="42"/>
    <w:p>
      <w:pPr>
        <w:ind w:firstLine="405"/>
        <w:spacing w:after="0" w:line="293" w:lineRule="auto"/>
        <w:rPr>
          <w:sz w:val="20"/>
          <w:szCs w:val="20"/>
          <w:color w:val="auto"/>
        </w:rPr>
      </w:pPr>
      <w:r>
        <w:rPr>
          <w:rFonts w:ascii="Arial" w:cs="Arial" w:eastAsia="Arial" w:hAnsi="Arial"/>
          <w:sz w:val="16"/>
          <w:szCs w:val="16"/>
          <w:i w:val="1"/>
          <w:iCs w:val="1"/>
          <w:color w:val="auto"/>
        </w:rPr>
        <w:t xml:space="preserve">Loss (gain) on strategic investments and dispositions. </w:t>
      </w:r>
      <w:r>
        <w:rPr>
          <w:rFonts w:ascii="Arial" w:cs="Arial" w:eastAsia="Arial" w:hAnsi="Arial"/>
          <w:sz w:val="16"/>
          <w:szCs w:val="16"/>
          <w:color w:val="auto"/>
        </w:rPr>
        <w:t>We exclude gains and losses related to our strategic investments and dispositions of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purchased intangibles, and businesses from our non-GAAP measures primarily because management finds it useful to exclude these variable gains and losses on these investments and dispositions in assessing our financial results. Included in these amounts are non-cash unrealized gains and losses on the derivative components, dividends received, realized gains and losses on the sales or losses on the impairment of these investments, and gain and loss on dispositions. We believe excluding these items is useful to investors because these excluded items do not correlate to the underlying performance of our business and these losses or gains were incurred in connection with strategic investments and dispositions which do not occur regularly.</w:t>
      </w:r>
    </w:p>
    <w:p>
      <w:pPr>
        <w:spacing w:after="0" w:line="19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i w:val="1"/>
          <w:iCs w:val="1"/>
          <w:color w:val="auto"/>
        </w:rPr>
        <w:t xml:space="preserve">Discrete tax provision items. </w:t>
      </w:r>
      <w:r>
        <w:rPr>
          <w:rFonts w:ascii="Arial" w:cs="Arial" w:eastAsia="Arial" w:hAnsi="Arial"/>
          <w:sz w:val="18"/>
          <w:szCs w:val="18"/>
          <w:color w:val="auto"/>
        </w:rPr>
        <w:t>We exclude the GAAP tax provision, including discrete items, from the non-GAAP measure of net income (loss),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219"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i w:val="1"/>
          <w:iCs w:val="1"/>
          <w:color w:val="auto"/>
        </w:rPr>
        <w:t xml:space="preserve">Establishment (release) of a valuation allowance on certain net deferred tax assets. </w:t>
      </w:r>
      <w:r>
        <w:rPr>
          <w:rFonts w:ascii="Arial" w:cs="Arial" w:eastAsia="Arial" w:hAnsi="Arial"/>
          <w:sz w:val="18"/>
          <w:szCs w:val="18"/>
          <w:color w:val="auto"/>
        </w:rPr>
        <w:t>This is a non-cash charge to record or to release a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on certain deferred tax assets. As explained above, management finds it useful to exclude certain non-cash charges to assess the appropriate level of various cash expenses to assist in budgeting, planning, and forecasting future periods.</w:t>
      </w:r>
    </w:p>
    <w:p>
      <w:pPr>
        <w:spacing w:after="0" w:line="211"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i w:val="1"/>
          <w:iCs w:val="1"/>
          <w:color w:val="auto"/>
        </w:rPr>
        <w:t xml:space="preserve">Income tax effects on the difference between GAAP and non-GAAP costs and expenses. </w:t>
      </w:r>
      <w:r>
        <w:rPr>
          <w:rFonts w:ascii="Arial" w:cs="Arial" w:eastAsia="Arial" w:hAnsi="Arial"/>
          <w:sz w:val="17"/>
          <w:szCs w:val="17"/>
          <w:color w:val="auto"/>
        </w:rPr>
        <w:t>The income tax effects that are excluded from the non-GAAP</w:t>
      </w:r>
      <w:r>
        <w:rPr>
          <w:rFonts w:ascii="Arial" w:cs="Arial" w:eastAsia="Arial" w:hAnsi="Arial"/>
          <w:sz w:val="17"/>
          <w:szCs w:val="17"/>
          <w:i w:val="1"/>
          <w:iCs w:val="1"/>
          <w:color w:val="auto"/>
        </w:rPr>
        <w:t xml:space="preserve"> </w:t>
      </w:r>
      <w:r>
        <w:rPr>
          <w:rFonts w:ascii="Arial" w:cs="Arial" w:eastAsia="Arial" w:hAnsi="Arial"/>
          <w:sz w:val="17"/>
          <w:szCs w:val="17"/>
          <w:color w:val="auto"/>
        </w:rPr>
        <w:t>measures relate to the tax impact on the difference between GAAP and non-GAAP expenses, primarily due to stock-based compensation, amortization of purchased intangibles, and restructuring charges and other exit costs (benefits) for GAAP and non-GAAP measures.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260" w:firstLine="405"/>
        <w:spacing w:after="0" w:line="275" w:lineRule="auto"/>
        <w:rPr>
          <w:sz w:val="20"/>
          <w:szCs w:val="20"/>
          <w:color w:val="auto"/>
        </w:rPr>
      </w:pPr>
      <w:r>
        <w:rPr>
          <w:rFonts w:ascii="Arial" w:cs="Arial" w:eastAsia="Arial" w:hAnsi="Arial"/>
          <w:sz w:val="17"/>
          <w:szCs w:val="17"/>
          <w:color w:val="auto"/>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Long-term cash requirements for items other than normal operating expenses are anticipated for the following: the acquisition of businesses, software products, or technologies complementary to our business; repayment of debt; common stock repurchases; and capital expenditures, including the purchase and implementation of internal-use software applications.</w:t>
      </w:r>
    </w:p>
    <w:p>
      <w:pPr>
        <w:spacing w:after="0" w:line="203"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At April 30, 2021, our principal sources of liquidity were cash and cash equivalents totaling $923.2 million and net accounts receivable of $326.1 million. On May 11, 2021, Autodesk announced the acquisition of Upchain Inc., a cloud-based provider of product lifecycle management and product data management systems, for approximately $126.7 million in cash and $13.1 million in Autodesk common stock to be issued at future dates on the first and second anniversaries of the closing date. We funded this acquisition with available cash on hand. See Part I, Item 1, Note 21, “Subsequent Events,” in the Notes to Condensed Consolidated Financial Statements for further discussion.</w:t>
      </w:r>
    </w:p>
    <w:p>
      <w:pPr>
        <w:spacing w:after="0" w:line="20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December 17, 2018, Autodesk entered into a Credit Agreement (the “Credit Agreement”) for an unsecured revolving loan facility in the aggregate principal amount of $650.0 million, with an option to request increases in the amount of the credit facility by up to an additional $350.0 million. The maturity date on the credit facility is December 2023. At April 30, 2021, Autodesk had no outstanding borrowings on this line of credit. As of June 3, 2021, we have no amounts outstanding under the credit facility. See Part I, Item 1, Note 14, “Borrowing Arrangements,” in the Notes to Condensed Consolidated Financial Statements for further discussion on our covenant requirements. If we are unable to remain in compliance with the covenants under the Credit Agreement, we will not be able to draw on our credit facility.</w:t>
      </w:r>
    </w:p>
    <w:p>
      <w:pPr>
        <w:spacing w:after="0" w:line="21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April 30, 2021, we have $1.65 billion aggregate principal amount of notes outstanding. See Part I, Item 1, Note 14, “Borrowing Arrangements,” in the Notes to Condensed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43" w:name="page44"/>
    <w:bookmarkEnd w:id="43"/>
    <w:p>
      <w:pPr>
        <w:jc w:val="both"/>
        <w:ind w:right="120" w:firstLine="405"/>
        <w:spacing w:after="0" w:line="263"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$650.0 million line of credit.</w:t>
      </w:r>
    </w:p>
    <w:p>
      <w:pPr>
        <w:spacing w:after="0" w:line="21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Our cash and cash equivalents balances are concentrated in a few locations around the world, with substantial amounts held outside of the United States. As of April 30, 2021, approximately 67% of our total cash or cash equivalents are located in foreign jurisdictions and that percentage will fluctuate subject to business needs. There are several factors that can impact our ability to utilize foreign cash balances, such as foreign exchange restrictions, foreign regulatory restrictions, or adverse tax costs. The Tax Act included a mandatory one-time tax on accumulated earnings of foreign subsidiaries and generally eliminated U.S. taxes on foreign subsidiary distributions in future periods. As a result, earnings in foreign jurisdictions are generally available for distribution to the United States with little to no incremental U.S. taxes. We regularly review our capital structure and consider a variety of potential financing alternatives and planning strategies to ensure we have the proper liquidity available in the locations in which it is needed. We expect to meet our liquidity needs through or in combination of current cash balances, ongoing cash flows, and external borrowings.</w:t>
      </w:r>
    </w:p>
    <w:p>
      <w:pPr>
        <w:spacing w:after="0" w:line="19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II, Item 1A titled “Risk Factors.” We currently expect to have sufficient liquidity to manage through the COVID-19 pandemic but we will continue to monitor the impact of potential disruptions beyond our control. Based on our current business plan, planned acquisitions, and revenue prospects, we believe that our existing cash and cash equivalents, our anticipated cash flows from operations, and our available credit facility will be sufficient to meet our working capital and operating resource expenditure requirements for at least the next 12 months.</w:t>
      </w:r>
    </w:p>
    <w:p>
      <w:pPr>
        <w:spacing w:after="0" w:line="215"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b w:val="1"/>
                <w:bCs w:val="1"/>
                <w:color w:val="auto"/>
              </w:rPr>
              <w:t>Three Months Ended April 30,</w:t>
            </w:r>
          </w:p>
        </w:tc>
      </w:tr>
      <w:tr>
        <w:trPr>
          <w:trHeight w:val="188"/>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r>
      <w:tr>
        <w:trPr>
          <w:trHeight w:val="211"/>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327.3</w:t>
            </w:r>
          </w:p>
        </w:tc>
      </w:tr>
      <w:tr>
        <w:trPr>
          <w:trHeight w:val="213"/>
        </w:trPr>
        <w:tc>
          <w:tcPr>
            <w:tcW w:w="85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(78.0)</w:t>
            </w:r>
          </w:p>
        </w:tc>
      </w:tr>
      <w:tr>
        <w:trPr>
          <w:trHeight w:val="219"/>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(630.2)</w:t>
            </w:r>
          </w:p>
        </w:tc>
      </w:tr>
    </w:tbl>
    <w:p>
      <w:pPr>
        <w:spacing w:after="0" w:line="31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Net cash provided by operating activities of $336.1 million for the three months ended April 30, 2021, primarily consisted of $155.6 million of our net income adjusted for $186.2 million non-cash items such as stock-based compensation expense, and depreciation, amortization, and accretion expense. The decrease in cash provided by working capital was primarily due to a decrease in accounts payable and other liabilities of $182.2 million, due to the timing of payments related to employee compensation and related costs, an increase in prepaid expenses and other assets of $125.6 million due to timing of prepaid operating expenses offset by a decrease in accounts receivable of $324.4 million, due to the seasonality of our billings in the fourth fiscal quarter and timing of cash collections from customers.</w:t>
      </w:r>
    </w:p>
    <w:p>
      <w:pPr>
        <w:spacing w:after="0" w:line="219" w:lineRule="exact"/>
        <w:rPr>
          <w:sz w:val="20"/>
          <w:szCs w:val="20"/>
          <w:color w:val="auto"/>
        </w:rPr>
      </w:pPr>
    </w:p>
    <w:p>
      <w:pPr>
        <w:ind w:right="300" w:firstLine="405"/>
        <w:spacing w:after="0" w:line="286" w:lineRule="auto"/>
        <w:rPr>
          <w:sz w:val="20"/>
          <w:szCs w:val="20"/>
          <w:color w:val="auto"/>
        </w:rPr>
      </w:pPr>
      <w:r>
        <w:rPr>
          <w:rFonts w:ascii="Arial" w:cs="Arial" w:eastAsia="Arial" w:hAnsi="Arial"/>
          <w:sz w:val="17"/>
          <w:szCs w:val="17"/>
          <w:color w:val="auto"/>
        </w:rPr>
        <w:t>Net cash provided by operating activities of $327.3 million for the three months ended April 30, 2020, was primarily impacted by non-cash stock-based compensation expense, a source of working capital primarily from a decrease in accounts receivable from January 31, 2020, to April 30, 2020 partially offset by a use of working capital from a decrease in accounts payable and other liabilities and our net income.</w:t>
      </w:r>
    </w:p>
    <w:p>
      <w:pPr>
        <w:spacing w:after="0" w:line="192"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Net cash used in investing activities was $1,040.4 million for the three months ended April 30, 2021, primarily due to a business combination, net of cash acquired. Net cash used in investing activities was $78.0 million for the three months ended April 30, 2020, and was primarily due to purchases of non-marketable equity securities, capital expenditures and purchases of marketable securities.</w:t>
      </w:r>
    </w:p>
    <w:p>
      <w:pPr>
        <w:spacing w:after="0" w:line="211" w:lineRule="exact"/>
        <w:rPr>
          <w:sz w:val="20"/>
          <w:szCs w:val="20"/>
          <w:color w:val="auto"/>
        </w:rPr>
      </w:pPr>
    </w:p>
    <w:p>
      <w:pPr>
        <w:ind w:right="440" w:firstLine="405"/>
        <w:spacing w:after="0" w:line="291" w:lineRule="auto"/>
        <w:rPr>
          <w:sz w:val="20"/>
          <w:szCs w:val="20"/>
          <w:color w:val="auto"/>
        </w:rPr>
      </w:pPr>
      <w:r>
        <w:rPr>
          <w:rFonts w:ascii="Arial" w:cs="Arial" w:eastAsia="Arial" w:hAnsi="Arial"/>
          <w:sz w:val="16"/>
          <w:szCs w:val="16"/>
          <w:color w:val="auto"/>
        </w:rPr>
        <w:t>Net cash used in financing activities was $142.1 million for the three months ended April 30, 2021, primarily due to the repurchases of common stock. These cash outflows were offset in part by cash proceeds from the issuance of common stock. Net cash used in financing activities was</w:t>
      </w:r>
    </w:p>
    <w:p>
      <w:pPr>
        <w:ind w:right="20"/>
        <w:spacing w:after="0" w:line="260" w:lineRule="auto"/>
        <w:rPr>
          <w:sz w:val="20"/>
          <w:szCs w:val="20"/>
          <w:color w:val="auto"/>
        </w:rPr>
      </w:pPr>
      <w:r>
        <w:rPr>
          <w:rFonts w:ascii="Arial" w:cs="Arial" w:eastAsia="Arial" w:hAnsi="Arial"/>
          <w:sz w:val="18"/>
          <w:szCs w:val="18"/>
          <w:color w:val="auto"/>
        </w:rPr>
        <w:t>$630.2 million for the three months ended April 30, 2020, primary due to the repayment of debt and the repurchases of common stock. These cash outflows were offset in part by cash proceeds from the issuance of common stock.</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Autodesk's stock repurchase program provides Autodesk with the ability to offset the dilution from the issuance of stock under our employee stock plans and reduce shares outstanding over time, and has the effect of returning excess cash generated from our business to stockholders. Under the share repurchase program, Autodesk may repurchase shares from time to time in open market transactions, privately negotiated transactions, accelerated share repurchase programs, tender offers, or by other means.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9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following table provides information about the repurchase of common stock in open-market transactions during the three months ended April 30,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w:t>
            </w:r>
          </w:p>
        </w:tc>
        <w:tc>
          <w:tcPr>
            <w:tcW w:w="2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35"/>
        </w:trPr>
        <w:tc>
          <w:tcPr>
            <w:tcW w:w="36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(Shares in thousands)</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88"/>
        </w:trPr>
        <w:tc>
          <w:tcPr>
            <w:tcW w:w="366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w w:val="99"/>
              </w:rPr>
              <w:t>Paid per Share</w:t>
            </w:r>
          </w:p>
        </w:tc>
        <w:tc>
          <w:tcPr>
            <w:tcW w:w="10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Announced Plans or Programs (1)</w:t>
            </w:r>
          </w:p>
        </w:tc>
        <w:tc>
          <w:tcPr>
            <w:tcW w:w="10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(2)</w:t>
            </w:r>
          </w:p>
        </w:tc>
        <w:tc>
          <w:tcPr>
            <w:tcW w:w="0" w:type="dxa"/>
            <w:vAlign w:val="bottom"/>
          </w:tcPr>
          <w:p>
            <w:pPr>
              <w:spacing w:after="0"/>
              <w:rPr>
                <w:sz w:val="1"/>
                <w:szCs w:val="1"/>
                <w:color w:val="auto"/>
              </w:rPr>
            </w:pPr>
          </w:p>
        </w:tc>
      </w:tr>
      <w:tr>
        <w:trPr>
          <w:trHeight w:val="211"/>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February 1 - February 28</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287.13</w:t>
            </w: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11,931.0</w:t>
            </w:r>
          </w:p>
        </w:tc>
        <w:tc>
          <w:tcPr>
            <w:tcW w:w="0" w:type="dxa"/>
            <w:vAlign w:val="bottom"/>
          </w:tcPr>
          <w:p>
            <w:pPr>
              <w:spacing w:after="0"/>
              <w:rPr>
                <w:sz w:val="1"/>
                <w:szCs w:val="1"/>
                <w:color w:val="auto"/>
              </w:rPr>
            </w:pP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March 1 - March 31</w:t>
            </w:r>
          </w:p>
        </w:tc>
        <w:tc>
          <w:tcPr>
            <w:tcW w:w="1440" w:type="dxa"/>
            <w:vAlign w:val="bottom"/>
          </w:tcPr>
          <w:p>
            <w:pPr>
              <w:jc w:val="right"/>
              <w:spacing w:after="0"/>
              <w:rPr>
                <w:sz w:val="20"/>
                <w:szCs w:val="20"/>
                <w:color w:val="auto"/>
              </w:rPr>
            </w:pPr>
            <w:r>
              <w:rPr>
                <w:rFonts w:ascii="Arial" w:cs="Arial" w:eastAsia="Arial" w:hAnsi="Arial"/>
                <w:sz w:val="16"/>
                <w:szCs w:val="16"/>
                <w:color w:val="auto"/>
              </w:rPr>
              <w:t>303.0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268.47</w:t>
            </w:r>
          </w:p>
        </w:tc>
        <w:tc>
          <w:tcPr>
            <w:tcW w:w="1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303.0</w:t>
            </w:r>
          </w:p>
        </w:tc>
        <w:tc>
          <w:tcPr>
            <w:tcW w:w="2280" w:type="dxa"/>
            <w:vAlign w:val="bottom"/>
            <w:gridSpan w:val="2"/>
          </w:tcPr>
          <w:p>
            <w:pPr>
              <w:jc w:val="right"/>
              <w:spacing w:after="0"/>
              <w:rPr>
                <w:sz w:val="20"/>
                <w:szCs w:val="20"/>
                <w:color w:val="auto"/>
              </w:rPr>
            </w:pPr>
            <w:r>
              <w:rPr>
                <w:rFonts w:ascii="Arial" w:cs="Arial" w:eastAsia="Arial" w:hAnsi="Arial"/>
                <w:sz w:val="16"/>
                <w:szCs w:val="16"/>
                <w:color w:val="auto"/>
              </w:rPr>
              <w:t>11,628.0</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1- April 30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293.33</w:t>
            </w:r>
          </w:p>
        </w:tc>
        <w:tc>
          <w:tcPr>
            <w:tcW w:w="100" w:type="dxa"/>
            <w:vAlign w:val="bottom"/>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11,560.0</w:t>
            </w:r>
          </w:p>
        </w:tc>
        <w:tc>
          <w:tcPr>
            <w:tcW w:w="0" w:type="dxa"/>
            <w:vAlign w:val="bottom"/>
          </w:tcPr>
          <w:p>
            <w:pPr>
              <w:spacing w:after="0"/>
              <w:rPr>
                <w:sz w:val="1"/>
                <w:szCs w:val="1"/>
                <w:color w:val="auto"/>
              </w:rPr>
            </w:pPr>
          </w:p>
        </w:tc>
      </w:tr>
      <w:tr>
        <w:trPr>
          <w:trHeight w:val="206"/>
        </w:trPr>
        <w:tc>
          <w:tcPr>
            <w:tcW w:w="3660" w:type="dxa"/>
            <w:vAlign w:val="bottom"/>
          </w:tcPr>
          <w:p>
            <w:pPr>
              <w:ind w:left="2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515.0</w:t>
            </w: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420" w:hanging="412"/>
        <w:spacing w:after="0"/>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represents shares purchased in open-market transactions under the stock repurchase plan approved by the Board of Directors.</w:t>
      </w:r>
    </w:p>
    <w:p>
      <w:pPr>
        <w:spacing w:after="0" w:line="9" w:lineRule="exact"/>
        <w:rPr>
          <w:rFonts w:ascii="Arial" w:cs="Arial" w:eastAsia="Arial" w:hAnsi="Arial"/>
          <w:sz w:val="16"/>
          <w:szCs w:val="16"/>
          <w:color w:val="auto"/>
        </w:rPr>
      </w:pPr>
    </w:p>
    <w:p>
      <w:pPr>
        <w:ind w:left="420" w:right="180" w:hanging="412"/>
        <w:spacing w:after="0" w:line="251"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These amounts correspond to the plan publicly announced and approved by the Board of Directors in September 2016 that authorized the repurchase of 30.0 million shares. The plan does not have a fixed expiration date. See Note 17, “Stockholders' Equity ,” in the Notes to the Condensed Consolidated Financial Statements for further discussion.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April 30, 2021, we did not have any significant off-balance sheet arrangements, as defined in Item 303(a)(4)(ii) of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Billings: </w:t>
      </w:r>
      <w:r>
        <w:rPr>
          <w:rFonts w:ascii="Arial" w:cs="Arial" w:eastAsia="Arial" w:hAnsi="Arial"/>
          <w:sz w:val="18"/>
          <w:szCs w:val="18"/>
          <w:color w:val="auto"/>
        </w:rPr>
        <w:t>Total revenue plus the net change in deferred revenue from the beginning to the end of the period.</w:t>
      </w:r>
    </w:p>
    <w:p>
      <w:pPr>
        <w:spacing w:after="0" w:line="252"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i w:val="1"/>
          <w:iCs w:val="1"/>
          <w:color w:val="auto"/>
        </w:rPr>
        <w:t>Cloud Service Offerings</w:t>
      </w:r>
      <w:r>
        <w:rPr>
          <w:rFonts w:ascii="Arial" w:cs="Arial" w:eastAsia="Arial" w:hAnsi="Arial"/>
          <w:sz w:val="16"/>
          <w:szCs w:val="16"/>
          <w:color w:val="auto"/>
        </w:rPr>
        <w:t>: Represents individual term-based offerings deployed through web browser technologies or in a hybrid software and cloud</w:t>
      </w:r>
      <w:r>
        <w:rPr>
          <w:rFonts w:ascii="Arial" w:cs="Arial" w:eastAsia="Arial" w:hAnsi="Arial"/>
          <w:sz w:val="16"/>
          <w:szCs w:val="16"/>
          <w:i w:val="1"/>
          <w:iCs w:val="1"/>
          <w:color w:val="auto"/>
        </w:rPr>
        <w:t xml:space="preserve"> </w:t>
      </w:r>
      <w:r>
        <w:rPr>
          <w:rFonts w:ascii="Arial" w:cs="Arial" w:eastAsia="Arial" w:hAnsi="Arial"/>
          <w:sz w:val="16"/>
          <w:szCs w:val="16"/>
          <w:color w:val="auto"/>
        </w:rPr>
        <w:t>configuration. Cloud service offerings that are bundled with other product offerings are not captured as a separate cloud service offering.</w:t>
      </w:r>
    </w:p>
    <w:p>
      <w:pPr>
        <w:spacing w:after="0" w:line="15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i w:val="1"/>
          <w:iCs w:val="1"/>
          <w:color w:val="auto"/>
        </w:rPr>
        <w:t xml:space="preserve">Constant Currency (CC) Growth Rates: </w:t>
      </w:r>
      <w:r>
        <w:rPr>
          <w:rFonts w:ascii="Arial" w:cs="Arial" w:eastAsia="Arial" w:hAnsi="Arial"/>
          <w:sz w:val="17"/>
          <w:szCs w:val="17"/>
          <w:color w:val="auto"/>
        </w:rPr>
        <w:t>We attempt to represent the changes in the underlying business operations by eliminating fluctuations caused by</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19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 xml:space="preserve">Design Business: </w:t>
      </w:r>
      <w:r>
        <w:rPr>
          <w:rFonts w:ascii="Arial" w:cs="Arial" w:eastAsia="Arial" w:hAnsi="Arial"/>
          <w:sz w:val="18"/>
          <w:szCs w:val="18"/>
          <w:color w:val="auto"/>
        </w:rPr>
        <w:t>Represents the combination of maintenance, product subscriptions, and all EBAs. Main products include, but are not limited to,</w:t>
      </w:r>
      <w:r>
        <w:rPr>
          <w:rFonts w:ascii="Arial" w:cs="Arial" w:eastAsia="Arial" w:hAnsi="Arial"/>
          <w:sz w:val="18"/>
          <w:szCs w:val="18"/>
          <w:i w:val="1"/>
          <w:iCs w:val="1"/>
          <w:color w:val="auto"/>
        </w:rPr>
        <w:t xml:space="preserve"> </w:t>
      </w:r>
      <w:r>
        <w:rPr>
          <w:rFonts w:ascii="Arial" w:cs="Arial" w:eastAsia="Arial" w:hAnsi="Arial"/>
          <w:sz w:val="18"/>
          <w:szCs w:val="18"/>
          <w:color w:val="auto"/>
        </w:rPr>
        <w:t>AutoCAD, AutoCAD LT, Industry Collections, Revit, Inventor, Maya and 3ds Max. Certain products, such as our computer aided manufacturing solutions, incorporate both Design and Make functionality and are classified as Design.</w:t>
      </w:r>
    </w:p>
    <w:p>
      <w:pPr>
        <w:spacing w:after="0" w:line="21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 xml:space="preserve">Enterprise Business Agreements (EBAs): </w:t>
      </w:r>
      <w:r>
        <w:rPr>
          <w:rFonts w:ascii="Arial" w:cs="Arial" w:eastAsia="Arial" w:hAnsi="Arial"/>
          <w:sz w:val="18"/>
          <w:szCs w:val="18"/>
          <w:color w:val="auto"/>
        </w:rPr>
        <w:t>Represents programs providing enterprise customers with token-based access to a broad pool of Autodesk</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over a defined contract term.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Cash flow from operating activities minus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ind w:right="320"/>
        <w:spacing w:after="0" w:line="263" w:lineRule="auto"/>
        <w:rPr>
          <w:sz w:val="20"/>
          <w:szCs w:val="20"/>
          <w:color w:val="auto"/>
        </w:rPr>
      </w:pPr>
      <w:r>
        <w:rPr>
          <w:rFonts w:ascii="Arial" w:cs="Arial" w:eastAsia="Arial" w:hAnsi="Arial"/>
          <w:sz w:val="18"/>
          <w:szCs w:val="18"/>
          <w:i w:val="1"/>
          <w:iCs w:val="1"/>
          <w:color w:val="auto"/>
        </w:rPr>
        <w:t xml:space="preserve">Industry Collections: </w:t>
      </w:r>
      <w:r>
        <w:rPr>
          <w:rFonts w:ascii="Arial" w:cs="Arial" w:eastAsia="Arial" w:hAnsi="Arial"/>
          <w:sz w:val="18"/>
          <w:szCs w:val="18"/>
          <w:color w:val="auto"/>
        </w:rPr>
        <w:t>Autodesk Industry Collections are a combination of products and services that target a specific user objective and support a set of</w:t>
      </w:r>
      <w:r>
        <w:rPr>
          <w:rFonts w:ascii="Arial" w:cs="Arial" w:eastAsia="Arial" w:hAnsi="Arial"/>
          <w:sz w:val="18"/>
          <w:szCs w:val="18"/>
          <w:i w:val="1"/>
          <w:iCs w:val="1"/>
          <w:color w:val="auto"/>
        </w:rPr>
        <w:t xml:space="preserve"> </w:t>
      </w:r>
      <w:r>
        <w:rPr>
          <w:rFonts w:ascii="Arial" w:cs="Arial" w:eastAsia="Arial" w:hAnsi="Arial"/>
          <w:sz w:val="18"/>
          <w:szCs w:val="18"/>
          <w:color w:val="auto"/>
        </w:rPr>
        <w:t>workflows for that objective. Our Industry Collections consist of: Autodesk Architecture, Engineering and Construction Collection, Autodesk Product Design &amp; Manufacturing Collection, and Autodesk Media and Entertainment Collection.</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Maintenance Plan: </w:t>
      </w:r>
      <w:r>
        <w:rPr>
          <w:rFonts w:ascii="Arial" w:cs="Arial" w:eastAsia="Arial" w:hAnsi="Arial"/>
          <w:sz w:val="18"/>
          <w:szCs w:val="18"/>
          <w:color w:val="auto"/>
        </w:rPr>
        <w:t>Our maintenance plans provide our customers with a cost effective and predictable budgetary option to obtain the productivity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one year.</w:t>
      </w:r>
    </w:p>
    <w:p>
      <w:pPr>
        <w:spacing w:after="0" w:line="21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i w:val="1"/>
          <w:iCs w:val="1"/>
          <w:color w:val="auto"/>
        </w:rPr>
        <w:t xml:space="preserve">Make Business: </w:t>
      </w:r>
      <w:r>
        <w:rPr>
          <w:rFonts w:ascii="Arial" w:cs="Arial" w:eastAsia="Arial" w:hAnsi="Arial"/>
          <w:sz w:val="18"/>
          <w:szCs w:val="18"/>
          <w:color w:val="auto"/>
        </w:rPr>
        <w:t>Represents certain cloud-based product subscriptions. Main products include, but are not limited to, Assemble, BIM 360,</w:t>
      </w:r>
      <w:r>
        <w:rPr>
          <w:rFonts w:ascii="Arial" w:cs="Arial" w:eastAsia="Arial" w:hAnsi="Arial"/>
          <w:sz w:val="18"/>
          <w:szCs w:val="18"/>
          <w:i w:val="1"/>
          <w:iCs w:val="1"/>
          <w:color w:val="auto"/>
        </w:rPr>
        <w:t xml:space="preserve"> </w:t>
      </w:r>
      <w:r>
        <w:rPr>
          <w:rFonts w:ascii="Arial" w:cs="Arial" w:eastAsia="Arial" w:hAnsi="Arial"/>
          <w:sz w:val="18"/>
          <w:szCs w:val="18"/>
          <w:color w:val="auto"/>
        </w:rPr>
        <w:t>BuildingConnected, PlanGrid, Fusion 360 and Shotgun. Certain products, such as Fusion 360, incorporate both Design and Make functionality and are classified as Make.</w:t>
      </w:r>
    </w:p>
    <w:p>
      <w:pPr>
        <w:spacing w:after="0" w:line="21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Net Revenue Retention Rate (NR3): </w:t>
      </w:r>
      <w:r>
        <w:rPr>
          <w:rFonts w:ascii="Arial" w:cs="Arial" w:eastAsia="Arial" w:hAnsi="Arial"/>
          <w:sz w:val="17"/>
          <w:szCs w:val="17"/>
          <w:color w:val="auto"/>
        </w:rPr>
        <w:t>Measures the year-over-year change in subscription and maintenance revenue for the population of customers that</w:t>
      </w:r>
      <w:r>
        <w:rPr>
          <w:rFonts w:ascii="Arial" w:cs="Arial" w:eastAsia="Arial" w:hAnsi="Arial"/>
          <w:sz w:val="17"/>
          <w:szCs w:val="17"/>
          <w:i w:val="1"/>
          <w:iCs w:val="1"/>
          <w:color w:val="auto"/>
        </w:rPr>
        <w:t xml:space="preserve"> </w:t>
      </w:r>
      <w:r>
        <w:rPr>
          <w:rFonts w:ascii="Arial" w:cs="Arial" w:eastAsia="Arial" w:hAnsi="Arial"/>
          <w:sz w:val="17"/>
          <w:szCs w:val="17"/>
          <w:color w:val="auto"/>
        </w:rPr>
        <w:t>existed one year ago (“base customers”). Net revenue retention rate is calculated by dividing the current quarter subscription and maintenance revenue related to base customers by the total corresponding quarter subscription and maintenance revenue from one year ago. Subscription and maintenance revenue is based on USD reported revenue, and fluctuations caused by changes in foreign currency exchange rates and hedge gains or losses have not been eliminated. Subscription and maintenance revenue related to acquired companies, one year after acquisition, has been captured as existing customers until such data conforms to the calculation methodology. This may cause variability in the comparison.</w:t>
      </w:r>
    </w:p>
    <w:p>
      <w:pPr>
        <w:spacing w:after="0" w:line="2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Consists of revenue from consulting, training, and other products and services, and is recognized as the products are delivered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are performed.</w:t>
      </w:r>
    </w:p>
    <w:p>
      <w:pPr>
        <w:spacing w:after="0" w:line="19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i w:val="1"/>
          <w:iCs w:val="1"/>
          <w:color w:val="auto"/>
        </w:rPr>
        <w:t xml:space="preserve">Product Subscription: </w:t>
      </w:r>
      <w:r>
        <w:rPr>
          <w:rFonts w:ascii="Arial" w:cs="Arial" w:eastAsia="Arial" w:hAnsi="Arial"/>
          <w:sz w:val="18"/>
          <w:szCs w:val="18"/>
          <w:color w:val="auto"/>
        </w:rPr>
        <w:t>Provides customers a flexible, cost-effective way to access and manage 3D design, engineering, and entertainment software tools.</w:t>
      </w:r>
      <w:r>
        <w:rPr>
          <w:rFonts w:ascii="Arial" w:cs="Arial" w:eastAsia="Arial" w:hAnsi="Arial"/>
          <w:sz w:val="18"/>
          <w:szCs w:val="18"/>
          <w:i w:val="1"/>
          <w:iCs w:val="1"/>
          <w:color w:val="auto"/>
        </w:rPr>
        <w:t xml:space="preserve"> </w:t>
      </w:r>
      <w:r>
        <w:rPr>
          <w:rFonts w:ascii="Arial" w:cs="Arial" w:eastAsia="Arial" w:hAnsi="Arial"/>
          <w:sz w:val="18"/>
          <w:szCs w:val="18"/>
          <w:color w:val="auto"/>
        </w:rPr>
        <w:t>Our product subscriptions currently represent a hybrid of desktop and cloud functionality, which provides a device-independent, collaborative design workflow for designers and their stakeholders.</w:t>
      </w:r>
    </w:p>
    <w:p>
      <w:pPr>
        <w:spacing w:after="0" w:line="21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i w:val="1"/>
          <w:iCs w:val="1"/>
          <w:color w:val="auto"/>
        </w:rPr>
        <w:t xml:space="preserve">Recurring Revenue: </w:t>
      </w:r>
      <w:r>
        <w:rPr>
          <w:rFonts w:ascii="Arial" w:cs="Arial" w:eastAsia="Arial" w:hAnsi="Arial"/>
          <w:sz w:val="18"/>
          <w:szCs w:val="18"/>
          <w:color w:val="auto"/>
        </w:rPr>
        <w:t>Consists of the revenue for the period from our traditional maintenance plans and revenue from our subscription plan offerings. It</w:t>
      </w:r>
      <w:r>
        <w:rPr>
          <w:rFonts w:ascii="Arial" w:cs="Arial" w:eastAsia="Arial" w:hAnsi="Arial"/>
          <w:sz w:val="18"/>
          <w:szCs w:val="18"/>
          <w:i w:val="1"/>
          <w:iCs w:val="1"/>
          <w:color w:val="auto"/>
        </w:rPr>
        <w:t xml:space="preserve"> </w:t>
      </w:r>
      <w:r>
        <w:rPr>
          <w:rFonts w:ascii="Arial" w:cs="Arial" w:eastAsia="Arial" w:hAnsi="Arial"/>
          <w:sz w:val="18"/>
          <w:szCs w:val="18"/>
          <w:color w:val="auto"/>
        </w:rPr>
        <w:t>excludes subscription revenue related to consumer product offerings, select Creative Finishing product offerings, and third-party products. Recurring revenue acquired with the acquisition of a business is captured when total subscriptions are captured in our systems and may cause variability in the comparison of this calculation.</w:t>
      </w:r>
    </w:p>
    <w:p>
      <w:pPr>
        <w:spacing w:after="0" w:line="21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 xml:space="preserve">Remaining Performance Obligations (RPO): </w:t>
      </w:r>
      <w:r>
        <w:rPr>
          <w:rFonts w:ascii="Arial" w:cs="Arial" w:eastAsia="Arial" w:hAnsi="Arial"/>
          <w:sz w:val="18"/>
          <w:szCs w:val="18"/>
          <w:color w:val="auto"/>
        </w:rPr>
        <w:t>The sum of total short-term, long-term, and unbilled deferred revenue. Current remaining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is the amount of revenue we expect to recognize in the next twelve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Spend</w:t>
      </w:r>
      <w:r>
        <w:rPr>
          <w:rFonts w:ascii="Arial" w:cs="Arial" w:eastAsia="Arial" w:hAnsi="Arial"/>
          <w:sz w:val="18"/>
          <w:szCs w:val="18"/>
          <w:color w:val="auto"/>
        </w:rPr>
        <w:t>: The sum of cost of revenue and operating expenses.</w:t>
      </w:r>
    </w:p>
    <w:p>
      <w:pPr>
        <w:spacing w:after="0" w:line="252" w:lineRule="exact"/>
        <w:rPr>
          <w:sz w:val="20"/>
          <w:szCs w:val="20"/>
          <w:color w:val="auto"/>
        </w:rPr>
      </w:pPr>
    </w:p>
    <w:p>
      <w:pPr>
        <w:ind w:right="600"/>
        <w:spacing w:after="0" w:line="311" w:lineRule="auto"/>
        <w:rPr>
          <w:sz w:val="20"/>
          <w:szCs w:val="20"/>
          <w:color w:val="auto"/>
        </w:rPr>
      </w:pPr>
      <w:r>
        <w:rPr>
          <w:rFonts w:ascii="Arial" w:cs="Arial" w:eastAsia="Arial" w:hAnsi="Arial"/>
          <w:sz w:val="16"/>
          <w:szCs w:val="16"/>
          <w:i w:val="1"/>
          <w:iCs w:val="1"/>
          <w:color w:val="auto"/>
        </w:rPr>
        <w:t xml:space="preserve">Subscription Plan: </w:t>
      </w:r>
      <w:r>
        <w:rPr>
          <w:rFonts w:ascii="Arial" w:cs="Arial" w:eastAsia="Arial" w:hAnsi="Arial"/>
          <w:sz w:val="16"/>
          <w:szCs w:val="16"/>
          <w:color w:val="auto"/>
        </w:rPr>
        <w:t>Comprises our term-based product subscriptions, cloud service offerings, and EBAs. Subscriptions represent a combined hybrid</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of desktop software and cloud functionality which provides a device-independent, collaborative design workflow for designers and their stakeholders. With subscription, customers can use our software anytime, anywhere, and get access to the latest updates to previous versions.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Subscription Revenue: </w:t>
      </w:r>
      <w:r>
        <w:rPr>
          <w:rFonts w:ascii="Arial" w:cs="Arial" w:eastAsia="Arial" w:hAnsi="Arial"/>
          <w:sz w:val="18"/>
          <w:szCs w:val="18"/>
          <w:color w:val="auto"/>
        </w:rPr>
        <w:t>Includes our term-based product subscriptions, cloud service offerings, and flexible EBAs.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Unbilled Deferred Revenue: </w:t>
      </w:r>
      <w:r>
        <w:rPr>
          <w:rFonts w:ascii="Arial" w:cs="Arial" w:eastAsia="Arial" w:hAnsi="Arial"/>
          <w:sz w:val="18"/>
          <w:szCs w:val="18"/>
          <w:color w:val="auto"/>
        </w:rPr>
        <w:t>Unbilled deferred revenue represents contractually stated or committed orders under early renewal and multi-year billing plans</w:t>
      </w:r>
      <w:r>
        <w:rPr>
          <w:rFonts w:ascii="Arial" w:cs="Arial" w:eastAsia="Arial" w:hAnsi="Arial"/>
          <w:sz w:val="18"/>
          <w:szCs w:val="18"/>
          <w:i w:val="1"/>
          <w:iCs w:val="1"/>
          <w:color w:val="auto"/>
        </w:rPr>
        <w:t xml:space="preserve"> </w:t>
      </w:r>
      <w:r>
        <w:rPr>
          <w:rFonts w:ascii="Arial" w:cs="Arial" w:eastAsia="Arial" w:hAnsi="Arial"/>
          <w:sz w:val="18"/>
          <w:szCs w:val="18"/>
          <w:color w:val="auto"/>
        </w:rPr>
        <w:t>for subscription, services, and maintenance for which the associated deferred revenue has not been recognized. Under FASB Accounting Standards Codification (“ASC”) Topic 606, unbilled deferred revenue is not included as a receivable or deferred revenue on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6" w:name="page47"/>
    <w:bookmarkEnd w:id="46"/>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56"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April 30, 2021, and January 31, 2021, we had open cash flow and balance sheet hedge contracts with future settlements generally within one to 12 months. Contracts were primarily denominated in euros, Japanese yen, British pounds, Canadian dollars, Australian dollars, Singapore dollars, Swiss francs, Swedish krona, and Czech koruna. We do not enter into foreign exchange derivative instruments for trading or speculative purposes.</w:t>
      </w:r>
    </w:p>
    <w:p>
      <w:pPr>
        <w:spacing w:after="0" w:line="219" w:lineRule="exact"/>
        <w:rPr>
          <w:sz w:val="20"/>
          <w:szCs w:val="20"/>
          <w:color w:val="auto"/>
        </w:rPr>
      </w:pPr>
    </w:p>
    <w:p>
      <w:pPr>
        <w:ind w:right="40" w:firstLine="445"/>
        <w:spacing w:after="0" w:line="269" w:lineRule="auto"/>
        <w:rPr>
          <w:sz w:val="20"/>
          <w:szCs w:val="20"/>
          <w:color w:val="auto"/>
        </w:rPr>
      </w:pPr>
      <w:r>
        <w:rPr>
          <w:rFonts w:ascii="Arial" w:cs="Arial" w:eastAsia="Arial" w:hAnsi="Arial"/>
          <w:sz w:val="18"/>
          <w:szCs w:val="18"/>
          <w:color w:val="auto"/>
        </w:rPr>
        <w:t>Our option and foreign exchange forward contracts outstanding as of the respective period-ends are summarized in U.S. dollar equivalents as follows (in millions):</w:t>
      </w: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April 30, 2021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January 31, 2021</w:t>
            </w:r>
          </w:p>
        </w:tc>
      </w:tr>
      <w:tr>
        <w:trPr>
          <w:trHeight w:val="187"/>
        </w:trPr>
        <w:tc>
          <w:tcPr>
            <w:tcW w:w="5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 Amount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 Amount</w:t>
            </w:r>
          </w:p>
        </w:tc>
        <w:tc>
          <w:tcPr>
            <w:tcW w:w="260" w:type="dxa"/>
            <w:vAlign w:val="bottom"/>
          </w:tcPr>
          <w:p>
            <w:pPr>
              <w:spacing w:after="0"/>
              <w:rPr>
                <w:sz w:val="16"/>
                <w:szCs w:val="16"/>
                <w:color w:val="auto"/>
              </w:rPr>
            </w:pPr>
          </w:p>
        </w:tc>
        <w:tc>
          <w:tcPr>
            <w:tcW w:w="1200" w:type="dxa"/>
            <w:vAlign w:val="bottom"/>
          </w:tcPr>
          <w:p>
            <w:pPr>
              <w:jc w:val="right"/>
              <w:ind w:right="314"/>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Forward Contracts: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5080" w:type="dxa"/>
            <w:vAlign w:val="bottom"/>
          </w:tcPr>
          <w:p>
            <w:pPr>
              <w:ind w:left="240"/>
              <w:spacing w:after="0"/>
              <w:rPr>
                <w:sz w:val="20"/>
                <w:szCs w:val="20"/>
                <w:color w:val="auto"/>
              </w:rPr>
            </w:pPr>
            <w:r>
              <w:rPr>
                <w:rFonts w:ascii="Arial" w:cs="Arial" w:eastAsia="Arial" w:hAnsi="Arial"/>
                <w:sz w:val="18"/>
                <w:szCs w:val="18"/>
                <w:color w:val="auto"/>
              </w:rPr>
              <w:t>Purchased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724.6</w:t>
            </w:r>
          </w:p>
        </w:tc>
        <w:tc>
          <w:tcPr>
            <w:tcW w:w="120" w:type="dxa"/>
            <w:vAlign w:val="bottom"/>
          </w:tcPr>
          <w:p>
            <w:pPr>
              <w:spacing w:after="0"/>
              <w:rPr>
                <w:sz w:val="19"/>
                <w:szCs w:val="19"/>
                <w:color w:val="auto"/>
              </w:rPr>
            </w:pPr>
          </w:p>
        </w:tc>
        <w:tc>
          <w:tcPr>
            <w:tcW w:w="1060" w:type="dxa"/>
            <w:vAlign w:val="bottom"/>
          </w:tcPr>
          <w:p>
            <w:pPr>
              <w:jc w:val="right"/>
              <w:ind w:right="874"/>
              <w:spacing w:after="0"/>
              <w:rPr>
                <w:sz w:val="20"/>
                <w:szCs w:val="20"/>
                <w:color w:val="auto"/>
              </w:rPr>
            </w:pPr>
            <w:r>
              <w:rPr>
                <w:rFonts w:ascii="Arial" w:cs="Arial" w:eastAsia="Arial" w:hAnsi="Arial"/>
                <w:sz w:val="18"/>
                <w:szCs w:val="18"/>
                <w:color w:val="auto"/>
                <w:w w:val="79"/>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686.0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5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Sold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4"/>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Option Contracts: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4"/>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5080" w:type="dxa"/>
            <w:vAlign w:val="bottom"/>
          </w:tcPr>
          <w:p>
            <w:pPr>
              <w:ind w:left="240"/>
              <w:spacing w:after="0"/>
              <w:rPr>
                <w:sz w:val="20"/>
                <w:szCs w:val="20"/>
                <w:color w:val="auto"/>
              </w:rPr>
            </w:pPr>
            <w:r>
              <w:rPr>
                <w:rFonts w:ascii="Arial" w:cs="Arial" w:eastAsia="Arial" w:hAnsi="Arial"/>
                <w:sz w:val="18"/>
                <w:szCs w:val="18"/>
                <w:color w:val="auto"/>
              </w:rPr>
              <w:t>Sold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1,200.5</w:t>
            </w:r>
          </w:p>
        </w:tc>
        <w:tc>
          <w:tcPr>
            <w:tcW w:w="120" w:type="dxa"/>
            <w:vAlign w:val="bottom"/>
          </w:tcPr>
          <w:p>
            <w:pPr>
              <w:spacing w:after="0"/>
              <w:rPr>
                <w:sz w:val="20"/>
                <w:szCs w:val="20"/>
                <w:color w:val="auto"/>
              </w:rPr>
            </w:pPr>
          </w:p>
        </w:tc>
        <w:tc>
          <w:tcPr>
            <w:tcW w:w="1060" w:type="dxa"/>
            <w:vAlign w:val="bottom"/>
          </w:tcPr>
          <w:p>
            <w:pPr>
              <w:jc w:val="right"/>
              <w:ind w:right="874"/>
              <w:spacing w:after="0"/>
              <w:rPr>
                <w:sz w:val="20"/>
                <w:szCs w:val="20"/>
                <w:color w:val="auto"/>
              </w:rPr>
            </w:pPr>
            <w:r>
              <w:rPr>
                <w:rFonts w:ascii="Arial" w:cs="Arial" w:eastAsia="Arial" w:hAnsi="Arial"/>
                <w:sz w:val="18"/>
                <w:szCs w:val="18"/>
                <w:color w:val="auto"/>
                <w:w w:val="79"/>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91"/>
              </w:rPr>
              <w:t>(7.4)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1,092.1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(18.6)</w:t>
            </w:r>
          </w:p>
        </w:tc>
      </w:tr>
    </w:tbl>
    <w:p>
      <w:pPr>
        <w:spacing w:after="0" w:line="336"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We use foreign currency contracts to reduce the exchange rate impact on the net revenue and operating expenses of certain anticipated transactions. A sensitivity analysis performed on our hedging portfolio as of April 30, 2021, indicated that a hypothetical 10% appreciation of the U.S. dollar from its value at April 30, 2021, and January 31, 2021, would increase the fair value of our foreign currency contracts by $89.2 million and $118.6 million, respectively.</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A hypothetical 10% depreciation of the dollar from its value at April 30, 2021, and January 31, 2021, would decrease the fair value of our foreign currency contracts by $73.0 million and $149.2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ind w:right="40" w:firstLine="445"/>
        <w:spacing w:after="0" w:line="286" w:lineRule="auto"/>
        <w:rPr>
          <w:sz w:val="20"/>
          <w:szCs w:val="20"/>
          <w:color w:val="auto"/>
        </w:rPr>
      </w:pPr>
      <w:r>
        <w:rPr>
          <w:rFonts w:ascii="Arial" w:cs="Arial" w:eastAsia="Arial" w:hAnsi="Arial"/>
          <w:sz w:val="17"/>
          <w:szCs w:val="17"/>
          <w:color w:val="auto"/>
        </w:rPr>
        <w:t>Interest rate movements affect both the interest income we earn on our short-term investments and the market value of certain longer-term securities. At April 30, 2021, we had $176.0 million of cash equivalents and marketable securities. If interest rates were to move up or down by 50 or 100 basis points over a 12-month period, the market value change of these securities would not have a material impact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56"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Note 5, “Financial Instruments,” for further discussion regarding these strategic investments.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 (i) recorded, processed, summarized, and reported within the time periods specified in the rules of the Securities and Exchange Commission, and (ii) accumulated and communicated to Autodesk management, including our CEO and CFO, to allow timely decisions regarding required disclosure. We conducted an evaluation, under the supervision and with the participation of our CEO and CFO, of the effectiveness of the design and operation of our disclosure controls and procedures as of the end of the period covered by this Quarterly Report on Form 10-Q. Based upon this evaluation, our CEO and CFO have concluded that our disclosure controls and procedures were effective to meet the objective for which they were designed and operated at the reasonable assurance level.</w:t>
      </w:r>
    </w:p>
    <w:p>
      <w:pPr>
        <w:spacing w:after="0" w:line="21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disclosure controls and procedures include components of our internal control over financial reporting. Our management, including our CEO and CFO,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Exchange Act) during the three months ended April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We are involved in a variety of claims, suits, investigations, inquiries and proceedings in the normal course of business activities including claims of alleged infringement of intellectual property rights, commercial, employment, tax, prosecution of unauthorized use,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Summary of Risk Factors</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securities. These risks are described more fully below and include, but are not limited to, risks relating to the following:</w:t>
      </w:r>
    </w:p>
    <w:p>
      <w:pPr>
        <w:spacing w:after="0" w:line="62" w:lineRule="exact"/>
        <w:rPr>
          <w:sz w:val="20"/>
          <w:szCs w:val="20"/>
          <w:color w:val="auto"/>
        </w:rPr>
      </w:pPr>
    </w:p>
    <w:p>
      <w:pPr>
        <w:ind w:left="660" w:right="58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strategy to develop and introduce new products and services, exposing us to risks such as limited customer acceptance, costs related to product defects, and large expenditures.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effects of the COVID-19 pandemic and related public health measures.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Global economic and political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and challenges associated with strategic acquisitions and investments.</w:t>
      </w:r>
    </w:p>
    <w:p>
      <w:pPr>
        <w:spacing w:after="0" w:line="117"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Dependency on international revenue and operations, exposing us to significant international regulatory, economic, intellectual property, collections, currency exchange rate, taxation, political, and other risks.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predict subscription renewal rates and their impact on our future revenue and operating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Existing and increased competition and rapidly evolving technological changes.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 of our financial results, key metrics and other operating metrics.</w:t>
      </w:r>
    </w:p>
    <w:p>
      <w:pPr>
        <w:spacing w:after="0" w:line="117"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Deriving a substantial portion of our net revenue from a small number of solutions, including our AutoCAD-based software products and collections.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failure to successfully execute and manage initiatives to realign or introduce new business and sales initiatives.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Net revenue, billings, earnings, cash flow, or subscriptions shortfalls or volatility of the market causing the market price of our stock to decline.</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Social and ethical issues relating to the use of artificial intelligence in our offerings.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Security incidents compromising the integrity of our or our customers’ offerings, services, data, or intellectual property.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Reliance on third parties to provide us with a number of operational and technical services as well as software.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highly complex software, which may contain undetected errors, defects, or vulnerabilities.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regulatory focus on privacy issues and expanding laws.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ind w:left="660" w:right="2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Governmental export and import controls that could impair our ability to compete in international markets or subject us to liability if we violate the controls.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Protection of our intellectual property rights and intellectual property infringement claims from others.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government procurement process.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debt service obligations.</w:t>
      </w:r>
    </w:p>
    <w:p>
      <w:pPr>
        <w:spacing w:after="0" w:line="10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investment portfolio consisting of a variety of investment vehicles that are subject to interest rate trends, market volatility, and other economic factors.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Risks Relating to Our Business and Strategy</w:t>
      </w:r>
    </w:p>
    <w:p>
      <w:pPr>
        <w:spacing w:after="0" w:line="23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each of which may result in no additional net revenue or decreased net revenue.</w:t>
      </w:r>
    </w:p>
    <w:p>
      <w:pPr>
        <w:spacing w:after="0" w:line="197"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The software industry is characterized by rapid technological changes as well as changes in customer requirements and preferences. In recent years, the industry has undergone a transition from developing and selling perpetual licenses and on-premises products to subscriptions and cloud-enabled technologies. Customers are also reconsidering how they purchase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In addition, we frequently introduce new business models or methods that require a considerable investment of technical and financial resources, such as our introduction of flexible subscription and service offerings and our transition of multi-subscription plans to named-user plans. It is uncertain whether these strategies, including our product and pricing changes, will accurately reflect customer demand or be successful, or whether we will be able to develop the necessary infrastructure and business models more quickly than our competitors. We make such investments through further development and enhancement of our existing products and services, as well as through acquisitions. Such investments may not result in sufficient revenue generation to justify their costs and could result in decreased net revenue or profitability. If we are not able to meet customer requirements, either with respect to our software or the manner in which we provide such products, or if we are not able to adapt our business model to meet our customers’ requirements, our business, financial condition, or results of operations may be adversely impacted.</w:t>
      </w:r>
    </w:p>
    <w:p>
      <w:pPr>
        <w:spacing w:after="0" w:line="19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particular, a critical component of our growth strategy is to have customers of our AutoCAD and AutoCAD LT products, as well as other individual Autodesk products, expand their portfolios to include our other offerings and cloud-based functionality, and we are taking steps to accelerate this migration. At times, sales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w:t>
      </w:r>
    </w:p>
    <w:p>
      <w:pPr>
        <w:spacing w:after="0" w:line="21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Our executive management team must continuously act quickly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the strategy as market conditions evolve, we may fail to meet our customers’ expectations, be unable to compete with our competitors' products and technology, and lose the confidence of our channel partners and employees. This in turn could adversely affect our business and financial performance.</w:t>
      </w:r>
    </w:p>
    <w:p>
      <w:pPr>
        <w:spacing w:after="0" w:line="20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i w:val="1"/>
          <w:iCs w:val="1"/>
          <w:color w:val="auto"/>
        </w:rPr>
        <w:t>The effects of the COVID-19 pandemic and related public health measures have affected how we and our customers are operating our respective businesses, and the extent of the impact on our business and results of operations remains uncertain</w:t>
      </w:r>
      <w:r>
        <w:rPr>
          <w:rFonts w:ascii="Arial" w:cs="Arial" w:eastAsia="Arial" w:hAnsi="Arial"/>
          <w:sz w:val="18"/>
          <w:szCs w:val="18"/>
          <w:color w:val="auto"/>
        </w:rPr>
        <w:t>.</w:t>
      </w:r>
    </w:p>
    <w:p>
      <w:pPr>
        <w:spacing w:after="0" w:line="184" w:lineRule="exact"/>
        <w:rPr>
          <w:sz w:val="20"/>
          <w:szCs w:val="20"/>
          <w:color w:val="auto"/>
        </w:rPr>
      </w:pPr>
    </w:p>
    <w:p>
      <w:pPr>
        <w:ind w:firstLine="405"/>
        <w:spacing w:after="0" w:line="225" w:lineRule="auto"/>
        <w:rPr>
          <w:sz w:val="20"/>
          <w:szCs w:val="20"/>
          <w:color w:val="auto"/>
        </w:rPr>
      </w:pPr>
      <w:r>
        <w:rPr>
          <w:rFonts w:ascii="Arial" w:cs="Arial" w:eastAsia="Arial" w:hAnsi="Arial"/>
          <w:sz w:val="18"/>
          <w:szCs w:val="18"/>
          <w:color w:val="auto"/>
        </w:rPr>
        <w:t>We are continuing to conduct business during the COVID-19 pandemic with substantial modifications to employee travel and work locations, as well as virtualization, postponement, or cancellation of certain sales and marketing events, among other changes. We have observed other companies as well as governments taking precautionary measures to address COVID-19. While government authorities in some geographies are removing COVID-19 related business operations restrictions, we continue to actively monitor the situation and may take further actions to alter our business operations as may be required by federal, state, or local authorities, or that we determine are in the best interests of our employees, customers, partners, suppliers, and stockholders. The extent of the impact of any such modifications on our business, including the effects on our customers and prospects, and on our financial results, remains uncertain.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ind w:right="80" w:firstLine="405"/>
        <w:spacing w:after="0" w:line="254" w:lineRule="auto"/>
        <w:rPr>
          <w:sz w:val="20"/>
          <w:szCs w:val="20"/>
          <w:color w:val="auto"/>
        </w:rPr>
      </w:pPr>
      <w:r>
        <w:rPr>
          <w:rFonts w:ascii="Arial" w:cs="Arial" w:eastAsia="Arial" w:hAnsi="Arial"/>
          <w:sz w:val="18"/>
          <w:szCs w:val="18"/>
          <w:color w:val="auto"/>
        </w:rPr>
        <w:t>In particular, if we are not able to retain current customers and attract new business, including multi-year contracts, or if customer renewal rates decline or fluctuate, it could have a material adverse effect upon our business and results of operations. During fiscal 2021, we took a number of actions to support our customers, including extending payment terms to 60 days through the beginning of August 2020, offering free commercial use of our cloud collaboration products through June 2020, delaying the transition from multi-user licenses to named-user licenses from May to August 2020 to minimize disruption, and deferring a 20% maintenance price increase from May to August 2020. These actions have affected our cash flow, and if these actions as well as our other sales and marketing activities are not successful in retaining current customers and in closing new business, our business and results of operations could be materially adversely affected.</w:t>
      </w:r>
    </w:p>
    <w:p>
      <w:pPr>
        <w:spacing w:after="0" w:line="222"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We will continue to invest in critical areas such as R&amp;D, construction, and digitizing the company to support our future success as we come out of the pandemic. If we are not able to successfully manage our spending and investment, it could have a material adverse effect on our cash balances, business,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further impact our industries, business, and financial results.</w:t>
      </w:r>
    </w:p>
    <w:p>
      <w:pPr>
        <w:spacing w:after="0" w:line="239" w:lineRule="exact"/>
        <w:rPr>
          <w:sz w:val="20"/>
          <w:szCs w:val="20"/>
          <w:color w:val="auto"/>
        </w:rPr>
      </w:pPr>
    </w:p>
    <w:p>
      <w:pPr>
        <w:ind w:firstLine="405"/>
        <w:spacing w:after="0" w:line="235" w:lineRule="auto"/>
        <w:rPr>
          <w:sz w:val="20"/>
          <w:szCs w:val="20"/>
          <w:color w:val="auto"/>
        </w:rPr>
      </w:pPr>
      <w:r>
        <w:rPr>
          <w:rFonts w:ascii="Arial" w:cs="Arial" w:eastAsia="Arial" w:hAnsi="Arial"/>
          <w:sz w:val="17"/>
          <w:szCs w:val="17"/>
          <w:color w:val="auto"/>
        </w:rPr>
        <w:t>Our overall performance depends largely upon domestic and worldwide economic and political conditions. The United States and other countries’ economies have experienced cyclical downturns, in which economic activity was impacted by falling demand for a variety of goods and services, restricted credit, poor liquidity, decreased government spending, reduced corporate profitability, volatility in credit, equity, and foreign exchange markets, bankruptcies, and overall uncertainty. These economic conditions can occur abruptly. For example, the coronavirus (COVID-19) pandemic has caused additional uncertainty in the global economy, and an economic downturn or recession in the United States or in other countries may occur or has already occurred and may continue. The extent to which COVID-19 will impact our financial condition or results of operations is still uncertain and will continue to depend on developments such as the impact on our customers, vendors, distributors, and resellers, as well as other factors, including the full duration and the extent of the pandemic; actions taken by governments, businesses, and consumers in response to the pandemic; speed and timing of economic recovery; speed of rollout of COVID-19 vaccines, lifting of restrictions on movement, and normalization of full-time return to work and social events; our billings and renewal rates, including new business close rates, rate of multi-year contracts, pace of closing larger transactions, and new unit volume growth; and effect of the pandemic on margins and cash flow. All of these factors continue to evolve and remain uncertain at this time, and some of these factors are not within our control. Due to our subscription-based business model, the effect of COVID-19 may not be fully reflected in our results of operations until future periods, if at all. If economic growth in countries where we do business slows or if such countries experience further economic recessions, customers may delay or reduce technology purchases.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spacing w:after="0" w:line="218"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As described elsewhere in these risk factors, we are dependent on international revenue and operations and are subject to related risks of conducting business globally. Trends toward nationalism and protectionism and the weakening or dissolution of international trade pacts may increase the cost of, or otherwise interfere with, conducting business. These trends have increased political and economic unpredictability globally and may increase the volatility of global financial markets, and the impact of such developments on the global economy remains uncertain. Political instability or adverse political developments in any of the countries in which we do business could harm our business, results of operations, and financial condition. 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Any of these events could harm our business, results of operations,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impacted by the costs and challenges associated with strategic acquisitions and investments.</w:t>
      </w:r>
    </w:p>
    <w:p>
      <w:pPr>
        <w:spacing w:after="0" w:line="252" w:lineRule="exact"/>
        <w:rPr>
          <w:sz w:val="20"/>
          <w:szCs w:val="20"/>
          <w:color w:val="auto"/>
        </w:rPr>
      </w:pPr>
    </w:p>
    <w:p>
      <w:pPr>
        <w:ind w:right="380" w:firstLine="405"/>
        <w:spacing w:after="0" w:line="273" w:lineRule="auto"/>
        <w:rPr>
          <w:sz w:val="20"/>
          <w:szCs w:val="20"/>
          <w:color w:val="auto"/>
        </w:rPr>
      </w:pPr>
      <w:r>
        <w:rPr>
          <w:rFonts w:ascii="Arial" w:cs="Arial" w:eastAsia="Arial" w:hAnsi="Arial"/>
          <w:sz w:val="17"/>
          <w:szCs w:val="17"/>
          <w:color w:val="auto"/>
        </w:rPr>
        <w:t>We regularly acquire or invest in businesses, software solutions, and technologies that are complementary to our business through acquisitions, strategic alliances, or equity or debt investments, including several transactions in fiscal 2021. The risks associated with such acquisitions include the difficulty of integrating solutions, operations, and personnel; inheriting liabilities such as intellectual property infringement claims; failure to realize anticipated revenue and cost projections and expected synergies; the requirement to test and assimilate the internal control processes of the acquired business in accordance with the requirements of Section 404 of the Sarbanes-Oxley Act of 2002; and diversion of management's time and attention. In addition, such acquisitions and investments involve other risks such as:</w:t>
      </w:r>
    </w:p>
    <w:p>
      <w:pPr>
        <w:spacing w:after="0" w:line="20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51" w:name="page52"/>
    <w:bookmarkEnd w:id="51"/>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solution does not identify significant problems;</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claims from terminated employees, customers, or other third parties;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significantly higher than anticipated transaction or integration-related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additional exposure to economic, tax, currency, political, legal, and regulatory risks associated with specific countries; and</w:t>
      </w:r>
    </w:p>
    <w:p>
      <w:pPr>
        <w:spacing w:after="0" w:line="117"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impact on relationships with existing customers, vendors, and distributors as business partners as a result of acquiring another business.</w:t>
      </w:r>
    </w:p>
    <w:p>
      <w:pPr>
        <w:spacing w:after="0" w:line="197"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if we do not complete an announced acquisition transaction or integrate an acquired business successfully and in a timely manner, we may not realize the benefits of the acquisition to the extent anticipated. Acquisitions and investments have in the past and may in the future contribute to fluctuations in our quarterly financial results. These fluctuations could arise from transaction-related costs and charges associated with eliminating redundant expenses or write-offs of impaired assets recorded in connection with acquisitions and investments, and could negatively impact our financial results.</w:t>
      </w:r>
    </w:p>
    <w:p>
      <w:pPr>
        <w:spacing w:after="0" w:line="2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international regulatory, economic, intellectual property, collections, currency exchange rate, taxation, political, and other risks, which could adversely impact our financial results.</w:t>
      </w:r>
    </w:p>
    <w:p>
      <w:pPr>
        <w:spacing w:after="0" w:line="197"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International net revenue represented 67% and 66% of our net revenue for the three months ended April 30, 2021 and 2020, respectively. Our international revenue, some of which comes from emerging economies, is subject to economic and political conditions in foreign markets, including those resulting from economic and political conditions in the United States, as well as country-specific conditions related to COVID-19, such as varied speed of recovery in different geographies. Our total revenue is also impacted by the relative geographical and country mix of our revenue over time. Our dependency on international revenue makes us much more exposed to global economic and political trends, which can negatively impact our financial results even if our results in the United States are strong for a particular period.</w:t>
      </w:r>
    </w:p>
    <w:p>
      <w:pPr>
        <w:spacing w:after="0" w:line="20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United States. Risks inherent in our international operations include:</w:t>
      </w:r>
    </w:p>
    <w:p>
      <w:pPr>
        <w:spacing w:after="0" w:line="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volatility;</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tariffs, quotas, and other trade barriers and restrictions;</w:t>
      </w:r>
    </w:p>
    <w:p>
      <w:pPr>
        <w:spacing w:after="0" w:line="117"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fluctuating currency exchange rates, including devaluations, currency controls, and inflation, and risks related to any hedging activities we undertake;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regulatory requirements and practices;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resulting from difficulty in obtaining export licenses for certain technology;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different purchase patterns as compared to the developed world;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in locations with a higher incidence of corruption and fraudulent business practices, particularly in emerging economies;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the U.K. Bribery Act, and other anti-corruption laws;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development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longer collection cycles for accounts receivable;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 and foreign tax law changes and the complexities of tax reporting;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 regarding the free flow of data across international borders and management of and access to data and public networks;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possible future limitations upon foreign-owned businesses;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inadequate local infrastructure;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difficulty in protecting intellectual property;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software piracy; and</w:t>
      </w:r>
    </w:p>
    <w:p>
      <w:pPr>
        <w:spacing w:after="0" w:line="117" w:lineRule="exact"/>
        <w:rPr>
          <w:rFonts w:ascii="Arial" w:cs="Arial" w:eastAsia="Arial" w:hAnsi="Arial"/>
          <w:sz w:val="18"/>
          <w:szCs w:val="18"/>
          <w:color w:val="auto"/>
        </w:rPr>
      </w:pPr>
    </w:p>
    <w:p>
      <w:pPr>
        <w:ind w:right="220" w:firstLine="332"/>
        <w:spacing w:after="0" w:line="402" w:lineRule="auto"/>
        <w:tabs>
          <w:tab w:leader="none" w:pos="6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factors beyond our control, including popular uprisings, terrorism, war, natural disasters, and diseases and pandemics, such as COVID-19. Some of our business partners also have international operations and are subject to the risks described above.</w:t>
      </w:r>
    </w:p>
    <w:p>
      <w:pPr>
        <w:spacing w:after="0" w:line="76" w:lineRule="exact"/>
        <w:rPr>
          <w:sz w:val="20"/>
          <w:szCs w:val="20"/>
          <w:color w:val="auto"/>
        </w:rPr>
      </w:pPr>
    </w:p>
    <w:p>
      <w:pPr>
        <w:ind w:firstLine="445"/>
        <w:spacing w:after="0" w:line="239" w:lineRule="auto"/>
        <w:rPr>
          <w:sz w:val="20"/>
          <w:szCs w:val="20"/>
          <w:color w:val="auto"/>
        </w:rPr>
      </w:pPr>
      <w:r>
        <w:rPr>
          <w:rFonts w:ascii="Arial" w:cs="Arial" w:eastAsia="Arial" w:hAnsi="Arial"/>
          <w:sz w:val="17"/>
          <w:szCs w:val="17"/>
          <w:color w:val="auto"/>
        </w:rPr>
        <w:t>The United Kingdom’s exit from the European Union (“Brexit”) has exacerbated and may further exacerbate many of the risks and uncertainties described above. The application of the Trade and Cooperation Agreement between the European Union, the European Atomic Energy Community, and the United Kingdom signed in December 2020 (the “TCA”), which took effect January 1, 2021, could have adverse tax, tax treaty, banking, operational, legal, regulatory, or other impacts on our businesses in the region. The withdrawal could also, among other potential outcomes, create currency volatility; disrupt the free movement of goods, services, and people between the United Kingdom and the European Union; and significantly disrupt trade between the United Kingdom and the European Union and other parties. Uncertainty around these and related issues could lead to adverse effects on the United Kingdom economy, the European Union economies, and the other economies in which we operate.</w:t>
      </w:r>
    </w:p>
    <w:p>
      <w:pPr>
        <w:spacing w:after="0" w:line="217"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In addition, in recent years, the United States has instituted or proposed changes to foreign trade policy, including the negotiation or termination of trade agreements, the imposition of tariffs on products imported from certain countries, economic sanctions on individuals, corporations, or countries, and other government regulations affecting trade between the United States and other countries in which we do business. New or increased tariffs and other changes in U.S. trade policy could trigger retaliatory actions by affected countries, and certain foreign governments, including the Chinese government, have instituted or considered imposing trade sanctions on certain U.S.-manufactured goods. The escalation of protectionist or retaliatory trade measures in either the United States or any other countries in which we do business, such as a change in tariff structures, export compliance, or other trade policies, may increase the cost of, or otherwise interfere with, the conduct of our business.</w:t>
      </w:r>
    </w:p>
    <w:p>
      <w:pPr>
        <w:spacing w:after="0" w:line="204"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Even if we are able to successfully manage the risks of international operations, our business may be adversely affected if our business partners are not able to successfully manage these risks.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predict subscription renewal rates and their impact on our future revenue and operating results.</w:t>
      </w:r>
    </w:p>
    <w:p>
      <w:pPr>
        <w:spacing w:after="0" w:line="252" w:lineRule="exact"/>
        <w:rPr>
          <w:sz w:val="20"/>
          <w:szCs w:val="20"/>
          <w:color w:val="auto"/>
        </w:rPr>
      </w:pPr>
    </w:p>
    <w:p>
      <w:pPr>
        <w:ind w:right="180" w:firstLine="405"/>
        <w:spacing w:after="0" w:line="275" w:lineRule="auto"/>
        <w:rPr>
          <w:sz w:val="20"/>
          <w:szCs w:val="20"/>
          <w:color w:val="auto"/>
        </w:rPr>
      </w:pPr>
      <w:r>
        <w:rPr>
          <w:rFonts w:ascii="Arial" w:cs="Arial" w:eastAsia="Arial" w:hAnsi="Arial"/>
          <w:sz w:val="17"/>
          <w:szCs w:val="17"/>
          <w:color w:val="auto"/>
        </w:rPr>
        <w:t>Our customers are not obligated to renew their subscriptions for our offerings, and they may elect not to renew, upgrade, or expand their subscriptions. We cannot assure renewal rates or the mix of subscriptions renewals. Customer renewal rates may decline or fluctuate due to a number of factors, including offering pricing; competitive offerings; customer satisfaction; and reductions in customer spending levels, customer activity, or number of users due to economic downturns, including as a result of the current COVID-19 pandemic, or financial markets uncertainty. If our customers do not renew their subscriptions or if they renew on less favorable terms, our revenues may decline.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52"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 xml:space="preserve">The software industry has limited barriers to entry, and the availability of computing devices with continually expanding performance at progressively lower prices contributes to the ease of market entry. The industry has undergone a transition from developing and selling perpetual licenses and on-premises products to </w:t>
      </w:r>
      <w:r>
        <w:rPr>
          <w:rFonts w:ascii="Arial" w:cs="Arial" w:eastAsia="Arial" w:hAnsi="Arial"/>
          <w:sz w:val="17"/>
          <w:szCs w:val="17"/>
          <w:color w:val="212529"/>
        </w:rPr>
        <w:t>subscriptions and cloud-enabled technologies</w:t>
      </w:r>
      <w:r>
        <w:rPr>
          <w:rFonts w:ascii="Arial" w:cs="Arial" w:eastAsia="Arial" w:hAnsi="Arial"/>
          <w:sz w:val="17"/>
          <w:szCs w:val="17"/>
          <w:color w:val="auto"/>
        </w:rPr>
        <w:t>. This shift further lowers barriers to entry and poses a disruptive challenge to established software companies. The markets in which we operate are characterized by vigorous competition, both by entrants with innovative technologies and by consolidation of companies with complementary offerings and technologies. Some of our competitors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solutions.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3" w:name="page54"/>
    <w:bookmarkEnd w:id="53"/>
    <w:p>
      <w:pPr>
        <w:ind w:right="260"/>
        <w:spacing w:after="0" w:line="277" w:lineRule="auto"/>
        <w:rPr>
          <w:sz w:val="20"/>
          <w:szCs w:val="20"/>
          <w:color w:val="auto"/>
        </w:rPr>
      </w:pPr>
      <w:r>
        <w:rPr>
          <w:rFonts w:ascii="Arial" w:cs="Arial" w:eastAsia="Arial" w:hAnsi="Arial"/>
          <w:sz w:val="18"/>
          <w:szCs w:val="18"/>
          <w:i w:val="1"/>
          <w:iCs w:val="1"/>
          <w:color w:val="auto"/>
        </w:rPr>
        <w:t>Our financial results, key metrics, and other operating metrics fluctuate within each quarter and from quarter to quarter, making our future revenue and financial results difficult to predict.</w:t>
      </w:r>
    </w:p>
    <w:p>
      <w:pPr>
        <w:spacing w:after="0" w:line="197" w:lineRule="exact"/>
        <w:rPr>
          <w:sz w:val="20"/>
          <w:szCs w:val="20"/>
          <w:color w:val="auto"/>
        </w:rPr>
      </w:pPr>
    </w:p>
    <w:p>
      <w:pPr>
        <w:ind w:right="340" w:firstLine="405"/>
        <w:spacing w:after="0" w:line="301" w:lineRule="auto"/>
        <w:rPr>
          <w:sz w:val="20"/>
          <w:szCs w:val="20"/>
          <w:color w:val="auto"/>
        </w:rPr>
      </w:pPr>
      <w:r>
        <w:rPr>
          <w:rFonts w:ascii="Arial" w:cs="Arial" w:eastAsia="Arial" w:hAnsi="Arial"/>
          <w:sz w:val="16"/>
          <w:szCs w:val="16"/>
          <w:color w:val="auto"/>
        </w:rPr>
        <w:t>Our quarterly financial results, key metrics, and other operating metrics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risks described in these risk factors, some of the factors that could cause our financial results, key metrics, and other operating metrics to fluctuate include:</w:t>
      </w:r>
    </w:p>
    <w:p>
      <w:pPr>
        <w:spacing w:after="0" w:line="49" w:lineRule="exact"/>
        <w:rPr>
          <w:sz w:val="20"/>
          <w:szCs w:val="20"/>
          <w:color w:val="auto"/>
        </w:rPr>
      </w:pPr>
    </w:p>
    <w:p>
      <w:pPr>
        <w:ind w:left="660" w:hanging="328"/>
        <w:spacing w:after="0" w:line="258" w:lineRule="auto"/>
        <w:tabs>
          <w:tab w:leader="none" w:pos="655"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general market, economic, business, and political conditions in Europe, APAC, and emerging economies, including from an economic downturn or recession in the United States or other countries;</w:t>
      </w:r>
    </w:p>
    <w:p>
      <w:pPr>
        <w:spacing w:after="0" w:line="1" w:lineRule="exact"/>
        <w:rPr>
          <w:rFonts w:ascii="Arial" w:cs="Arial" w:eastAsia="Arial" w:hAnsi="Arial"/>
          <w:sz w:val="18"/>
          <w:szCs w:val="18"/>
          <w:i w:val="1"/>
          <w:iCs w:val="1"/>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failure to produce sufficient revenue, billings, subscription, profitability, and cash flow growth, including as a result of the COVID-19 pandemic;</w:t>
      </w:r>
    </w:p>
    <w:p>
      <w:pPr>
        <w:spacing w:after="0" w:line="125" w:lineRule="exact"/>
        <w:rPr>
          <w:rFonts w:ascii="Arial" w:cs="Arial" w:eastAsia="Arial" w:hAnsi="Arial"/>
          <w:sz w:val="16"/>
          <w:szCs w:val="16"/>
          <w:color w:val="auto"/>
        </w:rPr>
      </w:pPr>
    </w:p>
    <w:p>
      <w:pPr>
        <w:ind w:left="660" w:right="24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manage spend;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subscription mix, pricing pressure, or changes in subscription pricing;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weak or negative growth in one or more of the industries we serve, including AEC, manufacturing, and digital media and entertainment markets;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new business or sales initiatives;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security breaches, related reputational harm, and potential financial penalties to customers and government entities;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timing of additional investments in our technologies or deployment of our services;</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revenue recognition or other accounting guidelines employed by us and/or established by the Financial Accounting Standards Board, Securities and Exchange Commission, or other rulemaking bodies;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dependence on and timing of large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finance infrastructure projects;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expand our AutoCAD and AutoCAD LT customer base to related design products and services;</w:t>
      </w:r>
    </w:p>
    <w:p>
      <w:pPr>
        <w:spacing w:after="0" w:line="117"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rapidly adapt to technological and customer preference changes, including those related to cloud computing, mobile devices, and new computing platforms;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timing of the introduction of new products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subscriptions;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cloud functionality-related expenses;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timing of releases and retirements of offerings;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tax laws or tax or accounting rules and regulations, such as increased use of fair value measures;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effectively implement and maintain our copyright legalization programs, especially in developing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4" w:name="page55"/>
    <w:bookmarkEnd w:id="54"/>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third-party developers;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timing and degree of expected investments in growth and efficiency opportunities;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catastrophic events, natural disasters, or public health events, such as pandemics and epidemics, including COVID-19;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compliance costs;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appropriately estimate the scope of services under consulting arrangements.</w:t>
      </w:r>
    </w:p>
    <w:p>
      <w:pPr>
        <w:spacing w:after="0" w:line="252"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APAC operations typically experience seasonal slowing in our third and fourth quarters.</w:t>
      </w:r>
    </w:p>
    <w:p>
      <w:pPr>
        <w:spacing w:after="0" w:line="211"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derive a substantial portion of our net revenue from a small number of solutions, including our AutoCAD-based software products and collections, and if these offerings are not successful, our revenue would be adversely affected.</w:t>
      </w:r>
    </w:p>
    <w:p>
      <w:pPr>
        <w:spacing w:after="0" w:line="197" w:lineRule="exact"/>
        <w:rPr>
          <w:sz w:val="20"/>
          <w:szCs w:val="20"/>
          <w:color w:val="auto"/>
        </w:rPr>
      </w:pPr>
    </w:p>
    <w:p>
      <w:pPr>
        <w:ind w:right="220" w:firstLine="445"/>
        <w:spacing w:after="0" w:line="293" w:lineRule="auto"/>
        <w:rPr>
          <w:sz w:val="20"/>
          <w:szCs w:val="20"/>
          <w:color w:val="auto"/>
        </w:rPr>
      </w:pPr>
      <w:r>
        <w:rPr>
          <w:rFonts w:ascii="Arial" w:cs="Arial" w:eastAsia="Arial" w:hAnsi="Arial"/>
          <w:sz w:val="16"/>
          <w:szCs w:val="16"/>
          <w:color w:val="auto"/>
        </w:rPr>
        <w:t>We derive a substantial portion of our net revenue from sales of subscriptions of a limited number of our offerings, including AutoCAD software, solutions based on AutoCAD, which include our collections that serve specific markets, and products that are interoperable with AutoCAD. Any factor adversely affecting sales of these subscriptions, including the product release cycle, market acceptance, product competition, performance and reliability, reputation, price competition, economic and market conditions, and the availability of third-party applications, would likely harm our financial results. During the three months ended April 30, 2021 and 2020, combined revenue from our AutoCAD and AutoCAD LT family products, not including collections having AutoCAD or AutoCAD LT as a component, represented 29% and 30% of our total net revenue, respectively.</w:t>
      </w:r>
    </w:p>
    <w:p>
      <w:pPr>
        <w:spacing w:after="0" w:line="19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9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As part of our effort to accommodate our customers’ needs and demands and the rapid evolution of technology, from time to time we evolve our business and sales initiatives, such as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9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Net revenue, billings, earnings, cash flow, or subscriptions shortfalls or volatility of the market generally may cause the market price of our stock to decline.</w:t>
      </w:r>
    </w:p>
    <w:p>
      <w:pPr>
        <w:spacing w:after="0" w:line="197"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risks described in these risk factors and the following:</w:t>
      </w:r>
    </w:p>
    <w:p>
      <w:pPr>
        <w:spacing w:after="0" w:line="38" w:lineRule="exact"/>
        <w:rPr>
          <w:sz w:val="20"/>
          <w:szCs w:val="20"/>
          <w:color w:val="auto"/>
        </w:rPr>
      </w:pPr>
    </w:p>
    <w:p>
      <w:pPr>
        <w:ind w:left="66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billings, earnings, and cash flow or key performance metrics, such as subscriptions, including as a result of the current COVID-19 pandemic, and how those results compare to securities analyst expectations, including whether those results fail to meet, exceed, or significantly exceed securities analyst expectations;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117"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 including from an economic downturn or recession in the United States or in other countries;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5" w:name="page56"/>
    <w:bookmarkEnd w:id="55"/>
    <w:p>
      <w:pPr>
        <w:ind w:left="660" w:right="1040" w:hanging="328"/>
        <w:spacing w:after="0" w:line="342"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forward-looking estimates of future results, how those estimates compare to securities analyst expectations, or changes in recommendations or confusion on the part of analysts and investors about the short- and long-term impact to our business;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new offerings or enhancements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11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97"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We partner with certain independent firms and contractors to perform some of our product development activities. We believe our partnering strategy allows us to achieve efficiencies in developing new products and maintaining and enhancing existing product offerings. This strategy creates a dependency on independent developers. Independent developers, including those who currently develop solutions for us in the United States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Social and ethical issues relating to the use of artificial intelligence in our offerings may result in reputational harm or liability.</w:t>
      </w:r>
    </w:p>
    <w:p>
      <w:pPr>
        <w:spacing w:after="0" w:line="252"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Social and ethical issues relating to the use of new and evolving technologies such as artificial intelligence (“AI”) in our offerings, may result in reputational harm and liability, and may cause us to incur additional research and development costs to resolve such issues. We are increasingly building AI into many of our offerings. As with many innovations, AI presents risks and challenges that could affect its adoption, and therefore our business. AI presents emerging ethical issues and if we enable or offer solutions that draw controversy due to their perceived or actual impact on society, we may experience brand or reputational harm, competitive harm, or legal liability. Potential government regulation in the space of AI ethics may also increase the burden and cost of research and development in this area, subjecting us to brand or reputational harm, competitive harm, or legal liability. Failure to address AI ethics issues by us or others in our industry could undermine public confidence in AI and slow adoption of AI in our products and services.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Risks Relating to Our Operations</w:t>
      </w:r>
    </w:p>
    <w:p>
      <w:pPr>
        <w:spacing w:after="0" w:line="1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Security incidents may compromise the integrity of our or our customers’ offerings, services, data, or intellectual property, harm our reputation, damage our competitiveness, create additional liability, and adversely impact our financial results.</w:t>
      </w:r>
    </w:p>
    <w:p>
      <w:pPr>
        <w:spacing w:after="0" w:line="143"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As we digitize Autodesk and use cloud- and web-based technologies to leverage customer data to deliver the total customer experience, we are exposed to increased security risks and the potential for unauthorized access to, or improper use of, our and our customers’ information. Like other software offerings and systems, ours are vulnerable to security incidents. We devote resources to maintain the security and integrity of our systems, offerings, services, and applications (online, mobile, and desktop). We accomplish this by enhancing security features, conducting penetration tests, code hardening, releasing security vulnerability updates, and accelerating our incident response time. We also provide annual information security training to our employees. Despite these efforts, we may not prevent security incidents, and we may face delays or other difficulties in identifying or responding to security incidents.</w:t>
      </w:r>
    </w:p>
    <w:p>
      <w:pPr>
        <w:spacing w:after="0" w:line="15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Hackers regularly have targeted our systems, offerings, services, and applications, and we expect them to do so in the future. Security incidents could disrupt the proper functioning of our systems, solutions, or services; cause errors in the output of our customers’ work; allow unauthorized access to sensitive data or intellectual property, including proprietary or confidential information of ours or our customers; or cause other destructive outcomes. The risk of a security incident,</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56" w:name="page57"/>
    <w:bookmarkEnd w:id="56"/>
    <w:p>
      <w:pPr>
        <w:spacing w:after="0" w:line="269" w:lineRule="auto"/>
        <w:rPr>
          <w:sz w:val="20"/>
          <w:szCs w:val="20"/>
          <w:color w:val="auto"/>
        </w:rPr>
      </w:pPr>
      <w:r>
        <w:rPr>
          <w:rFonts w:ascii="Arial" w:cs="Arial" w:eastAsia="Arial" w:hAnsi="Arial"/>
          <w:sz w:val="17"/>
          <w:szCs w:val="17"/>
          <w:color w:val="auto"/>
        </w:rPr>
        <w:t>particularly through cyber attack or cyber intrusion, including by computer hackers, foreign governments, and cyber terrorists, has increased as the number, intensity, and sophistication of attempted attacks and intrusions from around the world have increased. These threats include identity theft, unauthorized access, DNS attacks, wireless network attacks, viruses and worms, advanced persistent threat (APT), application-centric attacks, peer-to-peer attacks, phishing, malicious file uploads, backdoor trojans, and distributed denial of service (DDoS) attacks. For example, in December 2020 it was widely reported that SolarWinds, an information technology company, was the subject of a cyberattack that created security vulnerabilities for thousands of its clients. We identified a compromised SolarWinds server and promptly took steps to contain the incidents. While we believe that no customer operations or Autodesk products were disrupted as a result of this attack, other, similar attacks could have a significant negative impact on our systems and operations. In addition, third parties may attempt to fraudulently induce our employees, vendors, partners, or users to disclose information to gain access to our data or our users’ data and there is the risk of employee, contractor, or vendor error or malfeasance. This existing risk is compounded given the COVID-19 pandemic and the resulting shift to work-from-home arrangements for a large population of employees and contractors. Despite efforts to create security barriers to such threats, it is impossible for us to entirely eliminate these risks.</w:t>
      </w:r>
    </w:p>
    <w:p>
      <w:pPr>
        <w:spacing w:after="0" w:line="14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If any of the foregoing security incidents were to occur or to be perceived to have occurred, our reputation may suffer, our competitive position may be diminished, customers may stop paying for our solutions and services, we could be required to expend significant capital and other resources to evaluate and alleviate the security incident and to try to prevent further or additional incidents, and we could face regulatory inquiry, lawsuits, and potential liability. We could incur significant costs and liabilities, including due to litigation, indemnity obligations, damages for contract breach, penalties for violation of applicable laws or regulations, and costs for remediation and other incentives offered to customers or other business partners in an effort to maintain business relationships after a breach, and our financial performance could be negatively impacted.</w:t>
      </w:r>
    </w:p>
    <w:p>
      <w:pPr>
        <w:spacing w:after="0" w:line="15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cannot assure you that any limitations of liability provisions in our contracts would be enforceable or adequate or would otherwise protect us from any liabilities or damages with respect to any particular claim relating to a security breach or other security incident. We also cannot be sure that our existing insurance coverage will continue to be available on acceptable terms or will be available in sufficient amounts to cover one or more large claims related to a security breach,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w:t>
      </w:r>
      <w:r>
        <w:rPr>
          <w:rFonts w:ascii="Arial" w:cs="Arial" w:eastAsia="Arial" w:hAnsi="Arial"/>
          <w:sz w:val="18"/>
          <w:szCs w:val="18"/>
          <w:i w:val="1"/>
          <w:iCs w:val="1"/>
          <w:color w:val="auto"/>
        </w:rPr>
        <w:t>on.</w:t>
      </w:r>
    </w:p>
    <w:p>
      <w:pPr>
        <w:spacing w:after="0" w:line="39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i w:val="1"/>
          <w:iCs w:val="1"/>
          <w:color w:val="auto"/>
        </w:rPr>
        <w:t>We rely on third parties to provide us with a number of operational and technical services; third-party security incidents could expose us to liability, harm our reputation, damage our competitiveness, and adversely impact our financial results.</w:t>
      </w:r>
    </w:p>
    <w:p>
      <w:pPr>
        <w:spacing w:after="0" w:line="1" w:lineRule="exact"/>
        <w:rPr>
          <w:sz w:val="20"/>
          <w:szCs w:val="20"/>
          <w:color w:val="auto"/>
        </w:rPr>
      </w:pPr>
    </w:p>
    <w:p>
      <w:pPr>
        <w:ind w:right="80" w:firstLine="405"/>
        <w:spacing w:after="0" w:line="268" w:lineRule="auto"/>
        <w:rPr>
          <w:sz w:val="20"/>
          <w:szCs w:val="20"/>
          <w:color w:val="auto"/>
        </w:rPr>
      </w:pPr>
      <w:r>
        <w:rPr>
          <w:rFonts w:ascii="Arial" w:cs="Arial" w:eastAsia="Arial" w:hAnsi="Arial"/>
          <w:sz w:val="17"/>
          <w:szCs w:val="17"/>
          <w:color w:val="auto"/>
        </w:rPr>
        <w:t>We rely on third parties, such as Amazon Web Services, to provide us with operational and technical services. These third parties may have access to our systems, provide hosting services, or otherwise process data about us or our customers, employees, or partners. Any third-party security incident could compromise the integrity or availability of, or result in the theft of, data. In addition, our operations or the operations of our customers or partners could be negatively affected in the event of a security breach, and could be subject to the loss or theft of confidential or proprietary information, including source code. Unauthorized access to data and other confidential or proprietary information may be obtained through break-ins, network breaches by unauthorized parties, employee theft or misuse, or other misconduct. If any of the foregoing were to occur or to be perceived to occur, our reputation may suffer, our competitive position may be diminished, customers may buy fewer of our offerings and services, we could face lawsuits and potential liability, and our financial results could be negatively impacted.</w:t>
      </w:r>
    </w:p>
    <w:p>
      <w:pPr>
        <w:spacing w:after="0" w:line="1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Delays in service from third-party service providers could expose us to liability, harm our reputation, damage our competitiveness, and adversely impact our financial results.</w:t>
      </w:r>
    </w:p>
    <w:p>
      <w:pPr>
        <w:spacing w:after="0" w:line="197" w:lineRule="exact"/>
        <w:rPr>
          <w:sz w:val="20"/>
          <w:szCs w:val="20"/>
          <w:color w:val="auto"/>
        </w:rPr>
      </w:pPr>
    </w:p>
    <w:p>
      <w:pPr>
        <w:ind w:right="200" w:firstLine="445"/>
        <w:spacing w:after="0" w:line="257" w:lineRule="auto"/>
        <w:rPr>
          <w:sz w:val="20"/>
          <w:szCs w:val="20"/>
          <w:color w:val="auto"/>
        </w:rPr>
      </w:pPr>
      <w:r>
        <w:rPr>
          <w:rFonts w:ascii="Arial" w:cs="Arial" w:eastAsia="Arial" w:hAnsi="Arial"/>
          <w:sz w:val="18"/>
          <w:szCs w:val="18"/>
          <w:color w:val="auto"/>
        </w:rPr>
        <w:t>From time to time, we may rely on a single or limited number of suppliers, or upon suppliers in a single country, for the provision of services and materials that we use in the operation of our business and production of our solutions. Inability of such third parties to satisfy our requirements could disrupt our operations or make it more difficult for us to implement our strategy. If any of these situations were to occur, our reputation could be harmed, we could be subject to third-party liability, including under data protection and privacy laws in certain jurisdictions, and our financial results could be negatively impacted.</w:t>
      </w:r>
    </w:p>
    <w:p>
      <w:pPr>
        <w:spacing w:after="0" w:line="21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i w:val="1"/>
          <w:iCs w:val="1"/>
          <w:color w:val="auto"/>
        </w:rPr>
        <w:t>We are investing in resources to update and improve our information technology systems to digitize Autodesk and support our customers. Should our investments not succeed, or if delays or other issues with new or existing information technology systems disrupt our operations, our business could be harmed.</w:t>
      </w:r>
    </w:p>
    <w:p>
      <w:pPr>
        <w:spacing w:after="0" w:line="21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We rely on our network and data center infrastructure, technology systems, and websites for our development, marketing, operational, support, sales, accounting, and financial reporting activities. We continually invest resources to update and improve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7" w:name="page58"/>
    <w:bookmarkEnd w:id="57"/>
    <w:p>
      <w:pPr>
        <w:spacing w:after="0" w:line="273" w:lineRule="auto"/>
        <w:rPr>
          <w:sz w:val="20"/>
          <w:szCs w:val="20"/>
          <w:color w:val="auto"/>
        </w:rPr>
      </w:pPr>
      <w:r>
        <w:rPr>
          <w:rFonts w:ascii="Arial" w:cs="Arial" w:eastAsia="Arial" w:hAnsi="Arial"/>
          <w:sz w:val="17"/>
          <w:szCs w:val="17"/>
          <w:color w:val="auto"/>
        </w:rPr>
        <w:t>these systems to meet the evolving requirements of our business and customers. In particular, our transition to cloud-based products and a subscription-only business model involves considerable investment in the development of technologies, as well as back-office systems for technical, financial, compliance, and sales resources. Such improvements are often complex, costly, and time consuming. In addition, such improvements can be challenging to integrate with our existing technology systems, or may uncover problems with those systems. Unsuccessful implementation of hardware or software updates and improvements could result in disruption in our business operations, loss of customers, loss of revenue, errors in our accounting and financial reporting, or damage to our reputation, all of which could harm our business.</w:t>
      </w:r>
    </w:p>
    <w:p>
      <w:pPr>
        <w:spacing w:after="0" w:line="2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Our software is highly complex and may contain undetected errors, defects, or vulnerabilities, each of which could harm our business and financial performance.</w:t>
      </w:r>
    </w:p>
    <w:p>
      <w:pPr>
        <w:spacing w:after="0" w:line="197" w:lineRule="exact"/>
        <w:rPr>
          <w:sz w:val="20"/>
          <w:szCs w:val="20"/>
          <w:color w:val="auto"/>
        </w:rPr>
      </w:pPr>
    </w:p>
    <w:p>
      <w:pPr>
        <w:ind w:right="320" w:firstLine="405"/>
        <w:spacing w:after="0" w:line="301" w:lineRule="auto"/>
        <w:rPr>
          <w:sz w:val="20"/>
          <w:szCs w:val="20"/>
          <w:color w:val="auto"/>
        </w:rPr>
      </w:pPr>
      <w:r>
        <w:rPr>
          <w:rFonts w:ascii="Arial" w:cs="Arial" w:eastAsia="Arial" w:hAnsi="Arial"/>
          <w:sz w:val="16"/>
          <w:szCs w:val="16"/>
          <w:color w:val="auto"/>
        </w:rPr>
        <w:t>The software solutions that we offer are complex and, despite extensive testing and quality control, may contain errors, defects, or vulnerabilities. Some errors, defects, or vulnerabilities in our software solutions may only be discovered after they have been released. Any errors, defects, or vulnerabilities could result in the need for corrective releases to our software solutions, damage to our reputation, loss of revenue, an increase in subscription cancellations, or lack of market acceptance of our offerings, any of which would likely harm our business and financial performance.</w:t>
      </w:r>
    </w:p>
    <w:p>
      <w:pPr>
        <w:spacing w:after="0" w:line="18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if our distribution channel suffers financial losses, becomes financially unstable or insolvent, or is not provided the right mix of incentives to sell our subscriptions, our ability to generate revenue will be adversely affected.</w:t>
      </w:r>
    </w:p>
    <w:p>
      <w:pPr>
        <w:spacing w:after="0" w:line="211" w:lineRule="exact"/>
        <w:rPr>
          <w:sz w:val="20"/>
          <w:szCs w:val="20"/>
          <w:color w:val="auto"/>
        </w:rPr>
      </w:pPr>
    </w:p>
    <w:p>
      <w:pPr>
        <w:ind w:right="40" w:firstLine="445"/>
        <w:spacing w:after="0" w:line="289" w:lineRule="auto"/>
        <w:rPr>
          <w:sz w:val="20"/>
          <w:szCs w:val="20"/>
          <w:color w:val="auto"/>
        </w:rPr>
      </w:pPr>
      <w:r>
        <w:rPr>
          <w:rFonts w:ascii="Arial" w:cs="Arial" w:eastAsia="Arial" w:hAnsi="Arial"/>
          <w:sz w:val="16"/>
          <w:szCs w:val="16"/>
          <w:color w:val="auto"/>
        </w:rPr>
        <w:t>We sell our software products both directly to end users and through a network of distributors and resellers. For the three months ended April 30, 2021 and 2020, approximately 67% and 70%, respectively, of our revenue was derived from indirect channel sales through distributors and resellers, and we expect that the majority of our revenue will continue to be derived from indirect channel sales in the near future. Our ability to effectively distribute our solutions depends in part upon the financial and business condition of our distributor and reseller network. Computer software distributors and resellers typically are not highly capitalized, and have previously experienced difficulties during times of economic contraction as well as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adjusting our incentives.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93"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We rely significantly upon major distributors and resellers in both the U.S. and international regions, including the distributors Tech Data and Ingram Micro. Tech Data accounted for 36% and 38% of our total net revenue for the three months ended April 30, 2021 and 2020, respectively, and Ingram Micro accounted for 10% of our total net revenue for both three months ended April 30, 2021 and 2020. Should any of our agreements with Tech Data or Ingram Micro be terminated, we believe the resellers and end users who currently purchase our products through Tech Data or Ingram Micro would be able to continue to do so under substantially the same terms from one of our many other distributors without substantial disruption to our revenue. Consequently, we believe our business is not substantially dependent on either Tech Data or Ingram Micro. However, if either distributor were to experience a significant business disruption or if our relationship with either were to significantly deteriorate, it is possible that our ability to sell to end users would, at least temporarily, be negatively impacted. This could, in turn, negatively impact our financial results. For example, in June 2020, an affiliate of funds managed by affiliates of Apollo Global Management, a global alternative investment manager, acquired Tech Data, and in December 2020, Platinum Equity, a global investment firm, announced that it had entered into a definitive agreement to acquire Ingram Micro from HNA Technology Co., Ltd., subject to stockholder and regulatory approvals. If there is any reseller or end user uncertainty caused by either acquisition, our ability to sell to these resellers and end users could, at least temporarily, be negatively impacted.</w:t>
      </w:r>
    </w:p>
    <w:p>
      <w:pPr>
        <w:spacing w:after="0" w:line="206"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Further, our distributors and resellers may lose confidence in our business, move to competitive products, or not have the skills or ability to support customers. The loss of or a significant reduction in business with those distributors or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8" w:name="page59"/>
    <w:bookmarkEnd w:id="58"/>
    <w:p>
      <w:pPr>
        <w:spacing w:after="0"/>
        <w:rPr>
          <w:sz w:val="20"/>
          <w:szCs w:val="20"/>
          <w:color w:val="auto"/>
        </w:rPr>
      </w:pPr>
      <w:r>
        <w:rPr>
          <w:rFonts w:ascii="Arial" w:cs="Arial" w:eastAsia="Arial" w:hAnsi="Arial"/>
          <w:sz w:val="16"/>
          <w:szCs w:val="16"/>
          <w:i w:val="1"/>
          <w:iCs w:val="1"/>
          <w:color w:val="auto"/>
        </w:rPr>
        <w:t>We rely on software from third parties, and a failure to properly manage our use of third-party software could result in increased costs or loss of revenue.</w:t>
      </w:r>
    </w:p>
    <w:p>
      <w:pPr>
        <w:spacing w:after="0" w:line="275" w:lineRule="exact"/>
        <w:rPr>
          <w:sz w:val="20"/>
          <w:szCs w:val="20"/>
          <w:color w:val="auto"/>
        </w:rPr>
      </w:pPr>
    </w:p>
    <w:p>
      <w:pPr>
        <w:ind w:right="200" w:firstLine="405"/>
        <w:spacing w:after="0" w:line="272" w:lineRule="auto"/>
        <w:rPr>
          <w:sz w:val="20"/>
          <w:szCs w:val="20"/>
          <w:color w:val="auto"/>
        </w:rPr>
      </w:pPr>
      <w:r>
        <w:rPr>
          <w:rFonts w:ascii="Arial" w:cs="Arial" w:eastAsia="Arial" w:hAnsi="Arial"/>
          <w:sz w:val="17"/>
          <w:szCs w:val="17"/>
          <w:color w:val="auto"/>
        </w:rPr>
        <w:t>Many of our products are designed to include software licensed from third parties. Such third-party software includes software licensed from commercial suppliers and under public open source licenses. While we have internal processes to manage our use of such third-party software, if such processes are inadequate, we may be subject to copyright infringement or other third-party claims. If we are non-compliant with a license for commercial software, we may be required to pay penalties or undergo costly audits pursuant to the license agreement. In the case of open-source software licensed under certain “copyleft” licenses, the license itself, or a court-imposed remedy for non-compliant use of the open source software, may require that proprietary portions of our own software be publicly disclosed or licensed. This could result in a loss of intellectual property rights, increased costs, re-engineering of our software, damage to our reputation, or loss of revenue.</w:t>
      </w:r>
    </w:p>
    <w:p>
      <w:pPr>
        <w:spacing w:after="0" w:line="204" w:lineRule="exact"/>
        <w:rPr>
          <w:sz w:val="20"/>
          <w:szCs w:val="20"/>
          <w:color w:val="auto"/>
        </w:rPr>
      </w:pPr>
    </w:p>
    <w:p>
      <w:pPr>
        <w:ind w:right="100" w:firstLine="405"/>
        <w:spacing w:after="0" w:line="301" w:lineRule="auto"/>
        <w:rPr>
          <w:sz w:val="20"/>
          <w:szCs w:val="20"/>
          <w:color w:val="auto"/>
        </w:rPr>
      </w:pPr>
      <w:r>
        <w:rPr>
          <w:rFonts w:ascii="Arial" w:cs="Arial" w:eastAsia="Arial" w:hAnsi="Arial"/>
          <w:sz w:val="16"/>
          <w:szCs w:val="16"/>
          <w:color w:val="auto"/>
        </w:rPr>
        <w:t>In addition to risks related to license requirements, usage of open source software can lead to greater risks than use of third-party commercial software, as open source licensors generally do not provide warranties, support, indemnities, assurances of title or controls on origin of the software, or other contractual protections regarding infringement claims or the quality of the code. Likewise, some open source projects have known security and other vulnerabilities and architectural instabilities, or are otherwise subject to security attacks due to their wide availability, and are provided on an “as-is”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5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inability to retain and attract qualified employees in the future, or delays in hiring required personnel, particularly engineering and sales personnel, could make it difficult to meet key objectives, such as timely and effective product introductions and financial goals.</w:t>
      </w:r>
    </w:p>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rely on third-party technologies and if we are unable to use or integrate these technologies, our solutions and service development may be delayed and our financial results negatively impacted.</w:t>
      </w:r>
    </w:p>
    <w:p>
      <w:pPr>
        <w:spacing w:after="0" w:line="19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offerings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delays until equivalent software can be developed, identified, licensed, and integrated, which would likely harm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in licensing relationships and with third-party developers could adversely impact our business.</w:t>
      </w:r>
    </w:p>
    <w:p>
      <w:pPr>
        <w:spacing w:after="0" w:line="252"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 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91" w:lineRule="exact"/>
        <w:rPr>
          <w:sz w:val="20"/>
          <w:szCs w:val="20"/>
          <w:color w:val="auto"/>
        </w:rPr>
      </w:pPr>
    </w:p>
    <w:p>
      <w:pPr>
        <w:jc w:val="both"/>
        <w:ind w:right="300" w:firstLine="405"/>
        <w:spacing w:after="0" w:line="263" w:lineRule="auto"/>
        <w:rPr>
          <w:sz w:val="20"/>
          <w:szCs w:val="20"/>
          <w:color w:val="auto"/>
        </w:rPr>
      </w:pPr>
      <w:r>
        <w:rPr>
          <w:rFonts w:ascii="Arial" w:cs="Arial" w:eastAsia="Arial" w:hAnsi="Arial"/>
          <w:sz w:val="18"/>
          <w:szCs w:val="18"/>
          <w:color w:val="auto"/>
        </w:rPr>
        <w:t>Technology created by outsourced product development, whether outsourced to third parties or developed externally and transferred to us through business or technology acquisitions, involves additional risks such as effective integration into existing products, adequate transfer of technology know-how, and ownership and protection of transferred intellectual property.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Risks Relating to Laws and Regulations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regulatory focus on privacy issues and expanding laws may impact our business or expose us to increased liability.</w:t>
      </w:r>
    </w:p>
    <w:p>
      <w:pPr>
        <w:spacing w:after="0" w:line="252"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Our strategy to digitize Autodesk involves increasing our use of cloud- and web-based technologies and applications to leverage customer data to improve our offerings for the benefit of our customers. To accomplish this strategy, we must collect and otherwise process customer data, which may include personal data. Federal, state, and foreign privacy and data security laws apply to the treatment of personal data; the regulatory framework for data privacy and security issues is rapidly evolving</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9" w:name="page60"/>
    <w:bookmarkEnd w:id="59"/>
    <w:p>
      <w:pPr>
        <w:ind w:right="40"/>
        <w:spacing w:after="0" w:line="277" w:lineRule="auto"/>
        <w:rPr>
          <w:sz w:val="20"/>
          <w:szCs w:val="20"/>
          <w:color w:val="auto"/>
        </w:rPr>
      </w:pPr>
      <w:r>
        <w:rPr>
          <w:rFonts w:ascii="Arial" w:cs="Arial" w:eastAsia="Arial" w:hAnsi="Arial"/>
          <w:sz w:val="18"/>
          <w:szCs w:val="18"/>
          <w:color w:val="auto"/>
        </w:rPr>
        <w:t>and is likely to remain uncertain for the foreseeable future. Governments, regulators, plaintiffs’ attorneys, privacy advocates, and customers have increased their focus on how companies collect, process, use, store, share, and transmit personal data.</w:t>
      </w:r>
    </w:p>
    <w:p>
      <w:pPr>
        <w:spacing w:after="0" w:line="197"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color w:val="auto"/>
        </w:rPr>
        <w:t>The General Data Protection Regulation (“GDPR”) is applicable in all European Union member states and introduced new data protection requirements in the European Union and substantial fines for non-compliance. We have modified our privacy practices to comply with the GDPR and make use of model contractual clauses approved by the European Commission in relation to the transfer of personal data from the European Union to the United States. On July 16, 2020, the Court of Justice of the European Union (“CJEU”) invalidated the EU-U.S. Privacy Shield data transfer mechanism (the “Schrems II Ruling”). We do not anticipate any immediate change in our customers’ ability to continue to use our services and transfer data between the EU and the United States as a result of the Schrems II Ruling. In the decision, the CJEU imposed additional obligations on companies when relying on standard contractual clauses approved by the European Commission (“SCCs”) to transfer personal data. This decision may result in European data protection regulators applying differing standards for, and requiring ad hoc verification of, transfers of personal data from Europe to the United States. In November 2020, the European Commission released a draft of revised SCCs addressing the CJEU concerns. The European Data Protection Board also issued recommendations that, together with the revised SCCs, may require us to implement additional contractual and technical safeguards for any personal data transferred out of the European Economic Area, which may increase compliance costs, lead to increased regulatory scrutiny or liability, and adversely impact our business, financial condition, and operating results. The United Kingdom has enacted a Data Protection Act and legislation referred to as the “UK GDPR” that, collectively, substantially implement the GDPR, and provides for substantial penalties for non-compliance. However, Brexit has created uncertainty regarding data protection regulation in the United Kingdom and how data transfers to and from the United Kingdom will be regulated post-Brexit. The TCA provides for unrestricted flow of personal data from the European Union to the United Kingdom until either April 30, 2021, which may be extended until June 30, 2021, by mutual agreement, or until the European Commission adopts a decision that U.K. data protection laws offer an adequate level of protection for personal data.</w:t>
      </w:r>
    </w:p>
    <w:p>
      <w:pPr>
        <w:spacing w:after="0" w:line="218"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In addition, in June 2018, California enacted the California Consumer Privacy Act (the “CCPA”), which took effect in January 2020. The CCPA, among other things, gives California residents expanded rights to access and delete their personal information, opt out of certain personal information sharing, and receive detailed information about how their personal information is used. In November 2020, California voters passed the California Privacy Rights Act (the “CPRA”). The CPRA significantly expands the CCPA, including by introducing additional obligations such as data minimization and storage limitations, granting additional rights to consumers such as correction of personal information and additional opt-out rights, and creates a new entity to implement and enforce the law. The CCPA and CPRA will require us to modify our data processing practices and policies and may cause us to incur substantial costs and expenses in order to comply. Several other countries, including Australia, New Zealand, Brazil, and Japan, have also established specific legal requirements for cross-border transfers of personal information.</w:t>
      </w:r>
    </w:p>
    <w:p>
      <w:pPr>
        <w:spacing w:after="0" w:line="205"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GDPR, CCPA, and other state and global laws and regulations increased our responsibility and potential liability in relation to personal data, and we have and will continue to put in place additional processes and programs to demonstrate compliance. New privacy laws and regulations are under development at the U.S. federal and state level and many international jurisdictions. Any actual or perceived failure to comply with the GDPR, the CCPA, or other data privacy laws or regulations, or related contractual or other obligations, or any perceived privacy rights violation, could lead to investigations, claims, and proceedings by governmental entities and private parties, damages for contract breach, and other significant costs, penalties, and other liabilities, as well as harm to our reputation and market position.</w:t>
      </w:r>
    </w:p>
    <w:p>
      <w:pPr>
        <w:spacing w:after="0" w:line="137"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Additionally, we store customer information and content and if our customers fail to comply with contractual obligations or applicable laws, it could result in litigation or reputational harm to us. The GDPR, CCPA, and other laws and self-regulatory codes may affect our ability to reach current and prospective customers, understand how our offerings and services are being used, respond to customer requests allowed under the laws, and implement our new business models effectively. These new laws and regulations would similarly affect our competitors as well as our customers. These requirements could impact demand for our offerings and services and result in more onerous contract obligations.</w:t>
      </w:r>
    </w:p>
    <w:p>
      <w:pPr>
        <w:spacing w:after="0" w:line="149"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There is also an increasing trend towards data localization policies. For example, in 2015, Russia introduced data localization laws, and other countries such as India and China are considering data localization requirements. If this trend continues and countries implement more restrictive regulations for cross-border data transfers (or do not permit data to leave the country of origin), our business, financial condition, and results of operations in those jurisdictions could be impacted.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0" w:name="page61"/>
    <w:bookmarkEnd w:id="60"/>
    <w:p>
      <w:pPr>
        <w:ind w:right="140"/>
        <w:spacing w:after="0" w:line="277" w:lineRule="auto"/>
        <w:rPr>
          <w:sz w:val="20"/>
          <w:szCs w:val="20"/>
          <w:color w:val="auto"/>
        </w:rPr>
      </w:pPr>
      <w:r>
        <w:rPr>
          <w:rFonts w:ascii="Arial" w:cs="Arial" w:eastAsia="Arial" w:hAnsi="Arial"/>
          <w:sz w:val="18"/>
          <w:szCs w:val="18"/>
          <w:i w:val="1"/>
          <w:iCs w:val="1"/>
          <w:color w:val="auto"/>
        </w:rPr>
        <w:t>We are subject to governmental export and import controls that could impair our ability to compete in international markets or subject us to liability if we violate the controls.</w:t>
      </w:r>
    </w:p>
    <w:p>
      <w:pPr>
        <w:spacing w:after="0" w:line="1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offerings are subject to U.S. export controls and economic sanctions laws and regulations that prohibit the delivery of certain solutions and services without the required export authorizations or export to locations, governments, and persons targeted by U.S. sanctions. While we have processes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 and sanctions laws.</w:t>
      </w:r>
    </w:p>
    <w:p>
      <w:pPr>
        <w:spacing w:after="0" w:line="18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partner agreements. Complying with export control and sanctions regulations for a particular sale may be time-consuming and may result in the delay or loss of sales opportunities. Violations of U.S. sanctions or export control laws can result in fines or penalties.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52" w:lineRule="exact"/>
        <w:rPr>
          <w:sz w:val="20"/>
          <w:szCs w:val="20"/>
          <w:color w:val="auto"/>
        </w:rPr>
      </w:pPr>
    </w:p>
    <w:p>
      <w:pPr>
        <w:jc w:val="both"/>
        <w:ind w:right="100" w:firstLine="405"/>
        <w:spacing w:after="0" w:line="286" w:lineRule="auto"/>
        <w:rPr>
          <w:sz w:val="20"/>
          <w:szCs w:val="20"/>
          <w:color w:val="auto"/>
        </w:rPr>
      </w:pPr>
      <w:r>
        <w:rPr>
          <w:rFonts w:ascii="Arial" w:cs="Arial" w:eastAsia="Arial" w:hAnsi="Arial"/>
          <w:sz w:val="16"/>
          <w:szCs w:val="16"/>
          <w:color w:val="auto"/>
        </w:rPr>
        <w:t>We rely on a combination of patent, copyright, and trademark laws, trade secret protections, confidentiality procedures, and contractual provisions to protect our proprietary rights. However, the steps we take to protect our intellectual property rights may be inadequate. While we have patent applications pending in the United States and throughout the world, we may be unable to obtain patent protection for the technology covered in our patent applications. In addition, any patents issued to us in the future may not provide us with competitive advantages or may be successfully challenged by third parties.</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Furthermore, legal standards relating to the validity, enforceability, and scope of protection of intellectual property rights are uncertain. Despite our efforts to protect our proprietary rights, unauthorized parties from time to time have copied or reverse engineered aspects of our software or have obtained and used information that we regard as proprietary. Policing unauthorized use of our software is time-consuming and costly. We are unable to measure the extent to which unauthorized use of our software exists and we expect that unauthorized use of software will remain a persistent problem, particularly in emerging economies.</w:t>
      </w:r>
    </w:p>
    <w:p>
      <w:pPr>
        <w:spacing w:after="0" w:line="218"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Additionally, we actively protect the secrecy of our confidential information and trade secrets, including our source code. If unauthorized disclosure of our source code occurs, we could potentially lose future trade secret protection for that source code. Unauthorized disclosure of our source code could make it easier for third parties to compete with our offerings by copying functionality, which could adversely affect our financial performance and our reputation. We also seek to protect our confidential information and trade secrets through the use of non-disclosure agreements with our employees,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52"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Our competitors, as well as a number of other entities and individuals, may own or claim to own intellectual property relating to our business. Third parties may claim that we are infringing upon or misappropriating their intellectual property rights, and we may be found to be infringing upon such rights, even if we are unaware of the intellectual property rights claimed against us. As more software patents are granted worldwide, the number of offerings and competitors in our industries grows, and the functionality of products in different industries overlaps, we expect that software developers will be increasingly subject to infringement claims. Additionally, certain patent assertion entities have become more aggressive in threatening and pursuing litigation in attempts to obtain fees for licensing the right to use patents.</w:t>
      </w:r>
    </w:p>
    <w:p>
      <w:pPr>
        <w:spacing w:after="0" w:line="21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Any claims or threats of infringement or misappropriation, whether with or without merit, have been and could in the future be time-consuming to defend, result in costly litigation and diversion of resources, cause product delays, require us to change our products or business practices, prevent us from offering our software and services, or require us to enter into royalty or licensing agreements. In addition, such royalty or license agreements, if required, may not be available on acceptable terms, if at all, which would likely harm our business. We may also be obligated to indemnify our customers or business partners or pay substantial settlement costs, including royalty payments, in connection with any such claim or litigation and to obtain licenses, modify applications, or refund fees, which could be costly. Furthermore, from time to time we may introduce or acquire new products, including in areas where we historically have not competed, which could increase our exposure to patent and other intellectual property claims.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Contracting with government entities exposes us to additional risks inherent in the government procurement process.</w:t>
      </w:r>
    </w:p>
    <w:p>
      <w:pPr>
        <w:spacing w:after="0" w:line="252"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We provide products and services, directly and indirectly, to a variety of government entities. Risks associated with licensing and selling products and services to government entities include extended sales and collection cycles, varying governmental budgeting processes, and adherence to complex procurement regulations and other government-specific contractual requirements. We may be subject to audits and investigations relating to our government contracts and any violations could result in civil and criminal penalties and administrative sanctions, including termination of contracts, payment of fines, and suspension or debarment from future government business, as well as harm to our reputation and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Risks Relating to Financial Developments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52"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color w:val="auto"/>
        </w:rPr>
        <w:t>Because we conduct a substantial portion of our business outside the United States, we face exposure to adverse movements in foreign currency exchange rates, which could have a material adverse impact on our financial results and cash flows. These exposures may change over time as business practices evolve and economic conditions change. 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18 months in the future and provide us with some protection against currency exposures. However, our attempts to hedge against these risks may not be completely successful, resulting in an adverse impact on our financial results.</w:t>
      </w:r>
    </w:p>
    <w:p>
      <w:pPr>
        <w:spacing w:after="0" w:line="193"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84"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In addition, global events, including the sudden and unexpected effects of the COVID-19 pandemic as well as geopolitical developments, may contribute to volatility in foreign exchange markets, which we may not be able to effectively manage, and our financial results could be adversely impacted. Additionally, countries in which we operate may be classified as highly inflationary economies, requiring special accounting and financial reporting treatment for such operations, or such countries’ currencies may be devalued, or both, which may adversely impact our business operations and financial results.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service obligations may adversely affect our financial condition and cash flows from operations.</w:t>
      </w:r>
    </w:p>
    <w:p>
      <w:pPr>
        <w:spacing w:after="0" w:line="239" w:lineRule="exact"/>
        <w:rPr>
          <w:sz w:val="20"/>
          <w:szCs w:val="20"/>
          <w:color w:val="auto"/>
        </w:rPr>
      </w:pPr>
    </w:p>
    <w:p>
      <w:pPr>
        <w:ind w:right="20" w:firstLine="405"/>
        <w:spacing w:after="0" w:line="227" w:lineRule="auto"/>
        <w:rPr>
          <w:sz w:val="20"/>
          <w:szCs w:val="20"/>
          <w:color w:val="auto"/>
        </w:rPr>
      </w:pPr>
      <w:r>
        <w:rPr>
          <w:rFonts w:ascii="Arial" w:cs="Arial" w:eastAsia="Arial" w:hAnsi="Arial"/>
          <w:sz w:val="18"/>
          <w:szCs w:val="18"/>
          <w:color w:val="auto"/>
        </w:rPr>
        <w:t>We have $1.6 billion of debt, consisting of notes due at various times from December 2022 to January 2030, as of April 30, 2021, as described in Part 1, Item 1. We also entered into a credit agreement that provides for an unsecured revolving loan facility in the aggregate principal amount of $650.0 million, with an option to be increased up to $1.0 billion, as described in Part I, Item 1. Maintenance of our indebtedness, contractual restrictions, and additional issuances of indebtedness could:</w:t>
      </w:r>
    </w:p>
    <w:p>
      <w:pPr>
        <w:spacing w:after="0" w:line="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cause us to dedicate a substantial portion of our cash flows from operations towards debt service obligations and principal repayments;</w:t>
      </w:r>
    </w:p>
    <w:p>
      <w:pPr>
        <w:spacing w:after="0" w:line="112"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 our vulnerability to adverse changes in general economic, industry, and competitive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impair our ability to obtain future financing for working capital, capital expenditures, acquisitions, general corporate, or other purposes; and</w:t>
      </w:r>
    </w:p>
    <w:p>
      <w:pPr>
        <w:spacing w:after="0" w:line="128" w:lineRule="exact"/>
        <w:rPr>
          <w:rFonts w:ascii="Arial" w:cs="Arial" w:eastAsia="Arial" w:hAnsi="Arial"/>
          <w:sz w:val="17"/>
          <w:szCs w:val="17"/>
          <w:color w:val="auto"/>
        </w:rPr>
      </w:pPr>
    </w:p>
    <w:p>
      <w:pPr>
        <w:ind w:left="66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due to limitations within the debt instruments, restrict our ability to grant liens on property, enter into certain mergers, dispose of all or substantially all of the assets of Autodesk and its subsidiaries, taken as a whole, materially change our business, and incur subsidiary indebtedness, subject to customary exceptions.</w:t>
      </w:r>
    </w:p>
    <w:p>
      <w:pPr>
        <w:spacing w:after="0" w:line="211"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We are required to comply with the covenants set forth in our credit agreement. If we breach any of the covenants and do not obtain a waiver from the note holders or lenders, then, subject to applicable cure periods, we would not be able to incur additional indebtedness under the credit agreement described in Part 2, Item 8, and any outstanding indebtedness under the credit agreement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credit agreement could increase.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Downgrades in our credit ratings could also restrict our ability to obtain additional financing in the future and could affect the terms of any such financing.</w:t>
      </w:r>
    </w:p>
    <w:p>
      <w:pPr>
        <w:spacing w:after="0" w:line="27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i w:val="1"/>
          <w:iCs w:val="1"/>
          <w:color w:val="auto"/>
        </w:rPr>
        <w:t>Our investment portfolio consists of a variety of investment vehicles that are subject to interest rate trends, market volatility, and other economic factors. If general economic conditions decline, this could cause the credit ratings of our investments to deteriorate and illiquidity in the financial marketplace, and we may experience a decline in interest income and an inability to sell our investments, leading to impairment in the value of our investments.</w:t>
      </w:r>
    </w:p>
    <w:p>
      <w:pPr>
        <w:spacing w:after="0" w:line="176"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or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 reduce our investment income or result in material charges, which in turn could impact our overall net income (loss) and earnings (loss) per share.</w:t>
      </w:r>
    </w:p>
    <w:p>
      <w:pPr>
        <w:spacing w:after="0" w:line="188"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From time to time we make direct investments in privately held companies. Investments in privately held companies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203" w:lineRule="exact"/>
        <w:rPr>
          <w:sz w:val="20"/>
          <w:szCs w:val="20"/>
          <w:color w:val="auto"/>
        </w:rPr>
      </w:pPr>
    </w:p>
    <w:p>
      <w:pPr>
        <w:ind w:right="200" w:firstLine="405"/>
        <w:spacing w:after="0" w:line="311" w:lineRule="auto"/>
        <w:rPr>
          <w:sz w:val="20"/>
          <w:szCs w:val="20"/>
          <w:color w:val="auto"/>
        </w:rPr>
      </w:pPr>
      <w:r>
        <w:rPr>
          <w:rFonts w:ascii="Arial" w:cs="Arial" w:eastAsia="Arial" w:hAnsi="Arial"/>
          <w:sz w:val="16"/>
          <w:szCs w:val="16"/>
          <w:color w:val="auto"/>
        </w:rPr>
        <w:t>A loss on any of our investments may cause us to record an other-than-temporary impairment charge. The effect of this charge could impact our overall net income (loss) and earnings (loss)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tax rules and regulations, and uncertainties in interpretation and application, could materially affect our tax obligations and effective tax rate.</w:t>
      </w:r>
    </w:p>
    <w:p>
      <w:pPr>
        <w:spacing w:after="0" w:line="27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primarily based on our expected geographic mix of earnings; statutory rates; intercompany arrangements, including the manner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overturned by tax authorities and may have a significant impact on our effective tax rate and cash taxes.</w:t>
      </w:r>
    </w:p>
    <w:p>
      <w:pPr>
        <w:spacing w:after="0" w:line="206" w:lineRule="exact"/>
        <w:rPr>
          <w:sz w:val="20"/>
          <w:szCs w:val="20"/>
          <w:color w:val="auto"/>
        </w:rPr>
      </w:pPr>
    </w:p>
    <w:p>
      <w:pPr>
        <w:ind w:firstLine="405"/>
        <w:spacing w:after="0" w:line="255" w:lineRule="auto"/>
        <w:rPr>
          <w:sz w:val="20"/>
          <w:szCs w:val="20"/>
          <w:color w:val="auto"/>
        </w:rPr>
      </w:pPr>
      <w:r>
        <w:rPr>
          <w:rFonts w:ascii="Arial" w:cs="Arial" w:eastAsia="Arial" w:hAnsi="Arial"/>
          <w:sz w:val="16"/>
          <w:szCs w:val="16"/>
          <w:color w:val="auto"/>
        </w:rPr>
        <w:t>Tax laws in the United States and in foreign tax jurisdictions are dynamic and subject to change as new laws are passed and new interpretations of the law are issued or applied. For example, the U.S. government enacted significant tax law changes in December 2017, the U.S. Tax Cuts and Jobs Act (“TCJA”), which impacted our tax obligations and effective tax rate beginning in our fiscal 2018 tax year, and significant tax legislation was included in the March 2020 CARES Act and subsequent Consolidated Appropriations Act in December 2020. Due to the complexity and varying interpretations of the TCJA and the CARES Act, the U.S. Department of Treasury and other standard-setting bodies have been issuing and will continue to issue regulations and interpretative guidance that could significantly impact how we will apply the law and the ultimate effect on our results of operations from both the TCJA</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and the CARES Act, including for our prior tax years. In addition, increases in corporate tax rates, such as have been proposed by the current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administration, could increase our effective tax rate and have an adverse effect on our results of operations.</w:t>
      </w:r>
    </w:p>
    <w:p>
      <w:pPr>
        <w:spacing w:after="0" w:line="223"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Increasingly, tax authorities are scrutinizing existing corporate tax regulatory and legal regimes. Many countries in the European Union as well as other countries and organizations such as the Organization for Economic Cooperation and Development are actively considering new taxing regimes and changes to existing tax laws that are contrary to the way we have interpreted and historically applied the rules and regulations in our tax returns for such jurisdictions. If U.S. or other foreign tax authorities change applicable tax laws or successfully challenge how or where our profits are currently recognized, our overall taxes could increase, and our business, financial condition, or results of operations may be adversely impacted.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3" w:name="page64"/>
    <w:bookmarkEnd w:id="63"/>
    <w:p>
      <w:pPr>
        <w:ind w:right="100"/>
        <w:spacing w:after="0" w:line="277" w:lineRule="auto"/>
        <w:rPr>
          <w:sz w:val="20"/>
          <w:szCs w:val="20"/>
          <w:color w:val="auto"/>
        </w:rPr>
      </w:pPr>
      <w:r>
        <w:rPr>
          <w:rFonts w:ascii="Arial" w:cs="Arial" w:eastAsia="Arial" w:hAnsi="Arial"/>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97"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adversely affecting our results of operations. Our deferred tax assets include net operating loss, amortizable tax assets,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more likely than not to be realized. We are releasing our valuation allowance against the majority of our U.S. federal tax assets resulting in a material non-cash benefit in this period. We continue to have a full valuation allowance against certain U.S. and foreign deferred tax assets. Changes in the amount of the U.S. and foreign jurisdictions valuation allowance could also result in a material non-cash expense or benefit in the period in which the valuation allowance is adjusted, and our results of operations could be materially affected. We will continue to perform these tests on our worldwide deferred tax assets, and any future adjustments to the realizability of our deferred tax assets may have a material effect on our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General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52"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or business interruption from epidemics or pandemics, or the fear of such events, could adversely impact our business, financial results, and financial condition. For example, our corporate headquarters and executive offices are located near major seismic faults in the San Francisco Bay Area and face annual periods of wildfire danger, which increase the probability of power outages and may impact employees’ abilities to commute to work or to work from home.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negatively impacting our financial results.</w:t>
      </w:r>
    </w:p>
    <w:p>
      <w:pPr>
        <w:spacing w:after="0" w:line="19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211"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We are involved in legal proceedings and receive inquiries from regulatory agencies. As the global economy has changed and our business has evolved, we have seen an increase in litigation activity and regulatory inquiries. Like many other technology companies, the number and frequency of inquiries from U.S. and foreign regulatory agencies we have received regarding our business and our business practices, as well as the business practices of others in our industry, have increased in recent years. In the event we are involved in significant disputes or are the subject of a formal action by a regulatory agency, we could be exposed to costly and time-consuming legal proceedings that could result in any number of outcomes. Any claims or regulatory actions initiated by or against us, whether successful or not, could result in high defense costs, damage awards, injunctive relief, increased costs of business, fines or orders to change certain business practices, significant dedication of management time, diversion of operational resources, or otherwise harm our business. In any such event, our financial results, results of operations, cash flows, or trading prices for our securities could be negatively impacted.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52"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practices could have a significant adverse effect on our results of operations or the way we conduct our business. Further, such changes could potentially affect our reporting of transactions completed before such changes are effective.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4" w:name="page65"/>
    <w:bookmarkEnd w:id="64"/>
    <w:p>
      <w:pPr>
        <w:spacing w:after="0" w:line="308" w:lineRule="auto"/>
        <w:rPr>
          <w:sz w:val="20"/>
          <w:szCs w:val="20"/>
          <w:color w:val="auto"/>
        </w:rPr>
      </w:pPr>
      <w:r>
        <w:rPr>
          <w:rFonts w:ascii="Arial" w:cs="Arial" w:eastAsia="Arial" w:hAnsi="Arial"/>
          <w:sz w:val="17"/>
          <w:szCs w:val="17"/>
          <w:i w:val="1"/>
          <w:iCs w:val="1"/>
          <w:color w:val="auto"/>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73"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Pursuant to Section 404 of the Sarbanes-Oxley Act of 2002, we are required to furnish a report by our management on our internal control over financial reporting, including an assessment of the effectiveness of our internal control over financial reporting as of the end of our fiscal year. This assessment must include a statement as to whether or not our internal control over financial reporting is effective and disclosure of any material weaknesses in our internal control over financial reporting identified by management. If our management or independent registered public accounting firm identifies one or more material weaknesses in our internal control over financial reporting, we are unable to assert that our internal control over financial reporting is effective, or our independent registered public accounting firm is unable to express an opinion that our internal controls are effective, investors could lose confidence in the accuracy and completeness of our financial reports, which could have an adverse effect on our business and stock price.</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97"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We make assumptions, judgments, and estimates for a number of items, including revenue recognition for product subscriptions and enterprise business arrangements (“EBAs”), the determination of the fair value of acquired assets and liabilities, goodwill, financial instruments including strategic investments, long-lived assets, and other intangible assets, the realizability of deferred tax assets, and the fair value of stock awards. We also make assumptions, judgments, and estimates in determining the accruals for uncertain tax positions, variable compensation, partner incentive programs, product returns reserves, allowances for credit losses, asset retirement obligations, legal contingencies, and operating lease liabilities.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ind w:right="120" w:firstLine="445"/>
        <w:spacing w:after="0" w:line="259" w:lineRule="auto"/>
        <w:rPr>
          <w:sz w:val="20"/>
          <w:szCs w:val="20"/>
          <w:color w:val="auto"/>
        </w:rPr>
      </w:pPr>
      <w:r>
        <w:rPr>
          <w:rFonts w:ascii="Arial" w:cs="Arial" w:eastAsia="Arial" w:hAnsi="Arial"/>
          <w:sz w:val="17"/>
          <w:szCs w:val="17"/>
          <w:color w:val="auto"/>
        </w:rPr>
        <w:t>We issued 9,277 shares of our restricted common stock, in connection with an acquisition completed in March 2021, as partial consideration for the acquisition. The restricted common stock is subject to transfer restrictions. 50% of the shares are released from restriction on the one-year anniversary of the issuance date and the remaining 50% on the two-year anniversary of the issuance date contingent on continued employment. These shares were issued in a private placement exempt from the registration requirements of the Securities Act of 1933, as amended (the "Securities Act"), in reliance on the exemptions set forth in Section 4(a)(2) of the Securities Act and Rule 506 under Regulation D.</w:t>
      </w:r>
    </w:p>
    <w:p>
      <w:pPr>
        <w:spacing w:after="0" w:line="201" w:lineRule="exact"/>
        <w:rPr>
          <w:sz w:val="20"/>
          <w:szCs w:val="20"/>
          <w:color w:val="auto"/>
        </w:rPr>
      </w:pPr>
    </w:p>
    <w:p>
      <w:pPr>
        <w:ind w:right="500" w:firstLine="445"/>
        <w:spacing w:after="0" w:line="261"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5" w:name="page66"/>
    <w:bookmarkEnd w:id="65"/>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filed or incorporated by reference as part of this Form 10-Q.</w:t>
      </w: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60" w:type="dxa"/>
            <w:vAlign w:val="bottom"/>
            <w:gridSpan w:val="5"/>
          </w:tcPr>
          <w:p>
            <w:pPr>
              <w:ind w:left="560"/>
              <w:spacing w:after="0"/>
              <w:rPr>
                <w:sz w:val="20"/>
                <w:szCs w:val="20"/>
                <w:color w:val="auto"/>
              </w:rPr>
            </w:pPr>
            <w:r>
              <w:rPr>
                <w:rFonts w:ascii="Arial" w:cs="Arial" w:eastAsia="Arial" w:hAnsi="Arial"/>
                <w:sz w:val="16"/>
                <w:szCs w:val="16"/>
                <w:color w:val="auto"/>
              </w:rPr>
              <w:t>Description</w:t>
            </w:r>
          </w:p>
        </w:tc>
      </w:tr>
      <w:tr>
        <w:trPr>
          <w:trHeight w:val="304"/>
        </w:trPr>
        <w:tc>
          <w:tcPr>
            <w:tcW w:w="7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10.1*</w:t>
            </w:r>
          </w:p>
        </w:tc>
        <w:tc>
          <w:tcPr>
            <w:tcW w:w="540" w:type="dxa"/>
            <w:vAlign w:val="bottom"/>
          </w:tcPr>
          <w:p>
            <w:pPr>
              <w:spacing w:after="0"/>
              <w:rPr>
                <w:sz w:val="24"/>
                <w:szCs w:val="24"/>
                <w:color w:val="auto"/>
              </w:rPr>
            </w:pPr>
          </w:p>
        </w:tc>
        <w:tc>
          <w:tcPr>
            <w:tcW w:w="3560" w:type="dxa"/>
            <w:vAlign w:val="bottom"/>
            <w:tcBorders>
              <w:bottom w:val="single" w:sz="8" w:color="0000FF"/>
            </w:tcBorders>
            <w:gridSpan w:val="2"/>
          </w:tcPr>
          <w:p>
            <w:pPr>
              <w:spacing w:after="0"/>
              <w:rPr>
                <w:rFonts w:ascii="Arial" w:cs="Arial" w:eastAsia="Arial" w:hAnsi="Arial"/>
                <w:sz w:val="16"/>
                <w:szCs w:val="16"/>
                <w:color w:val="0000FF"/>
                <w:w w:val="92"/>
              </w:rPr>
            </w:pPr>
            <w:hyperlink w:anchor="page68">
              <w:r>
                <w:rPr>
                  <w:rFonts w:ascii="Arial" w:cs="Arial" w:eastAsia="Arial" w:hAnsi="Arial"/>
                  <w:sz w:val="16"/>
                  <w:szCs w:val="16"/>
                  <w:color w:val="0000FF"/>
                  <w:w w:val="92"/>
                </w:rPr>
                <w:t>Deborah Clifford Offer Letter dated February 12, 2021</w:t>
              </w:r>
            </w:hyperlink>
          </w:p>
        </w:tc>
        <w:tc>
          <w:tcPr>
            <w:tcW w:w="5260" w:type="dxa"/>
            <w:vAlign w:val="bottom"/>
            <w:gridSpan w:val="5"/>
          </w:tcPr>
          <w:p>
            <w:pPr>
              <w:spacing w:after="0"/>
              <w:rPr>
                <w:sz w:val="24"/>
                <w:szCs w:val="24"/>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6"/>
                <w:szCs w:val="16"/>
                <w:color w:val="auto"/>
              </w:rPr>
              <w:t>10.2*</w:t>
            </w:r>
          </w:p>
        </w:tc>
        <w:tc>
          <w:tcPr>
            <w:tcW w:w="540" w:type="dxa"/>
            <w:vAlign w:val="bottom"/>
          </w:tcPr>
          <w:p>
            <w:pPr>
              <w:spacing w:after="0"/>
              <w:rPr>
                <w:sz w:val="24"/>
                <w:szCs w:val="24"/>
                <w:color w:val="auto"/>
              </w:rPr>
            </w:pPr>
          </w:p>
        </w:tc>
        <w:tc>
          <w:tcPr>
            <w:tcW w:w="7060" w:type="dxa"/>
            <w:vAlign w:val="bottom"/>
            <w:tcBorders>
              <w:bottom w:val="single" w:sz="8" w:color="0000FF"/>
            </w:tcBorders>
            <w:gridSpan w:val="5"/>
          </w:tcPr>
          <w:p>
            <w:pPr>
              <w:spacing w:after="0"/>
              <w:rPr>
                <w:rFonts w:ascii="Arial" w:cs="Arial" w:eastAsia="Arial" w:hAnsi="Arial"/>
                <w:sz w:val="16"/>
                <w:szCs w:val="16"/>
                <w:color w:val="0000FF"/>
                <w:w w:val="90"/>
              </w:rPr>
            </w:pPr>
            <w:hyperlink r:id="rId80">
              <w:r>
                <w:rPr>
                  <w:rFonts w:ascii="Arial" w:cs="Arial" w:eastAsia="Arial" w:hAnsi="Arial"/>
                  <w:sz w:val="16"/>
                  <w:szCs w:val="16"/>
                  <w:color w:val="0000FF"/>
                  <w:w w:val="90"/>
                </w:rPr>
                <w:t>Autodesk, Inc. Amended and Restated Severance Plan and Summary Plan Description dated March 25, 2021</w:t>
              </w:r>
            </w:hyperlink>
          </w:p>
        </w:tc>
        <w:tc>
          <w:tcPr>
            <w:tcW w:w="1760" w:type="dxa"/>
            <w:vAlign w:val="bottom"/>
            <w:gridSpan w:val="2"/>
          </w:tcPr>
          <w:p>
            <w:pPr>
              <w:spacing w:after="0"/>
              <w:rPr>
                <w:sz w:val="24"/>
                <w:szCs w:val="24"/>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6"/>
                <w:szCs w:val="16"/>
                <w:color w:val="auto"/>
              </w:rPr>
              <w:t>31.1</w:t>
            </w:r>
          </w:p>
        </w:tc>
        <w:tc>
          <w:tcPr>
            <w:tcW w:w="540" w:type="dxa"/>
            <w:vAlign w:val="bottom"/>
          </w:tcPr>
          <w:p>
            <w:pPr>
              <w:spacing w:after="0"/>
              <w:rPr>
                <w:sz w:val="24"/>
                <w:szCs w:val="24"/>
                <w:color w:val="auto"/>
              </w:rPr>
            </w:pPr>
          </w:p>
        </w:tc>
        <w:tc>
          <w:tcPr>
            <w:tcW w:w="6960" w:type="dxa"/>
            <w:vAlign w:val="bottom"/>
            <w:tcBorders>
              <w:bottom w:val="single" w:sz="8" w:color="0000FF"/>
            </w:tcBorders>
            <w:gridSpan w:val="4"/>
          </w:tcPr>
          <w:p>
            <w:pPr>
              <w:spacing w:after="0"/>
              <w:rPr>
                <w:rFonts w:ascii="Arial" w:cs="Arial" w:eastAsia="Arial" w:hAnsi="Arial"/>
                <w:sz w:val="16"/>
                <w:szCs w:val="16"/>
                <w:color w:val="0000FF"/>
                <w:w w:val="93"/>
              </w:rPr>
            </w:pPr>
            <w:hyperlink w:anchor="page73">
              <w:r>
                <w:rPr>
                  <w:rFonts w:ascii="Arial" w:cs="Arial" w:eastAsia="Arial" w:hAnsi="Arial"/>
                  <w:sz w:val="16"/>
                  <w:szCs w:val="16"/>
                  <w:color w:val="0000FF"/>
                  <w:w w:val="93"/>
                </w:rPr>
                <w:t>Certification of Chief Executive Officer pursuant to Rule 13a-14(a) of the Securities Exchange Act of 1934</w:t>
              </w:r>
            </w:hyperlink>
          </w:p>
        </w:tc>
        <w:tc>
          <w:tcPr>
            <w:tcW w:w="1860" w:type="dxa"/>
            <w:vAlign w:val="bottom"/>
            <w:gridSpan w:val="3"/>
          </w:tcPr>
          <w:p>
            <w:pPr>
              <w:spacing w:after="0"/>
              <w:rPr>
                <w:sz w:val="24"/>
                <w:szCs w:val="24"/>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6"/>
                <w:szCs w:val="16"/>
                <w:color w:val="auto"/>
              </w:rPr>
              <w:t>31.2</w:t>
            </w:r>
          </w:p>
        </w:tc>
        <w:tc>
          <w:tcPr>
            <w:tcW w:w="540" w:type="dxa"/>
            <w:vAlign w:val="bottom"/>
          </w:tcPr>
          <w:p>
            <w:pPr>
              <w:spacing w:after="0"/>
              <w:rPr>
                <w:sz w:val="24"/>
                <w:szCs w:val="24"/>
                <w:color w:val="auto"/>
              </w:rPr>
            </w:pPr>
          </w:p>
        </w:tc>
        <w:tc>
          <w:tcPr>
            <w:tcW w:w="8820" w:type="dxa"/>
            <w:vAlign w:val="bottom"/>
            <w:gridSpan w:val="7"/>
          </w:tcPr>
          <w:p>
            <w:pPr>
              <w:spacing w:after="0"/>
              <w:rPr>
                <w:rFonts w:ascii="Arial" w:cs="Arial" w:eastAsia="Arial" w:hAnsi="Arial"/>
                <w:sz w:val="16"/>
                <w:szCs w:val="16"/>
                <w:color w:val="0000FF"/>
              </w:rPr>
            </w:pPr>
            <w:hyperlink w:anchor="page74">
              <w:r>
                <w:rPr>
                  <w:rFonts w:ascii="Arial" w:cs="Arial" w:eastAsia="Arial" w:hAnsi="Arial"/>
                  <w:sz w:val="16"/>
                  <w:szCs w:val="16"/>
                  <w:color w:val="0000FF"/>
                </w:rPr>
                <w:t>Certification of Chief Financial Officer pursuant to Rule 13a-14(a) of the Securities Exchange Act of 1934</w:t>
              </w:r>
            </w:hyperlink>
          </w:p>
        </w:tc>
      </w:tr>
      <w:tr>
        <w:trPr>
          <w:trHeight w:val="20"/>
        </w:trPr>
        <w:tc>
          <w:tcPr>
            <w:tcW w:w="1240" w:type="dxa"/>
            <w:vAlign w:val="bottom"/>
            <w:gridSpan w:val="2"/>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6"/>
                <w:szCs w:val="16"/>
                <w:color w:val="auto"/>
              </w:rPr>
              <w:t>32.1 †</w:t>
            </w:r>
          </w:p>
        </w:tc>
        <w:tc>
          <w:tcPr>
            <w:tcW w:w="8820" w:type="dxa"/>
            <w:vAlign w:val="bottom"/>
            <w:gridSpan w:val="7"/>
          </w:tcPr>
          <w:p>
            <w:pPr>
              <w:spacing w:after="0"/>
              <w:rPr>
                <w:rFonts w:ascii="Arial" w:cs="Arial" w:eastAsia="Arial" w:hAnsi="Arial"/>
                <w:sz w:val="16"/>
                <w:szCs w:val="16"/>
                <w:color w:val="0000FF"/>
                <w:w w:val="92"/>
              </w:rPr>
            </w:pPr>
            <w:hyperlink w:anchor="page75">
              <w:r>
                <w:rPr>
                  <w:rFonts w:ascii="Arial" w:cs="Arial" w:eastAsia="Arial" w:hAnsi="Arial"/>
                  <w:sz w:val="16"/>
                  <w:szCs w:val="16"/>
                  <w:color w:val="0000FF"/>
                  <w:w w:val="92"/>
                </w:rPr>
                <w:t>Certification of Chief Executive Officer and Chief Financial Officer pursuant to 18 U.S.C. Section 1350, as adopted pursuant to Section</w:t>
              </w:r>
            </w:hyperlink>
          </w:p>
        </w:tc>
      </w:tr>
      <w:tr>
        <w:trPr>
          <w:trHeight w:val="142"/>
        </w:trPr>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w:anchor="page75">
              <w:r>
                <w:rPr>
                  <w:rFonts w:ascii="Arial" w:cs="Arial" w:eastAsia="Arial" w:hAnsi="Arial"/>
                  <w:sz w:val="16"/>
                  <w:szCs w:val="16"/>
                  <w:color w:val="0000FF"/>
                </w:rPr>
                <w:t>906 of the Sarbanes-Oxley Act of 2002</w:t>
              </w:r>
            </w:hyperlink>
          </w:p>
        </w:tc>
        <w:tc>
          <w:tcPr>
            <w:tcW w:w="20" w:type="dxa"/>
            <w:vAlign w:val="bottom"/>
          </w:tcPr>
          <w:p>
            <w:pPr>
              <w:spacing w:after="0"/>
              <w:rPr>
                <w:sz w:val="12"/>
                <w:szCs w:val="12"/>
                <w:color w:val="auto"/>
              </w:rPr>
            </w:pPr>
          </w:p>
        </w:tc>
      </w:tr>
      <w:tr>
        <w:trPr>
          <w:trHeight w:val="20"/>
        </w:trPr>
        <w:tc>
          <w:tcPr>
            <w:tcW w:w="1240" w:type="dxa"/>
            <w:vAlign w:val="bottom"/>
            <w:gridSpan w:val="2"/>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6280" w:type="dxa"/>
            <w:vAlign w:val="bottom"/>
            <w:gridSpan w:val="6"/>
          </w:tcPr>
          <w:p>
            <w:pPr>
              <w:spacing w:after="0" w:line="20" w:lineRule="exact"/>
              <w:rPr>
                <w:sz w:val="1"/>
                <w:szCs w:val="1"/>
                <w:color w:val="auto"/>
              </w:rPr>
            </w:pPr>
          </w:p>
        </w:tc>
      </w:tr>
      <w:tr>
        <w:trPr>
          <w:trHeight w:val="240"/>
        </w:trPr>
        <w:tc>
          <w:tcPr>
            <w:tcW w:w="1240" w:type="dxa"/>
            <w:vAlign w:val="bottom"/>
            <w:gridSpan w:val="2"/>
          </w:tcPr>
          <w:p>
            <w:pPr>
              <w:spacing w:after="0"/>
              <w:rPr>
                <w:sz w:val="20"/>
                <w:szCs w:val="20"/>
                <w:color w:val="auto"/>
              </w:rPr>
            </w:pPr>
            <w:r>
              <w:rPr>
                <w:rFonts w:ascii="Arial" w:cs="Arial" w:eastAsia="Arial" w:hAnsi="Arial"/>
                <w:sz w:val="16"/>
                <w:szCs w:val="16"/>
                <w:color w:val="auto"/>
              </w:rPr>
              <w:t>101.INS ††</w:t>
            </w:r>
          </w:p>
        </w:tc>
        <w:tc>
          <w:tcPr>
            <w:tcW w:w="8820" w:type="dxa"/>
            <w:vAlign w:val="bottom"/>
            <w:gridSpan w:val="7"/>
          </w:tcPr>
          <w:p>
            <w:pPr>
              <w:spacing w:after="0"/>
              <w:rPr>
                <w:sz w:val="20"/>
                <w:szCs w:val="20"/>
                <w:color w:val="auto"/>
              </w:rPr>
            </w:pPr>
            <w:r>
              <w:rPr>
                <w:rFonts w:ascii="Arial" w:cs="Arial" w:eastAsia="Arial" w:hAnsi="Arial"/>
                <w:sz w:val="16"/>
                <w:szCs w:val="16"/>
                <w:color w:val="auto"/>
                <w:w w:val="93"/>
              </w:rPr>
              <w:t>XBRL Instance Document - the instance document does not appear in the Interactive Data File because its XBRL tags are embedded</w:t>
            </w:r>
          </w:p>
        </w:tc>
      </w:tr>
      <w:tr>
        <w:trPr>
          <w:trHeight w:val="206"/>
        </w:trPr>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20" w:type="dxa"/>
            <w:vAlign w:val="bottom"/>
            <w:gridSpan w:val="7"/>
          </w:tcPr>
          <w:p>
            <w:pPr>
              <w:spacing w:after="0"/>
              <w:rPr>
                <w:sz w:val="20"/>
                <w:szCs w:val="20"/>
                <w:color w:val="auto"/>
              </w:rPr>
            </w:pPr>
            <w:r>
              <w:rPr>
                <w:rFonts w:ascii="Arial" w:cs="Arial" w:eastAsia="Arial" w:hAnsi="Arial"/>
                <w:sz w:val="16"/>
                <w:szCs w:val="16"/>
                <w:color w:val="auto"/>
              </w:rPr>
              <w:t>within the Inline XBRL document</w:t>
            </w:r>
          </w:p>
        </w:tc>
      </w:tr>
      <w:tr>
        <w:trPr>
          <w:trHeight w:val="270"/>
        </w:trPr>
        <w:tc>
          <w:tcPr>
            <w:tcW w:w="1240" w:type="dxa"/>
            <w:vAlign w:val="bottom"/>
            <w:gridSpan w:val="2"/>
          </w:tcPr>
          <w:p>
            <w:pPr>
              <w:spacing w:after="0"/>
              <w:rPr>
                <w:sz w:val="20"/>
                <w:szCs w:val="20"/>
                <w:color w:val="auto"/>
              </w:rPr>
            </w:pPr>
            <w:r>
              <w:rPr>
                <w:rFonts w:ascii="Arial" w:cs="Arial" w:eastAsia="Arial" w:hAnsi="Arial"/>
                <w:sz w:val="16"/>
                <w:szCs w:val="16"/>
                <w:color w:val="auto"/>
              </w:rPr>
              <w:t>101.SCH ††</w:t>
            </w:r>
          </w:p>
        </w:tc>
        <w:tc>
          <w:tcPr>
            <w:tcW w:w="8820" w:type="dxa"/>
            <w:vAlign w:val="bottom"/>
            <w:gridSpan w:val="7"/>
          </w:tcPr>
          <w:p>
            <w:pPr>
              <w:spacing w:after="0"/>
              <w:rPr>
                <w:sz w:val="20"/>
                <w:szCs w:val="20"/>
                <w:color w:val="auto"/>
              </w:rPr>
            </w:pPr>
            <w:r>
              <w:rPr>
                <w:rFonts w:ascii="Arial" w:cs="Arial" w:eastAsia="Arial" w:hAnsi="Arial"/>
                <w:sz w:val="16"/>
                <w:szCs w:val="16"/>
                <w:color w:val="auto"/>
              </w:rPr>
              <w:t>XBRL Taxonomy Extension Schema</w:t>
            </w:r>
          </w:p>
        </w:tc>
      </w:tr>
      <w:tr>
        <w:trPr>
          <w:trHeight w:val="270"/>
        </w:trPr>
        <w:tc>
          <w:tcPr>
            <w:tcW w:w="1240" w:type="dxa"/>
            <w:vAlign w:val="bottom"/>
            <w:gridSpan w:val="2"/>
          </w:tcPr>
          <w:p>
            <w:pPr>
              <w:spacing w:after="0"/>
              <w:rPr>
                <w:sz w:val="20"/>
                <w:szCs w:val="20"/>
                <w:color w:val="auto"/>
              </w:rPr>
            </w:pPr>
            <w:r>
              <w:rPr>
                <w:rFonts w:ascii="Arial" w:cs="Arial" w:eastAsia="Arial" w:hAnsi="Arial"/>
                <w:sz w:val="16"/>
                <w:szCs w:val="16"/>
                <w:color w:val="auto"/>
              </w:rPr>
              <w:t>101.CAL ††</w:t>
            </w:r>
          </w:p>
        </w:tc>
        <w:tc>
          <w:tcPr>
            <w:tcW w:w="8820" w:type="dxa"/>
            <w:vAlign w:val="bottom"/>
            <w:gridSpan w:val="7"/>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70"/>
        </w:trPr>
        <w:tc>
          <w:tcPr>
            <w:tcW w:w="1240" w:type="dxa"/>
            <w:vAlign w:val="bottom"/>
            <w:gridSpan w:val="2"/>
          </w:tcPr>
          <w:p>
            <w:pPr>
              <w:spacing w:after="0"/>
              <w:rPr>
                <w:sz w:val="20"/>
                <w:szCs w:val="20"/>
                <w:color w:val="auto"/>
              </w:rPr>
            </w:pPr>
            <w:r>
              <w:rPr>
                <w:rFonts w:ascii="Arial" w:cs="Arial" w:eastAsia="Arial" w:hAnsi="Arial"/>
                <w:sz w:val="16"/>
                <w:szCs w:val="16"/>
                <w:color w:val="auto"/>
              </w:rPr>
              <w:t>101.DEF ††</w:t>
            </w:r>
          </w:p>
        </w:tc>
        <w:tc>
          <w:tcPr>
            <w:tcW w:w="8820" w:type="dxa"/>
            <w:vAlign w:val="bottom"/>
            <w:gridSpan w:val="7"/>
          </w:tcPr>
          <w:p>
            <w:pPr>
              <w:spacing w:after="0"/>
              <w:rPr>
                <w:sz w:val="20"/>
                <w:szCs w:val="20"/>
                <w:color w:val="auto"/>
              </w:rPr>
            </w:pPr>
            <w:r>
              <w:rPr>
                <w:rFonts w:ascii="Arial" w:cs="Arial" w:eastAsia="Arial" w:hAnsi="Arial"/>
                <w:sz w:val="16"/>
                <w:szCs w:val="16"/>
                <w:color w:val="auto"/>
              </w:rPr>
              <w:t>XBRL Taxonomy Definition Linkbase</w:t>
            </w:r>
          </w:p>
        </w:tc>
      </w:tr>
      <w:tr>
        <w:trPr>
          <w:trHeight w:val="270"/>
        </w:trPr>
        <w:tc>
          <w:tcPr>
            <w:tcW w:w="1240" w:type="dxa"/>
            <w:vAlign w:val="bottom"/>
            <w:gridSpan w:val="2"/>
          </w:tcPr>
          <w:p>
            <w:pPr>
              <w:spacing w:after="0"/>
              <w:rPr>
                <w:sz w:val="20"/>
                <w:szCs w:val="20"/>
                <w:color w:val="auto"/>
              </w:rPr>
            </w:pPr>
            <w:r>
              <w:rPr>
                <w:rFonts w:ascii="Arial" w:cs="Arial" w:eastAsia="Arial" w:hAnsi="Arial"/>
                <w:sz w:val="16"/>
                <w:szCs w:val="16"/>
                <w:color w:val="auto"/>
              </w:rPr>
              <w:t>101.LAB ††</w:t>
            </w:r>
          </w:p>
        </w:tc>
        <w:tc>
          <w:tcPr>
            <w:tcW w:w="8820" w:type="dxa"/>
            <w:vAlign w:val="bottom"/>
            <w:gridSpan w:val="7"/>
          </w:tcPr>
          <w:p>
            <w:pPr>
              <w:spacing w:after="0"/>
              <w:rPr>
                <w:sz w:val="20"/>
                <w:szCs w:val="20"/>
                <w:color w:val="auto"/>
              </w:rPr>
            </w:pPr>
            <w:r>
              <w:rPr>
                <w:rFonts w:ascii="Arial" w:cs="Arial" w:eastAsia="Arial" w:hAnsi="Arial"/>
                <w:sz w:val="16"/>
                <w:szCs w:val="16"/>
                <w:color w:val="auto"/>
              </w:rPr>
              <w:t>XBRL Taxonomy Extension Label Linkbase</w:t>
            </w:r>
          </w:p>
        </w:tc>
      </w:tr>
      <w:tr>
        <w:trPr>
          <w:trHeight w:val="270"/>
        </w:trPr>
        <w:tc>
          <w:tcPr>
            <w:tcW w:w="1240" w:type="dxa"/>
            <w:vAlign w:val="bottom"/>
            <w:gridSpan w:val="2"/>
          </w:tcPr>
          <w:p>
            <w:pPr>
              <w:spacing w:after="0"/>
              <w:rPr>
                <w:sz w:val="20"/>
                <w:szCs w:val="20"/>
                <w:color w:val="auto"/>
              </w:rPr>
            </w:pPr>
            <w:r>
              <w:rPr>
                <w:rFonts w:ascii="Arial" w:cs="Arial" w:eastAsia="Arial" w:hAnsi="Arial"/>
                <w:sz w:val="16"/>
                <w:szCs w:val="16"/>
                <w:color w:val="auto"/>
              </w:rPr>
              <w:t>101.PRE ††</w:t>
            </w:r>
          </w:p>
        </w:tc>
        <w:tc>
          <w:tcPr>
            <w:tcW w:w="8820" w:type="dxa"/>
            <w:vAlign w:val="bottom"/>
            <w:gridSpan w:val="7"/>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310"/>
        </w:trPr>
        <w:tc>
          <w:tcPr>
            <w:tcW w:w="1240" w:type="dxa"/>
            <w:vAlign w:val="bottom"/>
            <w:gridSpan w:val="2"/>
          </w:tcPr>
          <w:p>
            <w:pPr>
              <w:spacing w:after="0"/>
              <w:rPr>
                <w:sz w:val="20"/>
                <w:szCs w:val="20"/>
                <w:color w:val="auto"/>
              </w:rPr>
            </w:pPr>
            <w:r>
              <w:rPr>
                <w:rFonts w:ascii="Arial" w:cs="Arial" w:eastAsia="Arial" w:hAnsi="Arial"/>
                <w:sz w:val="16"/>
                <w:szCs w:val="16"/>
                <w:color w:val="auto"/>
              </w:rPr>
              <w:t>104 ††</w:t>
            </w:r>
          </w:p>
        </w:tc>
        <w:tc>
          <w:tcPr>
            <w:tcW w:w="8820" w:type="dxa"/>
            <w:vAlign w:val="bottom"/>
            <w:gridSpan w:val="7"/>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226" w:lineRule="exact"/>
        <w:rPr>
          <w:sz w:val="20"/>
          <w:szCs w:val="20"/>
          <w:color w:val="auto"/>
        </w:rPr>
      </w:pPr>
    </w:p>
    <w:p>
      <w:pPr>
        <w:ind w:left="680" w:hanging="654"/>
        <w:spacing w:after="0"/>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32" w:lineRule="exact"/>
        <w:rPr>
          <w:sz w:val="20"/>
          <w:szCs w:val="20"/>
          <w:color w:val="auto"/>
        </w:rPr>
      </w:pPr>
    </w:p>
    <w:p>
      <w:pPr>
        <w:ind w:left="680" w:hanging="654"/>
        <w:spacing w:after="0" w:line="275" w:lineRule="auto"/>
        <w:tabs>
          <w:tab w:leader="none" w:pos="6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41" w:lineRule="exact"/>
        <w:rPr>
          <w:sz w:val="20"/>
          <w:szCs w:val="20"/>
          <w:color w:val="auto"/>
        </w:rPr>
      </w:pPr>
    </w:p>
    <w:p>
      <w:pPr>
        <w:ind w:left="680" w:hanging="654"/>
        <w:spacing w:after="0"/>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5"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66" w:name="page67"/>
    <w:bookmarkEnd w:id="66"/>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June 3,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AUTODESK, INC.</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(Registrant)</w:t>
      </w:r>
    </w:p>
    <w:p>
      <w:pPr>
        <w:spacing w:after="0" w:line="292" w:lineRule="exact"/>
        <w:rPr>
          <w:sz w:val="20"/>
          <w:szCs w:val="20"/>
          <w:color w:val="auto"/>
        </w:rPr>
      </w:pPr>
    </w:p>
    <w:p>
      <w:pPr>
        <w:jc w:val="center"/>
        <w:ind w:left="5520"/>
        <w:spacing w:after="0"/>
        <w:rPr>
          <w:sz w:val="20"/>
          <w:szCs w:val="20"/>
          <w:color w:val="auto"/>
        </w:rPr>
      </w:pPr>
      <w:r>
        <w:rPr>
          <w:rFonts w:ascii="Arial" w:cs="Arial" w:eastAsia="Arial" w:hAnsi="Arial"/>
          <w:sz w:val="18"/>
          <w:szCs w:val="18"/>
          <w:color w:val="auto"/>
        </w:rPr>
        <w:t>/s/ STEPHEN W. HOPE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14605</wp:posOffset>
            </wp:positionV>
            <wp:extent cx="36175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8" w:lineRule="exact"/>
        <w:rPr>
          <w:sz w:val="20"/>
          <w:szCs w:val="20"/>
          <w:color w:val="auto"/>
        </w:rPr>
      </w:pPr>
    </w:p>
    <w:p>
      <w:pPr>
        <w:jc w:val="center"/>
        <w:ind w:left="5520"/>
        <w:spacing w:after="0"/>
        <w:rPr>
          <w:sz w:val="20"/>
          <w:szCs w:val="20"/>
          <w:color w:val="auto"/>
        </w:rPr>
      </w:pPr>
      <w:r>
        <w:rPr>
          <w:rFonts w:ascii="Arial" w:cs="Arial" w:eastAsia="Arial" w:hAnsi="Arial"/>
          <w:sz w:val="14"/>
          <w:szCs w:val="14"/>
          <w:b w:val="1"/>
          <w:bCs w:val="1"/>
          <w:color w:val="auto"/>
        </w:rPr>
        <w:t>Stephen W. Hope</w:t>
      </w:r>
    </w:p>
    <w:p>
      <w:pPr>
        <w:spacing w:after="0" w:line="28" w:lineRule="exact"/>
        <w:rPr>
          <w:sz w:val="20"/>
          <w:szCs w:val="20"/>
          <w:color w:val="auto"/>
        </w:rPr>
      </w:pPr>
    </w:p>
    <w:p>
      <w:pPr>
        <w:jc w:val="center"/>
        <w:ind w:left="5520"/>
        <w:spacing w:after="0"/>
        <w:rPr>
          <w:sz w:val="20"/>
          <w:szCs w:val="20"/>
          <w:color w:val="auto"/>
        </w:rPr>
      </w:pPr>
      <w:r>
        <w:rPr>
          <w:rFonts w:ascii="Arial" w:cs="Arial" w:eastAsia="Arial" w:hAnsi="Arial"/>
          <w:sz w:val="14"/>
          <w:szCs w:val="14"/>
          <w:b w:val="1"/>
          <w:bCs w:val="1"/>
          <w:color w:val="auto"/>
        </w:rPr>
        <w:t>Vice President and Chief Accounting Officer</w:t>
      </w:r>
    </w:p>
    <w:p>
      <w:pPr>
        <w:spacing w:after="0" w:line="28" w:lineRule="exact"/>
        <w:rPr>
          <w:sz w:val="20"/>
          <w:szCs w:val="20"/>
          <w:color w:val="auto"/>
        </w:rPr>
      </w:pPr>
    </w:p>
    <w:p>
      <w:pPr>
        <w:jc w:val="center"/>
        <w:ind w:left="552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720"/>
          </w:cols>
          <w:pgMar w:left="320" w:top="891" w:right="85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995160" cy="6343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63436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8229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2/12/21</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Deborah Clifford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Re: Employment at Autodesk</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Dear Deborah,</w:t>
      </w:r>
    </w:p>
    <w:p>
      <w:pPr>
        <w:spacing w:after="0" w:line="243"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Congratulations! We are thrilled to offer you employment with Autodesk, Inc. (“Company”). Details about our offer are in this letter and its attachments. There’s a lot of information included, so, if you have questions about anything, please reach out to us.</w:t>
      </w:r>
    </w:p>
    <w:p>
      <w:pPr>
        <w:spacing w:after="0" w:line="173"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 xml:space="preserve">To move forward, please sign all documents which require your signature and return them to Nikki Glasgo by 5:00 p.m. PST on </w:t>
      </w:r>
      <w:r>
        <w:rPr>
          <w:rFonts w:ascii="Arial" w:cs="Arial" w:eastAsia="Arial" w:hAnsi="Arial"/>
          <w:sz w:val="20"/>
          <w:szCs w:val="20"/>
          <w:b w:val="1"/>
          <w:bCs w:val="1"/>
          <w:color w:val="auto"/>
        </w:rPr>
        <w:t>2/22/21.</w:t>
      </w:r>
      <w:r>
        <w:rPr>
          <w:rFonts w:ascii="Arial" w:cs="Arial" w:eastAsia="Arial" w:hAnsi="Arial"/>
          <w:sz w:val="20"/>
          <w:szCs w:val="20"/>
          <w:color w:val="auto"/>
        </w:rPr>
        <w:t xml:space="preserve"> If we don’t hear from you by then, this offer will expire and become null and void. Copies of this letter and attachments, including those transmitted electronically, are effective as originals.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We’re excited and hope that you will join us.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Warm 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577340" cy="6940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57734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Nikki Glasgo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Global Head of Talent Acquisition</w:t>
      </w:r>
    </w:p>
    <w:p>
      <w:pPr>
        <w:spacing w:after="0"/>
        <w:rPr>
          <w:sz w:val="20"/>
          <w:szCs w:val="20"/>
          <w:color w:val="auto"/>
        </w:rPr>
      </w:pPr>
      <w:r>
        <w:rPr>
          <w:rFonts w:ascii="Arial" w:cs="Arial" w:eastAsia="Arial" w:hAnsi="Arial"/>
          <w:sz w:val="20"/>
          <w:szCs w:val="20"/>
          <w:color w:val="auto"/>
        </w:rPr>
        <w:t>For and on behalf of Autodesk, Inc.</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have reviewed and accept the offer of employment with Autodesk, Inc. on the terms and conditions set out in this letter and attachments.</w:t>
      </w:r>
    </w:p>
    <w:p>
      <w:pPr>
        <w:spacing w:after="0" w:line="200" w:lineRule="exact"/>
        <w:rPr>
          <w:sz w:val="20"/>
          <w:szCs w:val="20"/>
          <w:color w:val="auto"/>
        </w:rPr>
      </w:pPr>
    </w:p>
    <w:p>
      <w:pPr>
        <w:spacing w:after="0" w:line="309"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color w:val="auto"/>
        </w:rPr>
        <w:t>2/22/2021</w:t>
      </w:r>
      <w:r>
        <w:rPr>
          <w:sz w:val="20"/>
          <w:szCs w:val="20"/>
          <w:color w:val="auto"/>
        </w:rPr>
        <w:tab/>
      </w:r>
      <w:r>
        <w:rPr>
          <w:rFonts w:ascii="Arial" w:cs="Arial" w:eastAsia="Arial" w:hAnsi="Arial"/>
          <w:sz w:val="20"/>
          <w:szCs w:val="20"/>
          <w:color w:val="auto"/>
        </w:rPr>
        <w:t>by /s/ Deborah L.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307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230755" cy="8255"/>
                    </a:xfrm>
                    <a:prstGeom prst="rect">
                      <a:avLst/>
                    </a:prstGeom>
                    <a:noFill/>
                  </pic:spPr>
                </pic:pic>
              </a:graphicData>
            </a:graphic>
          </wp:anchor>
        </w:drawing>
      </w:r>
    </w:p>
    <w:p>
      <w:pPr>
        <w:spacing w:after="0"/>
        <w:tabs>
          <w:tab w:leader="none" w:pos="160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Name</w:t>
      </w:r>
    </w:p>
    <w:p>
      <w:pPr>
        <w:spacing w:after="0" w:line="200" w:lineRule="exact"/>
        <w:rPr>
          <w:sz w:val="20"/>
          <w:szCs w:val="20"/>
          <w:color w:val="auto"/>
        </w:rPr>
      </w:pPr>
    </w:p>
    <w:p>
      <w:pPr>
        <w:spacing w:after="0" w:line="270"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color w:val="auto"/>
        </w:rPr>
        <w:t>Enclosures:</w:t>
      </w:r>
      <w:r>
        <w:rPr>
          <w:sz w:val="20"/>
          <w:szCs w:val="20"/>
          <w:color w:val="auto"/>
        </w:rPr>
        <w:tab/>
      </w:r>
      <w:r>
        <w:rPr>
          <w:rFonts w:ascii="Arial" w:cs="Arial" w:eastAsia="Arial" w:hAnsi="Arial"/>
          <w:sz w:val="18"/>
          <w:szCs w:val="18"/>
          <w:color w:val="auto"/>
        </w:rPr>
        <w:t>Terms of Employment (sign)</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Code of Business Conduct and Acknowledgement (sign)</w:t>
      </w:r>
    </w:p>
    <w:p>
      <w:pPr>
        <w:ind w:left="1300"/>
        <w:spacing w:after="0" w:line="211" w:lineRule="auto"/>
        <w:rPr>
          <w:sz w:val="20"/>
          <w:szCs w:val="20"/>
          <w:color w:val="auto"/>
        </w:rPr>
      </w:pPr>
      <w:r>
        <w:rPr>
          <w:rFonts w:ascii="Arial" w:cs="Arial" w:eastAsia="Arial" w:hAnsi="Arial"/>
          <w:sz w:val="20"/>
          <w:szCs w:val="20"/>
          <w:color w:val="auto"/>
        </w:rPr>
        <w:t>Employee Nondisclosure and Assignment Agreement (U.S.) (sign)</w:t>
      </w:r>
    </w:p>
    <w:p>
      <w:pPr>
        <w:ind w:left="1300"/>
        <w:spacing w:after="0"/>
        <w:rPr>
          <w:sz w:val="20"/>
          <w:szCs w:val="20"/>
          <w:color w:val="auto"/>
        </w:rPr>
      </w:pPr>
      <w:r>
        <w:rPr>
          <w:rFonts w:ascii="Arial" w:cs="Arial" w:eastAsia="Arial" w:hAnsi="Arial"/>
          <w:sz w:val="20"/>
          <w:szCs w:val="20"/>
          <w:color w:val="auto"/>
        </w:rPr>
        <w:t>Export Controls Questionnaire (sign)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3"/>
          <w:szCs w:val="13"/>
          <w:b w:val="1"/>
          <w:bCs w:val="1"/>
          <w:color w:val="5F5F5E"/>
        </w:rPr>
        <w:t>Autodesk, Inc.</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5F5F5E"/>
        </w:rPr>
        <w:t>111 McInnis Parkway, San Rafael, California 94903</w:t>
      </w:r>
    </w:p>
    <w:p>
      <w:pPr>
        <w:spacing w:after="0" w:line="57" w:lineRule="exact"/>
        <w:rPr>
          <w:sz w:val="20"/>
          <w:szCs w:val="20"/>
          <w:color w:val="auto"/>
        </w:rPr>
      </w:pPr>
    </w:p>
    <w:p>
      <w:pPr>
        <w:spacing w:after="0"/>
        <w:rPr>
          <w:sz w:val="20"/>
          <w:szCs w:val="20"/>
          <w:color w:val="auto"/>
        </w:rPr>
      </w:pPr>
      <w:r>
        <w:rPr>
          <w:rFonts w:ascii="Arial" w:cs="Arial" w:eastAsia="Arial" w:hAnsi="Arial"/>
          <w:sz w:val="9"/>
          <w:szCs w:val="9"/>
          <w:b w:val="1"/>
          <w:bCs w:val="1"/>
          <w:color w:val="5F5F5E"/>
        </w:rPr>
        <w:t xml:space="preserve">PHONE </w:t>
      </w:r>
      <w:r>
        <w:rPr>
          <w:rFonts w:ascii="Arial" w:cs="Arial" w:eastAsia="Arial" w:hAnsi="Arial"/>
          <w:sz w:val="12"/>
          <w:szCs w:val="12"/>
          <w:color w:val="5F5F5E"/>
        </w:rPr>
        <w:t>+1 415 507 5000 |</w:t>
      </w:r>
      <w:r>
        <w:rPr>
          <w:rFonts w:ascii="Arial" w:cs="Arial" w:eastAsia="Arial" w:hAnsi="Arial"/>
          <w:sz w:val="9"/>
          <w:szCs w:val="9"/>
          <w:b w:val="1"/>
          <w:bCs w:val="1"/>
          <w:color w:val="5F5F5E"/>
        </w:rPr>
        <w:t xml:space="preserve"> FAX </w:t>
      </w:r>
      <w:r>
        <w:rPr>
          <w:rFonts w:ascii="Arial" w:cs="Arial" w:eastAsia="Arial" w:hAnsi="Arial"/>
          <w:sz w:val="12"/>
          <w:szCs w:val="12"/>
          <w:color w:val="5F5F5E"/>
        </w:rPr>
        <w:t>+1 415 507 6338 | www.autodesk.com</w:t>
      </w:r>
    </w:p>
    <w:p>
      <w:pPr>
        <w:sectPr>
          <w:pgSz w:w="11900" w:h="16838" w:orient="portrait"/>
          <w:cols w:equalWidth="0" w:num="1">
            <w:col w:w="11060"/>
          </w:cols>
          <w:pgMar w:left="320" w:top="1440" w:right="519" w:bottom="1440" w:gutter="0" w:footer="0" w:header="0"/>
        </w:sectPr>
      </w:pPr>
    </w:p>
    <w:bookmarkStart w:id="68" w:name="page69"/>
    <w:bookmarkEnd w:id="68"/>
    <w:p>
      <w:pPr>
        <w:ind w:left="130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995160" cy="6343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6995160" cy="634365"/>
                    </a:xfrm>
                    <a:prstGeom prst="rect">
                      <a:avLst/>
                    </a:prstGeom>
                    <a:noFill/>
                  </pic:spPr>
                </pic:pic>
              </a:graphicData>
            </a:graphic>
          </wp:anchor>
        </w:drawing>
        <w:t>Global Worker Data Protection Policy and Notice</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Payroll 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2</w:t>
      </w:r>
    </w:p>
    <w:p>
      <w:pPr>
        <w:spacing w:after="0" w:line="65" w:lineRule="exact"/>
        <w:rPr>
          <w:sz w:val="20"/>
          <w:szCs w:val="20"/>
          <w:color w:val="auto"/>
        </w:rPr>
      </w:pPr>
    </w:p>
    <w:p>
      <w:pPr>
        <w:spacing w:after="0"/>
        <w:tabs>
          <w:tab w:leader="none" w:pos="1460" w:val="left"/>
        </w:tabs>
        <w:rPr>
          <w:sz w:val="20"/>
          <w:szCs w:val="20"/>
          <w:color w:val="auto"/>
        </w:rPr>
      </w:pPr>
      <w:r>
        <w:rPr>
          <w:rFonts w:ascii="Arial" w:cs="Arial" w:eastAsia="Arial" w:hAnsi="Arial"/>
          <w:sz w:val="11"/>
          <w:szCs w:val="11"/>
          <w:b w:val="1"/>
          <w:bCs w:val="1"/>
          <w:color w:val="5F5F5E"/>
        </w:rPr>
        <w:t>Autodesk, Inc. Offer Letter</w:t>
      </w:r>
      <w:r>
        <w:rPr>
          <w:sz w:val="20"/>
          <w:szCs w:val="20"/>
          <w:color w:val="auto"/>
        </w:rPr>
        <w:tab/>
      </w:r>
      <w:r>
        <w:rPr>
          <w:rFonts w:ascii="Arial" w:cs="Arial" w:eastAsia="Arial" w:hAnsi="Arial"/>
          <w:sz w:val="9"/>
          <w:szCs w:val="9"/>
          <w:b w:val="1"/>
          <w:bCs w:val="1"/>
          <w:color w:val="5F5F5E"/>
        </w:rPr>
        <w:t>Last Revised January 2019</w:t>
      </w:r>
    </w:p>
    <w:p>
      <w:pPr>
        <w:sectPr>
          <w:pgSz w:w="11900" w:h="16838" w:orient="portrait"/>
          <w:cols w:equalWidth="0" w:num="1">
            <w:col w:w="10139"/>
          </w:cols>
          <w:pgMar w:left="320" w:top="1405"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995160" cy="6343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6995160" cy="634365"/>
                    </a:xfrm>
                    <a:prstGeom prst="rect">
                      <a:avLst/>
                    </a:prstGeom>
                    <a:noFill/>
                  </pic:spPr>
                </pic:pic>
              </a:graphicData>
            </a:graphic>
          </wp:anchor>
        </w:drawing>
        <w:t>TERMS OF EMPLOYMENT</w:t>
      </w:r>
    </w:p>
    <w:p>
      <w:pPr>
        <w:spacing w:after="0" w:line="200" w:lineRule="exact"/>
        <w:rPr>
          <w:sz w:val="20"/>
          <w:szCs w:val="20"/>
          <w:color w:val="auto"/>
        </w:rPr>
      </w:pPr>
    </w:p>
    <w:p>
      <w:pPr>
        <w:spacing w:after="0" w:line="286" w:lineRule="exact"/>
        <w:rPr>
          <w:sz w:val="20"/>
          <w:szCs w:val="20"/>
          <w:color w:val="auto"/>
        </w:rPr>
      </w:pPr>
    </w:p>
    <w:p>
      <w:pPr>
        <w:ind w:left="980" w:hanging="648"/>
        <w:spacing w:after="0"/>
        <w:tabs>
          <w:tab w:leader="none" w:pos="98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THE BASICS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Position</w:t>
      </w:r>
      <w:r>
        <w:rPr>
          <w:rFonts w:ascii="Arial" w:cs="Arial" w:eastAsia="Arial" w:hAnsi="Arial"/>
          <w:sz w:val="20"/>
          <w:szCs w:val="20"/>
          <w:b w:val="1"/>
          <w:bCs w:val="1"/>
          <w:color w:val="auto"/>
        </w:rPr>
        <w:t xml:space="preserve">. </w:t>
      </w:r>
      <w:r>
        <w:rPr>
          <w:rFonts w:ascii="Arial" w:cs="Arial" w:eastAsia="Arial" w:hAnsi="Arial"/>
          <w:sz w:val="20"/>
          <w:szCs w:val="20"/>
          <w:color w:val="auto"/>
        </w:rPr>
        <w:t>You will be in the position of Chief Financial Officer, reporting to Andrew Anagnost, Chief Executive Officer.</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Start Date</w:t>
      </w:r>
      <w:r>
        <w:rPr>
          <w:rFonts w:ascii="Arial" w:cs="Arial" w:eastAsia="Arial" w:hAnsi="Arial"/>
          <w:sz w:val="20"/>
          <w:szCs w:val="20"/>
          <w:b w:val="1"/>
          <w:bCs w:val="1"/>
          <w:color w:val="auto"/>
        </w:rPr>
        <w:t xml:space="preserve">. </w:t>
      </w:r>
      <w:r>
        <w:rPr>
          <w:rFonts w:ascii="Arial" w:cs="Arial" w:eastAsia="Arial" w:hAnsi="Arial"/>
          <w:sz w:val="20"/>
          <w:szCs w:val="20"/>
          <w:color w:val="auto"/>
        </w:rPr>
        <w:t>Your first date of employment will be 3/8/21.</w:t>
      </w:r>
    </w:p>
    <w:p>
      <w:pPr>
        <w:spacing w:after="0" w:line="243" w:lineRule="exact"/>
        <w:rPr>
          <w:sz w:val="20"/>
          <w:szCs w:val="20"/>
          <w:color w:val="auto"/>
        </w:rPr>
      </w:pPr>
    </w:p>
    <w:p>
      <w:pPr>
        <w:ind w:right="340"/>
        <w:spacing w:after="0" w:line="267" w:lineRule="auto"/>
        <w:rPr>
          <w:sz w:val="20"/>
          <w:szCs w:val="20"/>
          <w:color w:val="auto"/>
        </w:rPr>
      </w:pPr>
      <w:r>
        <w:rPr>
          <w:rFonts w:ascii="Arial" w:cs="Arial" w:eastAsia="Arial" w:hAnsi="Arial"/>
          <w:sz w:val="20"/>
          <w:szCs w:val="20"/>
          <w:b w:val="1"/>
          <w:bCs w:val="1"/>
          <w:u w:val="single" w:color="auto"/>
          <w:color w:val="auto"/>
        </w:rPr>
        <w:t>Location</w:t>
      </w:r>
      <w:r>
        <w:rPr>
          <w:rFonts w:ascii="Arial" w:cs="Arial" w:eastAsia="Arial" w:hAnsi="Arial"/>
          <w:sz w:val="20"/>
          <w:szCs w:val="20"/>
          <w:b w:val="1"/>
          <w:bCs w:val="1"/>
          <w:color w:val="auto"/>
        </w:rPr>
        <w:t xml:space="preserve">. </w:t>
      </w:r>
      <w:r>
        <w:rPr>
          <w:rFonts w:ascii="Arial" w:cs="Arial" w:eastAsia="Arial" w:hAnsi="Arial"/>
          <w:sz w:val="20"/>
          <w:szCs w:val="20"/>
          <w:color w:val="auto"/>
        </w:rPr>
        <w:t>Autodesk’s main U.S. office is located at 111 McInnis Parkway, San Rafael, CA 94903 and its main phone number is 415-507-5000. You will work at the Company’s 1 Market St, San Francisco, CA 94105 location.</w:t>
      </w:r>
    </w:p>
    <w:p>
      <w:pPr>
        <w:spacing w:after="0" w:line="190" w:lineRule="exact"/>
        <w:rPr>
          <w:sz w:val="20"/>
          <w:szCs w:val="20"/>
          <w:color w:val="auto"/>
        </w:rPr>
      </w:pPr>
    </w:p>
    <w:p>
      <w:pPr>
        <w:ind w:right="220"/>
        <w:spacing w:after="0" w:line="267" w:lineRule="auto"/>
        <w:rPr>
          <w:sz w:val="20"/>
          <w:szCs w:val="20"/>
          <w:color w:val="auto"/>
        </w:rPr>
      </w:pPr>
      <w:r>
        <w:rPr>
          <w:rFonts w:ascii="Arial" w:cs="Arial" w:eastAsia="Arial" w:hAnsi="Arial"/>
          <w:sz w:val="20"/>
          <w:szCs w:val="20"/>
          <w:b w:val="1"/>
          <w:bCs w:val="1"/>
          <w:u w:val="single" w:color="auto"/>
          <w:color w:val="auto"/>
        </w:rPr>
        <w:t>At-Will Employment</w:t>
      </w:r>
      <w:r>
        <w:rPr>
          <w:rFonts w:ascii="Arial" w:cs="Arial" w:eastAsia="Arial" w:hAnsi="Arial"/>
          <w:sz w:val="20"/>
          <w:szCs w:val="20"/>
          <w:color w:val="auto"/>
        </w:rPr>
        <w:t>. Your employment with Autodesk will be at-will. This means that you or Autodesk may terminate your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relationship without notice and for any reason at any time.</w:t>
      </w:r>
    </w:p>
    <w:p>
      <w:pPr>
        <w:spacing w:after="0" w:line="190" w:lineRule="exact"/>
        <w:rPr>
          <w:sz w:val="20"/>
          <w:szCs w:val="20"/>
          <w:color w:val="auto"/>
        </w:rPr>
      </w:pPr>
    </w:p>
    <w:p>
      <w:pPr>
        <w:ind w:left="960" w:hanging="628"/>
        <w:spacing w:after="0"/>
        <w:tabs>
          <w:tab w:leader="none" w:pos="96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COMPENSATION</w:t>
      </w:r>
    </w:p>
    <w:p>
      <w:pPr>
        <w:spacing w:after="0" w:line="351" w:lineRule="exact"/>
        <w:rPr>
          <w:sz w:val="20"/>
          <w:szCs w:val="20"/>
          <w:color w:val="auto"/>
        </w:rPr>
      </w:pPr>
    </w:p>
    <w:p>
      <w:pPr>
        <w:jc w:val="both"/>
        <w:ind w:right="460"/>
        <w:spacing w:after="0" w:line="247" w:lineRule="auto"/>
        <w:rPr>
          <w:sz w:val="20"/>
          <w:szCs w:val="20"/>
          <w:color w:val="auto"/>
        </w:rPr>
      </w:pPr>
      <w:r>
        <w:rPr>
          <w:rFonts w:ascii="Arial" w:cs="Arial" w:eastAsia="Arial" w:hAnsi="Arial"/>
          <w:sz w:val="20"/>
          <w:szCs w:val="20"/>
          <w:b w:val="1"/>
          <w:bCs w:val="1"/>
          <w:u w:val="single" w:color="auto"/>
          <w:color w:val="auto"/>
        </w:rPr>
        <w:t>Base Pay</w:t>
      </w:r>
      <w:r>
        <w:rPr>
          <w:rFonts w:ascii="Arial" w:cs="Arial" w:eastAsia="Arial" w:hAnsi="Arial"/>
          <w:sz w:val="20"/>
          <w:szCs w:val="20"/>
          <w:b w:val="1"/>
          <w:bCs w:val="1"/>
          <w:color w:val="auto"/>
        </w:rPr>
        <w:t xml:space="preserve">. </w:t>
      </w:r>
      <w:r>
        <w:rPr>
          <w:rFonts w:ascii="Arial" w:cs="Arial" w:eastAsia="Arial" w:hAnsi="Arial"/>
          <w:sz w:val="20"/>
          <w:szCs w:val="20"/>
          <w:color w:val="auto"/>
        </w:rPr>
        <w:t>Your starting base salary will be $11,538.46 per week annualized at $600,000.00, minus all legally applicable deductions and</w:t>
      </w:r>
      <w:r>
        <w:rPr>
          <w:rFonts w:ascii="Arial" w:cs="Arial" w:eastAsia="Arial" w:hAnsi="Arial"/>
          <w:sz w:val="20"/>
          <w:szCs w:val="20"/>
          <w:b w:val="1"/>
          <w:bCs w:val="1"/>
          <w:color w:val="auto"/>
        </w:rPr>
        <w:t xml:space="preserve"> </w:t>
      </w:r>
      <w:r>
        <w:rPr>
          <w:rFonts w:ascii="Arial" w:cs="Arial" w:eastAsia="Arial" w:hAnsi="Arial"/>
          <w:sz w:val="20"/>
          <w:szCs w:val="20"/>
          <w:color w:val="auto"/>
        </w:rPr>
        <w:t>withholdings. Autodesk pays employees bi-weekly. To determine pay dates, please go to the intranet site when you join us and click on Payroll.</w:t>
      </w:r>
    </w:p>
    <w:p>
      <w:pPr>
        <w:ind w:right="100"/>
        <w:spacing w:after="0" w:line="260" w:lineRule="auto"/>
        <w:rPr>
          <w:sz w:val="20"/>
          <w:szCs w:val="20"/>
          <w:color w:val="auto"/>
        </w:rPr>
      </w:pPr>
      <w:r>
        <w:rPr>
          <w:rFonts w:ascii="Arial" w:cs="Arial" w:eastAsia="Arial" w:hAnsi="Arial"/>
          <w:sz w:val="19"/>
          <w:szCs w:val="19"/>
          <w:b w:val="1"/>
          <w:bCs w:val="1"/>
          <w:u w:val="single" w:color="auto"/>
          <w:color w:val="auto"/>
        </w:rPr>
        <w:t>Autodesk Incentive Bonus</w:t>
      </w:r>
      <w:r>
        <w:rPr>
          <w:rFonts w:ascii="Arial" w:cs="Arial" w:eastAsia="Arial" w:hAnsi="Arial"/>
          <w:sz w:val="19"/>
          <w:szCs w:val="19"/>
          <w:color w:val="auto"/>
        </w:rPr>
        <w:t>. You’re eligible to participate in the applicable Autodesk Incentive Plan (“AIP”). Your initial AIP target</w:t>
      </w:r>
      <w:r>
        <w:rPr>
          <w:rFonts w:ascii="Arial" w:cs="Arial" w:eastAsia="Arial" w:hAnsi="Arial"/>
          <w:sz w:val="19"/>
          <w:szCs w:val="19"/>
          <w:b w:val="1"/>
          <w:bCs w:val="1"/>
          <w:color w:val="auto"/>
        </w:rPr>
        <w:t xml:space="preserve"> </w:t>
      </w:r>
      <w:r>
        <w:rPr>
          <w:rFonts w:ascii="Arial" w:cs="Arial" w:eastAsia="Arial" w:hAnsi="Arial"/>
          <w:sz w:val="19"/>
          <w:szCs w:val="19"/>
          <w:color w:val="auto"/>
        </w:rPr>
        <w:t>incentive amount for your position is 75% of your base pay. The decision whether to grant an AIP award to an eligible participant as well as the amount of any award is at the discretion of Autodesk. You can find out details about the AIP when you join the Company.</w:t>
      </w:r>
    </w:p>
    <w:p>
      <w:pPr>
        <w:spacing w:after="0" w:line="172"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b w:val="1"/>
          <w:bCs w:val="1"/>
          <w:u w:val="single" w:color="auto"/>
          <w:color w:val="auto"/>
        </w:rPr>
        <w:t>One Time Cash Bonus</w:t>
      </w:r>
      <w:r>
        <w:rPr>
          <w:rFonts w:ascii="Arial" w:cs="Arial" w:eastAsia="Arial" w:hAnsi="Arial"/>
          <w:sz w:val="20"/>
          <w:szCs w:val="20"/>
          <w:b w:val="1"/>
          <w:bCs w:val="1"/>
          <w:color w:val="auto"/>
        </w:rPr>
        <w:t xml:space="preserve">. </w:t>
      </w:r>
      <w:r>
        <w:rPr>
          <w:rFonts w:ascii="Arial" w:cs="Arial" w:eastAsia="Arial" w:hAnsi="Arial"/>
          <w:sz w:val="20"/>
          <w:szCs w:val="20"/>
          <w:color w:val="auto"/>
        </w:rPr>
        <w:t>In fiscal year 2023, on the date of AIP Bonus Payout (April 2022), you will be paid a gross supplemental cash</w:t>
      </w:r>
      <w:r>
        <w:rPr>
          <w:rFonts w:ascii="Arial" w:cs="Arial" w:eastAsia="Arial" w:hAnsi="Arial"/>
          <w:sz w:val="20"/>
          <w:szCs w:val="20"/>
          <w:b w:val="1"/>
          <w:bCs w:val="1"/>
          <w:color w:val="auto"/>
        </w:rPr>
        <w:t xml:space="preserve"> </w:t>
      </w:r>
      <w:r>
        <w:rPr>
          <w:rFonts w:ascii="Arial" w:cs="Arial" w:eastAsia="Arial" w:hAnsi="Arial"/>
          <w:sz w:val="20"/>
          <w:szCs w:val="20"/>
          <w:color w:val="auto"/>
        </w:rPr>
        <w:t>bonus of $91,233.00, less applicable payroll withholdings. If you resign from your employment with Autodesk within nine months, you will repay to Autodesk the net amount of the Bonus (what you received after payroll withholdings) on or before your last day of employment with Autodesk.</w:t>
      </w:r>
    </w:p>
    <w:p>
      <w:pPr>
        <w:spacing w:after="0" w:line="200" w:lineRule="exact"/>
        <w:rPr>
          <w:sz w:val="20"/>
          <w:szCs w:val="20"/>
          <w:color w:val="auto"/>
        </w:rPr>
      </w:pPr>
    </w:p>
    <w:p>
      <w:pPr>
        <w:spacing w:after="0" w:line="226" w:lineRule="exact"/>
        <w:rPr>
          <w:sz w:val="20"/>
          <w:szCs w:val="20"/>
          <w:color w:val="auto"/>
        </w:rPr>
      </w:pPr>
    </w:p>
    <w:p>
      <w:pPr>
        <w:ind w:left="980" w:hanging="648"/>
        <w:spacing w:after="0"/>
        <w:tabs>
          <w:tab w:leader="none" w:pos="98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BENEFITS</w:t>
      </w:r>
    </w:p>
    <w:p>
      <w:pPr>
        <w:spacing w:after="0" w:line="243" w:lineRule="exact"/>
        <w:rPr>
          <w:sz w:val="20"/>
          <w:szCs w:val="20"/>
          <w:color w:val="auto"/>
        </w:rPr>
      </w:pPr>
    </w:p>
    <w:p>
      <w:pPr>
        <w:spacing w:after="0" w:line="253" w:lineRule="auto"/>
        <w:rPr>
          <w:sz w:val="20"/>
          <w:szCs w:val="20"/>
          <w:color w:val="auto"/>
        </w:rPr>
      </w:pPr>
      <w:r>
        <w:rPr>
          <w:rFonts w:ascii="Arial" w:cs="Arial" w:eastAsia="Arial" w:hAnsi="Arial"/>
          <w:sz w:val="20"/>
          <w:szCs w:val="20"/>
          <w:b w:val="1"/>
          <w:bCs w:val="1"/>
          <w:u w:val="single" w:color="auto"/>
          <w:color w:val="auto"/>
        </w:rPr>
        <w:t>Restricted Stock Units</w:t>
      </w:r>
      <w:r>
        <w:rPr>
          <w:rFonts w:ascii="Arial" w:cs="Arial" w:eastAsia="Arial" w:hAnsi="Arial"/>
          <w:sz w:val="20"/>
          <w:szCs w:val="20"/>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We will recommend to the Compensation Committee of the Autodesk Board of Directors that at a meeting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commencement of your employment, you be granted restricted stock units (“RSUs”) with a value of $8,250,000.00 (USD). These meetings generally occur quarterly.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This grant, a value of $8,250,000.00 (USD), will vest over a two-year period following approval by the Compensation Committee as follows:</w:t>
      </w:r>
    </w:p>
    <w:p>
      <w:pPr>
        <w:spacing w:after="0" w:line="241"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4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2"/>
              </w:rPr>
              <w:t>Value</w:t>
            </w:r>
          </w:p>
        </w:tc>
        <w:tc>
          <w:tcPr>
            <w:tcW w:w="800" w:type="dxa"/>
            <w:vAlign w:val="bottom"/>
          </w:tcPr>
          <w:p>
            <w:pPr>
              <w:spacing w:after="0"/>
              <w:rPr>
                <w:sz w:val="19"/>
                <w:szCs w:val="19"/>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4"/>
              </w:rPr>
              <w:t>Vest Date</w:t>
            </w:r>
          </w:p>
        </w:tc>
        <w:tc>
          <w:tcPr>
            <w:tcW w:w="760" w:type="dxa"/>
            <w:vAlign w:val="bottom"/>
          </w:tcPr>
          <w:p>
            <w:pPr>
              <w:spacing w:after="0"/>
              <w:rPr>
                <w:sz w:val="19"/>
                <w:szCs w:val="19"/>
                <w:color w:val="auto"/>
              </w:rPr>
            </w:pPr>
          </w:p>
        </w:tc>
      </w:tr>
      <w:tr>
        <w:trPr>
          <w:trHeight w:val="233"/>
        </w:trPr>
        <w:tc>
          <w:tcPr>
            <w:tcW w:w="1800" w:type="dxa"/>
            <w:vAlign w:val="bottom"/>
            <w:gridSpan w:val="3"/>
          </w:tcPr>
          <w:p>
            <w:pPr>
              <w:spacing w:after="0"/>
              <w:rPr>
                <w:sz w:val="20"/>
                <w:szCs w:val="20"/>
                <w:color w:val="auto"/>
              </w:rPr>
            </w:pPr>
            <w:r>
              <w:rPr>
                <w:rFonts w:ascii="Arial" w:cs="Arial" w:eastAsia="Arial" w:hAnsi="Arial"/>
                <w:sz w:val="20"/>
                <w:szCs w:val="20"/>
                <w:color w:val="auto"/>
                <w:w w:val="94"/>
              </w:rPr>
              <w:t>$4,050,000.00 (USD)</w:t>
            </w:r>
          </w:p>
        </w:tc>
        <w:tc>
          <w:tcPr>
            <w:tcW w:w="960" w:type="dxa"/>
            <w:vAlign w:val="bottom"/>
            <w:gridSpan w:val="2"/>
          </w:tcPr>
          <w:p>
            <w:pPr>
              <w:ind w:left="100"/>
              <w:spacing w:after="0"/>
              <w:rPr>
                <w:sz w:val="20"/>
                <w:szCs w:val="20"/>
                <w:color w:val="auto"/>
              </w:rPr>
            </w:pPr>
            <w:r>
              <w:rPr>
                <w:rFonts w:ascii="Arial" w:cs="Arial" w:eastAsia="Arial" w:hAnsi="Arial"/>
                <w:sz w:val="20"/>
                <w:szCs w:val="20"/>
                <w:color w:val="auto"/>
              </w:rPr>
              <w:t>6 Months</w:t>
            </w:r>
          </w:p>
        </w:tc>
      </w:tr>
      <w:tr>
        <w:trPr>
          <w:trHeight w:val="230"/>
        </w:trPr>
        <w:tc>
          <w:tcPr>
            <w:tcW w:w="1800" w:type="dxa"/>
            <w:vAlign w:val="bottom"/>
            <w:gridSpan w:val="3"/>
          </w:tcPr>
          <w:p>
            <w:pPr>
              <w:spacing w:after="0"/>
              <w:rPr>
                <w:sz w:val="20"/>
                <w:szCs w:val="20"/>
                <w:color w:val="auto"/>
              </w:rPr>
            </w:pPr>
            <w:r>
              <w:rPr>
                <w:rFonts w:ascii="Arial" w:cs="Arial" w:eastAsia="Arial" w:hAnsi="Arial"/>
                <w:sz w:val="20"/>
                <w:szCs w:val="20"/>
                <w:color w:val="auto"/>
                <w:w w:val="94"/>
              </w:rPr>
              <w:t>$2,800,000.00 (USD)</w:t>
            </w:r>
          </w:p>
        </w:tc>
        <w:tc>
          <w:tcPr>
            <w:tcW w:w="960" w:type="dxa"/>
            <w:vAlign w:val="bottom"/>
            <w:gridSpan w:val="2"/>
          </w:tcPr>
          <w:p>
            <w:pPr>
              <w:ind w:left="100"/>
              <w:spacing w:after="0"/>
              <w:rPr>
                <w:sz w:val="20"/>
                <w:szCs w:val="20"/>
                <w:color w:val="auto"/>
              </w:rPr>
            </w:pPr>
            <w:r>
              <w:rPr>
                <w:rFonts w:ascii="Arial" w:cs="Arial" w:eastAsia="Arial" w:hAnsi="Arial"/>
                <w:sz w:val="20"/>
                <w:szCs w:val="20"/>
                <w:color w:val="auto"/>
                <w:w w:val="89"/>
              </w:rPr>
              <w:t>12 Months</w:t>
            </w:r>
          </w:p>
        </w:tc>
      </w:tr>
      <w:tr>
        <w:trPr>
          <w:trHeight w:val="250"/>
        </w:trPr>
        <w:tc>
          <w:tcPr>
            <w:tcW w:w="1800" w:type="dxa"/>
            <w:vAlign w:val="bottom"/>
            <w:gridSpan w:val="3"/>
          </w:tcPr>
          <w:p>
            <w:pPr>
              <w:spacing w:after="0"/>
              <w:rPr>
                <w:sz w:val="20"/>
                <w:szCs w:val="20"/>
                <w:color w:val="auto"/>
              </w:rPr>
            </w:pPr>
            <w:r>
              <w:rPr>
                <w:rFonts w:ascii="Arial" w:cs="Arial" w:eastAsia="Arial" w:hAnsi="Arial"/>
                <w:sz w:val="20"/>
                <w:szCs w:val="20"/>
                <w:color w:val="auto"/>
                <w:w w:val="94"/>
              </w:rPr>
              <w:t>$1,400,000.00 (USD)</w:t>
            </w:r>
          </w:p>
        </w:tc>
        <w:tc>
          <w:tcPr>
            <w:tcW w:w="960" w:type="dxa"/>
            <w:vAlign w:val="bottom"/>
            <w:gridSpan w:val="2"/>
          </w:tcPr>
          <w:p>
            <w:pPr>
              <w:ind w:left="100"/>
              <w:spacing w:after="0"/>
              <w:rPr>
                <w:sz w:val="20"/>
                <w:szCs w:val="20"/>
                <w:color w:val="auto"/>
              </w:rPr>
            </w:pPr>
            <w:r>
              <w:rPr>
                <w:rFonts w:ascii="Arial" w:cs="Arial" w:eastAsia="Arial" w:hAnsi="Arial"/>
                <w:sz w:val="20"/>
                <w:szCs w:val="20"/>
                <w:color w:val="auto"/>
                <w:w w:val="89"/>
              </w:rPr>
              <w:t>24 Months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65" w:lineRule="exact"/>
        <w:rPr>
          <w:sz w:val="20"/>
          <w:szCs w:val="20"/>
          <w:color w:val="auto"/>
        </w:rPr>
      </w:pPr>
    </w:p>
    <w:p>
      <w:pPr>
        <w:spacing w:after="0"/>
        <w:tabs>
          <w:tab w:leader="none" w:pos="1460" w:val="left"/>
        </w:tabs>
        <w:rPr>
          <w:sz w:val="20"/>
          <w:szCs w:val="20"/>
          <w:color w:val="auto"/>
        </w:rPr>
      </w:pPr>
      <w:r>
        <w:rPr>
          <w:rFonts w:ascii="Arial" w:cs="Arial" w:eastAsia="Arial" w:hAnsi="Arial"/>
          <w:sz w:val="11"/>
          <w:szCs w:val="11"/>
          <w:b w:val="1"/>
          <w:bCs w:val="1"/>
          <w:color w:val="5F5F5E"/>
        </w:rPr>
        <w:t>Autodesk, Inc. Offer Letter</w:t>
      </w:r>
      <w:r>
        <w:rPr>
          <w:sz w:val="20"/>
          <w:szCs w:val="20"/>
          <w:color w:val="auto"/>
        </w:rPr>
        <w:tab/>
      </w:r>
      <w:r>
        <w:rPr>
          <w:rFonts w:ascii="Arial" w:cs="Arial" w:eastAsia="Arial" w:hAnsi="Arial"/>
          <w:sz w:val="9"/>
          <w:szCs w:val="9"/>
          <w:b w:val="1"/>
          <w:bCs w:val="1"/>
          <w:color w:val="5F5F5E"/>
        </w:rPr>
        <w:t>Last Revised January 2019</w:t>
      </w:r>
    </w:p>
    <w:p>
      <w:pPr>
        <w:sectPr>
          <w:pgSz w:w="11900" w:h="16838" w:orient="portrait"/>
          <w:cols w:equalWidth="0" w:num="1">
            <w:col w:w="11240"/>
          </w:cols>
          <w:pgMar w:left="320" w:top="1413" w:right="339"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995160" cy="6343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6995160" cy="63436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100"/>
        <w:spacing w:after="0" w:line="265" w:lineRule="auto"/>
        <w:rPr>
          <w:sz w:val="20"/>
          <w:szCs w:val="20"/>
          <w:color w:val="auto"/>
        </w:rPr>
      </w:pPr>
      <w:r>
        <w:rPr>
          <w:rFonts w:ascii="Arial" w:cs="Arial" w:eastAsia="Arial" w:hAnsi="Arial"/>
          <w:sz w:val="19"/>
          <w:szCs w:val="19"/>
          <w:b w:val="1"/>
          <w:bCs w:val="1"/>
          <w:u w:val="single" w:color="auto"/>
          <w:color w:val="auto"/>
        </w:rPr>
        <w:t>Annual Employee Stock Plan.</w:t>
      </w:r>
      <w:r>
        <w:rPr>
          <w:rFonts w:ascii="Arial" w:cs="Arial" w:eastAsia="Arial" w:hAnsi="Arial"/>
          <w:sz w:val="19"/>
          <w:szCs w:val="19"/>
          <w:b w:val="1"/>
          <w:bCs w:val="1"/>
          <w:color w:val="auto"/>
        </w:rPr>
        <w:t xml:space="preserve"> </w:t>
      </w:r>
      <w:r>
        <w:rPr>
          <w:rFonts w:ascii="Arial" w:cs="Arial" w:eastAsia="Arial" w:hAnsi="Arial"/>
          <w:sz w:val="19"/>
          <w:szCs w:val="19"/>
          <w:color w:val="auto"/>
        </w:rPr>
        <w:t>We will recommend to the Compensation Committee of the Autodesk Board of Directors that at a meeting</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commencement of your employment, as part of our annual equity cycle, you be granted a value of $4,200,000.00 (USD) annually, for each of Autodesk’s fiscal years, starting with FY’22-FY’27, 60% of which (or such other percentage as may be approved by the Compensation Committee in accordance with the applicable plan) shall be performance based.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RSU’s will vest annually in equal shares over a three-year period following approval of each grant by the Compensation Committee.</w:t>
      </w:r>
    </w:p>
    <w:p>
      <w:pPr>
        <w:spacing w:after="0" w:line="200" w:lineRule="exact"/>
        <w:rPr>
          <w:sz w:val="20"/>
          <w:szCs w:val="20"/>
          <w:color w:val="auto"/>
        </w:rPr>
      </w:pPr>
    </w:p>
    <w:p>
      <w:pPr>
        <w:spacing w:after="0" w:line="303" w:lineRule="exact"/>
        <w:rPr>
          <w:sz w:val="20"/>
          <w:szCs w:val="20"/>
          <w:color w:val="auto"/>
        </w:rPr>
      </w:pPr>
    </w:p>
    <w:p>
      <w:pPr>
        <w:ind w:right="100"/>
        <w:spacing w:after="0" w:line="264" w:lineRule="auto"/>
        <w:rPr>
          <w:sz w:val="20"/>
          <w:szCs w:val="20"/>
          <w:color w:val="auto"/>
        </w:rPr>
      </w:pPr>
      <w:r>
        <w:rPr>
          <w:rFonts w:ascii="Arial" w:cs="Arial" w:eastAsia="Arial" w:hAnsi="Arial"/>
          <w:sz w:val="19"/>
          <w:szCs w:val="19"/>
          <w:b w:val="1"/>
          <w:bCs w:val="1"/>
          <w:u w:val="single" w:color="auto"/>
          <w:color w:val="auto"/>
        </w:rPr>
        <w:t>RSU Details</w:t>
      </w:r>
      <w:r>
        <w:rPr>
          <w:rFonts w:ascii="Arial" w:cs="Arial" w:eastAsia="Arial" w:hAnsi="Arial"/>
          <w:sz w:val="19"/>
          <w:szCs w:val="19"/>
          <w:b w:val="1"/>
          <w:bCs w:val="1"/>
          <w:color w:val="auto"/>
        </w:rPr>
        <w:t xml:space="preserve">. </w:t>
      </w:r>
      <w:r>
        <w:rPr>
          <w:rFonts w:ascii="Arial" w:cs="Arial" w:eastAsia="Arial" w:hAnsi="Arial"/>
          <w:sz w:val="19"/>
          <w:szCs w:val="19"/>
          <w:color w:val="auto"/>
        </w:rPr>
        <w:t>At the time of each grant, the total value of each grant will be converted to a specific number of RSUs based upon the average</w:t>
      </w:r>
      <w:r>
        <w:rPr>
          <w:rFonts w:ascii="Arial" w:cs="Arial" w:eastAsia="Arial" w:hAnsi="Arial"/>
          <w:sz w:val="19"/>
          <w:szCs w:val="19"/>
          <w:b w:val="1"/>
          <w:bCs w:val="1"/>
          <w:color w:val="auto"/>
        </w:rPr>
        <w:t xml:space="preserve"> </w:t>
      </w:r>
      <w:r>
        <w:rPr>
          <w:rFonts w:ascii="Arial" w:cs="Arial" w:eastAsia="Arial" w:hAnsi="Arial"/>
          <w:sz w:val="19"/>
          <w:szCs w:val="19"/>
          <w:color w:val="auto"/>
        </w:rPr>
        <w:t>stock price over the 20 trading days immediately preceding the date of the Compensation Committee meeting.</w:t>
      </w:r>
    </w:p>
    <w:p>
      <w:pPr>
        <w:ind w:right="40"/>
        <w:spacing w:after="0"/>
        <w:rPr>
          <w:sz w:val="20"/>
          <w:szCs w:val="20"/>
          <w:color w:val="auto"/>
        </w:rPr>
      </w:pPr>
      <w:r>
        <w:rPr>
          <w:rFonts w:ascii="Arial" w:cs="Arial" w:eastAsia="Arial" w:hAnsi="Arial"/>
          <w:sz w:val="20"/>
          <w:szCs w:val="20"/>
          <w:color w:val="auto"/>
        </w:rPr>
        <w:t>Upon vesting, the RSUs will convert to an equal number of shares of Autodesk common stock, subject to the modifier to the performance based RSU portion in accordance with the applicable plan. The actual value of the shares vesting will be based upon the closing stock price on the vesting date. The RSUs do not have a purchase price but are subject to taxation upon vesting. Any such grant will be subject to the terms and conditions of the applicable Autodesk employee equity plan, restricted stock unit agreement and performance plan, which you will be required to sign as a condition to receiving any RSUs.</w:t>
      </w:r>
    </w:p>
    <w:p>
      <w:pPr>
        <w:spacing w:after="0" w:line="225" w:lineRule="exact"/>
        <w:rPr>
          <w:sz w:val="20"/>
          <w:szCs w:val="20"/>
          <w:color w:val="auto"/>
        </w:rPr>
      </w:pPr>
    </w:p>
    <w:p>
      <w:pPr>
        <w:ind w:right="760"/>
        <w:spacing w:after="0" w:line="260" w:lineRule="auto"/>
        <w:rPr>
          <w:sz w:val="20"/>
          <w:szCs w:val="20"/>
          <w:color w:val="auto"/>
        </w:rPr>
      </w:pPr>
      <w:r>
        <w:rPr>
          <w:rFonts w:ascii="Arial" w:cs="Arial" w:eastAsia="Arial" w:hAnsi="Arial"/>
          <w:sz w:val="20"/>
          <w:szCs w:val="20"/>
          <w:color w:val="auto"/>
        </w:rPr>
        <w:t>You will not be eligible for these bonuses or equity grants if you resign for any reason, you have violated your obligations under the Employee Nondisclosure and Inventions Agreement or Autodesk terminates your employment.</w:t>
      </w:r>
    </w:p>
    <w:p>
      <w:pPr>
        <w:spacing w:after="0" w:line="198" w:lineRule="exact"/>
        <w:rPr>
          <w:sz w:val="20"/>
          <w:szCs w:val="20"/>
          <w:color w:val="auto"/>
        </w:rPr>
      </w:pPr>
    </w:p>
    <w:p>
      <w:pPr>
        <w:ind w:right="320"/>
        <w:spacing w:after="0" w:line="253" w:lineRule="auto"/>
        <w:rPr>
          <w:sz w:val="20"/>
          <w:szCs w:val="20"/>
          <w:color w:val="auto"/>
        </w:rPr>
      </w:pPr>
      <w:r>
        <w:rPr>
          <w:rFonts w:ascii="Arial" w:cs="Arial" w:eastAsia="Arial" w:hAnsi="Arial"/>
          <w:sz w:val="20"/>
          <w:szCs w:val="20"/>
          <w:b w:val="1"/>
          <w:bCs w:val="1"/>
          <w:u w:val="single" w:color="auto"/>
          <w:color w:val="auto"/>
        </w:rPr>
        <w:t>Employee Stock Purchase Plan</w:t>
      </w:r>
      <w:r>
        <w:rPr>
          <w:rFonts w:ascii="Arial" w:cs="Arial" w:eastAsia="Arial" w:hAnsi="Arial"/>
          <w:sz w:val="20"/>
          <w:szCs w:val="20"/>
          <w:b w:val="1"/>
          <w:bCs w:val="1"/>
          <w:color w:val="auto"/>
        </w:rPr>
        <w:t xml:space="preserve">. </w:t>
      </w:r>
      <w:r>
        <w:rPr>
          <w:rFonts w:ascii="Arial" w:cs="Arial" w:eastAsia="Arial" w:hAnsi="Arial"/>
          <w:sz w:val="20"/>
          <w:szCs w:val="20"/>
          <w:color w:val="auto"/>
        </w:rPr>
        <w:t>You will be eligible to participate in the applicable Autodesk Employee Stock Purchase Plan (“ESPP”).</w:t>
      </w:r>
      <w:r>
        <w:rPr>
          <w:rFonts w:ascii="Arial" w:cs="Arial" w:eastAsia="Arial" w:hAnsi="Arial"/>
          <w:sz w:val="20"/>
          <w:szCs w:val="20"/>
          <w:b w:val="1"/>
          <w:bCs w:val="1"/>
          <w:color w:val="auto"/>
        </w:rPr>
        <w:t xml:space="preserve"> </w:t>
      </w:r>
      <w:r>
        <w:rPr>
          <w:rFonts w:ascii="Arial" w:cs="Arial" w:eastAsia="Arial" w:hAnsi="Arial"/>
          <w:sz w:val="20"/>
          <w:szCs w:val="20"/>
          <w:color w:val="auto"/>
        </w:rPr>
        <w:t>Your participation in the ESPP will be subject to the rules of the plan as well as applicable law. Where tax withholding is required, the Company will withhold the required amounts on your behalf.</w:t>
      </w:r>
    </w:p>
    <w:p>
      <w:pPr>
        <w:spacing w:after="0" w:line="204"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u w:val="single" w:color="auto"/>
          <w:color w:val="auto"/>
        </w:rPr>
        <w:t>Other Benefits</w:t>
      </w:r>
      <w:r>
        <w:rPr>
          <w:rFonts w:ascii="Arial" w:cs="Arial" w:eastAsia="Arial" w:hAnsi="Arial"/>
          <w:sz w:val="20"/>
          <w:szCs w:val="20"/>
          <w:color w:val="auto"/>
        </w:rPr>
        <w:t>. If eligible, you can participate in a wide variety of employee benefit programs including health insurance, a 401(k) plan with</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match and sabbatical program. A summary of these benefits and other programs will be provided to you in the Total Rewards Overview, and details will be available after you join us. You will also be eligible to participate in the Non-Qualified Deferred Compensation Plan.</w:t>
      </w:r>
    </w:p>
    <w:p>
      <w:pPr>
        <w:spacing w:after="0" w:line="210" w:lineRule="exact"/>
        <w:rPr>
          <w:sz w:val="20"/>
          <w:szCs w:val="20"/>
          <w:color w:val="auto"/>
        </w:rPr>
      </w:pPr>
    </w:p>
    <w:p>
      <w:pPr>
        <w:ind w:right="700"/>
        <w:spacing w:after="0" w:line="267" w:lineRule="auto"/>
        <w:rPr>
          <w:sz w:val="20"/>
          <w:szCs w:val="20"/>
          <w:color w:val="auto"/>
        </w:rPr>
      </w:pPr>
      <w:r>
        <w:rPr>
          <w:rFonts w:ascii="Arial" w:cs="Arial" w:eastAsia="Arial" w:hAnsi="Arial"/>
          <w:sz w:val="20"/>
          <w:szCs w:val="20"/>
          <w:b w:val="1"/>
          <w:bCs w:val="1"/>
          <w:u w:val="single" w:color="auto"/>
          <w:color w:val="auto"/>
        </w:rPr>
        <w:t>Discretionary Time Off</w:t>
      </w:r>
      <w:r>
        <w:rPr>
          <w:rFonts w:ascii="Arial" w:cs="Arial" w:eastAsia="Arial" w:hAnsi="Arial"/>
          <w:sz w:val="20"/>
          <w:szCs w:val="20"/>
          <w:b w:val="1"/>
          <w:bCs w:val="1"/>
          <w:color w:val="auto"/>
        </w:rPr>
        <w:t xml:space="preserve">. </w:t>
      </w:r>
      <w:r>
        <w:rPr>
          <w:rFonts w:ascii="Arial" w:cs="Arial" w:eastAsia="Arial" w:hAnsi="Arial"/>
          <w:sz w:val="20"/>
          <w:szCs w:val="20"/>
          <w:color w:val="auto"/>
        </w:rPr>
        <w:t>When you join Autodesk, you will be eligible for discretionary time off in accordance with the Company’s</w:t>
      </w:r>
      <w:r>
        <w:rPr>
          <w:rFonts w:ascii="Arial" w:cs="Arial" w:eastAsia="Arial" w:hAnsi="Arial"/>
          <w:sz w:val="20"/>
          <w:szCs w:val="20"/>
          <w:b w:val="1"/>
          <w:bCs w:val="1"/>
          <w:color w:val="auto"/>
        </w:rPr>
        <w:t xml:space="preserve"> </w:t>
      </w:r>
      <w:r>
        <w:rPr>
          <w:rFonts w:ascii="Arial" w:cs="Arial" w:eastAsia="Arial" w:hAnsi="Arial"/>
          <w:sz w:val="20"/>
          <w:szCs w:val="20"/>
          <w:color w:val="auto"/>
        </w:rPr>
        <w:t>Discretionary Time Off Policy.</w:t>
      </w:r>
    </w:p>
    <w:p>
      <w:pPr>
        <w:spacing w:after="0" w:line="200" w:lineRule="exact"/>
        <w:rPr>
          <w:sz w:val="20"/>
          <w:szCs w:val="20"/>
          <w:color w:val="auto"/>
        </w:rPr>
      </w:pPr>
    </w:p>
    <w:p>
      <w:pPr>
        <w:spacing w:after="0" w:line="23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20"/>
          <w:szCs w:val="20"/>
          <w:b w:val="1"/>
          <w:bCs w:val="1"/>
          <w:color w:val="auto"/>
        </w:rPr>
        <w:t>IV.</w:t>
      </w:r>
      <w:r>
        <w:rPr>
          <w:sz w:val="20"/>
          <w:szCs w:val="20"/>
          <w:color w:val="auto"/>
        </w:rPr>
        <w:tab/>
      </w:r>
      <w:r>
        <w:rPr>
          <w:rFonts w:ascii="Arial" w:cs="Arial" w:eastAsia="Arial" w:hAnsi="Arial"/>
          <w:sz w:val="20"/>
          <w:szCs w:val="20"/>
          <w:b w:val="1"/>
          <w:bCs w:val="1"/>
          <w:u w:val="single" w:color="auto"/>
          <w:color w:val="auto"/>
        </w:rPr>
        <w:t>CONDITIONS OF YOUR WORK FOR US</w:t>
      </w:r>
    </w:p>
    <w:p>
      <w:pPr>
        <w:spacing w:after="0" w:line="24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As with any new relationship, it is important that we are upfront about expectations. Below is a list of our expectations of the issues this offer is contingent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65" w:lineRule="exact"/>
        <w:rPr>
          <w:sz w:val="20"/>
          <w:szCs w:val="20"/>
          <w:color w:val="auto"/>
        </w:rPr>
      </w:pPr>
    </w:p>
    <w:p>
      <w:pPr>
        <w:spacing w:after="0"/>
        <w:tabs>
          <w:tab w:leader="none" w:pos="1460" w:val="left"/>
        </w:tabs>
        <w:rPr>
          <w:sz w:val="20"/>
          <w:szCs w:val="20"/>
          <w:color w:val="auto"/>
        </w:rPr>
      </w:pPr>
      <w:r>
        <w:rPr>
          <w:rFonts w:ascii="Arial" w:cs="Arial" w:eastAsia="Arial" w:hAnsi="Arial"/>
          <w:sz w:val="11"/>
          <w:szCs w:val="11"/>
          <w:b w:val="1"/>
          <w:bCs w:val="1"/>
          <w:color w:val="5F5F5E"/>
        </w:rPr>
        <w:t>Autodesk, Inc. Offer Letter</w:t>
      </w:r>
      <w:r>
        <w:rPr>
          <w:sz w:val="20"/>
          <w:szCs w:val="20"/>
          <w:color w:val="auto"/>
        </w:rPr>
        <w:tab/>
      </w:r>
      <w:r>
        <w:rPr>
          <w:rFonts w:ascii="Arial" w:cs="Arial" w:eastAsia="Arial" w:hAnsi="Arial"/>
          <w:sz w:val="9"/>
          <w:szCs w:val="9"/>
          <w:b w:val="1"/>
          <w:bCs w:val="1"/>
          <w:color w:val="5F5F5E"/>
        </w:rPr>
        <w:t>Last Revised January 2019</w:t>
      </w:r>
    </w:p>
    <w:p>
      <w:pPr>
        <w:sectPr>
          <w:pgSz w:w="11900" w:h="16838" w:orient="portrait"/>
          <w:cols w:equalWidth="0" w:num="1">
            <w:col w:w="11220"/>
          </w:cols>
          <w:pgMar w:left="320" w:top="1440" w:right="359" w:bottom="1440" w:gutter="0" w:footer="0" w:header="0"/>
        </w:sectPr>
      </w:pPr>
    </w:p>
    <w:bookmarkStart w:id="71" w:name="page72"/>
    <w:bookmarkEnd w:id="71"/>
    <w:p>
      <w:pPr>
        <w:ind w:left="660" w:right="60" w:hanging="328"/>
        <w:spacing w:after="0" w:line="243"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995160" cy="6343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634365"/>
                    </a:xfrm>
                    <a:prstGeom prst="rect">
                      <a:avLst/>
                    </a:prstGeom>
                    <a:noFill/>
                  </pic:spPr>
                </pic:pic>
              </a:graphicData>
            </a:graphic>
          </wp:anchor>
        </w:drawing>
        <w:t>Your verifying your identity and ability to work for us in the U.S. To do so, before your Start Date, please log onto http://autodesk.i9servicecenter.com/login.asp using supplied link and complete Section 1 of the I-9 form. Within three business days of your Start Date, please give the Company documents it needs from you to complete Section 2 of the form. We will share with you in separate documentation a list of documents you can provide.</w:t>
      </w:r>
    </w:p>
    <w:p>
      <w:pPr>
        <w:spacing w:after="0" w:line="2" w:lineRule="exact"/>
        <w:rPr>
          <w:rFonts w:ascii="Arial" w:cs="Arial" w:eastAsia="Arial" w:hAnsi="Arial"/>
          <w:sz w:val="20"/>
          <w:szCs w:val="20"/>
          <w:color w:val="auto"/>
        </w:rPr>
      </w:pPr>
    </w:p>
    <w:p>
      <w:pPr>
        <w:ind w:left="660" w:hanging="328"/>
        <w:spacing w:after="0"/>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Your agreeing to and completing a background check, which will look at your educational, employment and criminal history. For certain jobs, the Company may also require a credit check. These checks are performed by HireRight. Its privacy policies can be found at http://www.hireright.com/Privacy-Policy.aspx. Your employment will depend on the Company’s satisfaction with the results of any such checks. If you are hired before the checks are completed, the Company will proceed with that start date with your understanding and agreement that your continued employment will be subject to the satisfactory results of the background check. If the background check, once completed, reveals disqualifying information, your employment may be terminated. Likewise, if the Company later learns that you provided false information in connection with these checks, it may terminate your employment for this reason.</w:t>
      </w:r>
    </w:p>
    <w:p>
      <w:pPr>
        <w:spacing w:after="0" w:line="223" w:lineRule="exact"/>
        <w:rPr>
          <w:rFonts w:ascii="Arial" w:cs="Arial" w:eastAsia="Arial" w:hAnsi="Arial"/>
          <w:sz w:val="20"/>
          <w:szCs w:val="20"/>
          <w:color w:val="auto"/>
        </w:rPr>
      </w:pPr>
    </w:p>
    <w:p>
      <w:pPr>
        <w:ind w:left="660" w:right="540" w:hanging="328"/>
        <w:spacing w:after="0" w:line="260"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Your completing an Export Controls Questionnaire and the Company’s satisfaction that it can obtain all licenses it may need to employ you based on the information you provide.</w:t>
      </w:r>
    </w:p>
    <w:p>
      <w:pPr>
        <w:spacing w:after="0" w:line="203" w:lineRule="exact"/>
        <w:rPr>
          <w:rFonts w:ascii="Arial" w:cs="Arial" w:eastAsia="Arial" w:hAnsi="Arial"/>
          <w:sz w:val="20"/>
          <w:szCs w:val="20"/>
          <w:color w:val="auto"/>
        </w:rPr>
      </w:pPr>
    </w:p>
    <w:p>
      <w:pPr>
        <w:ind w:left="660" w:right="60" w:hanging="328"/>
        <w:spacing w:after="0" w:line="260" w:lineRule="auto"/>
        <w:tabs>
          <w:tab w:leader="none" w:pos="648" w:val="left"/>
        </w:tabs>
        <w:numPr>
          <w:ilvl w:val="0"/>
          <w:numId w:val="38"/>
        </w:numPr>
        <w:rPr>
          <w:rFonts w:ascii="Arial" w:cs="Arial" w:eastAsia="Arial" w:hAnsi="Arial"/>
          <w:sz w:val="19"/>
          <w:szCs w:val="19"/>
          <w:color w:val="auto"/>
        </w:rPr>
      </w:pPr>
      <w:r>
        <w:rPr>
          <w:rFonts w:ascii="Arial" w:cs="Arial" w:eastAsia="Arial" w:hAnsi="Arial"/>
          <w:sz w:val="19"/>
          <w:szCs w:val="19"/>
          <w:color w:val="auto"/>
        </w:rPr>
        <w:t>Your disclosing in writing any interest you may have which may create an actual or perceived conflict of interest with your employment by the Company. Generally, a conflict of interest exists when a personal interest or activity interferes or has the potential to interfere with your professional judgment or your responsibility to the Company because it is inconsistent with the Company’s interests. For example, a conflict of interest may exist if, while you are employed by the Company, you are a consultant for, have an affiliation with or a financial interest in an Autodesk customer, reseller, distributor or competitor.</w:t>
      </w:r>
    </w:p>
    <w:p>
      <w:pPr>
        <w:spacing w:after="0" w:line="207" w:lineRule="exact"/>
        <w:rPr>
          <w:rFonts w:ascii="Arial" w:cs="Arial" w:eastAsia="Arial" w:hAnsi="Arial"/>
          <w:sz w:val="19"/>
          <w:szCs w:val="19"/>
          <w:color w:val="auto"/>
        </w:rPr>
      </w:pPr>
    </w:p>
    <w:p>
      <w:pPr>
        <w:jc w:val="both"/>
        <w:ind w:left="660" w:right="220" w:hanging="328"/>
        <w:spacing w:after="0" w:line="250"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Your disclosing to the Company any ongoing legal obligations you have to a prior employer or another party, including obligations not to compete, to solicit customers or to solicit employees, which may prohibit you from working for Autodesk or doing your job fully.</w:t>
      </w:r>
    </w:p>
    <w:p>
      <w:pPr>
        <w:spacing w:after="0" w:line="212" w:lineRule="exact"/>
        <w:rPr>
          <w:rFonts w:ascii="Arial" w:cs="Arial" w:eastAsia="Arial" w:hAnsi="Arial"/>
          <w:sz w:val="20"/>
          <w:szCs w:val="20"/>
          <w:color w:val="auto"/>
        </w:rPr>
      </w:pPr>
    </w:p>
    <w:p>
      <w:pPr>
        <w:ind w:left="660" w:right="100" w:hanging="328"/>
        <w:spacing w:after="0" w:line="246"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Your understanding that this offer letter and its attachments is the only agreement between us about the terms and conditions of your employment with us. These replace all other agreements about these topics and cannot be changed except in writing signed by an authorized representative of Autodesk. Any legal interpretation of this will be governed by the law in the State in which you are employed.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65" w:lineRule="exact"/>
        <w:rPr>
          <w:sz w:val="20"/>
          <w:szCs w:val="20"/>
          <w:color w:val="auto"/>
        </w:rPr>
      </w:pPr>
    </w:p>
    <w:p>
      <w:pPr>
        <w:spacing w:after="0"/>
        <w:tabs>
          <w:tab w:leader="none" w:pos="1460" w:val="left"/>
        </w:tabs>
        <w:rPr>
          <w:sz w:val="20"/>
          <w:szCs w:val="20"/>
          <w:color w:val="auto"/>
        </w:rPr>
      </w:pPr>
      <w:r>
        <w:rPr>
          <w:rFonts w:ascii="Arial" w:cs="Arial" w:eastAsia="Arial" w:hAnsi="Arial"/>
          <w:sz w:val="11"/>
          <w:szCs w:val="11"/>
          <w:b w:val="1"/>
          <w:bCs w:val="1"/>
          <w:color w:val="5F5F5E"/>
        </w:rPr>
        <w:t>Autodesk, Inc. Offer Letter</w:t>
      </w:r>
      <w:r>
        <w:rPr>
          <w:sz w:val="20"/>
          <w:szCs w:val="20"/>
          <w:color w:val="auto"/>
        </w:rPr>
        <w:tab/>
      </w:r>
      <w:r>
        <w:rPr>
          <w:rFonts w:ascii="Arial" w:cs="Arial" w:eastAsia="Arial" w:hAnsi="Arial"/>
          <w:sz w:val="9"/>
          <w:szCs w:val="9"/>
          <w:b w:val="1"/>
          <w:bCs w:val="1"/>
          <w:color w:val="5F5F5E"/>
        </w:rPr>
        <w:t>Last Revised January 2019</w:t>
      </w:r>
    </w:p>
    <w:p>
      <w:pPr>
        <w:sectPr>
          <w:pgSz w:w="11900" w:h="16838" w:orient="portrait"/>
          <w:cols w:equalWidth="0" w:num="1">
            <w:col w:w="11220"/>
          </w:cols>
          <w:pgMar w:left="320" w:top="1419" w:right="35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Andrew Anagnost, certify that:</w:t>
      </w:r>
    </w:p>
    <w:p>
      <w:pPr>
        <w:spacing w:after="0" w:line="104"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90"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660" w:right="380" w:hanging="328"/>
        <w:spacing w:after="0" w:line="263" w:lineRule="auto"/>
        <w:tabs>
          <w:tab w:leader="none" w:pos="65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right="860" w:hanging="328"/>
        <w:spacing w:after="0" w:line="334" w:lineRule="auto"/>
        <w:tabs>
          <w:tab w:leader="none" w:pos="651"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80" w:hanging="328"/>
        <w:spacing w:after="0" w:line="263" w:lineRule="auto"/>
        <w:tabs>
          <w:tab w:leader="none" w:pos="64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60" w:right="280" w:hanging="328"/>
        <w:spacing w:after="0" w:line="277" w:lineRule="auto"/>
        <w:tabs>
          <w:tab w:leader="none" w:pos="651"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240" w:hanging="328"/>
        <w:spacing w:after="0" w:line="277" w:lineRule="auto"/>
        <w:tabs>
          <w:tab w:leader="none" w:pos="64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June 3, 2021</w:t>
      </w:r>
    </w:p>
    <w:p>
      <w:pPr>
        <w:spacing w:after="0" w:line="144" w:lineRule="exact"/>
        <w:rPr>
          <w:sz w:val="20"/>
          <w:szCs w:val="20"/>
          <w:color w:val="auto"/>
        </w:rPr>
      </w:pPr>
    </w:p>
    <w:p>
      <w:pPr>
        <w:ind w:left="7520"/>
        <w:spacing w:after="0"/>
        <w:tabs>
          <w:tab w:leader="none" w:pos="78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14605</wp:posOffset>
            </wp:positionV>
            <wp:extent cx="31629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7" w:lineRule="exact"/>
        <w:rPr>
          <w:sz w:val="20"/>
          <w:szCs w:val="20"/>
          <w:color w:val="auto"/>
        </w:rPr>
      </w:pPr>
    </w:p>
    <w:p>
      <w:pPr>
        <w:ind w:left="8120"/>
        <w:spacing w:after="0"/>
        <w:rPr>
          <w:sz w:val="20"/>
          <w:szCs w:val="20"/>
          <w:color w:val="auto"/>
        </w:rPr>
      </w:pPr>
      <w:r>
        <w:rPr>
          <w:rFonts w:ascii="Arial" w:cs="Arial" w:eastAsia="Arial" w:hAnsi="Arial"/>
          <w:sz w:val="16"/>
          <w:szCs w:val="16"/>
          <w:b w:val="1"/>
          <w:bCs w:val="1"/>
          <w:color w:val="auto"/>
        </w:rPr>
        <w:t>Andrew Anagnost</w:t>
      </w:r>
    </w:p>
    <w:p>
      <w:pPr>
        <w:spacing w:after="0" w:line="28" w:lineRule="exact"/>
        <w:rPr>
          <w:sz w:val="20"/>
          <w:szCs w:val="20"/>
          <w:color w:val="auto"/>
        </w:rPr>
      </w:pPr>
    </w:p>
    <w:p>
      <w:pPr>
        <w:ind w:left="7440"/>
        <w:spacing w:after="0"/>
        <w:rPr>
          <w:sz w:val="20"/>
          <w:szCs w:val="20"/>
          <w:color w:val="auto"/>
        </w:rPr>
      </w:pPr>
      <w:r>
        <w:rPr>
          <w:rFonts w:ascii="Arial" w:cs="Arial" w:eastAsia="Arial" w:hAnsi="Arial"/>
          <w:sz w:val="16"/>
          <w:szCs w:val="16"/>
          <w:b w:val="1"/>
          <w:bCs w:val="1"/>
          <w:color w:val="auto"/>
        </w:rPr>
        <w:t>President and Chief Executive Officer</w:t>
      </w:r>
    </w:p>
    <w:p>
      <w:pPr>
        <w:ind w:left="776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240"/>
          </w:cols>
          <w:pgMar w:left="320" w:top="985"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Deborah L. Clifford, certify that:</w:t>
      </w:r>
    </w:p>
    <w:p>
      <w:pPr>
        <w:spacing w:after="0" w:line="104"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90"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660" w:right="380" w:hanging="328"/>
        <w:spacing w:after="0" w:line="263" w:lineRule="auto"/>
        <w:tabs>
          <w:tab w:leader="none" w:pos="651"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right="860" w:hanging="328"/>
        <w:spacing w:after="0" w:line="334" w:lineRule="auto"/>
        <w:tabs>
          <w:tab w:leader="none" w:pos="651"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80" w:hanging="328"/>
        <w:spacing w:after="0" w:line="263" w:lineRule="auto"/>
        <w:tabs>
          <w:tab w:leader="none" w:pos="64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60" w:right="280" w:hanging="328"/>
        <w:spacing w:after="0" w:line="277" w:lineRule="auto"/>
        <w:tabs>
          <w:tab w:leader="none" w:pos="651"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240" w:hanging="328"/>
        <w:spacing w:after="0" w:line="277" w:lineRule="auto"/>
        <w:tabs>
          <w:tab w:leader="none" w:pos="64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June 3, 2021</w:t>
      </w:r>
    </w:p>
    <w:p>
      <w:pPr>
        <w:spacing w:after="0" w:line="144" w:lineRule="exact"/>
        <w:rPr>
          <w:sz w:val="20"/>
          <w:szCs w:val="20"/>
          <w:color w:val="auto"/>
        </w:rPr>
      </w:pPr>
    </w:p>
    <w:p>
      <w:pPr>
        <w:jc w:val="center"/>
        <w:ind w:left="5480"/>
        <w:spacing w:after="0"/>
        <w:rPr>
          <w:sz w:val="20"/>
          <w:szCs w:val="20"/>
          <w:color w:val="auto"/>
        </w:rPr>
      </w:pPr>
      <w:r>
        <w:rPr>
          <w:rFonts w:ascii="Arial" w:cs="Arial" w:eastAsia="Arial" w:hAnsi="Arial"/>
          <w:sz w:val="18"/>
          <w:szCs w:val="18"/>
          <w:color w:val="auto"/>
        </w:rPr>
        <w:t>/s/ DEBORAH L.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14605</wp:posOffset>
            </wp:positionV>
            <wp:extent cx="36429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line="17" w:lineRule="exact"/>
        <w:rPr>
          <w:sz w:val="20"/>
          <w:szCs w:val="20"/>
          <w:color w:val="auto"/>
        </w:rPr>
      </w:pPr>
    </w:p>
    <w:p>
      <w:pPr>
        <w:ind w:left="7680"/>
        <w:spacing w:after="0"/>
        <w:rPr>
          <w:sz w:val="20"/>
          <w:szCs w:val="20"/>
          <w:color w:val="auto"/>
        </w:rPr>
      </w:pPr>
      <w:r>
        <w:rPr>
          <w:rFonts w:ascii="Arial" w:cs="Arial" w:eastAsia="Arial" w:hAnsi="Arial"/>
          <w:sz w:val="16"/>
          <w:szCs w:val="16"/>
          <w:b w:val="1"/>
          <w:bCs w:val="1"/>
          <w:color w:val="auto"/>
        </w:rPr>
        <w:t>Deborah L. Clifford</w:t>
      </w:r>
    </w:p>
    <w:p>
      <w:pPr>
        <w:spacing w:after="0" w:line="28" w:lineRule="exact"/>
        <w:rPr>
          <w:sz w:val="20"/>
          <w:szCs w:val="20"/>
          <w:color w:val="auto"/>
        </w:rPr>
      </w:pPr>
    </w:p>
    <w:p>
      <w:pPr>
        <w:ind w:left="6540"/>
        <w:spacing w:after="0"/>
        <w:rPr>
          <w:sz w:val="20"/>
          <w:szCs w:val="20"/>
          <w:color w:val="auto"/>
        </w:rPr>
      </w:pPr>
      <w:r>
        <w:rPr>
          <w:rFonts w:ascii="Arial" w:cs="Arial" w:eastAsia="Arial" w:hAnsi="Arial"/>
          <w:sz w:val="16"/>
          <w:szCs w:val="16"/>
          <w:b w:val="1"/>
          <w:bCs w:val="1"/>
          <w:color w:val="auto"/>
        </w:rPr>
        <w:t>Executive Vice President and Chief Financial Officer</w:t>
      </w:r>
    </w:p>
    <w:p>
      <w:pPr>
        <w:ind w:left="7380"/>
        <w:spacing w:after="0"/>
        <w:rPr>
          <w:sz w:val="20"/>
          <w:szCs w:val="20"/>
          <w:color w:val="auto"/>
        </w:rPr>
      </w:pPr>
      <w:r>
        <w:rPr>
          <w:rFonts w:ascii="Arial" w:cs="Arial" w:eastAsia="Arial" w:hAnsi="Arial"/>
          <w:sz w:val="16"/>
          <w:szCs w:val="16"/>
          <w:b w:val="1"/>
          <w:bCs w:val="1"/>
          <w:color w:val="auto"/>
        </w:rPr>
        <w:t>(Principal Financial Officer)</w:t>
      </w:r>
    </w:p>
    <w:p>
      <w:pPr>
        <w:sectPr>
          <w:pgSz w:w="11900" w:h="16838" w:orient="portrait"/>
          <w:cols w:equalWidth="0" w:num="1">
            <w:col w:w="11240"/>
          </w:cols>
          <w:pgMar w:left="320" w:top="985"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Based on my knowledge, I, Andrew Anagnost, certify, pursuant to 18 U.S.C. Section 1350, as adopted pursuant to Section 906 of the Sarbanes-Oxley Act of 2002, that the Quarterly Report of Autodesk, Inc. on Form 10-Q for the quarterly period ended April 30, 2021,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Dated: June 3, 2021</w:t>
      </w:r>
    </w:p>
    <w:p>
      <w:pPr>
        <w:spacing w:after="0" w:line="144" w:lineRule="exact"/>
        <w:rPr>
          <w:sz w:val="20"/>
          <w:szCs w:val="20"/>
          <w:color w:val="auto"/>
        </w:rPr>
      </w:pPr>
    </w:p>
    <w:p>
      <w:pPr>
        <w:ind w:left="7280"/>
        <w:spacing w:after="0"/>
        <w:tabs>
          <w:tab w:leader="none" w:pos="76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14605</wp:posOffset>
            </wp:positionV>
            <wp:extent cx="34544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7" w:lineRule="exact"/>
        <w:rPr>
          <w:sz w:val="20"/>
          <w:szCs w:val="20"/>
          <w:color w:val="auto"/>
        </w:rPr>
      </w:pPr>
    </w:p>
    <w:p>
      <w:pPr>
        <w:jc w:val="center"/>
        <w:ind w:left="5780"/>
        <w:spacing w:after="0"/>
        <w:rPr>
          <w:sz w:val="20"/>
          <w:szCs w:val="20"/>
          <w:color w:val="auto"/>
        </w:rPr>
      </w:pPr>
      <w:r>
        <w:rPr>
          <w:rFonts w:ascii="Arial" w:cs="Arial" w:eastAsia="Arial" w:hAnsi="Arial"/>
          <w:sz w:val="16"/>
          <w:szCs w:val="16"/>
          <w:b w:val="1"/>
          <w:bCs w:val="1"/>
          <w:color w:val="auto"/>
        </w:rPr>
        <w:t>Andrew Anagnost</w:t>
      </w:r>
    </w:p>
    <w:p>
      <w:pPr>
        <w:spacing w:after="0" w:line="32" w:lineRule="exact"/>
        <w:rPr>
          <w:sz w:val="20"/>
          <w:szCs w:val="20"/>
          <w:color w:val="auto"/>
        </w:rPr>
      </w:pPr>
    </w:p>
    <w:p>
      <w:pPr>
        <w:jc w:val="center"/>
        <w:ind w:left="578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32" w:lineRule="exact"/>
        <w:rPr>
          <w:sz w:val="20"/>
          <w:szCs w:val="20"/>
          <w:color w:val="auto"/>
        </w:rPr>
      </w:pPr>
    </w:p>
    <w:p>
      <w:pPr>
        <w:jc w:val="center"/>
        <w:ind w:left="5780"/>
        <w:spacing w:after="0"/>
        <w:rPr>
          <w:sz w:val="20"/>
          <w:szCs w:val="20"/>
          <w:color w:val="auto"/>
        </w:rPr>
      </w:pPr>
      <w:r>
        <w:rPr>
          <w:rFonts w:ascii="Arial" w:cs="Arial" w:eastAsia="Arial" w:hAnsi="Arial"/>
          <w:sz w:val="16"/>
          <w:szCs w:val="16"/>
          <w:b w:val="1"/>
          <w:bCs w:val="1"/>
          <w:color w:val="auto"/>
        </w:rPr>
        <w:t>(Principal Executive Officer)</w:t>
      </w:r>
    </w:p>
    <w:p>
      <w:pPr>
        <w:spacing w:after="0" w:line="200" w:lineRule="exact"/>
        <w:rPr>
          <w:sz w:val="20"/>
          <w:szCs w:val="20"/>
          <w:color w:val="auto"/>
        </w:rPr>
      </w:pPr>
    </w:p>
    <w:p>
      <w:pPr>
        <w:spacing w:after="0" w:line="23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Deborah L. Clifford, certify, pursuant to 18 U.S.C. Section 1350, as adopted pursuant to Section 906 of the Sarbanes-Oxley Act of 2002, that the Quarterly Report of Autodesk, Inc. on Form 10-Q for the quarterly period ended April 30, 2021,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Dated: June 3, 2021</w:t>
      </w:r>
    </w:p>
    <w:p>
      <w:pPr>
        <w:spacing w:after="0" w:line="144" w:lineRule="exact"/>
        <w:rPr>
          <w:sz w:val="20"/>
          <w:szCs w:val="20"/>
          <w:color w:val="auto"/>
        </w:rPr>
      </w:pPr>
    </w:p>
    <w:p>
      <w:pPr>
        <w:jc w:val="center"/>
        <w:ind w:left="5780"/>
        <w:spacing w:after="0"/>
        <w:rPr>
          <w:sz w:val="20"/>
          <w:szCs w:val="20"/>
          <w:color w:val="auto"/>
        </w:rPr>
      </w:pPr>
      <w:r>
        <w:rPr>
          <w:rFonts w:ascii="Arial" w:cs="Arial" w:eastAsia="Arial" w:hAnsi="Arial"/>
          <w:sz w:val="18"/>
          <w:szCs w:val="18"/>
          <w:color w:val="auto"/>
        </w:rPr>
        <w:t>/s/ DEBORAH L.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14605</wp:posOffset>
            </wp:positionV>
            <wp:extent cx="34544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7" w:lineRule="exact"/>
        <w:rPr>
          <w:sz w:val="20"/>
          <w:szCs w:val="20"/>
          <w:color w:val="auto"/>
        </w:rPr>
      </w:pPr>
    </w:p>
    <w:p>
      <w:pPr>
        <w:jc w:val="center"/>
        <w:ind w:left="5780"/>
        <w:spacing w:after="0"/>
        <w:rPr>
          <w:sz w:val="20"/>
          <w:szCs w:val="20"/>
          <w:color w:val="auto"/>
        </w:rPr>
      </w:pPr>
      <w:r>
        <w:rPr>
          <w:rFonts w:ascii="Arial" w:cs="Arial" w:eastAsia="Arial" w:hAnsi="Arial"/>
          <w:sz w:val="16"/>
          <w:szCs w:val="16"/>
          <w:b w:val="1"/>
          <w:bCs w:val="1"/>
          <w:color w:val="auto"/>
        </w:rPr>
        <w:t>Deborah L. Clifford</w:t>
      </w:r>
    </w:p>
    <w:p>
      <w:pPr>
        <w:spacing w:after="0" w:line="32" w:lineRule="exact"/>
        <w:rPr>
          <w:sz w:val="20"/>
          <w:szCs w:val="20"/>
          <w:color w:val="auto"/>
        </w:rPr>
      </w:pPr>
    </w:p>
    <w:p>
      <w:pPr>
        <w:jc w:val="center"/>
        <w:ind w:left="5780"/>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32" w:lineRule="exact"/>
        <w:rPr>
          <w:sz w:val="20"/>
          <w:szCs w:val="20"/>
          <w:color w:val="auto"/>
        </w:rPr>
      </w:pPr>
    </w:p>
    <w:p>
      <w:pPr>
        <w:jc w:val="center"/>
        <w:ind w:left="5780"/>
        <w:spacing w:after="0"/>
        <w:rPr>
          <w:sz w:val="20"/>
          <w:szCs w:val="20"/>
          <w:color w:val="auto"/>
        </w:rPr>
      </w:pPr>
      <w:r>
        <w:rPr>
          <w:rFonts w:ascii="Arial" w:cs="Arial" w:eastAsia="Arial" w:hAnsi="Arial"/>
          <w:sz w:val="16"/>
          <w:szCs w:val="16"/>
          <w:b w:val="1"/>
          <w:bCs w:val="1"/>
          <w:color w:val="auto"/>
        </w:rPr>
        <w:t>(Principal Financial Officer)</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6"/>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upperLetter"/>
      <w:start w:val="9"/>
    </w:lvl>
  </w:abstractNum>
  <w:abstractNum w:abstractNumId="35">
    <w:nsid w:val="5C482A97"/>
    <w:multiLevelType w:val="hybridMultilevel"/>
    <w:lvl w:ilvl="0">
      <w:lvlJc w:val="left"/>
      <w:lvlText w:val="%1."/>
      <w:numFmt w:val="upperLetter"/>
      <w:start w:val="35"/>
    </w:lvl>
  </w:abstractNum>
  <w:abstractNum w:abstractNumId="36">
    <w:nsid w:val="2463B9EA"/>
    <w:multiLevelType w:val="hybridMultilevel"/>
    <w:lvl w:ilvl="0">
      <w:lvlJc w:val="left"/>
      <w:lvlText w:val="%1."/>
      <w:numFmt w:val="upperLetter"/>
      <w:start w:val="6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jpeg"/><Relationship Id="rId84" Type="http://schemas.openxmlformats.org/officeDocument/2006/relationships/image" Target="media/image76.jpeg"/><Relationship Id="rId85" Type="http://schemas.openxmlformats.org/officeDocument/2006/relationships/image" Target="media/image77.jpeg"/><Relationship Id="rId86" Type="http://schemas.openxmlformats.org/officeDocument/2006/relationships/image" Target="media/image78.png"/><Relationship Id="rId87" Type="http://schemas.openxmlformats.org/officeDocument/2006/relationships/image" Target="media/image79.jpeg"/><Relationship Id="rId88" Type="http://schemas.openxmlformats.org/officeDocument/2006/relationships/image" Target="media/image80.jpeg"/><Relationship Id="rId89" Type="http://schemas.openxmlformats.org/officeDocument/2006/relationships/image" Target="media/image81.jpe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80" Type="http://schemas.openxmlformats.org/officeDocument/2006/relationships/hyperlink" Target="https://www.sec.gov/Archives/edgar/data/769397/000076939721000017/exh991severance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2021-06-03T15:05:49Z</dcterms:created>
  <dcterms:modified xsi:type="dcterms:W3CDTF">2021-06-03T15:05:49Z</dcterms:modified>
</cp:coreProperties>
</file>