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ind w:left="720" w:hanging="422"/>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31, 2017</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right="140" w:hanging="462"/>
        <w:spacing w:after="0" w:line="248"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15"/>
        </w:trPr>
        <w:tc>
          <w:tcPr>
            <w:tcW w:w="2660" w:type="dxa"/>
            <w:vAlign w:val="bottom"/>
            <w:gridSpan w:val="2"/>
          </w:tcPr>
          <w:p>
            <w:pPr>
              <w:ind w:left="200"/>
              <w:spacing w:after="0"/>
              <w:rPr>
                <w:sz w:val="20"/>
                <w:szCs w:val="20"/>
                <w:color w:val="auto"/>
              </w:rPr>
            </w:pPr>
            <w:r>
              <w:rPr>
                <w:rFonts w:ascii="Arial" w:cs="Arial" w:eastAsia="Arial" w:hAnsi="Arial"/>
                <w:sz w:val="18"/>
                <w:szCs w:val="18"/>
                <w:b w:val="1"/>
                <w:bCs w:val="1"/>
                <w:color w:val="auto"/>
                <w:w w:val="96"/>
              </w:rPr>
              <w:t>For the transition period from</w:t>
            </w:r>
          </w:p>
        </w:tc>
        <w:tc>
          <w:tcPr>
            <w:tcW w:w="48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80" w:type="dxa"/>
            <w:vAlign w:val="bottom"/>
          </w:tcPr>
          <w:p>
            <w:pPr>
              <w:jc w:val="center"/>
              <w:ind w:left="699"/>
              <w:spacing w:after="0"/>
              <w:rPr>
                <w:sz w:val="20"/>
                <w:szCs w:val="20"/>
                <w:color w:val="auto"/>
              </w:rPr>
            </w:pPr>
            <w:r>
              <w:rPr>
                <w:rFonts w:ascii="Arial" w:cs="Arial" w:eastAsia="Arial" w:hAnsi="Arial"/>
                <w:sz w:val="18"/>
                <w:szCs w:val="18"/>
                <w:b w:val="1"/>
                <w:bCs w:val="1"/>
                <w:color w:val="auto"/>
                <w:w w:val="91"/>
              </w:rPr>
              <w:t>Commission File Number: 0-14338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right"/>
              <w:ind w:right="254"/>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409"/>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jc w:val="center"/>
              <w:ind w:left="679"/>
              <w:spacing w:after="0"/>
              <w:rPr>
                <w:sz w:val="20"/>
                <w:szCs w:val="20"/>
                <w:color w:val="auto"/>
              </w:rPr>
            </w:pPr>
            <w:r>
              <w:rPr>
                <w:rFonts w:ascii="Arial" w:cs="Arial" w:eastAsia="Arial" w:hAnsi="Arial"/>
                <w:sz w:val="32"/>
                <w:szCs w:val="32"/>
                <w:b w:val="1"/>
                <w:bCs w:val="1"/>
                <w:color w:val="auto"/>
              </w:rPr>
              <w:t>AUTODESK, INC.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6"/>
        </w:trPr>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6"/>
          </w:tcPr>
          <w:p>
            <w:pPr>
              <w:jc w:val="center"/>
              <w:ind w:right="19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404"/>
        </w:trPr>
        <w:tc>
          <w:tcPr>
            <w:tcW w:w="1800" w:type="dxa"/>
            <w:vAlign w:val="bottom"/>
          </w:tcPr>
          <w:p>
            <w:pPr>
              <w:spacing w:after="0"/>
              <w:rPr>
                <w:sz w:val="24"/>
                <w:szCs w:val="24"/>
                <w:color w:val="auto"/>
              </w:rPr>
            </w:pPr>
          </w:p>
        </w:tc>
        <w:tc>
          <w:tcPr>
            <w:tcW w:w="5020" w:type="dxa"/>
            <w:vAlign w:val="bottom"/>
            <w:gridSpan w:val="3"/>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2160" w:type="dxa"/>
            <w:vAlign w:val="bottom"/>
            <w:gridSpan w:val="3"/>
          </w:tcPr>
          <w:p>
            <w:pPr>
              <w:jc w:val="right"/>
              <w:ind w:right="244"/>
              <w:spacing w:after="0"/>
              <w:rPr>
                <w:sz w:val="20"/>
                <w:szCs w:val="20"/>
                <w:color w:val="auto"/>
              </w:rPr>
            </w:pPr>
            <w:r>
              <w:rPr>
                <w:rFonts w:ascii="Arial" w:cs="Arial" w:eastAsia="Arial" w:hAnsi="Arial"/>
                <w:sz w:val="18"/>
                <w:szCs w:val="18"/>
                <w:b w:val="1"/>
                <w:bCs w:val="1"/>
                <w:color w:val="auto"/>
              </w:rPr>
              <w:t>94-2819853</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0"/>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4"/>
              </w:rPr>
              <w:t>(State or other jurisdiction</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3"/>
              </w:rPr>
              <w:t>of incorporation or organization)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111 McInnis Parkway,</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4"/>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San Rafael, California</w:t>
            </w:r>
          </w:p>
        </w:tc>
        <w:tc>
          <w:tcPr>
            <w:tcW w:w="2160" w:type="dxa"/>
            <w:vAlign w:val="bottom"/>
            <w:gridSpan w:val="3"/>
          </w:tcPr>
          <w:p>
            <w:pPr>
              <w:jc w:val="right"/>
              <w:ind w:right="444"/>
              <w:spacing w:after="0"/>
              <w:rPr>
                <w:sz w:val="20"/>
                <w:szCs w:val="20"/>
                <w:color w:val="auto"/>
              </w:rPr>
            </w:pPr>
            <w:r>
              <w:rPr>
                <w:rFonts w:ascii="Arial" w:cs="Arial" w:eastAsia="Arial" w:hAnsi="Arial"/>
                <w:sz w:val="18"/>
                <w:szCs w:val="18"/>
                <w:b w:val="1"/>
                <w:bCs w:val="1"/>
                <w:color w:val="auto"/>
              </w:rPr>
              <w:t>94903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1"/>
        </w:trPr>
        <w:tc>
          <w:tcPr>
            <w:tcW w:w="6820" w:type="dxa"/>
            <w:vAlign w:val="bottom"/>
            <w:gridSpan w:val="4"/>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(Zip Code)</w:t>
            </w:r>
          </w:p>
        </w:tc>
      </w:tr>
      <w:tr>
        <w:trPr>
          <w:trHeight w:val="221"/>
        </w:trPr>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80" w:type="dxa"/>
            <w:vAlign w:val="bottom"/>
            <w:gridSpan w:val="7"/>
          </w:tcPr>
          <w:p>
            <w:pPr>
              <w:jc w:val="center"/>
              <w:ind w:right="1460"/>
              <w:spacing w:after="0"/>
              <w:rPr>
                <w:sz w:val="20"/>
                <w:szCs w:val="20"/>
                <w:color w:val="auto"/>
              </w:rPr>
            </w:pPr>
            <w:r>
              <w:rPr>
                <w:rFonts w:ascii="Arial" w:cs="Arial" w:eastAsia="Arial" w:hAnsi="Arial"/>
                <w:sz w:val="18"/>
                <w:szCs w:val="18"/>
                <w:b w:val="1"/>
                <w:bCs w:val="1"/>
                <w:color w:val="auto"/>
                <w:w w:val="89"/>
              </w:rPr>
              <w:t>Registrant’s telephone number, including area code: (415) 507-5000</w:t>
            </w: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8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w w:val="88"/>
              </w:rPr>
              <w:t>_____________________________________________________________</w:t>
            </w: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38"/>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0" w:type="dxa"/>
            <w:vAlign w:val="bottom"/>
            <w:gridSpan w:val="6"/>
          </w:tcPr>
          <w:p>
            <w:pPr>
              <w:jc w:val="center"/>
              <w:ind w:right="19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3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6"/>
              </w:rPr>
              <w:t>Name of each exchange</w:t>
            </w:r>
          </w:p>
        </w:tc>
      </w:tr>
      <w:tr>
        <w:trPr>
          <w:trHeight w:val="196"/>
        </w:trPr>
        <w:tc>
          <w:tcPr>
            <w:tcW w:w="1800" w:type="dxa"/>
            <w:vAlign w:val="bottom"/>
          </w:tcPr>
          <w:p>
            <w:pPr>
              <w:spacing w:after="0"/>
              <w:rPr>
                <w:sz w:val="17"/>
                <w:szCs w:val="17"/>
                <w:color w:val="auto"/>
              </w:rPr>
            </w:pPr>
          </w:p>
        </w:tc>
        <w:tc>
          <w:tcPr>
            <w:tcW w:w="5020" w:type="dxa"/>
            <w:vAlign w:val="bottom"/>
            <w:gridSpan w:val="3"/>
          </w:tcPr>
          <w:p>
            <w:pPr>
              <w:jc w:val="center"/>
              <w:ind w:right="3579"/>
              <w:spacing w:after="0" w:line="196" w:lineRule="exact"/>
              <w:rPr>
                <w:sz w:val="20"/>
                <w:szCs w:val="20"/>
                <w:color w:val="auto"/>
              </w:rPr>
            </w:pPr>
            <w:r>
              <w:rPr>
                <w:rFonts w:ascii="Arial" w:cs="Arial" w:eastAsia="Arial" w:hAnsi="Arial"/>
                <w:sz w:val="18"/>
                <w:szCs w:val="18"/>
                <w:b w:val="1"/>
                <w:bCs w:val="1"/>
                <w:color w:val="auto"/>
                <w:w w:val="86"/>
              </w:rPr>
              <w:t>Title of each class</w:t>
            </w: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8"/>
              </w:rPr>
              <w:t>on which registered</w:t>
            </w:r>
          </w:p>
        </w:tc>
        <w:tc>
          <w:tcPr>
            <w:tcW w:w="420" w:type="dxa"/>
            <w:vAlign w:val="bottom"/>
          </w:tcPr>
          <w:p>
            <w:pPr>
              <w:spacing w:after="0"/>
              <w:rPr>
                <w:sz w:val="17"/>
                <w:szCs w:val="17"/>
                <w:color w:val="auto"/>
              </w:rPr>
            </w:pPr>
          </w:p>
        </w:tc>
      </w:tr>
      <w:tr>
        <w:trPr>
          <w:trHeight w:val="20"/>
        </w:trPr>
        <w:tc>
          <w:tcPr>
            <w:tcW w:w="180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2"/>
        </w:trPr>
        <w:tc>
          <w:tcPr>
            <w:tcW w:w="6820" w:type="dxa"/>
            <w:vAlign w:val="bottom"/>
            <w:gridSpan w:val="4"/>
          </w:tcPr>
          <w:p>
            <w:pPr>
              <w:jc w:val="center"/>
              <w:ind w:right="1779"/>
              <w:spacing w:after="0"/>
              <w:rPr>
                <w:sz w:val="20"/>
                <w:szCs w:val="20"/>
                <w:color w:val="auto"/>
              </w:rPr>
            </w:pPr>
            <w:r>
              <w:rPr>
                <w:rFonts w:ascii="Arial" w:cs="Arial" w:eastAsia="Arial" w:hAnsi="Arial"/>
                <w:sz w:val="18"/>
                <w:szCs w:val="18"/>
                <w:b w:val="1"/>
                <w:bCs w:val="1"/>
                <w:color w:val="auto"/>
                <w:w w:val="91"/>
              </w:rPr>
              <w:t>Common Stock, $0.01 Par Value</w:t>
            </w: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34"/>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720" w:type="dxa"/>
            <w:vAlign w:val="bottom"/>
            <w:gridSpan w:val="5"/>
          </w:tcPr>
          <w:p>
            <w:pPr>
              <w:jc w:val="center"/>
              <w:ind w:left="14"/>
              <w:spacing w:after="0"/>
              <w:rPr>
                <w:sz w:val="20"/>
                <w:szCs w:val="20"/>
                <w:color w:val="auto"/>
              </w:rPr>
            </w:pPr>
            <w:r>
              <w:rPr>
                <w:rFonts w:ascii="Arial" w:cs="Arial" w:eastAsia="Arial" w:hAnsi="Arial"/>
                <w:sz w:val="18"/>
                <w:szCs w:val="18"/>
                <w:b w:val="1"/>
                <w:bCs w:val="1"/>
                <w:color w:val="auto"/>
                <w:w w:val="94"/>
              </w:rPr>
              <w:t>(NASDAQ Global Select Market)</w:t>
            </w:r>
          </w:p>
        </w:tc>
      </w:tr>
      <w:tr>
        <w:trPr>
          <w:trHeight w:val="256"/>
        </w:trPr>
        <w:tc>
          <w:tcPr>
            <w:tcW w:w="1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80" w:type="dxa"/>
            <w:vAlign w:val="bottom"/>
            <w:gridSpan w:val="7"/>
          </w:tcPr>
          <w:p>
            <w:pPr>
              <w:jc w:val="center"/>
              <w:ind w:right="144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108"/>
        </w:trPr>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80" w:type="dxa"/>
            <w:vAlign w:val="bottom"/>
            <w:gridSpan w:val="3"/>
          </w:tcPr>
          <w:p>
            <w:pPr>
              <w:jc w:val="center"/>
              <w:ind w:left="652"/>
              <w:spacing w:after="0" w:line="109" w:lineRule="exact"/>
              <w:rPr>
                <w:sz w:val="20"/>
                <w:szCs w:val="20"/>
                <w:color w:val="auto"/>
              </w:rPr>
            </w:pPr>
            <w:r>
              <w:rPr>
                <w:rFonts w:ascii="Arial" w:cs="Arial" w:eastAsia="Arial" w:hAnsi="Arial"/>
                <w:sz w:val="11"/>
                <w:szCs w:val="11"/>
                <w:b w:val="1"/>
                <w:bCs w:val="1"/>
                <w:color w:val="auto"/>
                <w:w w:val="87"/>
              </w:rPr>
              <w:t>_____________________________________________________________</w:t>
            </w: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77"/>
        </w:trPr>
        <w:tc>
          <w:tcPr>
            <w:tcW w:w="682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2720" w:type="dxa"/>
            <w:vAlign w:val="bottom"/>
            <w:gridSpan w:val="5"/>
          </w:tcPr>
          <w:p>
            <w:pPr>
              <w:ind w:left="60"/>
              <w:spacing w:after="0" w:line="161" w:lineRule="exact"/>
              <w:rPr>
                <w:sz w:val="20"/>
                <w:szCs w:val="20"/>
                <w:color w:val="auto"/>
              </w:rPr>
            </w:pPr>
            <w:r>
              <w:rPr>
                <w:rFonts w:ascii="Arial" w:cs="Arial" w:eastAsia="Arial" w:hAnsi="Arial"/>
                <w:sz w:val="14"/>
                <w:szCs w:val="14"/>
                <w:color w:val="auto"/>
              </w:rPr>
              <w:t xml:space="preserve">Yes x  No </w:t>
            </w:r>
            <w:r>
              <w:rPr>
                <w:rFonts w:ascii="MS PGothic" w:cs="MS PGothic" w:eastAsia="MS PGothic" w:hAnsi="MS PGothic"/>
                <w:sz w:val="14"/>
                <w:szCs w:val="14"/>
                <w:color w:val="auto"/>
              </w:rPr>
              <w:t>☐</w:t>
            </w:r>
          </w:p>
        </w:tc>
      </w:tr>
    </w:tbl>
    <w:p>
      <w:pPr>
        <w:ind w:left="340"/>
        <w:spacing w:after="0" w:line="162"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whether the registrant (1) has filed all reports required to be filed by Section 13 or 15(d) of the Exchange Act during the preceding 12 months (or for such shorter period</w:t>
      </w:r>
    </w:p>
    <w:p>
      <w:pPr>
        <w:spacing w:after="0" w:line="161" w:lineRule="exact"/>
        <w:tabs>
          <w:tab w:leader="none" w:pos="7320" w:val="left"/>
          <w:tab w:leader="none" w:pos="7800" w:val="left"/>
          <w:tab w:leader="none" w:pos="8120" w:val="left"/>
        </w:tabs>
        <w:rPr>
          <w:sz w:val="20"/>
          <w:szCs w:val="20"/>
          <w:color w:val="auto"/>
        </w:rPr>
      </w:pPr>
      <w:r>
        <w:rPr>
          <w:rFonts w:ascii="Arial" w:cs="Arial" w:eastAsia="Arial" w:hAnsi="Arial"/>
          <w:sz w:val="13"/>
          <w:szCs w:val="13"/>
          <w:color w:val="auto"/>
        </w:rPr>
        <w:t>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Yes x</w:t>
        <w:tab/>
        <w:t>No</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324"/>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ind w:right="320" w:firstLine="324"/>
        <w:spacing w:after="0" w:line="17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324"/>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9" w:lineRule="exact"/>
        <w:rPr>
          <w:sz w:val="24"/>
          <w:szCs w:val="24"/>
          <w:color w:val="auto"/>
        </w:rPr>
      </w:pPr>
    </w:p>
    <w:p>
      <w:pPr>
        <w:ind w:left="1400"/>
        <w:spacing w:after="0"/>
        <w:tabs>
          <w:tab w:leader="none" w:pos="3020" w:val="left"/>
          <w:tab w:leader="none" w:pos="5860" w:val="left"/>
          <w:tab w:leader="none" w:pos="8700" w:val="left"/>
        </w:tabs>
        <w:rPr>
          <w:sz w:val="20"/>
          <w:szCs w:val="20"/>
          <w:color w:val="auto"/>
        </w:rPr>
      </w:pPr>
      <w:r>
        <w:rPr>
          <w:rFonts w:ascii="Arial" w:cs="Arial" w:eastAsia="Arial" w:hAnsi="Arial"/>
          <w:sz w:val="14"/>
          <w:szCs w:val="14"/>
          <w:color w:val="auto"/>
        </w:rPr>
        <w:t>Large accelerated filer x</w:t>
        <w:tab/>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21" w:lineRule="exact"/>
        <w:rPr>
          <w:sz w:val="24"/>
          <w:szCs w:val="24"/>
          <w:color w:val="auto"/>
        </w:rPr>
      </w:pPr>
    </w:p>
    <w:p>
      <w:pPr>
        <w:ind w:left="340"/>
        <w:spacing w:after="0" w:line="161" w:lineRule="exact"/>
        <w:tabs>
          <w:tab w:leader="none" w:pos="7020" w:val="left"/>
          <w:tab w:leader="none" w:pos="7380" w:val="left"/>
          <w:tab w:leader="none" w:pos="7680" w:val="left"/>
        </w:tabs>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 x</w:t>
      </w:r>
    </w:p>
    <w:p>
      <w:pPr>
        <w:spacing w:after="0" w:line="6" w:lineRule="exact"/>
        <w:rPr>
          <w:sz w:val="24"/>
          <w:szCs w:val="24"/>
          <w:color w:val="auto"/>
        </w:rPr>
      </w:pPr>
    </w:p>
    <w:p>
      <w:pPr>
        <w:ind w:right="20" w:firstLine="324"/>
        <w:spacing w:after="0" w:line="241" w:lineRule="auto"/>
        <w:rPr>
          <w:sz w:val="20"/>
          <w:szCs w:val="20"/>
          <w:color w:val="auto"/>
        </w:rPr>
      </w:pPr>
      <w:r>
        <w:rPr>
          <w:rFonts w:ascii="Arial" w:cs="Arial" w:eastAsia="Arial" w:hAnsi="Arial"/>
          <w:sz w:val="14"/>
          <w:szCs w:val="14"/>
          <w:color w:val="auto"/>
        </w:rPr>
        <w:t>As of July 31, 2016, the last business day of the registrant’s most recently completed second fiscal quarter, there were approximately 208.4 million shares of the registrant’s common stock outstanding that were held by non-affiliates, and the aggregate market value of such shares held by non-affiliates of the registrant (based on the closing sale price of such shares on the NASDAQ Global Select Market on July 31, 2016) was approximately $12.4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10, 2017, the registrant had outstanding 220,849,268 shares of common stock.</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Portions of the Proxy Statement for registrant’s Annual Meeting of Stockholders (the “Proxy Statement”), are incorporated by reference in Part III of this Form 10-K to the extent stated herein.</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The Proxy Statement will be filed within 120 days of the registrant’s fiscal year ended January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339090</wp:posOffset>
            </wp:positionV>
            <wp:extent cx="97790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left="10080"/>
        <w:spacing w:after="0"/>
        <w:rPr>
          <w:sz w:val="20"/>
          <w:szCs w:val="20"/>
          <w:color w:val="auto"/>
        </w:rPr>
      </w:pPr>
      <w:r>
        <w:rPr>
          <w:rFonts w:ascii="Arial" w:cs="Arial" w:eastAsia="Arial" w:hAnsi="Arial"/>
          <w:sz w:val="16"/>
          <w:szCs w:val="16"/>
          <w:i w:val="1"/>
          <w:iCs w:val="1"/>
          <w:color w:val="auto"/>
        </w:rPr>
        <w:t>2017 Form 10-K 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2579"/>
        <w:spacing w:after="0"/>
        <w:rPr>
          <w:sz w:val="20"/>
          <w:szCs w:val="20"/>
          <w:color w:val="auto"/>
        </w:rPr>
      </w:pPr>
      <w:r>
        <w:rPr>
          <w:rFonts w:ascii="Arial" w:cs="Arial" w:eastAsia="Arial" w:hAnsi="Arial"/>
          <w:sz w:val="18"/>
          <w:szCs w:val="18"/>
          <w:b w:val="1"/>
          <w:bCs w:val="1"/>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97790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2</w:t>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rPr>
              <w:t>AUTODESK, INC. FORM 10-K</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380" w:type="dxa"/>
            <w:vAlign w:val="bottom"/>
            <w:gridSpan w:val="5"/>
          </w:tcPr>
          <w:p>
            <w:pP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80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860" w:type="dxa"/>
            <w:vAlign w:val="bottom"/>
            <w:gridSpan w:val="19"/>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50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85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646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Legal Proceedings</w:t>
              </w:r>
            </w:hyperlink>
          </w:p>
        </w:tc>
        <w:tc>
          <w:tcPr>
            <w:tcW w:w="716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5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37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PART II</w:t>
              </w:r>
            </w:hyperlink>
          </w:p>
        </w:tc>
        <w:tc>
          <w:tcPr>
            <w:tcW w:w="7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9"/>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 of Equity Securities</w:t>
              </w:r>
            </w:hyperlink>
          </w:p>
        </w:tc>
        <w:tc>
          <w:tcPr>
            <w:tcW w:w="4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4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04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204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414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Changes in and Disagreements With Accountants on Accounting and Financial Disclosure</w:t>
              </w:r>
            </w:hyperlink>
          </w:p>
        </w:tc>
        <w:tc>
          <w:tcPr>
            <w:tcW w:w="1980" w:type="dxa"/>
            <w:vAlign w:val="bottom"/>
            <w:gridSpan w:val="3"/>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106</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850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Controls and Procedures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109">
              <w:r>
                <w:rPr>
                  <w:rFonts w:ascii="Arial" w:cs="Arial" w:eastAsia="Arial" w:hAnsi="Arial"/>
                  <w:sz w:val="18"/>
                  <w:szCs w:val="18"/>
                  <w:color w:val="0000EE"/>
                </w:rPr>
                <w:t>106</w:t>
              </w:r>
            </w:hyperlink>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Other Information</w:t>
              </w:r>
            </w:hyperlink>
          </w:p>
        </w:tc>
        <w:tc>
          <w:tcPr>
            <w:tcW w:w="6740" w:type="dxa"/>
            <w:vAlign w:val="bottom"/>
            <w:gridSpan w:val="13"/>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3"/>
                <w:szCs w:val="13"/>
                <w:color w:val="0000EE"/>
                <w:w w:val="73"/>
              </w:rPr>
            </w:pPr>
            <w:hyperlink w:anchor="page110">
              <w:r>
                <w:rPr>
                  <w:rFonts w:ascii="Arial" w:cs="Arial" w:eastAsia="Arial" w:hAnsi="Arial"/>
                  <w:sz w:val="13"/>
                  <w:szCs w:val="13"/>
                  <w:color w:val="0000EE"/>
                  <w:w w:val="73"/>
                </w:rPr>
                <w:t>107</w:t>
              </w:r>
            </w:hyperlink>
          </w:p>
        </w:tc>
        <w:tc>
          <w:tcPr>
            <w:tcW w:w="20" w:type="dxa"/>
            <w:vAlign w:val="bottom"/>
          </w:tcPr>
          <w:p>
            <w:pPr>
              <w:spacing w:after="0"/>
              <w:rPr>
                <w:sz w:val="24"/>
                <w:szCs w:val="24"/>
                <w:color w:val="auto"/>
              </w:rPr>
            </w:pPr>
          </w:p>
        </w:tc>
      </w:tr>
      <w:tr>
        <w:trPr>
          <w:trHeight w:val="37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Directors, Executive Officers and Corporate Governance</w:t>
              </w:r>
            </w:hyperlink>
          </w:p>
        </w:tc>
        <w:tc>
          <w:tcPr>
            <w:tcW w:w="4400" w:type="dxa"/>
            <w:vAlign w:val="bottom"/>
            <w:gridSpan w:val="7"/>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11">
              <w:r>
                <w:rPr>
                  <w:rFonts w:ascii="Arial" w:cs="Arial" w:eastAsia="Arial" w:hAnsi="Arial"/>
                  <w:sz w:val="13"/>
                  <w:szCs w:val="13"/>
                  <w:color w:val="0000EE"/>
                  <w:w w:val="73"/>
                </w:rPr>
                <w:t>108</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8500" w:type="dxa"/>
            <w:vAlign w:val="bottom"/>
            <w:gridSpan w:val="20"/>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Executive Compensation</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109</w:t>
              </w:r>
            </w:hyperlink>
          </w:p>
        </w:tc>
      </w:tr>
      <w:tr>
        <w:trPr>
          <w:trHeight w:val="20"/>
        </w:trPr>
        <w:tc>
          <w:tcPr>
            <w:tcW w:w="7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Security Ownership of Certain Beneficial Owners and Management and Related Stockholder Matters</w:t>
              </w:r>
            </w:hyperlink>
          </w:p>
        </w:tc>
        <w:tc>
          <w:tcPr>
            <w:tcW w:w="120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12">
              <w:r>
                <w:rPr>
                  <w:rFonts w:ascii="Arial" w:cs="Arial" w:eastAsia="Arial" w:hAnsi="Arial"/>
                  <w:sz w:val="13"/>
                  <w:szCs w:val="13"/>
                  <w:color w:val="0000EE"/>
                  <w:w w:val="73"/>
                </w:rPr>
                <w:t>109</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Certain Relationships and Related Transactions, and Director Independence</w:t>
              </w:r>
            </w:hyperlink>
          </w:p>
        </w:tc>
        <w:tc>
          <w:tcPr>
            <w:tcW w:w="3040" w:type="dxa"/>
            <w:vAlign w:val="bottom"/>
            <w:gridSpan w:val="5"/>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12">
              <w:r>
                <w:rPr>
                  <w:rFonts w:ascii="Arial" w:cs="Arial" w:eastAsia="Arial" w:hAnsi="Arial"/>
                  <w:sz w:val="13"/>
                  <w:szCs w:val="13"/>
                  <w:color w:val="0000EE"/>
                  <w:w w:val="73"/>
                </w:rPr>
                <w:t>109</w:t>
              </w:r>
            </w:hyperlink>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8500" w:type="dxa"/>
            <w:vAlign w:val="bottom"/>
            <w:gridSpan w:val="20"/>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Principal Accounting Fees and Services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112">
              <w:r>
                <w:rPr>
                  <w:rFonts w:ascii="Arial" w:cs="Arial" w:eastAsia="Arial" w:hAnsi="Arial"/>
                  <w:sz w:val="18"/>
                  <w:szCs w:val="18"/>
                  <w:color w:val="0000EE"/>
                </w:rPr>
                <w:t>109</w:t>
              </w:r>
            </w:hyperlink>
          </w:p>
        </w:tc>
      </w:tr>
      <w:tr>
        <w:trPr>
          <w:trHeight w:val="37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13">
              <w:r>
                <w:rPr>
                  <w:rFonts w:ascii="Arial" w:cs="Arial" w:eastAsia="Arial" w:hAnsi="Arial"/>
                  <w:sz w:val="18"/>
                  <w:szCs w:val="18"/>
                  <w:b w:val="1"/>
                  <w:bCs w:val="1"/>
                  <w:color w:val="0000EE"/>
                  <w:w w:val="98"/>
                </w:rPr>
                <w:t>PART IV</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Exhibits and Financial Statement Schedules</w:t>
              </w:r>
            </w:hyperlink>
          </w:p>
        </w:tc>
        <w:tc>
          <w:tcPr>
            <w:tcW w:w="534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r>
      <w:tr>
        <w:trPr>
          <w:trHeight w:val="20"/>
        </w:trPr>
        <w:tc>
          <w:tcPr>
            <w:tcW w:w="1380" w:type="dxa"/>
            <w:vAlign w:val="bottom"/>
            <w:gridSpan w:val="5"/>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8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Form 10-K Summary</w:t>
              </w:r>
            </w:hyperlink>
          </w:p>
        </w:tc>
        <w:tc>
          <w:tcPr>
            <w:tcW w:w="534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6960" w:type="dxa"/>
            <w:vAlign w:val="bottom"/>
            <w:gridSpan w:val="15"/>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2"/>
          </w:tcPr>
          <w:p>
            <w:pPr>
              <w:spacing w:after="0"/>
              <w:rPr>
                <w:rFonts w:ascii="Arial" w:cs="Arial" w:eastAsia="Arial" w:hAnsi="Arial"/>
                <w:sz w:val="18"/>
                <w:szCs w:val="18"/>
                <w:color w:val="0000EE"/>
                <w:w w:val="78"/>
              </w:rPr>
            </w:pPr>
            <w:hyperlink w:anchor="page115">
              <w:r>
                <w:rPr>
                  <w:rFonts w:ascii="Arial" w:cs="Arial" w:eastAsia="Arial" w:hAnsi="Arial"/>
                  <w:sz w:val="18"/>
                  <w:szCs w:val="18"/>
                  <w:color w:val="0000EE"/>
                  <w:w w:val="78"/>
                </w:rPr>
                <w:t>Signatures</w:t>
              </w:r>
            </w:hyperlink>
          </w:p>
        </w:tc>
        <w:tc>
          <w:tcPr>
            <w:tcW w:w="820" w:type="dxa"/>
            <w:vAlign w:val="bottom"/>
            <w:gridSpan w:val="3"/>
          </w:tcPr>
          <w:p>
            <w:pPr>
              <w:spacing w:after="0"/>
              <w:rPr>
                <w:sz w:val="24"/>
                <w:szCs w:val="24"/>
                <w:color w:val="auto"/>
              </w:rPr>
            </w:pPr>
          </w:p>
        </w:tc>
        <w:tc>
          <w:tcPr>
            <w:tcW w:w="696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15">
              <w:r>
                <w:rPr>
                  <w:rFonts w:ascii="Arial" w:cs="Arial" w:eastAsia="Arial" w:hAnsi="Arial"/>
                  <w:sz w:val="18"/>
                  <w:szCs w:val="18"/>
                  <w:color w:val="0000EE"/>
                </w:rPr>
                <w:t>112</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188595</wp:posOffset>
            </wp:positionV>
            <wp:extent cx="97790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29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future financial results (including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and mobile computing, the effect of unemployment, the availability of credit, our expectations for our restructuring, the effects of mixed global economic conditions, the effects of revenue recognition,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and the impact of economic volatility and geopolitical activities in certain countries, particularly emerging economy countries, the timing and amount of purchases under our newly announced stock buy-back plan, and the effects of potential non-cash charges on our financial results and the resulting effect on our financial results. In addition, forward-looking statements also consist of statements involving expectations regarding product capability and acceptance, remediation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w:t>
      </w:r>
      <w:r>
        <w:rPr>
          <w:sz w:val="20"/>
          <w:szCs w:val="20"/>
          <w:color w:val="auto"/>
        </w:rPr>
        <w:tab/>
      </w:r>
      <w:r>
        <w:rPr>
          <w:rFonts w:ascii="Arial" w:cs="Arial" w:eastAsia="Arial" w:hAnsi="Arial"/>
          <w:sz w:val="17"/>
          <w:szCs w:val="17"/>
          <w:b w:val="1"/>
          <w:bCs w:val="1"/>
          <w:color w:val="0696D7"/>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We are a global leader in design software and services, offering customers productive business solutions through powerful technology products and services. We serve customers in the architecture, engineering and construction; product design and manufacturing; and digital media and entertainment industries. Customers are able to design and create better things and processes by visualizing, simulating and analyzing real-world performance early in the design process. These capabilities allow our customers to foster innovation, optimize and improve their designs, save time and money, improve quality, communicate plans, and collaborate with others. Our professional software products are sold globally, both directly to customers and through a network of resellers and distributors.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32BCAD"/>
        </w:rPr>
        <w:t>Segments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report segment information based on the “management” approach. The management approach designates the internal reporting used by management for making decisions, allocating resources and assessing performance as the source of our reportable segments. Prior to the third quarter of fiscal 2017, we had four operating segments: Architecture, Engineering, and Construction (“AEC”), Manufacturing (“MFG”), Platform Solutions and Emerging Business (“PSEB”), and Media and Entertainment (“M&amp;E”).</w:t>
      </w:r>
    </w:p>
    <w:p>
      <w:pPr>
        <w:spacing w:after="0" w:line="18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As a result of our business model transition, there have been a number of changes in the business including the shift from selling perpetual licenses to subscription-based offerings and organizational changes in how the business is managed including a restructuring announced in the first quarter of fiscal 2017. In the third quarter of fiscal 2017, these organizational changes resulted in a change in the internal reporting provided to our chief operating decision maker (“CODM”). These internal reports are used by the CODM to assess the performance of the business on a consolidated basis. Accordingly, our CODM now allocates resources and assesses the operating performance of Autodesk as a whole. As such, beginning in the third quarter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7790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fiscal 2017, we concluded that we had one segment manager (the CODM), one operating segment, and one reporting unit for goodwill impairment purposes.</w:t>
      </w:r>
    </w:p>
    <w:p>
      <w:pPr>
        <w:spacing w:after="0" w:line="24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A summary of our revenue by geographic area and product family is found in Note 13, “Segments,” in the Notes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Corporate Information</w:t>
      </w:r>
    </w:p>
    <w:p>
      <w:pPr>
        <w:spacing w:after="0" w:line="22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were incorporated in California in April 1982 and were reincorporated in Delaware in May 1994. Our principal executive office is located at 111 McInnis Parkway, San Rafael, California 94903, and the telephone number at that address is (415) 507-5000. 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 site at www.autodesk.com as soon as reasonably practicable after we electronically file such material with, or furnish it to, the SEC. The public may also read and copy any material we file with the SEC at the SEC's Public Reference Room at 100 F Street N.E. Washington, D.C. 20549. The public may obtain information on the operation of the Public Reference Room by calling the SEC at 1 (800) SEC-0330.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architecture, engineering and construction products improve the way building, civil infrastructure, process plant and construction projects are designed, built, and used. Our product development and manufacturing software provides manufacturers in automotive, transportation, industrial machinery, consumer products and building products with comprehensive digital engineering solutions that bring together data from all phases of the product development and production life cycle, creating a single digital model. Our digital media and entertainment products provide tools for digital sculpting, modeling, animation, effects, rendering, and compositing for design visualization, visual effects and games production. Our portfolio of products and services enables our customers to foster innovation, optimize and improve their designs, save time and money, improve quality, communicate plans, and collaborate with others.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Autodesk’s product offerings include:</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AutoCAD software, which is our largest single revenue-generating product, is a customizable and extensible CAD application for professional design, drafting, detailing, and visualization. AutoCAD software provides digital tools that can be used independently and in conjunction with other specific applications in fields ranging from construction and civil engineering to manufacturing and plant design.</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LT</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 AutoCAD LT software is our second largest revenue-generating product.</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0696D7"/>
        </w:rPr>
      </w:pPr>
      <w:r>
        <w:rPr>
          <w:rFonts w:ascii="Arial" w:cs="Arial" w:eastAsia="Arial" w:hAnsi="Arial"/>
          <w:sz w:val="18"/>
          <w:szCs w:val="18"/>
          <w:i w:val="1"/>
          <w:iCs w:val="1"/>
          <w:color w:val="0696D7"/>
        </w:rPr>
        <w:t>Industry Collections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Launched in August 2016, Autodesk's Industry Collections, our newest subscription offerings, provide our customers with increased access to a broader selection of Autodesk products, greater value, more flexibility, and a simpler way to subscribe and manage Autodesk subscriptions. To make way for industry collections, we ended the sale of the Design and Creation Suites on July 31, 2016, including Building Design Suites, Infrastructure Design Suites, and Product Design Suites. The collections are tailored to provide the essential software needed by professionals within each industry: AEC, Product Design, and M&amp;E.</w:t>
      </w:r>
    </w:p>
    <w:p>
      <w:pPr>
        <w:spacing w:after="0" w:line="15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AEC Collection aims to help our customers design, engineer, and construct higher quality, more predictable building and civil infrastructure projects, commonly used by AEC industry experts, such as AutoCAD, AutoCAD Civil3D, and Revit.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The Product Design Collection offers connected, professional-grade tools that help our customers make great products today and compete in the changing manufacturing landscape of the future. The collection offers access to a wide range of our products, including AutoCAD and Inventor.</w:t>
      </w:r>
    </w:p>
    <w:p>
      <w:pPr>
        <w:spacing w:after="0" w:line="12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M&amp;E Collection provides end-to-end creative tools for entertainment creation. This collection enables animators, modelers and visual effect artists to access the tool they need, including Maya and 3ds Max, to create compelling effects, 3D characters and digital worlds.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0696D7"/>
        </w:rPr>
      </w:pPr>
      <w:r>
        <w:rPr>
          <w:rFonts w:ascii="Arial" w:cs="Arial" w:eastAsia="Arial" w:hAnsi="Arial"/>
          <w:sz w:val="18"/>
          <w:szCs w:val="18"/>
          <w:i w:val="1"/>
          <w:iCs w:val="1"/>
          <w:color w:val="0696D7"/>
        </w:rPr>
        <w:t>3ds Max</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0696D7"/>
        </w:rPr>
      </w:pPr>
      <w:r>
        <w:rPr>
          <w:rFonts w:ascii="Arial" w:cs="Arial" w:eastAsia="Arial" w:hAnsi="Arial"/>
          <w:sz w:val="18"/>
          <w:szCs w:val="18"/>
          <w:i w:val="1"/>
          <w:iCs w:val="1"/>
          <w:color w:val="0696D7"/>
        </w:rPr>
        <w:t>Maya</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 length animated feature films.</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0696D7"/>
        </w:rPr>
      </w:pPr>
      <w:r>
        <w:rPr>
          <w:rFonts w:ascii="Arial" w:cs="Arial" w:eastAsia="Arial" w:hAnsi="Arial"/>
          <w:sz w:val="18"/>
          <w:szCs w:val="18"/>
          <w:i w:val="1"/>
          <w:iCs w:val="1"/>
          <w:color w:val="0696D7"/>
        </w:rPr>
        <w:t>Revit</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Revit software is built for Building Information Modeling ("BIM") to help professionals design, build, and maintain higher-quality, more energy-efficient buildings. Using the information-rich models created with Revit, architects, engineers, and construction firms can collaborate to make better-informed decisions earlier in the design process to deliver projects with greater efficiency. Revit includes features for architectural, mechanical, electrical and plumbing design as well as structural engineering and construction, providing a comprehensive solution for the entire building project team.</w:t>
      </w:r>
    </w:p>
    <w:p>
      <w:pPr>
        <w:spacing w:after="0" w:line="15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0696D7"/>
        </w:rPr>
      </w:pPr>
      <w:r>
        <w:rPr>
          <w:rFonts w:ascii="Arial" w:cs="Arial" w:eastAsia="Arial" w:hAnsi="Arial"/>
          <w:sz w:val="18"/>
          <w:szCs w:val="18"/>
          <w:i w:val="1"/>
          <w:iCs w:val="1"/>
          <w:color w:val="0696D7"/>
        </w:rPr>
        <w:t>Inventor</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Inventor enables manufacturers to go beyond 3D design to digital prototyping by giving engineers a comprehensive and flexible set of tools for 3D mechanical design, simulation, analysis, tooling, visualization, and documentation.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Civil 3D</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AutoCAD Civil 3D products provide a surveying, design, analysis, and documentation solution for civil engineering, including land development, transportation, and environmental projects. Using a model-centric approach that automatically updates documentation as design changes are made, AutoCAD Civil 3D products enable civil engineers, designers, drafters, and surveyors to significantly boost productivity and deliver higher-quality designs and construction documentation faster. With AutoCAD Civil 3D products, the entire project team works from the same consistent, up-to-date model so they stay coordinated throughout all project phases.</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0696D7"/>
        </w:rPr>
      </w:pPr>
      <w:r>
        <w:rPr>
          <w:rFonts w:ascii="Arial" w:cs="Arial" w:eastAsia="Arial" w:hAnsi="Arial"/>
          <w:sz w:val="18"/>
          <w:szCs w:val="18"/>
          <w:i w:val="1"/>
          <w:iCs w:val="1"/>
          <w:color w:val="0696D7"/>
        </w:rPr>
        <w:t>CAM Solutions</w:t>
      </w:r>
    </w:p>
    <w:p>
      <w:pPr>
        <w:spacing w:after="0" w:line="225"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Our computer-aided manufacturing ("CAM") software, obtained via our Delcam acquisition, offers industry-leading solutions for Computer Numeric Control ("CNC") machining, inspection, and modelling for manufacturing. A comprehensive line-up of expert products, including PowerMill, FeatureCAM, PowerInspect, PowerShare, and others, help our customers manufacture complex, innovative products and components with maximum quality, control, and production efficiency.</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0696D7"/>
        </w:rPr>
      </w:pPr>
      <w:r>
        <w:rPr>
          <w:rFonts w:ascii="Arial" w:cs="Arial" w:eastAsia="Arial" w:hAnsi="Arial"/>
          <w:sz w:val="18"/>
          <w:szCs w:val="18"/>
          <w:i w:val="1"/>
          <w:iCs w:val="1"/>
          <w:color w:val="0696D7"/>
        </w:rPr>
        <w:t>Fusion 360</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Fusion 360 is the first 3D CAD, CAM, and Computer-aided Engineering ("CAE") tool of its kind. It connects the entire product development process on a single cloud-based platform that works on both Apple and PC operating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97790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6</w:t>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0696D7"/>
        </w:rPr>
      </w:pPr>
      <w:r>
        <w:rPr>
          <w:rFonts w:ascii="Arial" w:cs="Arial" w:eastAsia="Arial" w:hAnsi="Arial"/>
          <w:sz w:val="18"/>
          <w:szCs w:val="18"/>
          <w:i w:val="1"/>
          <w:iCs w:val="1"/>
          <w:color w:val="0696D7"/>
        </w:rPr>
        <w:t>BIM 360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BIM 360 construction management software enables almost anytime, anywhere access to project data throughout the building construction lifecycle.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BIM 360 empowers those in the field to better anticipate and act, and those in the back office to optimize and manage all aspects of construction performance.</w:t>
      </w:r>
    </w:p>
    <w:p>
      <w:pPr>
        <w:spacing w:after="0" w:line="23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0696D7"/>
        </w:rPr>
      </w:pPr>
      <w:r>
        <w:rPr>
          <w:rFonts w:ascii="Arial" w:cs="Arial" w:eastAsia="Arial" w:hAnsi="Arial"/>
          <w:sz w:val="18"/>
          <w:szCs w:val="18"/>
          <w:i w:val="1"/>
          <w:iCs w:val="1"/>
          <w:color w:val="0696D7"/>
        </w:rPr>
        <w:t>Shotgun</w:t>
      </w:r>
    </w:p>
    <w:p>
      <w:pPr>
        <w:spacing w:after="0" w:line="225"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Shotgun is cloud-based software for review and production tracking in the M&amp;E industry. Creative companies use the Shotgun platform to provide essential business tools for managers and visual collaboration tools for artists and supervisors, who often work globally with distributed teams.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29"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The technology industry is characterized by rapid technological change in computer hardware, operating systems, and software. In addition, our customers’ requirements and preferences rapidly evolve, as do their expectations of the performance of our software and services. To keep pace with these changes, we maintain a vigorous program of new product development to address demands in the marketplace for our products.</w:t>
      </w:r>
    </w:p>
    <w:p>
      <w:pPr>
        <w:spacing w:after="0" w:line="16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software industry is undergoing a transition from the personal computer to cloud, social, and mobile computing. In fiscal 2017, we continued to successfully implement a strategic transition of our business model announced in fiscal 2014. To support our transition, effective February 1, 2016, we discontinued the sale of new commercial seats of most individual software products, which are now exclusively available by desktop subscription, and discontinued selling perpetual licenses of suites while introducing industry collections effective August 1, 2016. Industry collections allow access to a broad set of products and cloud services that exceeds those previously available in suites - simplifying the customers' ability to access a complete set of industry tools. We now offer term-based product subscriptions for individual products and industry collections, cloud service offerings, and flexible enterprise business agreements ("new model subscription offerings"). These offerings are designed to give our customers increased flexibility with how they use our products and service offerings and to attract a broader range of customers such as project-based users and small businesses. The transition to a subscription model reflects the significant and growing interaction of our desktop software and our cloud services, working together to bring an integrated workflow to our customers.</w:t>
      </w:r>
    </w:p>
    <w:p>
      <w:pPr>
        <w:spacing w:after="0" w:line="167"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We dedicate considerable technical and financial resources to research and development to further enhance our existing products and to create new products and technologies to expand our market opportunity. For example, in fiscal 2017, we continued strategically investing in digital manufacturing by bringing together a number of products and technologies, focused on providing integrated solutions for additive, subtractive, hybrid manufacturing, robotics and simulation. Digital manufacturing solutions provide our customers with the tools necessary to advance their manufacturing and production software, processes and systems in order to achieve efficiency and cost reduction improvements. Digital manufacturing provides a unique opportunity for these customers to connect designing, making, and using. We anticipate ongoing investments in digital manufacturing and other product groups to both serve existing customers and expand market opportunity.</w:t>
      </w:r>
    </w:p>
    <w:p>
      <w:pPr>
        <w:spacing w:after="0" w:line="17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Research and development expenditures were $766.1 million or 38% of fiscal 2017 net revenue, $790.0 million or 32% of fiscal 2016 net revenue and $725.2 million or 29% of fiscal 2015 net revenue. The increase in research and development expenditures as a percentage of revenue compared to fiscal 2016 and 2015 was driven by the decrease in our total revenue as a result of our business model transition. 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in an effort to ensure that we are generating sufficient revenue or gaining a competitive advantage to justify their costs.</w:t>
      </w:r>
    </w:p>
    <w:p>
      <w:pPr>
        <w:spacing w:after="0" w:line="17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Canada, and the United Kingdom. However, we employ experienced software developers in many of our other locations. Translation and localization of our products are performed in a number of local markets, principally Singapore and Switzerland. We generally localize and translate our products into German, French, Italian, Spanish, Russian, Japanese, Korean, and simplified and traditional Chinese.</w:t>
      </w:r>
    </w:p>
    <w:p>
      <w:pPr>
        <w:spacing w:after="0" w:line="18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plan to continue managing significant product development operations internationally over the next several years. We believe that our ability to conduct research and development at various locations throughout the world allows us to optimize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license or sell our products and services globally, primarily through indirect channels consisting of distributors and resellers. To a lesser extent we also transact directly with our enterprise and named account customers and with customers through our digitally transacted online Autodesk branded store. Our indirect channel model includes both a two-tiered distribution structure, where distributors sell to resellers, and a one-tiered structure, where Autodesk sells directly to resellers. We have a network of approximately 1,700 resellers and distributors worldwide. For fiscal 2017, approximately 72% of our revenue was derived from indirect channel sales through distributors and resellers, and we expect that the majority of our revenue will continue to be derived from indirect channel sales in the future.</w:t>
      </w:r>
    </w:p>
    <w:p>
      <w:pPr>
        <w:spacing w:after="0" w:line="1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anticipate that our channel mix will continue to change, particularly as we scale our digitally transacted online Autodesk branded store business and our largest accounts shift towards direct-only business models. Importantly, we expect our indirect channel will continue to transact and support the majority of our revenue as we move beyond the business model transition. We employ a variety of incentive programs and promotions to align our reseller channel with our business strategies.</w:t>
      </w:r>
    </w:p>
    <w:p>
      <w:pPr>
        <w:spacing w:after="0" w:line="18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Sales through our largest distributor, Tech Data Corporation and its global affiliates, accounted for 30%, 25%, and 25% of our net revenue for fiscal years 2017, 2016, and 2015, respectively. 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No other distributor, reseller, or direct customer accounted for 10% or more of our revenue.</w:t>
      </w:r>
    </w:p>
    <w:p>
      <w:pPr>
        <w:spacing w:after="0" w:line="19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Fiscal 2017 net revenue in the Americas, EMEA, and APAC was $871.9 million (43%), $800.4 million (39%), and $358.7 million (18%), respectively. We intend to continue to make our products available in foreign languages.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A summary of our financial information by geographic location is found in Note 13, “Segments,” in the Notes to Consolidated Financial Statements. Our international operations and sales subject us to a variety of risks; see Item 1A, “Risk Factors,” for further discussion.</w:t>
      </w:r>
    </w:p>
    <w:p>
      <w:pPr>
        <w:spacing w:after="0" w:line="19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sponsorships, advertising in business and trade journals, and social media. We have a worldwide user group organization and we have created online user communities dedicated to the exchange of information related to the use of our products and services.</w:t>
      </w:r>
    </w:p>
    <w:p>
      <w:pPr>
        <w:spacing w:after="0" w:line="17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generate revenue primarily through various offerings that provide recurring revenue. The largest is our maintenance plan program, under which customers who own a perpetual use license for the most recent version of the underlying product are able to renew a previously purchased maintenance plan that provides them with unspecified upgrades when and if available, and receive online support during the term of their maintenance contract. We also offer subscriptions which provide our customers with flexible term-based licenses of our software and services. With the discontinuation of the sale of most perpetual licenses, we have accelerated our transition away from selling a mix of perpetual licenses and maintenance plans toward a single subscription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97790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8</w:t>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2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provide technical support and training to customers through a multi-tiered support model, augmented by direct programs designed to address certain specific customer needs. Most of our customers receive support and training from the resellers and distributors from which they purchased subscriptions or licenses for our products or services, with Autodesk in turn providing second tier support to the resellers and distributors. Other customers are supported directly via self-service using the Autodesk Knowledge Network which guides customers to answers in our online support assets, support forums, webinars or to support representatives using a number of different modalities such as social media, phone, email and webchat. We also support our resellers and distributors through technical product training, sales training classes, webinars and other knowledge sharing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SUSTAINABILITY, AND PHILANTHROPIC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Education</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design and making among students of all ages. We offer free educational subscriptions of Autodesk's professional software to students, educators, and educational institutions worldwide. Through Autodesk Design Academy, we provide secondary and postsecondary schools hundreds of standards-aligned class projects to support design-based disciplines in Science, Technology, Engineering, Digital Arts, and Math (STEAM) using Autodesk's professional-grade design, engineering and entertainment software. Autodesk Design Academy curricula is also syndicated on iTunes U and Udemy, where millions of students go to learn online. Classes are available on our Instructables website for anyone looking to expand their "making" skills. Our intention is to make Autodesk software ubiquitous and the design software of choice for those poised to become the next generation of professional users.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Sustainability Programs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To help our customers imagine, design, and create a better world, our Sustainability initiatives focus our efforts on the area where we can have the greatest impact enabling sustainable practices through our products delivering free sustainable-design learning and training resources, providing software grants to qualifying nonprofits and entrepreneurs, and leading by example with our sustainable business practices. Through our products and services, we are supporting our customers to better understand and improve the environmental performance of everything they make.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Climate Change</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hand-in-hand with our reputation in the marketplace.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Management Actions</w:t>
      </w:r>
    </w:p>
    <w:p>
      <w:pPr>
        <w:spacing w:after="0" w:line="225" w:lineRule="exact"/>
        <w:rPr>
          <w:sz w:val="20"/>
          <w:szCs w:val="20"/>
          <w:color w:val="auto"/>
        </w:rPr>
      </w:pPr>
    </w:p>
    <w:p>
      <w:pPr>
        <w:jc w:val="both"/>
        <w:ind w:right="80" w:firstLine="405"/>
        <w:spacing w:after="0" w:line="302" w:lineRule="auto"/>
        <w:rPr>
          <w:sz w:val="20"/>
          <w:szCs w:val="20"/>
          <w:color w:val="auto"/>
        </w:rPr>
      </w:pPr>
      <w:r>
        <w:rPr>
          <w:rFonts w:ascii="Arial" w:cs="Arial" w:eastAsia="Arial" w:hAnsi="Arial"/>
          <w:sz w:val="16"/>
          <w:szCs w:val="16"/>
          <w:color w:val="auto"/>
        </w:rPr>
        <w:t>To drive continued progress and meet growing demand, we continue to expand the solutions, education, and support we offer, helping customers secure a competitive advantage for a low carbon future by designing high-performance buildings, resilient cities and infrastructure, and more efficient transportation and products. To continue to grow this market, we provide software and support to early stage entrepreneurs and start-up companies who are designing clean technologies. We plan to expand these offerings in the future based upon demand and opportunity in response to challenges posed by climate change.</w:t>
      </w:r>
    </w:p>
    <w:p>
      <w:pPr>
        <w:spacing w:after="0" w:line="15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Internally, we are investing in best practices to mitigate our greenhouse gas emissions and climate change risk through investments in renewable energy, energy efficiency, disaster management and recovery strategies, and materials innovation. We are on track to meet our science-based greenhouse gas reduction target of 43% absolute emissions by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Governance</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Ultimately, our co-CEOs, have the highest level of direct responsibility for addressing our climate-change related risks and opportunities. Autodesk has established an Environmental Core Team which reports indirectly to our co-CEOs. The Environmental Core Team has direct responsibility for setting and implementing the corporate sustainability strategy, including the climate change strategy.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Emissions Performance &amp; Other Key Performance Indicators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By end of fiscal 2016, Autodesk had reduced its greenhouse gas emissions for its operational boundary by 33% from our fiscal year 2009 baseline to 172,000 metric tons of carbon dioxide equivalent. This reduction was accomplished through increased investment in renewable energy and energy efficiency in our global real estate portfolio, and continued transition from physical software delivery to cloud and electronic software delivery. In fiscal 2017, we added emissions from our supply chain to our measurement boundary. More information about our sustainability commitment can be found in our annual sustainability reports, which we have published on our website since 2008. Our fiscal 2017 sustainability report will be published in the second quarter of fiscal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Philanthropy</w:t>
      </w:r>
    </w:p>
    <w:p>
      <w:pPr>
        <w:spacing w:after="0" w:line="22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and/or donations to nonprofit organizations; and to support organizations and individuals using design to drive positive social and environmental impact. In the latter case, we use grant funding, software donations, and training to accomplish this goal, selecting the most impactful and innovative organizations around the world, thus, leading to a better future for our planet.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29" w:lineRule="exact"/>
        <w:rPr>
          <w:sz w:val="20"/>
          <w:szCs w:val="20"/>
          <w:color w:val="auto"/>
        </w:rPr>
      </w:pPr>
    </w:p>
    <w:p>
      <w:pPr>
        <w:ind w:right="200" w:firstLine="432"/>
        <w:spacing w:after="0" w:line="290" w:lineRule="auto"/>
        <w:rPr>
          <w:sz w:val="20"/>
          <w:szCs w:val="20"/>
          <w:color w:val="auto"/>
        </w:rPr>
      </w:pPr>
      <w:r>
        <w:rPr>
          <w:rFonts w:ascii="Arial" w:cs="Arial" w:eastAsia="Arial" w:hAnsi="Arial"/>
          <w:sz w:val="16"/>
          <w:szCs w:val="16"/>
          <w:color w:val="auto"/>
        </w:rPr>
        <w:t>Our business and our customers benefit from our relationships with an extensive developer network. These developers create and sell their own interoperable products that further enhance the range of integrated solutions available to our customers. One of our key strategies is to maintain an open-architecture design of our software products to facilitate third-party development of complementary products and industry-specific software solutions. This approach enables customers and third-parties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created our web services platform, Autodesk Forge. The Forge Platform includes a number of web services that enable software developers to rapidly develop the next generation of applications, and experiences that will power the future of making things. Forge facilitates the development of a single connected ecosystem for integrating Autodesk applications with other enterprise, web and mobile solutions.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markets for our products are highly competitive, are subject to rapid change, and can have complex interdependencies between many of the larger businesses.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18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competitors include large, global, publicly traded companies; small, geographically focused firms; startup firms; and solutions produced in-house by their users. Our primary global competitors include Adobe Systems Incorporated, ANSYS, Inc., Apple Inc., AVEVA Group plc, Avid Technology, Inc., Bentley Systems, Inc., Dassault Systèmes S.A. and its subsidiary Dassault Systèmes SolidWorks Corp., Environmental Systems Research Institute, Inc. (ESRI), Intergraph Corporation, a wholly owned subsidiary of Hexagon AB, MSC Software Corporation, Nemetschek AG, PTC, 3D Systems, Siemens PLM, SONY Corporation, Technicolor, and Trimble Navigation Limited, among others.</w:t>
      </w:r>
    </w:p>
    <w:p>
      <w:pPr>
        <w:spacing w:after="0" w:line="17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software industry has limited barriers to entry, and the availability of computing power with continually expanding performance at progressively lower prices contributes to the ease of market entry. The industry is presently undergoing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7790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79" w:lineRule="exact"/>
        <w:rPr>
          <w:sz w:val="20"/>
          <w:szCs w:val="20"/>
          <w:color w:val="auto"/>
        </w:rPr>
      </w:pPr>
    </w:p>
    <w:p>
      <w:pPr>
        <w:jc w:val="both"/>
        <w:ind w:right="520" w:firstLine="432"/>
        <w:spacing w:after="0" w:line="312" w:lineRule="auto"/>
        <w:rPr>
          <w:sz w:val="20"/>
          <w:szCs w:val="20"/>
          <w:color w:val="auto"/>
        </w:rPr>
      </w:pPr>
      <w:r>
        <w:rPr>
          <w:rFonts w:ascii="Arial" w:cs="Arial" w:eastAsia="Arial" w:hAnsi="Arial"/>
          <w:sz w:val="16"/>
          <w:szCs w:val="16"/>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2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w:t>
      </w:r>
    </w:p>
    <w:p>
      <w:pPr>
        <w:spacing w:after="0" w:line="15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8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1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retain ownership of software we develop.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18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18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While we have recovered some revenue resulting from the unauthorized use of our software products, we are unable to measure the full extent to which piracy of our software products exists. We believe, however, that software piracy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pirated.</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2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production of our software products and services involves duplication or hosting of software media. As we progress through our business model transition, the way that we deliver software has evolved. For certain cloud-based products, we use a combination of infrastructure-as-a-service providers like Amazon Web Services as well as co-located hosting facilities. For other products, we offer customers an electronic software download option for both initial product fulfillment as well as product updates for maintenance subscribers. Customers who choose electronic fulfillment receive the latest version of the software from our vendor’s secure servers. Customers may also obtain our software through media such as DVDs and USB flash drives available from multiple sources. The purchase of media and the transfer of the software programs onto media for distribution to customers are performed by us and by licensed subcontractors. Packaging materials are produced to our specifications by outside sources. Production is performed in leased facilities operated by independent third-party contractors. To date, we have not experienced any material difficulties or delays in the production of our software and documentation.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As of January 31, 2017, we employed approximately 9,000 people. None of our employees in the United States are represented by a labor union. In certain foreign countries, our employees are represented by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which could negatively impact our business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Over the past three years, we acquired new technology or supplemented our technology by purchasing businesses or technology related assets focused in specific markets or industries. For the fiscal years ended January 31, 2017, 2016, and 2015, we acquired a number of companies and technology related assets, some of which were accounted for as business combinations. The following were significant acquisitions for fiscal years 2017, 2016, and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Date of closing</w:t>
            </w:r>
          </w:p>
        </w:tc>
        <w:tc>
          <w:tcPr>
            <w:tcW w:w="8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7720" w:type="dxa"/>
            <w:vAlign w:val="bottom"/>
            <w:gridSpan w:val="3"/>
          </w:tcPr>
          <w:p>
            <w:pPr>
              <w:ind w:left="3700"/>
              <w:spacing w:after="0"/>
              <w:rPr>
                <w:sz w:val="20"/>
                <w:szCs w:val="20"/>
                <w:color w:val="auto"/>
              </w:rPr>
            </w:pPr>
            <w:r>
              <w:rPr>
                <w:rFonts w:ascii="Arial" w:cs="Arial" w:eastAsia="Arial" w:hAnsi="Arial"/>
                <w:sz w:val="14"/>
                <w:szCs w:val="14"/>
                <w:b w:val="1"/>
                <w:bCs w:val="1"/>
                <w:color w:val="auto"/>
              </w:rPr>
              <w:t>Details</w:t>
            </w:r>
          </w:p>
        </w:tc>
      </w:tr>
      <w:tr>
        <w:trPr>
          <w:trHeight w:val="21"/>
        </w:trPr>
        <w:tc>
          <w:tcPr>
            <w:tcW w:w="4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November 2015</w:t>
            </w: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8"/>
              </w:rPr>
              <w:t>netfabb GmbH ("netfabb")</w:t>
            </w: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96"/>
              </w:rPr>
              <w:t>The acquisition of netfabb GmbH (“netfabb”) provided Autodesk with software solutions that reduced production</w:t>
            </w:r>
          </w:p>
        </w:tc>
      </w:tr>
      <w:tr>
        <w:trPr>
          <w:trHeight w:val="219"/>
        </w:trPr>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7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costs and increased efficiency in 3D printing and additive manufacturing.</w:t>
            </w:r>
          </w:p>
        </w:tc>
      </w:tr>
      <w:tr>
        <w:trPr>
          <w:trHeight w:val="220"/>
        </w:trPr>
        <w:tc>
          <w:tcPr>
            <w:tcW w:w="1580" w:type="dxa"/>
            <w:vAlign w:val="bottom"/>
            <w:gridSpan w:val="3"/>
          </w:tcPr>
          <w:p>
            <w:pPr>
              <w:ind w:left="40"/>
              <w:spacing w:after="0"/>
              <w:rPr>
                <w:sz w:val="20"/>
                <w:szCs w:val="20"/>
                <w:color w:val="auto"/>
              </w:rPr>
            </w:pPr>
            <w:r>
              <w:rPr>
                <w:rFonts w:ascii="Arial" w:cs="Arial" w:eastAsia="Arial" w:hAnsi="Arial"/>
                <w:sz w:val="16"/>
                <w:szCs w:val="16"/>
                <w:color w:val="auto"/>
              </w:rPr>
              <w:t>June 2014</w:t>
            </w:r>
          </w:p>
        </w:tc>
        <w:tc>
          <w:tcPr>
            <w:tcW w:w="2120" w:type="dxa"/>
            <w:vAlign w:val="bottom"/>
            <w:gridSpan w:val="3"/>
          </w:tcPr>
          <w:p>
            <w:pPr>
              <w:ind w:left="280"/>
              <w:spacing w:after="0"/>
              <w:rPr>
                <w:sz w:val="20"/>
                <w:szCs w:val="20"/>
                <w:color w:val="auto"/>
              </w:rPr>
            </w:pPr>
            <w:r>
              <w:rPr>
                <w:rFonts w:ascii="Arial" w:cs="Arial" w:eastAsia="Arial" w:hAnsi="Arial"/>
                <w:sz w:val="16"/>
                <w:szCs w:val="16"/>
                <w:color w:val="auto"/>
              </w:rPr>
              <w:t>Shotgun Software Inc.</w:t>
            </w: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w w:val="93"/>
              </w:rPr>
              <w:t>The acquisition of Shotgun provided a cloud-based production management solution that enabled digital studios to</w:t>
            </w:r>
          </w:p>
        </w:tc>
      </w:tr>
      <w:tr>
        <w:trPr>
          <w:trHeight w:val="206"/>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gridSpan w:val="3"/>
          </w:tcPr>
          <w:p>
            <w:pPr>
              <w:ind w:left="280"/>
              <w:spacing w:after="0"/>
              <w:rPr>
                <w:sz w:val="20"/>
                <w:szCs w:val="20"/>
                <w:color w:val="auto"/>
              </w:rPr>
            </w:pPr>
            <w:r>
              <w:rPr>
                <w:rFonts w:ascii="Arial" w:cs="Arial" w:eastAsia="Arial" w:hAnsi="Arial"/>
                <w:sz w:val="16"/>
                <w:szCs w:val="16"/>
                <w:color w:val="auto"/>
              </w:rPr>
              <w:t>("Shotgun")</w:t>
            </w: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track, schedule, review, and collaborate on projects and images.</w:t>
            </w:r>
          </w:p>
        </w:tc>
      </w:tr>
      <w:tr>
        <w:trPr>
          <w:trHeight w:val="33"/>
        </w:trPr>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20"/>
        </w:trPr>
        <w:tc>
          <w:tcPr>
            <w:tcW w:w="1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May 2014</w:t>
            </w:r>
          </w:p>
        </w:tc>
        <w:tc>
          <w:tcPr>
            <w:tcW w:w="21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Within Technologies</w:t>
            </w:r>
          </w:p>
        </w:tc>
        <w:tc>
          <w:tcPr>
            <w:tcW w:w="77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The acquisition of Within accelerated Autodesk’s development of tools and technologies for advanced</w:t>
            </w:r>
          </w:p>
        </w:tc>
      </w:tr>
      <w:tr>
        <w:trPr>
          <w:trHeight w:val="219"/>
        </w:trPr>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Limited ("Within”)</w:t>
            </w:r>
          </w:p>
        </w:tc>
        <w:tc>
          <w:tcPr>
            <w:tcW w:w="77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6"/>
                <w:szCs w:val="16"/>
                <w:color w:val="auto"/>
              </w:rPr>
              <w:t>manufacturing, including 3D printing.</w:t>
            </w:r>
          </w:p>
        </w:tc>
      </w:tr>
      <w:tr>
        <w:trPr>
          <w:trHeight w:val="220"/>
        </w:trPr>
        <w:tc>
          <w:tcPr>
            <w:tcW w:w="1580" w:type="dxa"/>
            <w:vAlign w:val="bottom"/>
            <w:gridSpan w:val="3"/>
          </w:tcPr>
          <w:p>
            <w:pPr>
              <w:ind w:left="40"/>
              <w:spacing w:after="0"/>
              <w:rPr>
                <w:sz w:val="20"/>
                <w:szCs w:val="20"/>
                <w:color w:val="auto"/>
              </w:rPr>
            </w:pPr>
            <w:r>
              <w:rPr>
                <w:rFonts w:ascii="Arial" w:cs="Arial" w:eastAsia="Arial" w:hAnsi="Arial"/>
                <w:sz w:val="16"/>
                <w:szCs w:val="16"/>
                <w:color w:val="auto"/>
              </w:rPr>
              <w:t>February 2014</w:t>
            </w:r>
          </w:p>
        </w:tc>
        <w:tc>
          <w:tcPr>
            <w:tcW w:w="2120" w:type="dxa"/>
            <w:vAlign w:val="bottom"/>
            <w:gridSpan w:val="3"/>
          </w:tcPr>
          <w:p>
            <w:pPr>
              <w:ind w:left="280"/>
              <w:spacing w:after="0"/>
              <w:rPr>
                <w:sz w:val="20"/>
                <w:szCs w:val="20"/>
                <w:color w:val="auto"/>
              </w:rPr>
            </w:pPr>
            <w:r>
              <w:rPr>
                <w:rFonts w:ascii="Arial" w:cs="Arial" w:eastAsia="Arial" w:hAnsi="Arial"/>
                <w:sz w:val="16"/>
                <w:szCs w:val="16"/>
                <w:color w:val="auto"/>
              </w:rPr>
              <w:t>Delcam plc (“Delcam”)</w:t>
            </w:r>
          </w:p>
        </w:tc>
        <w:tc>
          <w:tcPr>
            <w:tcW w:w="7720" w:type="dxa"/>
            <w:vAlign w:val="bottom"/>
            <w:gridSpan w:val="3"/>
          </w:tcPr>
          <w:p>
            <w:pPr>
              <w:ind w:left="160"/>
              <w:spacing w:after="0"/>
              <w:rPr>
                <w:sz w:val="20"/>
                <w:szCs w:val="20"/>
                <w:color w:val="auto"/>
              </w:rPr>
            </w:pPr>
            <w:r>
              <w:rPr>
                <w:rFonts w:ascii="Arial" w:cs="Arial" w:eastAsia="Arial" w:hAnsi="Arial"/>
                <w:sz w:val="16"/>
                <w:szCs w:val="16"/>
                <w:color w:val="auto"/>
                <w:w w:val="98"/>
              </w:rPr>
              <w:t>The acquisition of Delcam provided Autodesk a range of design, manufacturing and inspection software that</w:t>
            </w:r>
          </w:p>
        </w:tc>
      </w:tr>
      <w:tr>
        <w:trPr>
          <w:trHeight w:val="203"/>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w w:val="98"/>
              </w:rPr>
              <w:t>enabled automated CADCAM solutions for a variety of industries, ranging from aerospace to toys and sports</w:t>
            </w:r>
          </w:p>
        </w:tc>
      </w:tr>
      <w:tr>
        <w:trPr>
          <w:trHeight w:val="206"/>
        </w:trPr>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equipment.</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Backlog is defined as current software license product orders which have not yet shipped. As a result of the business model transition, there was no backlog at January 31, 2017 compared to $31.4 million at January 31, 2016, and we do not expect material backlog in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jc w:val="both"/>
        <w:ind w:right="460" w:firstLine="405"/>
        <w:spacing w:after="0" w:line="312" w:lineRule="auto"/>
        <w:rPr>
          <w:sz w:val="20"/>
          <w:szCs w:val="20"/>
          <w:color w:val="auto"/>
        </w:rPr>
      </w:pPr>
      <w:r>
        <w:rPr>
          <w:rFonts w:ascii="Arial" w:cs="Arial" w:eastAsia="Arial" w:hAnsi="Arial"/>
          <w:sz w:val="16"/>
          <w:szCs w:val="16"/>
          <w:i w:val="1"/>
          <w:iCs w:val="1"/>
          <w:color w:val="auto"/>
        </w:rPr>
        <w:t>Annualized Recurring Revenue (ARR)—</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ARR” captures ARR relating to traditional maintenance attached to perpetual licenses. "New Model ARR" captures ARR relating to new model subscription offerings. Recurring revenue acquired with the acquisition of a business may cause variability in the comparison of this calculation.</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ARR is currently on of our key performance metrics to assess the health and trajectory of our business. ARR should be viewed independently of revenue and deferred revenue as ARR is a performance metric and is not intended to be combined with any of these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97790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Annualized Revenue Per Subscription (ARPS)—</w:t>
      </w:r>
      <w:r>
        <w:rPr>
          <w:rFonts w:ascii="Arial" w:cs="Arial" w:eastAsia="Arial" w:hAnsi="Arial"/>
          <w:sz w:val="17"/>
          <w:szCs w:val="17"/>
          <w:color w:val="auto"/>
        </w:rPr>
        <w:t>Is calculated by dividing our annualized recurring revenue by the total number of subscriptions.</w:t>
      </w:r>
    </w:p>
    <w:p>
      <w:pPr>
        <w:spacing w:after="0" w:line="233"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i w:val="1"/>
          <w:iCs w:val="1"/>
          <w:color w:val="auto"/>
        </w:rPr>
        <w:t>Building Information Modeling (BIM)</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2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8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ind w:right="200" w:firstLine="405"/>
        <w:spacing w:after="0" w:line="282" w:lineRule="auto"/>
        <w:rPr>
          <w:sz w:val="20"/>
          <w:szCs w:val="20"/>
          <w:color w:val="auto"/>
        </w:rPr>
      </w:pPr>
      <w:r>
        <w:rPr>
          <w:rFonts w:ascii="Arial" w:cs="Arial" w:eastAsia="Arial" w:hAnsi="Arial"/>
          <w:sz w:val="18"/>
          <w:szCs w:val="18"/>
          <w:i w:val="1"/>
          <w:iCs w:val="1"/>
          <w:color w:val="auto"/>
        </w:rPr>
        <w:t>Flexible Enterprise Business Agreements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seats to a broad pool of Autodesk products over a defined contract term.</w:t>
      </w:r>
    </w:p>
    <w:p>
      <w:pPr>
        <w:spacing w:after="0" w:line="166"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i w:val="1"/>
          <w:iCs w:val="1"/>
          <w:color w:val="auto"/>
        </w:rPr>
        <w:t>Industry Collections</w:t>
      </w:r>
      <w:r>
        <w:rPr>
          <w:rFonts w:ascii="Arial" w:cs="Arial" w:eastAsia="Arial" w:hAnsi="Arial"/>
          <w:sz w:val="16"/>
          <w:szCs w:val="16"/>
          <w:color w:val="auto"/>
        </w:rPr>
        <w:t>—Autodesk industry collections are a combination of products and services that target a specific user objective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Industry Collections consist of: Autodesk Architecture, Engineering and Construction Collection, Autodesk Product Design Collection, and Autodesk Media and Entertainment Collection. Autodesk introduced industry collections effective August 1, 2016 to replace its suites.</w:t>
      </w:r>
    </w:p>
    <w:p>
      <w:pPr>
        <w:spacing w:after="0" w:line="143" w:lineRule="exact"/>
        <w:rPr>
          <w:sz w:val="20"/>
          <w:szCs w:val="20"/>
          <w:color w:val="auto"/>
        </w:rPr>
      </w:pPr>
    </w:p>
    <w:p>
      <w:pPr>
        <w:ind w:right="40" w:firstLine="405"/>
        <w:spacing w:after="0" w:line="303" w:lineRule="auto"/>
        <w:rPr>
          <w:sz w:val="20"/>
          <w:szCs w:val="20"/>
          <w:color w:val="auto"/>
        </w:rPr>
      </w:pPr>
      <w:r>
        <w:rPr>
          <w:rFonts w:ascii="Arial" w:cs="Arial" w:eastAsia="Arial" w:hAnsi="Arial"/>
          <w:sz w:val="16"/>
          <w:szCs w:val="16"/>
          <w:i w:val="1"/>
          <w:iCs w:val="1"/>
          <w:color w:val="auto"/>
        </w:rPr>
        <w:t>License and Other Revenue</w:t>
      </w:r>
      <w:r>
        <w:rPr>
          <w:rFonts w:ascii="Arial" w:cs="Arial" w:eastAsia="Arial" w:hAnsi="Arial"/>
          <w:sz w:val="16"/>
          <w:szCs w:val="16"/>
          <w:b w:val="1"/>
          <w:bCs w:val="1"/>
          <w:color w:val="auto"/>
        </w:rPr>
        <w:t>—</w:t>
      </w:r>
      <w:r>
        <w:rPr>
          <w:rFonts w:ascii="Arial" w:cs="Arial" w:eastAsia="Arial" w:hAnsi="Arial"/>
          <w:sz w:val="16"/>
          <w:szCs w:val="16"/>
          <w:color w:val="auto"/>
        </w:rPr>
        <w:t>License and other revenue consists of two components: (1) all forms of product license revenue and (2)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license revenue includes software license revenue from the sale of perpetual licenses, term-based licenses from our product subscriptions and flexible enterprise business agreements, and product revenue for Creative Finishing. Other revenue includes revenue from consulting, training, Autodesk Developers Network and Creative Finishing customer support, and is recognized over time, as the services are performed.</w:t>
      </w:r>
    </w:p>
    <w:p>
      <w:pPr>
        <w:spacing w:after="0" w:line="151"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i w:val="1"/>
          <w:iCs w:val="1"/>
          <w:color w:val="auto"/>
        </w:rPr>
        <w:t>Maintenance Plan</w:t>
      </w:r>
      <w:r>
        <w:rPr>
          <w:rFonts w:ascii="Arial" w:cs="Arial" w:eastAsia="Arial" w:hAnsi="Arial"/>
          <w:sz w:val="18"/>
          <w:szCs w:val="18"/>
          <w:b w:val="1"/>
          <w:bCs w:val="1"/>
          <w:color w:val="auto"/>
        </w:rPr>
        <w:t>—</w:t>
      </w:r>
      <w:r>
        <w:rPr>
          <w:rFonts w:ascii="Arial" w:cs="Arial" w:eastAsia="Arial" w:hAnsi="Arial"/>
          <w:sz w:val="18"/>
          <w:szCs w:val="18"/>
          <w:color w:val="auto"/>
        </w:rPr>
        <w:t>Our maintenance plan provides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 customers are eligible to receive unspecified upgrades when and if available, and online support. We recognize maintenance plan revenue over the term of the agreements, generally between one and three years.</w:t>
      </w:r>
    </w:p>
    <w:p>
      <w:pPr>
        <w:spacing w:after="0" w:line="180"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i w:val="1"/>
          <w:iCs w:val="1"/>
          <w:color w:val="auto"/>
        </w:rPr>
        <w:t>New Model Subscription Offerings (New Model)</w:t>
      </w:r>
      <w:r>
        <w:rPr>
          <w:rFonts w:ascii="Arial" w:cs="Arial" w:eastAsia="Arial" w:hAnsi="Arial"/>
          <w:sz w:val="18"/>
          <w:szCs w:val="18"/>
          <w:b w:val="1"/>
          <w:bCs w:val="1"/>
          <w:color w:val="auto"/>
        </w:rPr>
        <w:t>—</w:t>
      </w:r>
      <w:r>
        <w:rPr>
          <w:rFonts w:ascii="Arial" w:cs="Arial" w:eastAsia="Arial" w:hAnsi="Arial"/>
          <w:sz w:val="18"/>
          <w:szCs w:val="18"/>
          <w:color w:val="auto"/>
        </w:rPr>
        <w:t>Comprises our term-based product subscriptions (formerly titled Desktop subscription), cloud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and flexible enterprise business agreements.</w:t>
      </w:r>
    </w:p>
    <w:p>
      <w:pPr>
        <w:spacing w:after="0" w:line="162" w:lineRule="exact"/>
        <w:rPr>
          <w:sz w:val="20"/>
          <w:szCs w:val="20"/>
          <w:color w:val="auto"/>
        </w:rPr>
      </w:pPr>
    </w:p>
    <w:p>
      <w:pPr>
        <w:ind w:right="300" w:firstLine="405"/>
        <w:spacing w:after="0" w:line="258"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Represents the revenue for the period from our maintenance plans and revenue from our new model subscription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portions of revenue allocated to license and other revenue for those offerings. It excludes subscription revenue related to education offerings, consumer product offerings, select Creative Finishing product offerings, Autodesk Buzzsaw, Autodesk Constructware, and third party products. Recurring revenue acquired with the acquisition of a business is reported when total subscriptions are captured in our systems and may cause variability in the comparison of this calculation.</w:t>
      </w:r>
    </w:p>
    <w:p>
      <w:pPr>
        <w:spacing w:after="0" w:line="184"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i w:val="1"/>
          <w:iCs w:val="1"/>
          <w:color w:val="auto"/>
        </w:rPr>
        <w:t>Suites</w:t>
      </w:r>
      <w:r>
        <w:rPr>
          <w:rFonts w:ascii="Arial" w:cs="Arial" w:eastAsia="Arial" w:hAnsi="Arial"/>
          <w:sz w:val="18"/>
          <w:szCs w:val="18"/>
          <w:b w:val="1"/>
          <w:bCs w:val="1"/>
          <w:color w:val="auto"/>
        </w:rPr>
        <w:t>—</w:t>
      </w:r>
      <w:r>
        <w:rPr>
          <w:rFonts w:ascii="Arial" w:cs="Arial" w:eastAsia="Arial" w:hAnsi="Arial"/>
          <w:sz w:val="18"/>
          <w:szCs w:val="18"/>
          <w:color w:val="auto"/>
        </w:rPr>
        <w:t>Autodesk suites are a combination of products that target a specific user objective (product design, building design, etc.) and support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for that objective. Our primary suites include: Autodesk Building Design Suite, Autodesk Entertainment Creation Suite, Autodesk Factory Design Suite, Autodesk Infrastructure Design Suite, Autodesk Plant Design Suite, and Autodesk Product Design Suite. Autodesk discontinued selling new perpetual licenses of suites while introducing industry collections effective August 1, 2016.</w:t>
      </w:r>
    </w:p>
    <w:p>
      <w:pPr>
        <w:spacing w:after="0" w:line="180" w:lineRule="exact"/>
        <w:rPr>
          <w:sz w:val="20"/>
          <w:szCs w:val="20"/>
          <w:color w:val="auto"/>
        </w:rPr>
      </w:pPr>
    </w:p>
    <w:p>
      <w:pPr>
        <w:ind w:right="280" w:firstLine="405"/>
        <w:spacing w:after="0" w:line="266" w:lineRule="auto"/>
        <w:rPr>
          <w:sz w:val="20"/>
          <w:szCs w:val="20"/>
          <w:color w:val="auto"/>
        </w:rPr>
      </w:pPr>
      <w:r>
        <w:rPr>
          <w:rFonts w:ascii="Arial" w:cs="Arial" w:eastAsia="Arial" w:hAnsi="Arial"/>
          <w:sz w:val="18"/>
          <w:szCs w:val="18"/>
          <w:i w:val="1"/>
          <w:iCs w:val="1"/>
          <w:color w:val="auto"/>
        </w:rPr>
        <w:t>Subscription Revenue</w:t>
      </w:r>
      <w:r>
        <w:rPr>
          <w:rFonts w:ascii="Arial" w:cs="Arial" w:eastAsia="Arial" w:hAnsi="Arial"/>
          <w:sz w:val="18"/>
          <w:szCs w:val="18"/>
          <w:b w:val="1"/>
          <w:bCs w:val="1"/>
          <w:color w:val="auto"/>
        </w:rPr>
        <w:t>—</w:t>
      </w:r>
      <w:r>
        <w:rPr>
          <w:rFonts w:ascii="Arial" w:cs="Arial" w:eastAsia="Arial" w:hAnsi="Arial"/>
          <w:sz w:val="18"/>
          <w:szCs w:val="18"/>
          <w:color w:val="auto"/>
        </w:rPr>
        <w:t>Autodesk subscription revenue consists of three components: (1) maintenance plan revenue from our perpetual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(2) maintenance revenue from our term-based product subscriptions and flexible enterprise business agreements; and (3) revenue from our cloud service offerings.</w:t>
      </w:r>
    </w:p>
    <w:p>
      <w:pPr>
        <w:spacing w:after="0" w:line="180"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i w:val="1"/>
          <w:iCs w:val="1"/>
          <w:color w:val="auto"/>
        </w:rPr>
        <w:t>Total Subscriptions</w:t>
      </w:r>
      <w:r>
        <w:rPr>
          <w:rFonts w:ascii="Arial" w:cs="Arial" w:eastAsia="Arial" w:hAnsi="Arial"/>
          <w:sz w:val="18"/>
          <w:szCs w:val="18"/>
          <w:color w:val="auto"/>
        </w:rPr>
        <w:t>—Consists of subscriptions from our maintenance plans and new model subscription offerings that are active and paid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 date. For certain cloud service offerings and flexible enterprise business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1A.</w:t>
      </w:r>
      <w:r>
        <w:rPr>
          <w:sz w:val="20"/>
          <w:szCs w:val="20"/>
          <w:color w:val="auto"/>
        </w:rPr>
        <w:tab/>
      </w:r>
      <w:r>
        <w:rPr>
          <w:rFonts w:ascii="Arial" w:cs="Arial" w:eastAsia="Arial" w:hAnsi="Arial"/>
          <w:sz w:val="17"/>
          <w:szCs w:val="17"/>
          <w:b w:val="1"/>
          <w:bCs w:val="1"/>
          <w:color w:val="0696D7"/>
        </w:rPr>
        <w:t>RISK FACTORS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right="120" w:firstLine="392"/>
        <w:spacing w:after="0" w:line="293"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were characterized by mixed global economic conditions, volatile credit markets, volatile exchange rates, relatively high unemployment, increased government deficit spending and debt levels, uncertainty about certain governments' abilities to repay such debt or to address certain fiscal issues, and volatility in many financial instrument markets. If economic growth in countries where we do business slows, such as in Japan or in emerging economies,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65" w:lineRule="exact"/>
        <w:rPr>
          <w:sz w:val="20"/>
          <w:szCs w:val="20"/>
          <w:color w:val="auto"/>
        </w:rPr>
      </w:pPr>
    </w:p>
    <w:p>
      <w:pPr>
        <w:ind w:right="220" w:firstLine="392"/>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392"/>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4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In addition, in June 2016, voters in the United Kingdom approved an advisory referendum to withdraw from the European Union (commonly referred to as “Brexit”). The Brexit vote and the perceptions as to the impact of the withdrawal of the United Kingdom from the European Union may adversely affect business activity, political stability and economic conditions in the United Kingdom, the European Union and elsewhere.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97790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It is uncertain at this time how the new U.S. President, Administration and Congress will affect our business, including potentially through increased import tariffs and other influences on U.S. trade relations with other countries, such as Mexico and China. The imposition of tariffs or other trade barriers could increase our costs and reduce the competitiveness of our offerings in certain markets. In addition, other countries may change their own policies on business and foreign investment in companies in their respective countries.</w:t>
      </w:r>
    </w:p>
    <w:p>
      <w:pPr>
        <w:spacing w:after="0" w:line="18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Geopolitical trends toward nationalism and protectionism and the weakening or dissolution of international trade pacts may increase the cost of, or otherwise interfere with, conducting business. Uncertainty about current and future economic and political conditions on us, our customers and partners, makes it difficult for us to forecast operating results and to make decisions about future investments.</w:t>
      </w:r>
    </w:p>
    <w:p>
      <w:pPr>
        <w:spacing w:after="0" w:line="181" w:lineRule="exact"/>
        <w:rPr>
          <w:sz w:val="20"/>
          <w:szCs w:val="20"/>
          <w:color w:val="auto"/>
        </w:rPr>
      </w:pPr>
    </w:p>
    <w:p>
      <w:pPr>
        <w:ind w:right="320" w:firstLine="392"/>
        <w:spacing w:after="0" w:line="277" w:lineRule="auto"/>
        <w:rPr>
          <w:sz w:val="20"/>
          <w:szCs w:val="20"/>
          <w:color w:val="auto"/>
        </w:rPr>
      </w:pPr>
      <w:r>
        <w:rPr>
          <w:rFonts w:ascii="Arial" w:cs="Arial" w:eastAsia="Arial" w:hAnsi="Arial"/>
          <w:sz w:val="18"/>
          <w:szCs w:val="18"/>
          <w:color w:val="auto"/>
        </w:rPr>
        <w:t>Further macro-economic degradation, a slower economic recovery in industries important to our business or adverse exchange rate movements, may adversely affect our business, financial results and financial condition.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right="160" w:firstLine="378"/>
        <w:spacing w:after="0" w:line="290" w:lineRule="auto"/>
        <w:rPr>
          <w:sz w:val="20"/>
          <w:szCs w:val="20"/>
          <w:color w:val="auto"/>
        </w:rPr>
      </w:pPr>
      <w:r>
        <w:rPr>
          <w:rFonts w:ascii="Arial" w:cs="Arial" w:eastAsia="Arial" w:hAnsi="Arial"/>
          <w:sz w:val="16"/>
          <w:szCs w:val="16"/>
          <w:color w:val="auto"/>
        </w:rPr>
        <w:t>To address the industry transition from personal computer to cloud, mobile, and social computing, we have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billings, gross margin, operating margin, net income (loss), earnings (loss) per share, deferred revenue, and cash flow from operations will be impacted as more revenue is recognized ratably rather than upfront and as new offerings bring a wider variety of price points.</w:t>
      </w:r>
    </w:p>
    <w:p>
      <w:pPr>
        <w:spacing w:after="0" w:line="166"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risks and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142240</wp:posOffset>
            </wp:positionV>
            <wp:extent cx="97790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2017 Form 10-K 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hardware products or the manner in which we provide such products, or if we are not able to adapt our business model to meet our customers' requirements, our business, financial condition or results of operations may be adversely impacted.</w:t>
      </w:r>
    </w:p>
    <w:p>
      <w:pPr>
        <w:spacing w:after="0" w:line="170"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other offerings and cloud-based services. We want customers using individual Autodesk products to expand their portfolio with our other offerings and cloud-based services, and we are taking steps to accelerate this migration. At times, sales of licenses of our AutoCAD and AutoCAD LT or individual Autodesk flagship products have decreased without a corresponding increase in industry collections or cloud-based services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desktop subscription (formerly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9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entry into 3D printing presents many of the risks described above concerning developing and introducing new products as well as new risks for us. The manufacturing and 3D printing markets are highly competitive and some of our competitors have experience and resources superior to ours. We have limited experience designing, developing, and selling hardware products and no experience developing and selling printers. The market for 3D printing is nascent and may not develop as rapidly as we expect. Our sale of 3D printers could subject us to product and other liability that we do not currently face. If any of these risks materialize, it could adversely affect our business and financial performance as well as our reputation and brand.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The discontinuance of our perpetual licenses for most individual software products on February 1, 2016 and for perpetual suites on August 1, 2016 has and will continue to result in the loss of future upfront licensing revenue. This also has frozen the growth of our maintenance subscription revenue because there will be no further opportunities to attach maintenance licensing. We expect our maintenance subscription revenue to decline over time, but it may decline more quickly than anticipated due to low maintenance renewals. At the same time, our new model subscription revenue may not grow as rapidly as anticipated. Our new model subscription pricing allows customers to use our offerings at a lower initial cost when compared to the sale of a perpetual license. Although our new model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6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97790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16</w:t>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are dependent on our international operations for a significant portion of our revenue. International net revenue represented 63% and 68% of our net revenue in fiscal 2017 and 2016,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w:t>
      </w:r>
    </w:p>
    <w:p>
      <w:pPr>
        <w:spacing w:after="0" w:line="167"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420" w:right="2940" w:hanging="88"/>
        <w:spacing w:after="0" w:line="563" w:lineRule="auto"/>
        <w:tabs>
          <w:tab w:leader="none" w:pos="66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factors beyond our control, including popular uprisings, terrorism, war, natural disasters, and diseases. Some of our business partners also have international operations and are subject to the risks described above.</w:t>
      </w:r>
    </w:p>
    <w:p>
      <w:pPr>
        <w:spacing w:after="0" w:line="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Brexit vote has exacerbated and may further exacerbate many of the risks and uncertainties described above. The proposed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9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Actions that we are taking to restructure our business in alignment with our business model transition strategy may be costly and may not be as effective as anticipated.</w:t>
      </w:r>
    </w:p>
    <w:p>
      <w:pPr>
        <w:spacing w:after="0" w:line="170"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During the first quarter of fiscal 2017, we commenced a company-wide restructuring plan to accelerate the Company’s move to the cloud and its transition to a subscription-based business model. Through the restructuring, we sought to reduce expenses, streamline the organization, and reallocate resources to align more closely with the Company’s needs going forward. As a result of these actions, we have incurred and may incur additional costs in the short term that have the effect of reducing our operating margins. If we are unable to realize the expected outcomes from the restructuring efforts, our business and operating results may be harmed.</w:t>
      </w:r>
    </w:p>
    <w:p>
      <w:pPr>
        <w:spacing w:after="0" w:line="18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2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For example, the June 23, 2016 announcement of Brexit caused significant volatility in global stock markets and 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97790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18</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fluctuations that resulted in the strengthening of the U.S. dollar against foreign currencies in which we conduct business. Our exposure to adverse movements in foreign currency exchange rates could have a material adverse impact on our financial results and cash flows.</w:t>
      </w:r>
    </w:p>
    <w:p>
      <w:pPr>
        <w:spacing w:after="0" w:line="17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For example, cyber attacks could make our customers hesitant to adopt our cloud-based hosted subscription services, which could negatively impact our business model transition. If any of the foregoing were to occur, our reputation may suffer, customers may stop buying our products or services, we could face lawsuits and potential liability, and our financial performance could be negatively impacted.</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Changes in laws or regulations related to the Internet, local data storage or related to privacy and data security concerns may impact our business or expose us to increased liability.</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 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Other countries, including Canada and several Latin American and Asian countries, have constitutional protections for, or have adopted legislation protecting, individuals' personal information. Additionally, some federal, state, or foreign governmental bodies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133350</wp:posOffset>
            </wp:positionV>
            <wp:extent cx="97790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established laws that seek to censor the transmission of certain types of content over the Internet or require that individuals be provided with the ability to permanently delete all electronic personal information, such as the German Multimedia Law of 1997 and the California “Eraser law” for minors. Additionally, some foreign governmental bodies (such as Russia and China) have established laws or have proposed laws that seek to require local data storage.</w:t>
      </w:r>
    </w:p>
    <w:p>
      <w:pPr>
        <w:spacing w:after="0" w:line="147"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In addition, new laws and industry self-regulatory codes have been enacted and more are being considered that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w:t>
      </w:r>
    </w:p>
    <w:p>
      <w:pPr>
        <w:spacing w:after="0" w:line="147"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us to implement additional technological safeguards.</w:t>
      </w:r>
    </w:p>
    <w:p>
      <w:pPr>
        <w:spacing w:after="0" w:line="193" w:lineRule="exact"/>
        <w:rPr>
          <w:sz w:val="20"/>
          <w:szCs w:val="20"/>
          <w:color w:val="auto"/>
        </w:rPr>
      </w:pPr>
    </w:p>
    <w:p>
      <w:pPr>
        <w:ind w:right="220" w:firstLine="392"/>
        <w:spacing w:after="0" w:line="297" w:lineRule="auto"/>
        <w:rPr>
          <w:sz w:val="20"/>
          <w:szCs w:val="20"/>
          <w:color w:val="auto"/>
        </w:rPr>
      </w:pPr>
      <w:r>
        <w:rPr>
          <w:rFonts w:ascii="Arial" w:cs="Arial" w:eastAsia="Arial" w:hAnsi="Arial"/>
          <w:sz w:val="16"/>
          <w:szCs w:val="16"/>
          <w:color w:val="auto"/>
        </w:rPr>
        <w:t>In addition, in October 2015 the European Court of Justice issued a ruling immediately invalidating the U.S.-EU Safe Harbor Framework, which facilitated personal data transfers to the U.S. in compliance with applicable EU data protection laws. In February 2016, the European Commission and the United States agreed on a new framework for transatlantic data flows: the EU-U.S. Privacy Shield. We rely on other legal mechanisms for data transfer and continue to comply with the previous U.S.-EU Safe Harbor Framework and U.S.-Swiss Safe Harbor Framework as set forth by the U.S. Department of Commerce regarding the collection, use, and retention of personal information from European Union member countries and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could impact our new business models and expose us to increased liability.</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Governments, privacy advocates and class action attorneys are increasingly scrutinizing how companies collect, process, use, store, share or transmit personal data. Any perception of our practices or products as an invasion of privacy, whether or not consistent with current regulations and industry practices, may subject us to public criticism, class action lawsuits, reputational harm or claims by regulators, industry groups or other third parties, all of which could disrupt our business and expose us to increased liability.</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and processing of data; any interruption or delay in service from these third parties, breaches of security or privacy could expose us to liability, harm our reputation and adversely impact our financial performance.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increasingly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97790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fiscal 2017 and fiscal 2016, approximately 72% and 79%,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30% and 25% of our total net revenue for fiscal 2017 and 2016,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8"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if decreases in maintenance revenue are not offset by increases in new model subscription revenue, our future revenue and financial results will be negatively impacted.</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maintenance customers have no obligation to renew their maintenance contracts after the expiration of their maintenance period, which is typically one year. The discontinuance of our perpetual licenses for most individual software products on February 1, 2016 and for perpetual suites on August 1, 2016 resulted in the loss of future maintenance attach opportunities. We expect customer renewal rates will decline or fluctuate over time as a result of a number of factors, including the overall global economy, the health of their businesses, the perceived value of the maintenance program and planned maintenance pricing increases. If our non-renewing maintenance customers do not transition to our new business model subscriptions, our future revenue and financial results will be negatively impacted.</w:t>
      </w:r>
    </w:p>
    <w:p>
      <w:pPr>
        <w:spacing w:after="0" w:line="193"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4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upgrades and perpetual licenses;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97790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22</w:t>
      </w:r>
    </w:p>
    <w:p>
      <w:pPr>
        <w:sectPr>
          <w:pgSz w:w="11900" w:h="16838" w:orient="portrait"/>
          <w:cols w:equalWidth="0" w:num="1">
            <w:col w:w="11280"/>
          </w:cols>
          <w:pgMar w:left="240" w:top="125" w:right="3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sz w:val="20"/>
          <w:szCs w:val="20"/>
          <w:color w:val="auto"/>
        </w:rPr>
      </w:pPr>
    </w:p>
    <w:p>
      <w:pPr>
        <w:ind w:right="32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100" w:firstLine="392"/>
        <w:spacing w:after="0" w:line="255"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For example, we face risks relating to our fiscal 2017 integration of our Delcam subsidiaries, which previously operated autonomously.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collections, if these products are not successful, our revenue will be adversely affected.</w:t>
      </w:r>
    </w:p>
    <w:p>
      <w:pPr>
        <w:spacing w:after="0" w:line="17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products based on AutoCAD, which include our collections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fiscal 2017 and 2016, combined revenue from our AutoCAD and AutoCAD LT products, not including collections (formerly suites) having AutoCAD or AutoCAD LT as a component, represented 16% and 24% of our total net revenue,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97790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If we fail to remediate the material weakness identified in our internal control over financial reporting under Section 404 of the Sarbanes-Oxley Act of 2002 or are unable to implement and maintain effective internal control over financial reporting in the future, the accuracy and timeliness of our financial and operating reporting may be adversely affected and could result in a loss of investor confidence in our financial reports and have an adverse effect on our stock price.</w:t>
      </w:r>
    </w:p>
    <w:p>
      <w:pPr>
        <w:spacing w:after="0" w:line="18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connection with the preparation of our Consolidated Financial Statements for the fiscal year ended January 31, 2017, our management concluded that it has a material weakness in our internal control over financial reporting related to the operating effectiveness of our controls over the calculation of income tax expense.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14"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Management first identified a material weakness in internal control over financial reporting in connection with the preparation of our Condensed Consolidated financial statements for the fiscal quarter ended October 31, 2015. Since that time, management’s remediation activities have included the following:</w:t>
      </w:r>
    </w:p>
    <w:p>
      <w:pPr>
        <w:spacing w:after="0" w:line="18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enhanced our technical accounting review for complex income tax considerations;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enhanced the design of our income tax controls to include specific activities to ensure proper classification of deferred taxes and calculation of income tax expense;</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supplemented our accounting and tax professionals with the engagement of an internationally recognized accounting firm to assist us in the technical review regarding the application of tax rules around deferred tax assets and liabilities;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reorganized the structure of our tax function to enhance the level of documentation, technical oversight, and review.</w:t>
      </w:r>
    </w:p>
    <w:p>
      <w:pPr>
        <w:spacing w:after="0" w:line="225"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Management has enhanced its controls to include refinements and improvements to controls over the accounting for income taxes. While significant progress has been made as of January 31, 2017, management does not believe these controls are operating effectively. As a result, management does not believe that the material weakness has been remediated and will continue to enhance its controls over the accounting for income tax expense.</w:t>
      </w:r>
    </w:p>
    <w:p>
      <w:pPr>
        <w:spacing w:after="0" w:line="14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There can be no assurance that our remedial measures will be sufficient to address the material weakness or that our internal control over financial reporting will not be subject to additional material weaknesses in the future. If the remedial measures that we take are insufficient to address our material weakness or if additional material weaknesses or significant deficiencies in our internal control are discovered or occur in the future, our Consolidated Financial Statements may contain material misstatements, and we could be required to restate our financial results. Additionally, we may encounter problems or delays in implementing any changes necessary for management to make a favorable assessment of our internal control over financial reporting. If we cannot favorably assess the effectiveness of our internal control over financial reporting, investors could lose confidence in our financial reports and the price of our common stock could decline.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313690</wp:posOffset>
            </wp:positionV>
            <wp:extent cx="97790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7" w:lineRule="exact"/>
        <w:rPr>
          <w:sz w:val="20"/>
          <w:szCs w:val="20"/>
          <w:color w:val="auto"/>
        </w:rPr>
      </w:pPr>
    </w:p>
    <w:p>
      <w:pPr>
        <w:ind w:left="660" w:right="2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annualized recurring revenue, earnings, subscriptions, or other key performance metrics;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CEO transition may cause uncertainty regarding the future of our business and impact employee hiring and retention.</w:t>
      </w:r>
    </w:p>
    <w:p>
      <w:pPr>
        <w:spacing w:after="0" w:line="225"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Carl Bass resigned as our President and CEO effective February 8, 2017 after having held such positions for over ten years. In connection with Mr. Bass’ resignation, the Board has instituted a CEO search to consider candidates inside and outside Autodesk and has formed an Interim Office of the Chief Executive to oversee the company’s day-to-day operations. The CEO transition, and any related speculation and uncertainty regarding our future business strategy and direction in connection with the search and the appointment of a permanent CEO, may cause or result in:</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of our business and to our relationships with our customers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distraction of our employees and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recruiting, hiring, motivating and retaining talented and skilled personnel, including a permanent CEO;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stock price volatility.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97790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60"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the FASB and IASB may result in different accounting principles under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146050</wp:posOffset>
            </wp:positionV>
            <wp:extent cx="97790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that may result in materially different financial results for us in areas including, but not limited to principles for recognizing revenue and lease accounting.</w:t>
      </w:r>
    </w:p>
    <w:p>
      <w:pPr>
        <w:spacing w:after="0" w:line="24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Furthermore, in May 2014, the FASB issued ASU No. 2014-09, Revenue from Contracts with Customers, which supersedes nearly all existing revenue recognition guidance under U.S. GAAP. This standard establishes a principle for recognizing revenue upon the transfer of promised goods or services to customers, in an amount that reflects the expected consideration received in exchange for those goods or services. The standard also provides guidance on the recognition of costs related to obtaining and fulfilling customer contracts. In August 2015, the FASB subsequently issued ASU 2015-14, which deferred the effectiveness of ASU 2014-09, so that it will now be effective for annual reporting periods beginning after December 15, 2017, including interim periods within that reporting period. The revised effective date for the Company under the new standard will be the beginning of fiscal 2019. We are assessing the impact on our consolidated financial statements, defining our operational requirements, and implementing changes to our policies, procedures and systems. This new standard is both technical and complex, and we expect to incur significant ongoing costs to implement and maintain compliance with this new standard. In addition, there may be greater uncertainty with respect to projecting revenue results from future operations as we work through the new revenue recognition standard.</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It is not clear whether we have the proper systems and controls in place to accommodate such changes and the impact that any such changes may have on our consolidated financial position, results of operations and cash flows. Adoption of ASU No. 2014-09 along with any other changes in accounting principles or interpretations could have a significant effect on our reported financial results and could affect the reporting of transactions completed before the announcement of a change. Any difficulties in the implementation of new or changed accounting standards including ASU No. 2014-09 could cause us to fail to meet our financial reporting obligations. If our estimates relating to our critical accounting policies are based on assumptions or judgments that change or prove to be incorrect, our operating results could fall below expectations of securities analysts and investors, resulting in a decline in our stock price. In addition, as we evolve and change our business and sales models, we are currently unable to determine how these potential changes may impact our new models, particularly in the area of revenue recognition.</w:t>
      </w:r>
    </w:p>
    <w:p>
      <w:pPr>
        <w:spacing w:after="0" w:line="179"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We are investing in resources to update and improve our information technology systems. Should our investments not succeed, or if delays or other issues with new or existing internal technology systems disrupt our operations, our business model transition could be compromised and our business could be harmed.</w:t>
      </w:r>
    </w:p>
    <w:p>
      <w:pPr>
        <w:spacing w:after="0" w:line="124"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and environments in order to meet the growing and evolving requirements of our business and customers. In particular, our transition to cloud-based products and a subscription only business model requires considerable investment in the development of technologies, and back office systems for technical, financial, compliance and sales resources to enable a scalable organization.</w:t>
      </w:r>
    </w:p>
    <w:p>
      <w:pPr>
        <w:spacing w:after="0" w:line="188"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 and could compromise our business model transition.</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97790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Increasingly, governmental tax authorities are scrutinizing corporate tax strategies.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276225</wp:posOffset>
            </wp:positionV>
            <wp:extent cx="97790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20" w:firstLine="392"/>
        <w:spacing w:after="0" w:line="287"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we determined that it was more likely than not that the Company would not realize our U.S. deferred tax assets and established a valuation allowance against our U.S. deferred tax assets. We continued to have a full valuation allowance against our U.S. deferred tax assets in 2017 and increased the amount of the valuation allowance to include deferred tax assets generated in 2017, including deferred tax assets that were established as a result of the adoption of ASU 2016-9 in the second quarter of fiscal 2017.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$1.5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right="80" w:firstLine="392"/>
        <w:spacing w:after="0" w:line="276" w:lineRule="auto"/>
        <w:rPr>
          <w:sz w:val="20"/>
          <w:szCs w:val="20"/>
          <w:color w:val="auto"/>
        </w:rPr>
      </w:pPr>
      <w:r>
        <w:rPr>
          <w:rFonts w:ascii="Arial" w:cs="Arial" w:eastAsia="Arial" w:hAnsi="Arial"/>
          <w:sz w:val="17"/>
          <w:szCs w:val="17"/>
          <w:color w:val="auto"/>
        </w:rPr>
        <w:t>In June 2015, we issued 3.125% notes due June 15, 2020 in an aggregate principal amount of $450.0 million and 4.375% notes due June 15, 2025 in an aggregate principal amount of $300.0 million. In December 2012, we issued 1.95% notes due December 15, 2017 in an aggregate principal amount of $400.0 million and 3.6% notes due December 15, 2022 in an aggregate principal amount of $350.0 million. As the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3" w:lineRule="exact"/>
        <w:rPr>
          <w:sz w:val="20"/>
          <w:szCs w:val="20"/>
          <w:color w:val="auto"/>
        </w:rPr>
      </w:pPr>
    </w:p>
    <w:p>
      <w:pPr>
        <w:ind w:right="28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January 31, 2017,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leverage ratio, and an interest coverage ratio. We are required to comply with the covenants set forth in our unsecured notes and revolving credit facility. Our ability to comply with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97790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covenants may be affected by events beyond our control. If we breach any of the covenants and do not obtain a waiver from the note holders or lenders, then, subject to applicable cure periods, any outstanding indebtedness may be declared immediately due and payable. As a result of the business model transition, the leverage ratio requirement of the credit agreement was waived during the fourth quarter of fiscal 2017. Autodesk is discussing amendments to the financial covenants in the credit agreement with the lenders and expects to conclude this process during the first quarter of fiscal 2018. If we are unable to obtain an agreement on modified covenants that the Company can meet during our business model transition, we may cancel this credit agreement, which would decrease our liquidity by $400 million.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1B.</w:t>
      </w:r>
      <w:r>
        <w:rPr>
          <w:sz w:val="20"/>
          <w:szCs w:val="20"/>
          <w:color w:val="auto"/>
        </w:rPr>
        <w:tab/>
      </w:r>
      <w:r>
        <w:rPr>
          <w:rFonts w:ascii="Arial" w:cs="Arial" w:eastAsia="Arial" w:hAnsi="Arial"/>
          <w:sz w:val="17"/>
          <w:szCs w:val="17"/>
          <w:b w:val="1"/>
          <w:bCs w:val="1"/>
          <w:color w:val="0696D7"/>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2.</w:t>
      </w:r>
      <w:r>
        <w:rPr>
          <w:sz w:val="20"/>
          <w:szCs w:val="20"/>
          <w:color w:val="auto"/>
        </w:rPr>
        <w:tab/>
      </w:r>
      <w:r>
        <w:rPr>
          <w:rFonts w:ascii="Arial" w:cs="Arial" w:eastAsia="Arial" w:hAnsi="Arial"/>
          <w:sz w:val="17"/>
          <w:szCs w:val="17"/>
          <w:b w:val="1"/>
          <w:bCs w:val="1"/>
          <w:color w:val="0696D7"/>
        </w:rPr>
        <w:t>PROPERTIES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lease 1,978,960 square feet of office space in 133 locations in the United States and internationally through our foreign subsidiaries. In addition, we own 101,225 square feet of office space in four locations internationally through our foreign subsidiaries. Our executive offices and corporate headquarters are located in leased office space in San Rafael, California. Our San Rafael facilities consist of 220,000 square feet under leases that have expiration dates ranging from December 2017 to December 2019. We and our foreign subsidiaries lease additional space in various locations throughout the world for local sales, product development, and technical support personnel.</w:t>
      </w:r>
    </w:p>
    <w:p>
      <w:pPr>
        <w:spacing w:after="0" w:line="18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All facilities are in good condition. Our facilities are operating at capacities averaging 82% occupancy worldwide as of January 31, 2017. We believe that our existing facilities and offices are adequate to meet our requirements for the foreseeable future. See Note 8, “Commitments and Contingencies,” in the Notes to Consolidated Financial Statements for more information about our lease commitments.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3.</w:t>
      </w:r>
      <w:r>
        <w:rPr>
          <w:sz w:val="20"/>
          <w:szCs w:val="20"/>
          <w:color w:val="auto"/>
        </w:rPr>
        <w:tab/>
      </w:r>
      <w:r>
        <w:rPr>
          <w:rFonts w:ascii="Arial" w:cs="Arial" w:eastAsia="Arial" w:hAnsi="Arial"/>
          <w:sz w:val="18"/>
          <w:szCs w:val="18"/>
          <w:b w:val="1"/>
          <w:bCs w:val="1"/>
          <w:color w:val="0696D7"/>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4.</w:t>
      </w:r>
      <w:r>
        <w:rPr>
          <w:sz w:val="20"/>
          <w:szCs w:val="20"/>
          <w:color w:val="auto"/>
        </w:rPr>
        <w:tab/>
      </w:r>
      <w:r>
        <w:rPr>
          <w:rFonts w:ascii="Arial" w:cs="Arial" w:eastAsia="Arial" w:hAnsi="Arial"/>
          <w:sz w:val="17"/>
          <w:szCs w:val="17"/>
          <w:b w:val="1"/>
          <w:bCs w:val="1"/>
          <w:color w:val="0696D7"/>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5.</w:t>
      </w:r>
      <w:r>
        <w:rPr>
          <w:sz w:val="20"/>
          <w:szCs w:val="20"/>
          <w:color w:val="auto"/>
        </w:rPr>
        <w:tab/>
      </w:r>
      <w:r>
        <w:rPr>
          <w:rFonts w:ascii="Arial" w:cs="Arial" w:eastAsia="Arial" w:hAnsi="Arial"/>
          <w:sz w:val="18"/>
          <w:szCs w:val="18"/>
          <w:b w:val="1"/>
          <w:bCs w:val="1"/>
          <w:color w:val="0696D7"/>
        </w:rPr>
        <w:t>MARKET FOR REGISTRANT’S COMMON EQUITY, RELATED STOCKHOLDER MATTERS AND ISSUER PURCHASES OF EQUITY SECURITIES</w:t>
      </w:r>
    </w:p>
    <w:p>
      <w:pPr>
        <w:spacing w:after="0" w:line="16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ADSK. The following table lists the intraday high and low sales prices for each quarter in the last two fiscal years.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Low</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2017</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83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62.42</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41.60</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61.42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49.82</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73.40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56.80</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83.96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67.15</w:t>
            </w:r>
          </w:p>
        </w:tc>
      </w:tr>
      <w:tr>
        <w:trPr>
          <w:trHeight w:val="224"/>
        </w:trPr>
        <w:tc>
          <w:tcPr>
            <w:tcW w:w="8320" w:type="dxa"/>
            <w:vAlign w:val="bottom"/>
          </w:tcPr>
          <w:p>
            <w:pPr>
              <w:ind w:left="20"/>
              <w:spacing w:after="0"/>
              <w:rPr>
                <w:sz w:val="20"/>
                <w:szCs w:val="20"/>
                <w:color w:val="auto"/>
              </w:rPr>
            </w:pPr>
            <w:r>
              <w:rPr>
                <w:rFonts w:ascii="Arial" w:cs="Arial" w:eastAsia="Arial" w:hAnsi="Arial"/>
                <w:sz w:val="16"/>
                <w:szCs w:val="16"/>
                <w:color w:val="auto"/>
              </w:rPr>
              <w:t>Fiscal 2016</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8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First Quarter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53.02</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Second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59.42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49.50</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42.06</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Fourth Quarter</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65.78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45.04</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did not declare any cash or stock dividends in either fiscal 2017 or fiscal 2016. We anticipate that, for the foreseeable future, we will not pay any cash or stock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As of January 31, 2017, the number of common stockholders of record was 430. Because many of our shares of common stock are held by brokers or other institutions on behalf of stockholders, we are unable to estimate the total number of stockholders represented by the record 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share repurchase program does not have an expiration date and the pace and timing of repurchases will depend on factors such as cash generation from operations, available surplus, the volume of employee stock plan activity, cash requirements for acquisitions, economic and market conditions, stock price and legal and regulatory requirements. In September 2016, the Board of Directors approved a plan which authorized the repurchase of up to an additional 30.0 million shares of the Company's common stock. As of January 31, 2017, 3.4 million shares have been repurchased under this plan. During the three and twelve months ended January 31, 2017, we repurchased 2.9 million and 9.7 million shares, respectively, of our common stock under the existing and prior Board of Director authorized share repurchase programs. At January 31, 2017, 26.6 million shares remained available for repurchase under the repurchase program approved by the Board of Directors. See Note 9, “Stockholders' Equity,” in the Notes to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97790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provides information about the repurchase of common stock in open-market transactions during the quarter ended January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5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 that May Yet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 Plans or</w:t>
            </w:r>
          </w:p>
        </w:tc>
        <w:tc>
          <w:tcPr>
            <w:tcW w:w="1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Programs(2)</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1- November 30</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w:t>
            </w:r>
          </w:p>
        </w:tc>
        <w:tc>
          <w:tcPr>
            <w:tcW w:w="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73.51</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December 1 - December 31</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75.47</w:t>
            </w:r>
          </w:p>
        </w:tc>
        <w:tc>
          <w:tcPr>
            <w:tcW w:w="120" w:type="dxa"/>
            <w:vAlign w:val="bottom"/>
          </w:tcPr>
          <w:p>
            <w:pPr>
              <w:spacing w:after="0"/>
              <w:rPr>
                <w:sz w:val="20"/>
                <w:szCs w:val="20"/>
                <w:color w:val="auto"/>
              </w:rPr>
            </w:pPr>
          </w:p>
        </w:tc>
        <w:tc>
          <w:tcPr>
            <w:tcW w:w="2720" w:type="dxa"/>
            <w:vAlign w:val="bottom"/>
          </w:tcPr>
          <w:p>
            <w:pPr>
              <w:jc w:val="right"/>
              <w:ind w:right="23"/>
              <w:spacing w:after="0"/>
              <w:rPr>
                <w:sz w:val="20"/>
                <w:szCs w:val="20"/>
                <w:color w:val="auto"/>
              </w:rPr>
            </w:pPr>
            <w:r>
              <w:rPr>
                <w:rFonts w:ascii="Arial" w:cs="Arial" w:eastAsia="Arial" w:hAnsi="Arial"/>
                <w:sz w:val="16"/>
                <w:szCs w:val="16"/>
                <w:color w:val="auto"/>
              </w:rPr>
              <w:t>0.9</w:t>
            </w:r>
          </w:p>
        </w:tc>
        <w:tc>
          <w:tcPr>
            <w:tcW w:w="2840" w:type="dxa"/>
            <w:vAlign w:val="bottom"/>
            <w:gridSpan w:val="2"/>
          </w:tcPr>
          <w:p>
            <w:pPr>
              <w:jc w:val="right"/>
              <w:ind w:right="28"/>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80.01</w:t>
            </w:r>
          </w:p>
        </w:tc>
        <w:tc>
          <w:tcPr>
            <w:tcW w:w="1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0.8</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44"/>
        </w:trPr>
        <w:tc>
          <w:tcPr>
            <w:tcW w:w="264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2.9</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75.98</w:t>
            </w:r>
          </w:p>
        </w:tc>
        <w:tc>
          <w:tcPr>
            <w:tcW w:w="120" w:type="dxa"/>
            <w:vAlign w:val="bottom"/>
          </w:tcPr>
          <w:p>
            <w:pPr>
              <w:spacing w:after="0"/>
              <w:rPr>
                <w:sz w:val="21"/>
                <w:szCs w:val="21"/>
                <w:color w:val="auto"/>
              </w:rPr>
            </w:pPr>
          </w:p>
        </w:tc>
        <w:tc>
          <w:tcPr>
            <w:tcW w:w="2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 approved by the Board of Directors.</w:t>
      </w:r>
    </w:p>
    <w:p>
      <w:pPr>
        <w:spacing w:after="0" w:line="9" w:lineRule="exact"/>
        <w:rPr>
          <w:rFonts w:ascii="Arial" w:cs="Arial" w:eastAsia="Arial" w:hAnsi="Arial"/>
          <w:sz w:val="16"/>
          <w:szCs w:val="16"/>
          <w:color w:val="auto"/>
        </w:rPr>
      </w:pPr>
    </w:p>
    <w:p>
      <w:pPr>
        <w:ind w:left="420" w:right="280" w:hanging="412"/>
        <w:spacing w:after="0" w:line="257"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September 2016 that authorizes the repurchase of 30.0 million shares. The plan does not have a fixed expiration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29"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 following graph shows a five-year comparison of cumulative total return (equal to dividends plus stock appreciation) for our Common Stock, the Standard &amp; Poor’s 500 Stock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15240</wp:posOffset>
            </wp:positionV>
            <wp:extent cx="4570730" cy="3430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707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420" w:hanging="412"/>
        <w:spacing w:after="0" w:line="263"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Assumes $100 invested on January 31, 2012, in Autodesk’s stock, the Standard &amp; Poor’s 500 Stock Index, and the Dow Jones U.S. Software Index, with reinvestment of all dividends. Total stockholder returns for prior periods are not an indication of future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97790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6.</w:t>
      </w:r>
      <w:r>
        <w:rPr>
          <w:sz w:val="20"/>
          <w:szCs w:val="20"/>
          <w:color w:val="auto"/>
        </w:rPr>
        <w:tab/>
      </w:r>
      <w:r>
        <w:rPr>
          <w:rFonts w:ascii="Arial" w:cs="Arial" w:eastAsia="Arial" w:hAnsi="Arial"/>
          <w:sz w:val="18"/>
          <w:szCs w:val="18"/>
          <w:b w:val="1"/>
          <w:bCs w:val="1"/>
          <w:color w:val="0696D7"/>
        </w:rPr>
        <w:t>SELECTED FINANCIAL DATA</w:t>
      </w:r>
    </w:p>
    <w:p>
      <w:pPr>
        <w:spacing w:after="0" w:line="22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fiscal years ended January 31, 2017 and 2016 are derived from, and are qualified by reference to, the audited consolidated financial statements that are included in this Form 10-K. The Consolidated Statements of Operations and the Consolidated Statements of Cash Flows data for the year ended January 31, 2015 are derived from, and are qualified by reference to, the audited consolidated financial statements that are included in this Form 10-K. The Consolidated Balance Sheet data for the fiscal year ended January 31, 2015 and the remaining financial data for the fiscal years ended January 31, 2014 and 2013 are derived from audited, consolidated financial statements which are not included in this Form 10-K.</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Fiscal Year:</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revenue</w:t>
      </w:r>
    </w:p>
    <w:p>
      <w:pPr>
        <w:spacing w:after="0" w:line="86" w:lineRule="exact"/>
        <w:rPr>
          <w:sz w:val="20"/>
          <w:szCs w:val="20"/>
          <w:color w:val="auto"/>
        </w:rPr>
      </w:pPr>
    </w:p>
    <w:p>
      <w:pPr>
        <w:jc w:val="right"/>
        <w:ind w:right="1580"/>
        <w:spacing w:after="0"/>
        <w:rPr>
          <w:sz w:val="20"/>
          <w:szCs w:val="20"/>
          <w:color w:val="auto"/>
        </w:rPr>
      </w:pPr>
      <w:r>
        <w:rPr>
          <w:rFonts w:ascii="Arial" w:cs="Arial" w:eastAsia="Arial" w:hAnsi="Arial"/>
          <w:sz w:val="16"/>
          <w:szCs w:val="16"/>
          <w:color w:val="auto"/>
        </w:rPr>
        <w:t>(Loss) income from operations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(loss) income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Cash flow from operations (1)</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Common Stock Data:</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2621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r>
      <w:tr>
        <w:trPr>
          <w:trHeight w:val="190"/>
        </w:trPr>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1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2,031.0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2,504.1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2,512.2</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2,273.9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2,312.2</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(499.6)</w:t>
            </w:r>
          </w:p>
        </w:tc>
        <w:tc>
          <w:tcPr>
            <w:tcW w:w="380" w:type="dxa"/>
            <w:vAlign w:val="bottom"/>
          </w:tcPr>
          <w:p>
            <w:pPr>
              <w:spacing w:after="0"/>
              <w:rPr>
                <w:sz w:val="23"/>
                <w:szCs w:val="23"/>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120.7</w:t>
            </w:r>
          </w:p>
        </w:tc>
        <w:tc>
          <w:tcPr>
            <w:tcW w:w="48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284.8</w:t>
            </w:r>
          </w:p>
        </w:tc>
        <w:tc>
          <w:tcPr>
            <w:tcW w:w="38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305.9</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(582.1)</w:t>
            </w:r>
          </w:p>
        </w:tc>
        <w:tc>
          <w:tcPr>
            <w:tcW w:w="38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(330.5)</w:t>
            </w:r>
          </w:p>
        </w:tc>
        <w:tc>
          <w:tcPr>
            <w:tcW w:w="38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81.8</w:t>
            </w:r>
          </w:p>
        </w:tc>
        <w:tc>
          <w:tcPr>
            <w:tcW w:w="48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228.8</w:t>
            </w:r>
          </w:p>
        </w:tc>
        <w:tc>
          <w:tcPr>
            <w:tcW w:w="38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247.4</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169.7</w:t>
            </w:r>
          </w:p>
        </w:tc>
        <w:tc>
          <w:tcPr>
            <w:tcW w:w="380" w:type="dxa"/>
            <w:vAlign w:val="bottom"/>
          </w:tcPr>
          <w:p>
            <w:pPr>
              <w:spacing w:after="0"/>
              <w:rPr>
                <w:sz w:val="23"/>
                <w:szCs w:val="23"/>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414.0</w:t>
            </w:r>
          </w:p>
        </w:tc>
        <w:tc>
          <w:tcPr>
            <w:tcW w:w="38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708.6</w:t>
            </w:r>
          </w:p>
        </w:tc>
        <w:tc>
          <w:tcPr>
            <w:tcW w:w="48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572.6</w:t>
            </w:r>
          </w:p>
        </w:tc>
        <w:tc>
          <w:tcPr>
            <w:tcW w:w="38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-835660</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-492760</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-149860</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3980" w:space="720"/>
            <w:col w:w="67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 net (loss) income per share</w:t>
            </w:r>
          </w:p>
        </w:tc>
        <w:tc>
          <w:tcPr>
            <w:tcW w:w="1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37"/>
        </w:trPr>
        <w:tc>
          <w:tcPr>
            <w:tcW w:w="20" w:type="dxa"/>
            <w:vAlign w:val="bottom"/>
          </w:tcPr>
          <w:p>
            <w:pPr>
              <w:spacing w:after="0"/>
              <w:rPr>
                <w:sz w:val="20"/>
                <w:szCs w:val="20"/>
                <w:color w:val="auto"/>
              </w:rPr>
            </w:pPr>
          </w:p>
        </w:tc>
        <w:tc>
          <w:tcPr>
            <w:tcW w:w="3680" w:type="dxa"/>
            <w:vAlign w:val="bottom"/>
          </w:tcPr>
          <w:p>
            <w:pPr>
              <w:ind w:left="380"/>
              <w:spacing w:after="0"/>
              <w:rPr>
                <w:sz w:val="20"/>
                <w:szCs w:val="20"/>
                <w:color w:val="auto"/>
              </w:rPr>
            </w:pPr>
            <w:r>
              <w:rPr>
                <w:rFonts w:ascii="Arial" w:cs="Arial" w:eastAsia="Arial" w:hAnsi="Arial"/>
                <w:sz w:val="16"/>
                <w:szCs w:val="16"/>
                <w:color w:val="auto"/>
              </w:rPr>
              <w:t>Diluted net (loss) income per share</w:t>
            </w:r>
          </w:p>
        </w:tc>
        <w:tc>
          <w:tcPr>
            <w:tcW w:w="13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4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4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4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4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 Year End:</w:t>
            </w:r>
          </w:p>
        </w:tc>
        <w:tc>
          <w:tcPr>
            <w:tcW w:w="1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4,798.1</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5,515.3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4,909.7</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4,589.9</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4,302.4</w:t>
            </w:r>
          </w:p>
        </w:tc>
      </w:tr>
      <w:tr>
        <w:trPr>
          <w:trHeight w:val="33"/>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1,879.1</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2,304.7</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1,294.5</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1,262.0</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1,221.5</w:t>
            </w:r>
          </w:p>
        </w:tc>
      </w:tr>
      <w:tr>
        <w:trPr>
          <w:trHeight w:val="237"/>
        </w:trPr>
        <w:tc>
          <w:tcPr>
            <w:tcW w:w="20" w:type="dxa"/>
            <w:vAlign w:val="bottom"/>
          </w:tcPr>
          <w:p>
            <w:pPr>
              <w:spacing w:after="0"/>
              <w:rPr>
                <w:sz w:val="20"/>
                <w:szCs w:val="20"/>
                <w:color w:val="auto"/>
              </w:rPr>
            </w:pPr>
          </w:p>
        </w:tc>
        <w:tc>
          <w:tcPr>
            <w:tcW w:w="3680" w:type="dxa"/>
            <w:vAlign w:val="bottom"/>
          </w:tcPr>
          <w:p>
            <w:pPr>
              <w:ind w:left="380"/>
              <w:spacing w:after="0"/>
              <w:rPr>
                <w:sz w:val="20"/>
                <w:szCs w:val="20"/>
                <w:color w:val="auto"/>
              </w:rPr>
            </w:pPr>
            <w:r>
              <w:rPr>
                <w:rFonts w:ascii="Arial" w:cs="Arial" w:eastAsia="Arial" w:hAnsi="Arial"/>
                <w:sz w:val="16"/>
                <w:szCs w:val="16"/>
                <w:color w:val="auto"/>
              </w:rPr>
              <w:t>Stockholders’ equity</w:t>
            </w:r>
          </w:p>
        </w:tc>
        <w:tc>
          <w:tcPr>
            <w:tcW w:w="13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733.6</w:t>
            </w:r>
          </w:p>
        </w:tc>
        <w:tc>
          <w:tcPr>
            <w:tcW w:w="4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1,619.6</w:t>
            </w:r>
          </w:p>
        </w:tc>
        <w:tc>
          <w:tcPr>
            <w:tcW w:w="4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2,219.2</w:t>
            </w:r>
          </w:p>
        </w:tc>
        <w:tc>
          <w:tcPr>
            <w:tcW w:w="4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2,261.5</w:t>
            </w:r>
          </w:p>
        </w:tc>
        <w:tc>
          <w:tcPr>
            <w:tcW w:w="4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2,043.2</w:t>
            </w:r>
          </w:p>
        </w:tc>
      </w:tr>
      <w:tr>
        <w:trPr>
          <w:trHeight w:val="249"/>
        </w:trPr>
        <w:tc>
          <w:tcPr>
            <w:tcW w:w="3700" w:type="dxa"/>
            <w:vAlign w:val="bottom"/>
            <w:gridSpan w:val="2"/>
          </w:tcPr>
          <w:p>
            <w:pPr>
              <w:jc w:val="right"/>
              <w:ind w:right="2259"/>
              <w:spacing w:after="0"/>
              <w:rPr>
                <w:sz w:val="20"/>
                <w:szCs w:val="20"/>
                <w:color w:val="auto"/>
              </w:rPr>
            </w:pPr>
            <w:r>
              <w:rPr>
                <w:rFonts w:ascii="Arial" w:cs="Arial" w:eastAsia="Arial" w:hAnsi="Arial"/>
                <w:sz w:val="18"/>
                <w:szCs w:val="18"/>
                <w:color w:val="auto"/>
                <w:w w:val="89"/>
              </w:rPr>
              <w:t>_______________</w:t>
            </w:r>
          </w:p>
        </w:tc>
        <w:tc>
          <w:tcPr>
            <w:tcW w:w="1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ind w:left="420" w:hanging="412"/>
        <w:spacing w:after="0" w:line="250"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the three months ended July 31, 2016, the Company early adopted Accounting Standards Update No. 2016-09, “Improvements to Employee Share-Based Payment Accounting (Topic 718)” (“ASU 2016-09”), which addresses among other items, updates to the presentation and treatment of excess tax benefits related to stock based compensation. The Company has adopted changes to the consolidated statements of cash flows on a retrospective basis. The impact for the fiscal years ended January 31, 2015, 2014, and 2013 to net cash provided by operating activities and net cash used in financing activities was $0.5 million, $9.1 million, and $12.9 million, respectively. There was no impact to the fiscal year ended January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386080</wp:posOffset>
            </wp:positionV>
            <wp:extent cx="97790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w:t>
      </w:r>
      <w:r>
        <w:rPr>
          <w:sz w:val="20"/>
          <w:szCs w:val="20"/>
          <w:color w:val="auto"/>
        </w:rPr>
        <w:tab/>
      </w:r>
      <w:r>
        <w:rPr>
          <w:rFonts w:ascii="Arial" w:cs="Arial" w:eastAsia="Arial" w:hAnsi="Arial"/>
          <w:sz w:val="17"/>
          <w:szCs w:val="17"/>
          <w:b w:val="1"/>
          <w:bCs w:val="1"/>
          <w:color w:val="0696D7"/>
        </w:rPr>
        <w:t>MANAGEMENT’S DISCUSSION AND ANALYSIS OF FINANCIAL CONDITION AND RESULTS OF OPERATIONS</w:t>
      </w:r>
    </w:p>
    <w:p>
      <w:pPr>
        <w:spacing w:after="0" w:line="22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future financial results (including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and mobile computing, the effect of unemployment, the availability of credit, our expectations for our restructuring, the effects of mixed global economic conditions, the effects of revenue recognition,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and the impact of economic volatility and geopolitical activities in certain countries, particularly emerging economy countries, the timing and amount of purchases under our newly announced stock buy-back plan, and the effects of potential non-cash charges on our financial results and the resulting effect on our financial results. In addition, forward-looking statements also consist of statements involving expectations regarding product capability and acceptance, remediation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above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Autodesk makes software for people who make things. If you've ever driven a high-performance car, admired a towering skyscraper, used a smartphone, or watched a great film, chances are you've experienced what millions of Autodesk customers are doing with our software. Autodesk gives you the power to make anything.</w:t>
      </w:r>
    </w:p>
    <w:p>
      <w:pPr>
        <w:spacing w:after="0" w:line="18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Our product subscriptions presently represent a hybrid of desktop software and cloud-based functionality, which provides a device-independent, collaborative design workflow for designers and their stakeholders. Our cloud service offerings, for example, BIM 360, Shotgun, Fusion 360, and AutoCAD 360 Pro, provide tools, including mobile and social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2" w:lineRule="exact"/>
        <w:rPr>
          <w:sz w:val="20"/>
          <w:szCs w:val="20"/>
          <w:color w:val="auto"/>
        </w:rPr>
      </w:pPr>
    </w:p>
    <w:p>
      <w:pPr>
        <w:ind w:right="220" w:firstLine="405"/>
        <w:spacing w:after="0" w:line="272" w:lineRule="auto"/>
        <w:rPr>
          <w:sz w:val="20"/>
          <w:szCs w:val="20"/>
          <w:color w:val="auto"/>
        </w:rPr>
      </w:pPr>
      <w:r>
        <w:rPr>
          <w:rFonts w:ascii="Arial" w:cs="Arial" w:eastAsia="Arial" w:hAnsi="Arial"/>
          <w:sz w:val="17"/>
          <w:szCs w:val="17"/>
          <w:color w:val="auto"/>
        </w:rPr>
        <w:t>Our strategy is to lead the industries we serve to cloud-based technologies and business models. This entails both a technological shift and a business model shift. As part of the transition, we discontinued selling new perpetual licenses of most individual software products effective February 1, 2016, and discontinued selling new perpetual licenses of suites while introducing industry collections effective August 1, 2016. Industry collections allow access to a broad set of products and services that exceeds those previously available in suites - simplifying the customer ability to get access to a complete set of tools for their industry. We now offer subscriptions for individual products and industry collections, cloud service offerings, and flexible enterprise business agreements ("new model subscription offerings"). These offerings are designed to give our customers more flexibility with how they use our products and service offerings and to attract a broader range of customers, such as project-based users and small businesses.</w:t>
      </w:r>
    </w:p>
    <w:p>
      <w:pPr>
        <w:spacing w:after="0" w:line="17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With the discontinuation of the sale of most perpetual licenses, we have accelerated our transition away from selling a mix of perpetual licenses and term-based product subscriptions toward a single subscription model. As a result of this shift and various other factors described in Note 13, "Segments" in the Notes to our Consolidated Financial Statements,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97790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reassessed the way we allocate resources and evaluate financial performance and now operate as a single operating segment. During the transition, revenue, margins, EPS, deferred revenue and cash flow from operations have been and will be impacted as more revenue is recognized ratably rather than upfront and as new product subscription offerings generally have a lower initial purchase price.</w:t>
      </w:r>
    </w:p>
    <w:p>
      <w:pPr>
        <w:spacing w:after="0" w:line="18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As we progress through the business model transition, reported revenue is less relevant to measure the success of the business as perpetual license sales have been discontinued in favor of subscription offerings, which have considerably lower upfront prices. Annualized recurring revenue ("ARR") and growth of subscriptions better reflect business momentum and provide additional transparency into the transition. To further analyze progress, we disaggregate our growth in these metrics between the original maintenance model ("maintenance") and the new model subscription offerings. Maintenance subscriptions peaked in the fourth quarter of our fiscal 2016, and we expect them to decline slowly over time.</w:t>
      </w:r>
    </w:p>
    <w:p>
      <w:pPr>
        <w:spacing w:after="0" w:line="17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sell our products and services globally, through a combination of indirect and direct channels. During the fiscal year ended January 31, 2017, 2016, and 2015, our indirect channels, which include value added resellers, direct market resellers, distributors, computer manufacturers, and other software developers, were responsible for 72%, 79%, and 83% of our overall revenue, respectively. During the same periods, our direct channels, which include sales resources dedicated to selling in our largest accounts, our highly specialized products, and business transacted through our online Autodesk branded store, were responsible for 28%, 21%, and 17% of our overall revenue, respectively.</w:t>
      </w:r>
    </w:p>
    <w:p>
      <w:pPr>
        <w:spacing w:after="0" w:line="18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anticipate that our channel mix will continue to change, particularly as we scale our digitally transacted online Autodesk branded store business and our largest accounts shift towards direct-only business models. Importantly, we expect our indirect channel will continue to transact and support the majority of our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Spark program to support ideas that push the boundaries of 3D printing and nurture the companies that will advance innovations within 3D printing hardware and software. We have also created the Autodesk Forge program to support innovators that build solutions to facilitate the development of a single connected ecosystem for the future of how things are designed, made, and used.</w:t>
      </w:r>
    </w:p>
    <w:p>
      <w:pPr>
        <w:spacing w:after="0" w:line="18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educators, and students is a key competitive advantage.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subscriptions of Autodesk software worldwide to students, educators, and educational institutions.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iTunes U. Our intention is to make Autodesk software ubiquitous and the design software of choice for those poised to become the next generation of professional users.</w:t>
      </w:r>
    </w:p>
    <w:p>
      <w:pPr>
        <w:spacing w:after="0" w:line="193"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283210</wp:posOffset>
            </wp:positionV>
            <wp:extent cx="97790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Consolidated Financial Statements are prepared in conformity with U.S. generally accepted accounting principles. In preparing our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We believe that of all our significant accounting policies, the following policies involve a higher degree of judgment and complexity. Accordingly, these are the policies we believe are the most critical to aid in fully understanding and evaluating our financial condition and results of operations.</w:t>
      </w:r>
    </w:p>
    <w:p>
      <w:pPr>
        <w:spacing w:after="0" w:line="17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when persuasive evidence of an arrangement exists, delivery has occurred or services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rendered, the price is fixed or determinable, and collection is probable. However, determining whether and when some of these criteria have been satisfied often involves assumptions and judgments that can have a significant impact on the timing and amount of revenue we report.</w:t>
      </w:r>
    </w:p>
    <w:p>
      <w:pPr>
        <w:spacing w:after="0" w:line="16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For multiple element arrangements containing only software and software-related elements, we allocate the sales price among each of the deliverables using the residual method, under which revenue is allocated to undelivered elements based on our vendor-specific objective evidence (“VSOE”) of fair value. VSOE is the price charged when an element is sold separately or a price set by management with the relevant authority. If we do not have VSOE of an undelivered software license, we defer revenue recognition on the entire sales arrangement until all elements for which we do not have VSOE are delivered. If we do not have VSOE for undelivered product subscriptions, maintenance or services, the revenue for the arrangement is recognized over the longest contractual service period in the arrangement. We are required to exercise judgment in determining whether VSOE exists for each undelivered element based on whether our pricing for these elements is sufficiently consistent.</w:t>
      </w:r>
    </w:p>
    <w:p>
      <w:pPr>
        <w:spacing w:after="0" w:line="17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 xml:space="preserve">For multiple elements arrangements involving non-software elements, including cloud subscription services, our revenue recognition policy is based upon the accounting guidance contained in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For these arrangements, we first allocate the total arrangement consideration based on the relative selling prices of the software group of elements as a whole and to the non-software elements. We then further allocate consideration within the software group to the respective elements within that group using the residual method as described above. We exercise judgment and use estimates in connection with the determination of the amount of revenue to be recognized in each accounting period.</w:t>
      </w:r>
    </w:p>
    <w:p>
      <w:pPr>
        <w:spacing w:after="0" w:line="158"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We allocate the total arrangement consideration among the various elements based on a selling price hierarchy. The selling price for a deliverable is based on its VSOE if available, third-party evidence ("TPE") if VSOE is not available, or the best estimated selling price ("BESP") if neither VSOE nor TPE is available. BESP represents the price at which Autodesk would transact for the deliverable if it were sold regularly on a standalone basis. To establish BESP for those elements for which neither VSOE nor TPE are available, we perform a quantitative analysis of pricing data points for historical standalone transactions involving such elements for a twelve-month period. As part of this analysis, we monitor and evaluate the BESP against actual pricing to ensure that it continues to represent a reasonable estimate of the standalone selling price, considering several other external and internal factors including, but not limited to, pricing and discounting practices, contractually stated prices, the geographies in which we offer our products and services, and the type of customer (i.e. distributor, value-added reseller, and direct end user, among others). We analyze BESP at least annually or on a more frequent basis if a significant change in our business necessitates a more timely analysis or if we experience significant variances in our selling prices.</w:t>
      </w:r>
    </w:p>
    <w:p>
      <w:pPr>
        <w:spacing w:after="0" w:line="167"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In situations when we have multiple contracts with a single counterparty, we use the guidance in ASC 985-605 to evaluate both the form and the substance of the arrangements to determine if they should be combined and accounted for as one arrangement or as separate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97790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Our assessment of the likelihood of collection is also a critical factor in determining the timing of revenue recognition. If we do not believe that collection is probable, the revenue will be deferred until payment is received.</w:t>
      </w:r>
    </w:p>
    <w:p>
      <w:pPr>
        <w:spacing w:after="0" w:line="17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Our indirect channel model includes both a two-tiered distribution structure, where distributors sell to resellers, and a one-tiered structure where Autodesk sells directly to resellers. Our subscription revenue from distributors and resellers generally commences recognition at the time access is provided to their customers, provided all other criteria for revenue recognition are met. This policy is predicated on our ability to estimate sales returns, among other criteria. We are also required to evaluate whether our distributors and resellers have the ability to honor their commitment to make fixed or determinable payments, regardless of whether they collect payment from their customers. If we were to change any of these assumptions or judgments, it could cause a material increase or decrease in the amount of revenue that we report in a particular period.</w:t>
      </w:r>
    </w:p>
    <w:p>
      <w:pPr>
        <w:spacing w:after="0" w:line="178"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part of the indirect channel model, we have a partner incentive program that uses quarterly attainment of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subscription transaction is billed and subsequently recognized as a reduction to subscription revenue over the contract period. These incentive balances do not require significant assumptions or judgments. Depending on how the payments are made, the reserves associated with the partner incentive program are treated on the balance sheet as either contra account receivable or accounts payable.</w:t>
      </w:r>
    </w:p>
    <w:p>
      <w:pPr>
        <w:spacing w:after="0" w:line="17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 xml:space="preserve">Marketable Securities and Privately Held Company Investments. </w:t>
      </w:r>
      <w:r>
        <w:rPr>
          <w:rFonts w:ascii="Arial" w:cs="Arial" w:eastAsia="Arial" w:hAnsi="Arial"/>
          <w:sz w:val="18"/>
          <w:szCs w:val="18"/>
          <w:color w:val="auto"/>
        </w:rPr>
        <w:t>As described in Note 2, “Financial Instruments,” in the Notes to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our investments in marketable securities are measured at the end of each reporting period and reported at fair value. 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18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32BCAD"/>
        </w:rPr>
        <w:t>Level 1</w:t>
      </w:r>
      <w:r>
        <w:rPr>
          <w:rFonts w:ascii="Arial" w:cs="Arial" w:eastAsia="Arial" w:hAnsi="Arial"/>
          <w:sz w:val="18"/>
          <w:szCs w:val="18"/>
          <w:color w:val="32BCAD"/>
        </w:rPr>
        <w:t xml:space="preserve"> </w:t>
      </w:r>
      <w:r>
        <w:rPr>
          <w:rFonts w:ascii="Arial" w:cs="Arial" w:eastAsia="Arial" w:hAnsi="Arial"/>
          <w:sz w:val="18"/>
          <w:szCs w:val="18"/>
          <w:color w:val="000000"/>
        </w:rPr>
        <w:t>- Quoted prices for identical instruments in active markets;</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32BCAD"/>
        </w:rPr>
        <w:t>Level 2</w:t>
      </w:r>
      <w:r>
        <w:rPr>
          <w:rFonts w:ascii="Arial" w:cs="Arial" w:eastAsia="Arial" w:hAnsi="Arial"/>
          <w:sz w:val="17"/>
          <w:szCs w:val="17"/>
          <w:color w:val="32BCAD"/>
        </w:rPr>
        <w:t xml:space="preserve"> </w:t>
      </w:r>
      <w:r>
        <w:rPr>
          <w:rFonts w:ascii="Arial" w:cs="Arial" w:eastAsia="Arial" w:hAnsi="Arial"/>
          <w:sz w:val="17"/>
          <w:szCs w:val="17"/>
          <w:color w:val="000000"/>
        </w:rPr>
        <w:t>- Quoted prices for similar instruments in active markets, quoted prices for identical or similar instruments in markets that are not active, and</w:t>
      </w:r>
      <w:r>
        <w:rPr>
          <w:rFonts w:ascii="Arial" w:cs="Arial" w:eastAsia="Arial" w:hAnsi="Arial"/>
          <w:sz w:val="17"/>
          <w:szCs w:val="17"/>
          <w:color w:val="32BCAD"/>
        </w:rPr>
        <w:t xml:space="preserve"> </w:t>
      </w:r>
      <w:r>
        <w:rPr>
          <w:rFonts w:ascii="Arial" w:cs="Arial" w:eastAsia="Arial" w:hAnsi="Arial"/>
          <w:sz w:val="17"/>
          <w:szCs w:val="17"/>
          <w:color w:val="000000"/>
        </w:rPr>
        <w:t>model-derived valuations in which all significant inputs and significant value drivers are observable in active markets;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32BCAD"/>
        </w:rPr>
        <w:t>Level 3</w:t>
      </w:r>
      <w:r>
        <w:rPr>
          <w:rFonts w:ascii="Arial" w:cs="Arial" w:eastAsia="Arial" w:hAnsi="Arial"/>
          <w:sz w:val="17"/>
          <w:szCs w:val="17"/>
          <w:color w:val="32BCAD"/>
        </w:rPr>
        <w:t xml:space="preserve"> </w:t>
      </w:r>
      <w:r>
        <w:rPr>
          <w:rFonts w:ascii="Arial" w:cs="Arial" w:eastAsia="Arial" w:hAnsi="Arial"/>
          <w:sz w:val="17"/>
          <w:szCs w:val="17"/>
          <w:color w:val="000000"/>
        </w:rPr>
        <w:t>- Valuations derived from valuation techniques in which one or more significant inputs or significant value drivers are unobservable.</w:t>
      </w:r>
    </w:p>
    <w:p>
      <w:pPr>
        <w:spacing w:after="0" w:line="23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This hierarchy requires us to minimize the use of unobservable inputs and to use observable market data, if available, when determining fair value. This is generally true for our cash and cash equivalents and the majority of our marketable securities, which we consider to be Level 1 assets and Level 2 assets. However, determining the fair value of marketable securities or convertible note investments in privately held companies when observable inputs are not available (Level 3) requires significant judgment. For example, we use probability weighted discounted cash flow models, in which some of the inputs are unobservable in the market, to estimate the fair value of our convertible debt securities.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8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All of Autodesk’s marketable securities and privately held company investments are subject to a periodic impairment review. We recognize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w:t>
      </w:r>
    </w:p>
    <w:p>
      <w:pPr>
        <w:spacing w:after="0" w:line="18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allocate the fair value of the consideration transferred to the assets and liabilities acquired, as well as to in-process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based on their estimated fair values at the acquisition date. Any residual purchase price is recorded as goodwill. The purchase price allocation requires us to make significant estimates and assumptions, especially at the acquisition date with respect to intangible assets and deferred revenue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281940</wp:posOffset>
            </wp:positionV>
            <wp:extent cx="97790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18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expected cash flows from sales, maintenance agreements, and acquired developed technologies;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acquired company's trade name, trademark and existing customer relationship, as well as assumptions about the period of time the acquired trade name and trademark will continue to be used in the our product portfolio;</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products and estimated cash flows from the projects when completed;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187"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 xml:space="preserve">Realizability of Long-Lived Assets. </w:t>
      </w:r>
      <w:r>
        <w:rPr>
          <w:rFonts w:ascii="Arial" w:cs="Arial" w:eastAsia="Arial" w:hAnsi="Arial"/>
          <w:sz w:val="16"/>
          <w:szCs w:val="16"/>
          <w:color w:val="auto"/>
        </w:rPr>
        <w:t>We assess the realizability of our long-lived assets and related intangible assets, other than goodwill, annually</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fourth fiscal quarter, or 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15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 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8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In addition to our recoverability assessments, we routinely review the remaining estimated useful lives of our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will continue to evaluate the values of our long-lived assets in accordance with applicable accounting rules. As changes in business conditions and our assumptions occur, we may be required to record impairment charges.</w:t>
      </w:r>
    </w:p>
    <w:p>
      <w:pPr>
        <w:spacing w:after="0" w:line="170" w:lineRule="exact"/>
        <w:rPr>
          <w:sz w:val="20"/>
          <w:szCs w:val="20"/>
          <w:color w:val="auto"/>
        </w:rPr>
      </w:pPr>
    </w:p>
    <w:p>
      <w:pPr>
        <w:jc w:val="both"/>
        <w:ind w:right="100" w:firstLine="432"/>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approach. Under this method, deferred tax assets, including those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tax loss carryforwards and credits, and deferred tax liabilities are determined based on the differences between the financial statement and tax bases of assets and liabilities using enacted tax rates in effect for the year in which the differences are expected to reverse. We recognize the tax benefit for an uncertain tax position when it meets a more likely than not threshold. We recognize potential accrued interest and penalties related to unrecognized tax benefits as income tax expense.</w:t>
      </w:r>
    </w:p>
    <w:p>
      <w:pPr>
        <w:spacing w:after="0" w:line="188" w:lineRule="exact"/>
        <w:rPr>
          <w:sz w:val="20"/>
          <w:szCs w:val="20"/>
          <w:color w:val="auto"/>
        </w:rPr>
      </w:pPr>
    </w:p>
    <w:p>
      <w:pPr>
        <w:ind w:right="220" w:firstLine="405"/>
        <w:spacing w:after="0" w:line="271"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valuation allowance, we consider all available evidence including past operating results and estimates of future taxable income. Beginning in the second quarter of fiscal 2016, we considered cumulative losses in the U.S. arising from the Company’s business model transition as a significant source of negative evidence. Considering this negative evidence and the absence of sufficient positive objective evidence that we would generate sufficient taxable income in the U.S. to realize the deferred tax assets, we determined that it was more likely than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97790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that the Company would not realize U.S. federal and state deferred tax assets and recorded a valuation allowance on our federal and state deferred tax assets. We continue to have a full valuation allowance against our U.S. deferred tax assets in fiscal 2017 and increased the amount of the valuation allowance to include deferred tax assets generated in fiscal 2017, including deferred tax assets that were established as a result of the adoption of ASU 2016-9 in the second quarter of fiscal 2017.</w:t>
      </w:r>
    </w:p>
    <w:p>
      <w:pPr>
        <w:spacing w:after="0" w:line="18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we continually strive to optimize our overall business model, tax planning strategies may become feasible and prudent whereby management may determine that it is more likely than not that the federal and state deferred tax assets will be realized; therefore, we will continue to evaluate the evidence around our ability to utilize our net deferred tax assets each quarter, both in the US and in foreign jurisdictions, based on all available evidence, both positive and negative.</w:t>
      </w:r>
    </w:p>
    <w:p>
      <w:pPr>
        <w:spacing w:after="0" w:line="187"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measure stock-based compensation cost at the grant date fair value of the award, and recognize expense ratably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requisite service period, which is generally the vesting period. We estimate the fair value of certain stock-based payment awards (including grants of employee stock purchases related to the employee stock purchase plan) using either the Black-Scholes-Merton option-pricing model or a binomial-lattice model (e.g., Monte Carlo simulation model). To determine the grant-date fair value of our stock-based payment awards, we use a Black-Scholes model or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on a quarterly basis and adjusted, as needed. Share-based compensation cost for restricted stock is measured on the closing fair market value of our common stock on the date of grant. The value of the portion of the award that is ultimately expected to vest is recognized as expense in our Consolidated Statements of Operations.</w:t>
      </w:r>
    </w:p>
    <w:p>
      <w:pPr>
        <w:spacing w:after="0" w:line="169"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i w:val="1"/>
          <w:iCs w:val="1"/>
          <w:color w:val="auto"/>
        </w:rPr>
        <w:t>Legal Contingencies</w:t>
      </w:r>
      <w:r>
        <w:rPr>
          <w:rFonts w:ascii="Arial" w:cs="Arial" w:eastAsia="Arial" w:hAnsi="Arial"/>
          <w:sz w:val="17"/>
          <w:szCs w:val="17"/>
          <w:color w:val="auto"/>
        </w:rPr>
        <w:t>. As described in Part I, Item 3, “Legal Proceedings” and Part II, Item 8, Note 8, “Commitments and Contingencies,”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Because of inherent uncertainties related to these legal matters, we base our loss accruals on the best information available at the time. As additional information becomes available, we reassess our potential liability and may revise our estimates. Such revisions could have a material impact on future quarterly or annual results of operations.</w:t>
      </w:r>
    </w:p>
    <w:p>
      <w:pPr>
        <w:spacing w:after="0" w:line="17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Restructuring Charges and other facility exit costs, net and Accruals</w:t>
      </w:r>
      <w:r>
        <w:rPr>
          <w:rFonts w:ascii="Arial" w:cs="Arial" w:eastAsia="Arial" w:hAnsi="Arial"/>
          <w:sz w:val="18"/>
          <w:szCs w:val="18"/>
          <w:color w:val="auto"/>
        </w:rPr>
        <w:t>. In February 2016, the Board of Directors approved a world-wide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(“Fiscal 2017 Plan”) in order to re-balance staffing levels and reduce operating expenses to better align them with the evolving needs of the Company's business. The Company’s restructuring plans include one–time termination benefits as well as certain contractual termination benefits. We record costs associated with exit activities related to restructuring plans in accordance with the ASC Topic 420, </w:t>
      </w:r>
      <w:r>
        <w:rPr>
          <w:rFonts w:ascii="Arial" w:cs="Arial" w:eastAsia="Arial" w:hAnsi="Arial"/>
          <w:sz w:val="18"/>
          <w:szCs w:val="18"/>
          <w:i w:val="1"/>
          <w:iCs w:val="1"/>
          <w:color w:val="auto"/>
        </w:rPr>
        <w:t>Exit or Disposal Obligations</w:t>
      </w:r>
      <w:r>
        <w:rPr>
          <w:rFonts w:ascii="Arial" w:cs="Arial" w:eastAsia="Arial" w:hAnsi="Arial"/>
          <w:sz w:val="18"/>
          <w:szCs w:val="18"/>
          <w:color w:val="auto"/>
        </w:rPr>
        <w:t>. Liabilities for costs associated with an exit or disposal activity are recognized in the period in which the liability is incurred. The timing of associated cash payments is dependent upon the type of exit cost and may extend over a 12-month period. We record restructuring charge liabilities in “Other accrued liabilities,” or "Other liabilities" in the consolidated balance sheet.</w:t>
      </w:r>
    </w:p>
    <w:p>
      <w:pPr>
        <w:spacing w:after="0" w:line="18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Restructuring charges include employee termination costs, facility closure and relocation costs, and contract termination costs. One–time termination benefits are recognized as a liability at estimated fair value when the approved plan of termination has been communicated to employees, unless employees must provide future service, in which case the benefits are recognized ratably over the future service period. Ongoing termination benefits arrangements are recognized as a liability at estimated fair value when the amount of such benefits becomes estimable and payment is probable. For the facility facility-related restructuring charges, we recognize upon exiting all or a portion of a leased facility and meeting cease-use and other requirements. The amount of restructuring charges is based on the fair value of the lease obligation for the abandoned space, which includes a sublease assumption that could be reasonably obtained.</w:t>
      </w:r>
    </w:p>
    <w:p>
      <w:pPr>
        <w:spacing w:after="0" w:line="189"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Restructuring charges require significant estimates and assumptions, including sub-lease income and expenses for severance and other employee separation costs. Our estimates involve a number of risks and uncertainties, some of which are beyond our control, including future real estate market conditions and our ability to successfully enter into subleases or termination agreements with terms as favorable as those assumed when arriving at our estimates. We monitor these estimates and assumptions on at least a quarterly basis for changes in circumstances and any corresponding adjustments to the accrual are recorded in our statement of operations in the period when such changes are known.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172085</wp:posOffset>
            </wp:positionV>
            <wp:extent cx="97790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2017</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1"/>
              </w:rPr>
              <w:t>Fiscal Year Ended</w:t>
            </w:r>
          </w:p>
        </w:tc>
        <w:tc>
          <w:tcPr>
            <w:tcW w:w="16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As a % of Net</w:t>
            </w:r>
          </w:p>
        </w:tc>
        <w:tc>
          <w:tcPr>
            <w:tcW w:w="200" w:type="dxa"/>
            <w:vAlign w:val="bottom"/>
          </w:tcPr>
          <w:p>
            <w:pPr>
              <w:spacing w:after="0"/>
              <w:rPr>
                <w:sz w:val="16"/>
                <w:szCs w:val="16"/>
                <w:color w:val="auto"/>
              </w:rPr>
            </w:pPr>
          </w:p>
        </w:tc>
        <w:tc>
          <w:tcPr>
            <w:tcW w:w="2800" w:type="dxa"/>
            <w:vAlign w:val="bottom"/>
            <w:gridSpan w:val="4"/>
          </w:tcPr>
          <w:p>
            <w:pPr>
              <w:ind w:left="100"/>
              <w:spacing w:after="0"/>
              <w:rPr>
                <w:sz w:val="20"/>
                <w:szCs w:val="20"/>
                <w:color w:val="auto"/>
              </w:rPr>
            </w:pPr>
            <w:r>
              <w:rPr>
                <w:rFonts w:ascii="Arial" w:cs="Arial" w:eastAsia="Arial" w:hAnsi="Arial"/>
                <w:sz w:val="14"/>
                <w:szCs w:val="14"/>
                <w:b w:val="1"/>
                <w:bCs w:val="1"/>
                <w:color w:val="auto"/>
              </w:rPr>
              <w:t>Change compared to prior fiscal year</w:t>
            </w:r>
          </w:p>
        </w:tc>
        <w:tc>
          <w:tcPr>
            <w:tcW w:w="100" w:type="dxa"/>
            <w:vAlign w:val="bottom"/>
          </w:tcPr>
          <w:p>
            <w:pPr>
              <w:spacing w:after="0"/>
              <w:rPr>
                <w:sz w:val="16"/>
                <w:szCs w:val="16"/>
                <w:color w:val="auto"/>
              </w:rPr>
            </w:pP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1"/>
              </w:rPr>
              <w:t>Fiscal Year Ended</w:t>
            </w:r>
          </w:p>
        </w:tc>
        <w:tc>
          <w:tcPr>
            <w:tcW w:w="15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As a % of Net</w:t>
            </w:r>
          </w:p>
        </w:tc>
        <w:tc>
          <w:tcPr>
            <w:tcW w:w="0" w:type="dxa"/>
            <w:vAlign w:val="bottom"/>
          </w:tcPr>
          <w:p>
            <w:pPr>
              <w:spacing w:after="0"/>
              <w:rPr>
                <w:sz w:val="1"/>
                <w:szCs w:val="1"/>
                <w:color w:val="auto"/>
              </w:rPr>
            </w:pPr>
          </w:p>
        </w:tc>
      </w:tr>
      <w:tr>
        <w:trPr>
          <w:trHeight w:val="71"/>
        </w:trPr>
        <w:tc>
          <w:tcPr>
            <w:tcW w:w="2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5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6"/>
              </w:rPr>
              <w:t>January 31, 2017</w:t>
            </w:r>
          </w:p>
        </w:tc>
        <w:tc>
          <w:tcPr>
            <w:tcW w:w="16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January 31, 2016</w:t>
            </w:r>
          </w:p>
        </w:tc>
        <w:tc>
          <w:tcPr>
            <w:tcW w:w="15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ind w:left="86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2,031.0</w:t>
            </w:r>
          </w:p>
        </w:tc>
        <w:tc>
          <w:tcPr>
            <w:tcW w:w="16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100 %</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(473.1)</w:t>
            </w: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2,504.1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25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0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341.9</w:t>
            </w:r>
          </w:p>
        </w:tc>
        <w:tc>
          <w:tcPr>
            <w:tcW w:w="1680" w:type="dxa"/>
            <w:vAlign w:val="bottom"/>
          </w:tcPr>
          <w:p>
            <w:pPr>
              <w:jc w:val="right"/>
              <w:ind w:right="82"/>
              <w:spacing w:after="0"/>
              <w:rPr>
                <w:sz w:val="20"/>
                <w:szCs w:val="20"/>
                <w:color w:val="auto"/>
              </w:rPr>
            </w:pPr>
            <w:r>
              <w:rPr>
                <w:rFonts w:ascii="Arial" w:cs="Arial" w:eastAsia="Arial" w:hAnsi="Arial"/>
                <w:sz w:val="16"/>
                <w:szCs w:val="16"/>
                <w:color w:val="auto"/>
              </w:rPr>
              <w:t>17 %</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(28.8)</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370.7</w:t>
            </w:r>
          </w:p>
        </w:tc>
        <w:tc>
          <w:tcPr>
            <w:tcW w:w="15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1,689.1</w:t>
            </w:r>
          </w:p>
        </w:tc>
        <w:tc>
          <w:tcPr>
            <w:tcW w:w="16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83 %</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(444.3)</w:t>
            </w:r>
          </w:p>
        </w:tc>
        <w:tc>
          <w:tcPr>
            <w:tcW w:w="6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2,133.4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256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2,188.7</w:t>
            </w:r>
          </w:p>
        </w:tc>
        <w:tc>
          <w:tcPr>
            <w:tcW w:w="1680" w:type="dxa"/>
            <w:vAlign w:val="bottom"/>
          </w:tcPr>
          <w:p>
            <w:pPr>
              <w:jc w:val="right"/>
              <w:ind w:right="82"/>
              <w:spacing w:after="0"/>
              <w:rPr>
                <w:sz w:val="20"/>
                <w:szCs w:val="20"/>
                <w:color w:val="auto"/>
              </w:rPr>
            </w:pPr>
            <w:r>
              <w:rPr>
                <w:rFonts w:ascii="Arial" w:cs="Arial" w:eastAsia="Arial" w:hAnsi="Arial"/>
                <w:sz w:val="16"/>
                <w:szCs w:val="16"/>
                <w:color w:val="auto"/>
              </w:rPr>
              <w:t>108 %</w:t>
            </w:r>
          </w:p>
        </w:tc>
        <w:tc>
          <w:tcPr>
            <w:tcW w:w="2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56.6</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2,132.1</w:t>
            </w:r>
          </w:p>
        </w:tc>
        <w:tc>
          <w:tcPr>
            <w:tcW w:w="15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(499.6)</w:t>
            </w:r>
          </w:p>
        </w:tc>
        <w:tc>
          <w:tcPr>
            <w:tcW w:w="1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(500.9)</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207"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We are undergoing a business model transition in which we have discontinued selling new perpetual licenses for most of our products in favor of new model subscriptions. During the transition, revenue, margins, EPS, deferred revenue and cash flow from operations have been and will be impacted as more revenue is recognized ratably rather than upfront and as new product subscription offerings generally have a lower initial purchase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Revenue Analysis</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During fiscal 2017, net revenue decreased 19%, as compared to the prior fiscal year, primarily due to a 40% decrease in license and other revenue resulting from the discontinuation of the sale of most individual perpetual products as of February 1, 2016, and of new perpetual licenses of suites effective August 1, 2016. The decrease in license and other revenue was partially offset by a 1% increase in subscription revenue, driven by a 39% increase in revenue from our new model subscription offerings, largely offset by a 3% decrease in maintenance 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from Operations.”</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Tech Data accounted for 30%, 25%, and 25% of our consolidated net revenue during fiscal 2017, 2016, and 2015, respectively.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Operating Margin Analysis</w:t>
      </w:r>
    </w:p>
    <w:p>
      <w:pPr>
        <w:spacing w:after="0" w:line="225"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Income from operations decreased in fiscal 2017 due to a $473.1 million decrease in revenue (as discussed above) and a $56.6 million increase in our operating expenses as compared to fiscal 2016. Our operating margin decreased to (25)% for fiscal 2017 from 0% for fiscal 2016. The increase in operating expenses between fiscal 2017 and 2016 was driven by restructuring charges and other facility exit costs.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Further discussion regarding the cost of revenue and operating expense activities are discussed below under the heading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Business Model Transition Metrics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order to help better understand our financial performance during and after the transition, we have introduced several new metrics including recurring revenue, total subscriptions, ARR, and annualized revenue per subscription ("ARPS"). 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7790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ARPS, and recurring revenue are performance metrics and should be viewed independently of revenue and deferred revenue as ARR and ARPS are not intended to be combined with those items. Please refer to the "Glossary of Terms" for further discussion regarding the new metric terminology.</w:t>
      </w:r>
    </w:p>
    <w:p>
      <w:pPr>
        <w:spacing w:after="0" w:line="12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Recurring revenue represents the revenue for the period from our maintenance plans and revenue from our new model subscription offerings, including portions of revenue allocated to license and other revenue for those offerings. It excludes subscription revenue related to education offerings, consumer product offerings, select Creative Finishing product offerings, Autodesk Buzzsaw, Autodesk Constructware, and third party products. Recurring revenue acquired with the acquisition of a business is reported when total subscriptions are captured in our systems and may cause variability in the comparison of this calculation.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for the fiscal year ended 2017, 2016, and 2015:</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2"/>
          </w:tcPr>
          <w:p>
            <w:pPr>
              <w:jc w:val="right"/>
              <w:ind w:right="281"/>
              <w:spacing w:after="0"/>
              <w:rPr>
                <w:sz w:val="20"/>
                <w:szCs w:val="20"/>
                <w:color w:val="auto"/>
              </w:rPr>
            </w:pPr>
            <w:r>
              <w:rPr>
                <w:rFonts w:ascii="Arial" w:cs="Arial" w:eastAsia="Arial" w:hAnsi="Arial"/>
                <w:sz w:val="14"/>
                <w:szCs w:val="14"/>
                <w:b w:val="1"/>
                <w:bCs w:val="1"/>
                <w:color w:val="auto"/>
              </w:rPr>
              <w:t>Change compared to</w:t>
            </w:r>
          </w:p>
        </w:tc>
        <w:tc>
          <w:tcPr>
            <w:tcW w:w="10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jc w:val="right"/>
              <w:ind w:right="281"/>
              <w:spacing w:after="0"/>
              <w:rPr>
                <w:sz w:val="20"/>
                <w:szCs w:val="20"/>
                <w:color w:val="auto"/>
              </w:rPr>
            </w:pPr>
            <w:r>
              <w:rPr>
                <w:rFonts w:ascii="Arial" w:cs="Arial" w:eastAsia="Arial" w:hAnsi="Arial"/>
                <w:sz w:val="14"/>
                <w:szCs w:val="14"/>
                <w:b w:val="1"/>
                <w:bCs w:val="1"/>
                <w:color w:val="auto"/>
                <w:w w:val="99"/>
              </w:rPr>
              <w:t>Change compared to</w:t>
            </w: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8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prior fiscal year</w:t>
            </w: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18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prior fiscal year</w:t>
            </w:r>
          </w:p>
        </w:tc>
        <w:tc>
          <w:tcPr>
            <w:tcW w:w="180" w:type="dxa"/>
            <w:vAlign w:val="bottom"/>
          </w:tcPr>
          <w:p>
            <w:pPr>
              <w:spacing w:after="0"/>
              <w:rPr>
                <w:sz w:val="12"/>
                <w:szCs w:val="12"/>
                <w:color w:val="auto"/>
              </w:rPr>
            </w:pPr>
          </w:p>
        </w:tc>
        <w:tc>
          <w:tcPr>
            <w:tcW w:w="7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000" w:type="dxa"/>
            <w:vAlign w:val="bottom"/>
            <w:gridSpan w:val="3"/>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January 31,</w:t>
            </w: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January 31,</w:t>
            </w: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65"/>
        </w:trPr>
        <w:tc>
          <w:tcPr>
            <w:tcW w:w="428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1,290.0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1,277.2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106.4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1,170.8</w:t>
            </w:r>
          </w:p>
        </w:tc>
        <w:tc>
          <w:tcPr>
            <w:tcW w:w="0" w:type="dxa"/>
            <w:vAlign w:val="bottom"/>
          </w:tcPr>
          <w:p>
            <w:pPr>
              <w:spacing w:after="0"/>
              <w:rPr>
                <w:sz w:val="1"/>
                <w:szCs w:val="1"/>
                <w:color w:val="auto"/>
              </w:rPr>
            </w:pPr>
          </w:p>
        </w:tc>
      </w:tr>
      <w:tr>
        <w:trPr>
          <w:trHeight w:val="220"/>
        </w:trPr>
        <w:tc>
          <w:tcPr>
            <w:tcW w:w="4280" w:type="dxa"/>
            <w:vAlign w:val="bottom"/>
          </w:tcPr>
          <w:p>
            <w:pPr>
              <w:ind w:left="40"/>
              <w:spacing w:after="0"/>
              <w:rPr>
                <w:sz w:val="20"/>
                <w:szCs w:val="20"/>
                <w:color w:val="auto"/>
              </w:rPr>
            </w:pPr>
            <w:r>
              <w:rPr>
                <w:rFonts w:ascii="Arial" w:cs="Arial" w:eastAsia="Arial" w:hAnsi="Arial"/>
                <w:sz w:val="16"/>
                <w:szCs w:val="16"/>
                <w:color w:val="auto"/>
                <w:w w:val="97"/>
              </w:rPr>
              <w:t>Add: License and other revenue from new model subscription</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40"/>
              <w:spacing w:after="0"/>
              <w:rPr>
                <w:sz w:val="20"/>
                <w:szCs w:val="20"/>
                <w:color w:val="auto"/>
              </w:rPr>
            </w:pPr>
            <w:r>
              <w:rPr>
                <w:rFonts w:ascii="Arial" w:cs="Arial" w:eastAsia="Arial" w:hAnsi="Arial"/>
                <w:sz w:val="16"/>
                <w:szCs w:val="16"/>
                <w:color w:val="auto"/>
              </w:rPr>
              <w:t>offerings (1)</w:t>
            </w:r>
          </w:p>
        </w:tc>
        <w:tc>
          <w:tcPr>
            <w:tcW w:w="18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241.4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140.3</w:t>
            </w:r>
          </w:p>
        </w:tc>
        <w:tc>
          <w:tcPr>
            <w:tcW w:w="1120" w:type="dxa"/>
            <w:vAlign w:val="bottom"/>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23"/>
              <w:spacing w:after="0"/>
              <w:rPr>
                <w:sz w:val="20"/>
                <w:szCs w:val="20"/>
                <w:color w:val="auto"/>
              </w:rPr>
            </w:pPr>
            <w:r>
              <w:rPr>
                <w:rFonts w:ascii="Arial" w:cs="Arial" w:eastAsia="Arial" w:hAnsi="Arial"/>
                <w:sz w:val="16"/>
                <w:szCs w:val="16"/>
                <w:color w:val="auto"/>
              </w:rPr>
              <w:t>69.1</w:t>
            </w:r>
          </w:p>
        </w:tc>
        <w:tc>
          <w:tcPr>
            <w:tcW w:w="1120" w:type="dxa"/>
            <w:vAlign w:val="bottom"/>
          </w:tcPr>
          <w:p>
            <w:pPr>
              <w:jc w:val="right"/>
              <w:spacing w:after="0"/>
              <w:rPr>
                <w:sz w:val="20"/>
                <w:szCs w:val="20"/>
                <w:color w:val="auto"/>
              </w:rPr>
            </w:pPr>
            <w:r>
              <w:rPr>
                <w:rFonts w:ascii="Arial" w:cs="Arial" w:eastAsia="Arial" w:hAnsi="Arial"/>
                <w:sz w:val="16"/>
                <w:szCs w:val="16"/>
                <w:color w:val="auto"/>
              </w:rPr>
              <w:t>216 %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adjustments (2)</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44"/>
        </w:trPr>
        <w:tc>
          <w:tcPr>
            <w:tcW w:w="4280" w:type="dxa"/>
            <w:vAlign w:val="bottom"/>
          </w:tcPr>
          <w:p>
            <w:pPr>
              <w:ind w:left="40"/>
              <w:spacing w:after="0"/>
              <w:rPr>
                <w:sz w:val="20"/>
                <w:szCs w:val="20"/>
                <w:color w:val="auto"/>
              </w:rPr>
            </w:pPr>
            <w:r>
              <w:rPr>
                <w:rFonts w:ascii="Arial" w:cs="Arial" w:eastAsia="Arial" w:hAnsi="Arial"/>
                <w:sz w:val="16"/>
                <w:szCs w:val="16"/>
                <w:color w:val="auto"/>
              </w:rPr>
              <w:t>Total recurring revenue (3)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1,500.4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153.3</w:t>
            </w:r>
          </w:p>
        </w:tc>
        <w:tc>
          <w:tcPr>
            <w:tcW w:w="11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1,347.1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191.7</w:t>
            </w:r>
          </w:p>
        </w:tc>
        <w:tc>
          <w:tcPr>
            <w:tcW w:w="112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1,155.4</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portion of revenue for new model subscription offerings allocated to license &amp; other revenue within our Condensed Consolidated Statements of Operations.</w:t>
      </w:r>
    </w:p>
    <w:p>
      <w:pPr>
        <w:spacing w:after="0" w:line="32" w:lineRule="exact"/>
        <w:rPr>
          <w:rFonts w:ascii="Arial" w:cs="Arial" w:eastAsia="Arial" w:hAnsi="Arial"/>
          <w:sz w:val="14"/>
          <w:szCs w:val="14"/>
          <w:color w:val="auto"/>
        </w:rPr>
      </w:pPr>
    </w:p>
    <w:p>
      <w:pPr>
        <w:ind w:left="420" w:right="80" w:hanging="412"/>
        <w:spacing w:after="0" w:line="246"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adjustments include subscription revenue related to select Creative Finishing product offerings, Autodesk Buzzsaw, Autodesk Constructware, education offerings, and third party products which are excluded from recurring revenue.</w:t>
      </w:r>
    </w:p>
    <w:p>
      <w:pPr>
        <w:ind w:left="420" w:hanging="412"/>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Total recurring revenue as presented does not represent total ARR in the next table, which is the annualized value of our recurring revenue for the trailing three months.</w:t>
      </w:r>
    </w:p>
    <w:p>
      <w:pPr>
        <w:spacing w:after="0" w:line="226"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During fiscal 2017, recurring revenue was 74% of total net revenue as compared to 54% and 46% of total net revenue for fiscal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subscriptions, ARR and ARPS metrics as of fiscal years ended January 31, 2017 and January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4"/>
            <w:vMerge w:val="restart"/>
          </w:tcPr>
          <w:p>
            <w:pPr>
              <w:jc w:val="right"/>
              <w:ind w:right="1040"/>
              <w:spacing w:after="0"/>
              <w:rPr>
                <w:sz w:val="20"/>
                <w:szCs w:val="20"/>
                <w:color w:val="auto"/>
              </w:rPr>
            </w:pPr>
            <w:r>
              <w:rPr>
                <w:rFonts w:ascii="Arial" w:cs="Arial" w:eastAsia="Arial" w:hAnsi="Arial"/>
                <w:sz w:val="14"/>
                <w:szCs w:val="14"/>
                <w:b w:val="1"/>
                <w:bCs w:val="1"/>
                <w:color w:val="auto"/>
              </w:rPr>
              <w:t>Balance at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90"/>
              </w:rPr>
              <w:t>(Decrease)/Increase compared to</w:t>
            </w: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301"/>
              <w:spacing w:after="0"/>
              <w:rPr>
                <w:sz w:val="20"/>
                <w:szCs w:val="20"/>
                <w:color w:val="auto"/>
              </w:rPr>
            </w:pPr>
            <w:r>
              <w:rPr>
                <w:rFonts w:ascii="Arial" w:cs="Arial" w:eastAsia="Arial" w:hAnsi="Arial"/>
                <w:sz w:val="14"/>
                <w:szCs w:val="14"/>
                <w:b w:val="1"/>
                <w:bCs w:val="1"/>
                <w:color w:val="auto"/>
                <w:w w:val="93"/>
              </w:rPr>
              <w:t>prior fiscal year</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2017</w:t>
            </w:r>
          </w:p>
        </w:tc>
        <w:tc>
          <w:tcPr>
            <w:tcW w:w="16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2016</w:t>
            </w:r>
          </w:p>
        </w:tc>
        <w:tc>
          <w:tcPr>
            <w:tcW w:w="180" w:type="dxa"/>
            <w:vAlign w:val="bottom"/>
          </w:tcPr>
          <w:p>
            <w:pPr>
              <w:spacing w:after="0"/>
              <w:rPr>
                <w:sz w:val="22"/>
                <w:szCs w:val="22"/>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Subscriptions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New Model Subscriptions</w:t>
            </w:r>
          </w:p>
        </w:tc>
        <w:tc>
          <w:tcPr>
            <w:tcW w:w="14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1,087.8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660.6</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Subscriptions</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529.7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40"/>
              <w:spacing w:after="0"/>
              <w:rPr>
                <w:sz w:val="20"/>
                <w:szCs w:val="20"/>
                <w:color w:val="auto"/>
              </w:rPr>
            </w:pPr>
            <w:r>
              <w:rPr>
                <w:rFonts w:ascii="Arial" w:cs="Arial" w:eastAsia="Arial" w:hAnsi="Arial"/>
                <w:sz w:val="16"/>
                <w:szCs w:val="16"/>
                <w:color w:val="auto"/>
              </w:rPr>
              <w:t>Maintenance ARR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1,071.3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1,121.4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Model ARR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273.6</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84"/>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ARR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1,599.9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1,376.4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223.5</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311"/>
        </w:trPr>
        <w:tc>
          <w:tcPr>
            <w:tcW w:w="5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00" w:type="dxa"/>
            <w:vAlign w:val="bottom"/>
          </w:tcPr>
          <w:p>
            <w:pPr>
              <w:ind w:left="40"/>
              <w:spacing w:after="0"/>
              <w:rPr>
                <w:sz w:val="20"/>
                <w:szCs w:val="20"/>
                <w:color w:val="auto"/>
              </w:rPr>
            </w:pPr>
            <w:r>
              <w:rPr>
                <w:rFonts w:ascii="Arial" w:cs="Arial" w:eastAsia="Arial" w:hAnsi="Arial"/>
                <w:sz w:val="14"/>
                <w:szCs w:val="14"/>
                <w:i w:val="1"/>
                <w:iCs w:val="1"/>
                <w:color w:val="auto"/>
              </w:rPr>
              <w:t>(ARR divided by Subscriptions)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4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ARPS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New Model ARPS</w:t>
            </w:r>
          </w:p>
        </w:tc>
        <w:tc>
          <w:tcPr>
            <w:tcW w:w="14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ARPS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Year-over-year maintenance subscriptions decreased 6% as of January 31, 2017 as compared to the prior fiscal year, primarily as a result of the discontinuation of new perpetual license sales for most individual products at the end of the fourth quarter of fiscal 2016 and the end of perpetual suites at the end of second quarter of fiscal 2017, partially offset by the addition of approximately 14,000 maintenance subscriptions associated with an acquisition in the first quarter of fiscal 2017. Year-over-year new model subscriptions increased 155% as of January 31, 2017 as compared to the prior fiscal year, primarily driven by growth in all new model subscription types, led by product subscription. New model subscriptions also benefited from a promotion aimed at converting legacy non-subscribers, which captured approximately 75,000 additional product subscriptions.</w:t>
      </w:r>
    </w:p>
    <w:p>
      <w:pPr>
        <w:spacing w:after="0" w:line="178"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Total ARR increased 16% as of January 31, 2017 as compared to the prior fiscal year primarily due to a 107% increase in New Model ARR driven by growth in all new model subscription types, led by product subscription. ARR growth was negatively impacted by 3 percentage points from the allocation of our market development funds ("MDF").</w:t>
      </w:r>
    </w:p>
    <w:p>
      <w:pPr>
        <w:spacing w:after="0" w:line="181"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The 4% decrease in total ARPS was primarily due to a 19% decrease in new model ARPS. The decline in new model ARPS is a result of individual product subscriptions leading the growth in new model subscriptions, which are priced lower than our flexible enterprise business agreements, and in turn, decreases ARPS.</w:t>
      </w:r>
    </w:p>
    <w:p>
      <w:pPr>
        <w:spacing w:after="0" w:line="20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ARPS is also declining because of various factors including mix, foreign currency, and the contra-revenue impact of MDF discussed above. Going forward the ARPS calculation will continue to be extremely sensitive to short-term shifts in term-length, geography mix and promotions. We expect to see ARPS fluctuate up or down on a quarterly basis and we do not expect it will increase evenly throughout the year. As we complete our business model transition, we expect all of these impacts to start to stabilize.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Foreign Currency Analysis</w:t>
      </w:r>
    </w:p>
    <w:p>
      <w:pPr>
        <w:spacing w:after="0" w:line="22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We generate a significant amount of our revenue in the U.S., Germany, Japan, the United Kingdom and Canada. Total net revenue for fiscal 2017 decreased 19% on an as reported basis compared to the prior fiscal year, and was negatively impacted by foreign exchange rate changes during fiscal 2017. Had applicable exchange rates from fiscal 2016 been in effect during fiscal 2017 and had we excluded foreign exchange hedge gains and losses from both fiscal 2016 and 2017, net revenue would have decreased 16% on a constant currency basis compared to the prior fiscal year.</w:t>
      </w:r>
    </w:p>
    <w:p>
      <w:pPr>
        <w:spacing w:after="0" w:line="15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total spend, defined as cost of revenue plus operating expenses, during fiscal 2017 increased 1% on an as reported basis as compared to the prior fiscal year. Had applicable exchange rates from fiscal 2016 been in effect during fiscal 2017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7790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44</w:t>
      </w:r>
    </w:p>
    <w:p>
      <w:pPr>
        <w:sectPr>
          <w:pgSz w:w="11900" w:h="16838" w:orient="portrait"/>
          <w:cols w:equalWidth="0" w:num="1">
            <w:col w:w="11360"/>
          </w:cols>
          <w:pgMar w:left="240" w:top="125"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had we excluded foreign exchange hedge gains and losses from both fiscal 2016 and 2017, total spend would have increased 3% on a constant currency basis compared to the prior fiscal year.</w:t>
      </w:r>
    </w:p>
    <w:p>
      <w:pPr>
        <w:spacing w:after="0" w:line="1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from operations in future periods. We use foreign currency contracts to reduce the exchange rate effect on a portion of the net revenue and spend of certain anticipated transactions but do not attempt to completely mitigate the impact of fluctuations of such foreign currency against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Balance Sheet and Cash Flow Items</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At January 31, 2017, we had $2.2 billion in cash and marketable securities. We completed fiscal 2017 with higher deferred revenue and lower accounts receivable balances as compared to the prior fiscal year. Our deferred revenue balance at January 31, 2017 was $1.8 billion, which will be recognized as revenue ratably over the life of the contracts. The term of our subscription contracts is typically between one and three years. Our cash flow from operations decreased 59% to $169.7 million as of January 31, 2017 from $414.0 million at January 31, 2016. We repurchased 9.7 million shares of our common stock for $631.6 million during fiscal 2017. Comparatively, we repurchased 8.5 million shares of our common stock for $458.0 million during fiscal 2016. Further discussion regarding the balance sheet and cash flow activities are discussed below under the heading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32BCAD"/>
        </w:rPr>
        <w:t>Current Period Adjustments</w:t>
      </w:r>
    </w:p>
    <w:p>
      <w:pPr>
        <w:spacing w:after="0" w:line="225"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Subsequent to furnishing preliminary financial statements on Form 8-K on March 2, 2017 for fiscal year 2017, we identified certain adjustments resulting in changes to the Condensed Consolidated Statements of Operations, Condensed Consolidated Statements of Comprehensive Income, Condensed Consolidated Balance Sheet, Condensed Consolidated Statements of Cash Flows, and Consolidated Statements of Stockholder's Equity as reflected in this Annual Report on Form 10-K that adjusted the Income Statement and Balance Sheet line items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As furnished in the March 2, 2017 8-K</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Adjustment</w:t>
            </w:r>
          </w:p>
        </w:tc>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Adjusted balances as reflected within this</w:t>
            </w:r>
          </w:p>
        </w:tc>
        <w:tc>
          <w:tcPr>
            <w:tcW w:w="0" w:type="dxa"/>
            <w:vAlign w:val="bottom"/>
          </w:tcPr>
          <w:p>
            <w:pPr>
              <w:spacing w:after="0"/>
              <w:rPr>
                <w:sz w:val="1"/>
                <w:szCs w:val="1"/>
                <w:color w:val="auto"/>
              </w:rPr>
            </w:pPr>
          </w:p>
        </w:tc>
      </w:tr>
      <w:tr>
        <w:trPr>
          <w:trHeight w:val="192"/>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w:t>
            </w:r>
          </w:p>
        </w:tc>
        <w:tc>
          <w:tcPr>
            <w:tcW w:w="400" w:type="dxa"/>
            <w:vAlign w:val="bottom"/>
          </w:tcPr>
          <w:p>
            <w:pPr>
              <w:spacing w:after="0"/>
              <w:rPr>
                <w:sz w:val="16"/>
                <w:szCs w:val="16"/>
                <w:color w:val="auto"/>
              </w:rPr>
            </w:pPr>
          </w:p>
        </w:tc>
        <w:tc>
          <w:tcPr>
            <w:tcW w:w="35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980" w:type="dxa"/>
            <w:vAlign w:val="bottom"/>
          </w:tcPr>
          <w:p>
            <w:pPr>
              <w:jc w:val="right"/>
              <w:ind w:right="1080"/>
              <w:spacing w:after="0"/>
              <w:rPr>
                <w:sz w:val="20"/>
                <w:szCs w:val="20"/>
                <w:color w:val="auto"/>
              </w:rPr>
            </w:pPr>
            <w:r>
              <w:rPr>
                <w:rFonts w:ascii="Arial" w:cs="Arial" w:eastAsia="Arial" w:hAnsi="Arial"/>
                <w:sz w:val="14"/>
                <w:szCs w:val="14"/>
                <w:b w:val="1"/>
                <w:bCs w:val="1"/>
                <w:color w:val="auto"/>
              </w:rPr>
              <w:t>10-K</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Statement</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3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338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3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Basic net loss per share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338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per share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3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Balance Sheet</w:t>
            </w:r>
          </w:p>
        </w:tc>
        <w:tc>
          <w:tcPr>
            <w:tcW w:w="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 term deferred revenue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3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1,270.1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Long term deferred revenue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3380" w:type="dxa"/>
            <w:vAlign w:val="bottom"/>
          </w:tcPr>
          <w:p>
            <w:pPr>
              <w:jc w:val="right"/>
              <w:ind w:right="40"/>
              <w:spacing w:after="0"/>
              <w:rPr>
                <w:sz w:val="20"/>
                <w:szCs w:val="20"/>
                <w:color w:val="auto"/>
              </w:rPr>
            </w:pPr>
            <w:r>
              <w:rPr>
                <w:rFonts w:ascii="Arial" w:cs="Arial" w:eastAsia="Arial" w:hAnsi="Arial"/>
                <w:sz w:val="16"/>
                <w:szCs w:val="16"/>
                <w:color w:val="auto"/>
              </w:rPr>
              <w:t>505.2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20"/>
              <w:spacing w:after="0"/>
              <w:rPr>
                <w:sz w:val="20"/>
                <w:szCs w:val="20"/>
                <w:color w:val="auto"/>
              </w:rPr>
            </w:pPr>
            <w:r>
              <w:rPr>
                <w:rFonts w:ascii="Arial" w:cs="Arial" w:eastAsia="Arial" w:hAnsi="Arial"/>
                <w:sz w:val="16"/>
                <w:szCs w:val="16"/>
                <w:color w:val="auto"/>
              </w:rPr>
              <w:t>517.9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312420</wp:posOffset>
            </wp:positionV>
            <wp:extent cx="97790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Change compared to prior fiscal</w:t>
            </w: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4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6"/>
              </w:rPr>
              <w:t>Change compared to prior fiscal year</w:t>
            </w:r>
          </w:p>
        </w:tc>
        <w:tc>
          <w:tcPr>
            <w:tcW w:w="160" w:type="dxa"/>
            <w:vAlign w:val="bottom"/>
          </w:tcPr>
          <w:p>
            <w:pPr>
              <w:spacing w:after="0"/>
              <w:rPr>
                <w:sz w:val="14"/>
                <w:szCs w:val="14"/>
                <w:color w:val="auto"/>
              </w:rPr>
            </w:pPr>
          </w:p>
        </w:tc>
        <w:tc>
          <w:tcPr>
            <w:tcW w:w="9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gridSpan w:val="3"/>
          </w:tcPr>
          <w:p>
            <w:pPr>
              <w:jc w:val="center"/>
              <w:ind w:right="1060"/>
              <w:spacing w:after="0" w:line="145" w:lineRule="exact"/>
              <w:rPr>
                <w:sz w:val="20"/>
                <w:szCs w:val="20"/>
                <w:color w:val="auto"/>
              </w:rPr>
            </w:pPr>
            <w:r>
              <w:rPr>
                <w:rFonts w:ascii="Arial" w:cs="Arial" w:eastAsia="Arial" w:hAnsi="Arial"/>
                <w:sz w:val="14"/>
                <w:szCs w:val="14"/>
                <w:b w:val="1"/>
                <w:bCs w:val="1"/>
                <w:color w:val="auto"/>
                <w:w w:val="90"/>
              </w:rPr>
              <w:t>year</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22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3"/>
              </w:rPr>
              <w:t>Ended January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restart"/>
          </w:tcPr>
          <w:p>
            <w:pPr>
              <w:jc w:val="right"/>
              <w:ind w:right="5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31, 2017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5"/>
              </w:rPr>
              <w:t>31, 2016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1,290.0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1,277.2</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106.4</w:t>
            </w: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1,170.8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1,341.4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2,031.0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(473.1)</w:t>
            </w:r>
          </w:p>
        </w:tc>
        <w:tc>
          <w:tcPr>
            <w:tcW w:w="40" w:type="dxa"/>
            <w:vAlign w:val="bottom"/>
            <w:tcBorders>
              <w:top w:val="single" w:sz="8" w:color="auto"/>
              <w:bottom w:val="single" w:sz="8" w:color="auto"/>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2,504.1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340" w:type="dxa"/>
            <w:vAlign w:val="bottom"/>
            <w:tcBorders>
              <w:bottom w:val="single" w:sz="8" w:color="CCEEFF"/>
            </w:tcBorders>
            <w:gridSpan w:val="2"/>
          </w:tcPr>
          <w:p>
            <w:pPr>
              <w:ind w:left="860"/>
              <w:spacing w:after="0"/>
              <w:rPr>
                <w:sz w:val="20"/>
                <w:szCs w:val="20"/>
                <w:color w:val="auto"/>
              </w:rPr>
            </w:pPr>
            <w:r>
              <w:rPr>
                <w:rFonts w:ascii="Arial" w:cs="Arial" w:eastAsia="Arial" w:hAnsi="Arial"/>
                <w:sz w:val="16"/>
                <w:szCs w:val="16"/>
                <w:color w:val="auto"/>
              </w:rPr>
              <w:t>—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2,512.2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Product Family:</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Architecture, Engineering, and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ind w:left="540"/>
              <w:spacing w:after="0"/>
              <w:rPr>
                <w:sz w:val="20"/>
                <w:szCs w:val="20"/>
                <w:color w:val="auto"/>
              </w:rPr>
            </w:pPr>
            <w:r>
              <w:rPr>
                <w:rFonts w:ascii="Arial" w:cs="Arial" w:eastAsia="Arial" w:hAnsi="Arial"/>
                <w:sz w:val="16"/>
                <w:szCs w:val="16"/>
                <w:color w:val="auto"/>
              </w:rPr>
              <w:t>Construction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880.9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949.1</w:t>
            </w:r>
          </w:p>
        </w:tc>
        <w:tc>
          <w:tcPr>
            <w:tcW w:w="10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76.5</w:t>
            </w:r>
          </w:p>
        </w:tc>
        <w:tc>
          <w:tcPr>
            <w:tcW w:w="124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872.6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AutoCAD and AutoCAD LT (1)</w:t>
            </w: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326.7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594.8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(100.3)</w:t>
            </w: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695.1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Arial" w:cs="Arial" w:eastAsia="Arial" w:hAnsi="Arial"/>
                <w:sz w:val="16"/>
                <w:szCs w:val="16"/>
                <w:color w:val="auto"/>
              </w:rPr>
              <w:t>Other (1)</w:t>
            </w: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w:t>
            </w: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(473.1)</w:t>
            </w:r>
          </w:p>
        </w:tc>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3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2,512.2</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jc w:val="right"/>
              <w:ind w:right="1159"/>
              <w:spacing w:after="0"/>
              <w:rPr>
                <w:sz w:val="20"/>
                <w:szCs w:val="20"/>
                <w:color w:val="auto"/>
              </w:rPr>
            </w:pPr>
            <w:r>
              <w:rPr>
                <w:rFonts w:ascii="Arial" w:cs="Arial" w:eastAsia="Arial" w:hAnsi="Arial"/>
                <w:sz w:val="18"/>
                <w:szCs w:val="18"/>
                <w:color w:val="auto"/>
                <w:w w:val="88"/>
              </w:rPr>
              <w:t>____________________</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BCAD"/>
        </w:rPr>
        <w:t>Fiscal 2017 Net Revenue Compared to Fiscal 2016 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Subscription Revenue</w:t>
      </w:r>
    </w:p>
    <w:p>
      <w:pPr>
        <w:spacing w:after="0" w:line="22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Our Subscription revenue consists of three components: (1) maintenance plan revenue from our perpetual software products; (2) maintenance revenue from our term-based product subscriptions and flexible enterprise business agreements; and (3) revenue from our cloud service offerings. Our maintenance plan provides our customers with a cost effective and predictable budgetary option to obtain the productivity benefits of our new releases and enhancements when and if released during the term of their contracts. Under our maintenance plan, customers are eligible to receive unspecified upgrades when and if available, and online support. We recognize maintenance plan revenue over the term of the agreements, generally between one and three years. With the discontinuation of our perpetual license sales, we no longer offer new maintenance subscriptions and expect our maintenance subscription revenue to decline over time. Our flexible enterprise business agreements are designed to give our customers increased flexibility with how they use our products and service offerings and to attract a broader range of customers such as project-based users and small businesses. We recognize maintenance revenue from these enterprise agreements ratably over their contract terms. Revenue for our cloud service offerings is recognized ratably over the contract term commencing with the date our service is made available to customers and when all other revenue recognition criteria have been satisfied.</w:t>
      </w:r>
    </w:p>
    <w:p>
      <w:pPr>
        <w:spacing w:after="0" w:line="16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Subscription revenue increased 1% during fiscal 2017 as compared to fiscal 2016 primarily due to a 39% increase in new model subscription revenue, partially offset by a 3% decrease in maintenance plan revenue. The 39% increase in new model subscription revenue was primarily attributable to a 186% increase in product subscription revenue and a 28% increase in revenue from flexible enterprise business agreements. The 3% decrease in maintenance plan revenue was attributable to the business model transition, as we expect maintenance plan revenue will slowly decline as perpetual license sales have ended, and customers adopt our new model subscription offerings.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Maintenance revenue from perpetual software products represented 86% and 90% of subscription revenue for the fiscal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New model subscription revenue represented 14% and 10% of subscription revenue for the fiscal year ended January 31,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97790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0696D7"/>
        </w:rPr>
        <w:t>License and Other Revenue</w:t>
      </w:r>
    </w:p>
    <w:p>
      <w:pPr>
        <w:spacing w:after="0" w:line="225"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License and other revenue consists of two components: (1) all forms of product license revenue and (2) other revenue. Product license revenue includes software license revenue from the sale of perpetual licenses, term-based licenses from our product subscriptions and flexible enterprise business agreements, and product revenue for Creative Finishing. Other revenue includes revenue from consulting, training, Autodesk Developers Network and Creative Finishing customer support, and is recognized over time, as the services are performed.</w:t>
      </w:r>
    </w:p>
    <w:p>
      <w:pPr>
        <w:spacing w:after="0" w:line="187" w:lineRule="exact"/>
        <w:rPr>
          <w:sz w:val="20"/>
          <w:szCs w:val="20"/>
          <w:color w:val="auto"/>
        </w:rPr>
      </w:pPr>
    </w:p>
    <w:p>
      <w:pPr>
        <w:jc w:val="both"/>
        <w:ind w:right="120" w:firstLine="405"/>
        <w:spacing w:after="0" w:line="279" w:lineRule="auto"/>
        <w:rPr>
          <w:sz w:val="20"/>
          <w:szCs w:val="20"/>
          <w:color w:val="auto"/>
        </w:rPr>
      </w:pPr>
      <w:r>
        <w:rPr>
          <w:rFonts w:ascii="Arial" w:cs="Arial" w:eastAsia="Arial" w:hAnsi="Arial"/>
          <w:sz w:val="17"/>
          <w:szCs w:val="17"/>
          <w:color w:val="auto"/>
        </w:rPr>
        <w:t>License and other revenue decreased 40% during fiscal 2017 as compared to fiscal 2016. Product license revenue, as a percentage of license and other revenue, was 82% and 88% for fiscal 2017 and 2016, respectively. The decrease in product license revenue was due to the business model transition, which led to a 63% decrease in revenue from perpetual licenses as we have discontinued selling perpetual seats of most of our product offerings. This decrease was partially offset by a 122% increase in license revenue from our new model subscription offerings.</w:t>
      </w:r>
    </w:p>
    <w:p>
      <w:pPr>
        <w:spacing w:after="0" w:line="17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Other revenue decreased by 7% during fiscal 2017 as compared to fiscal 2016. Other revenue represented 7% and 6% of total net revenue for fiscal 2017 and 2016, respectively.</w:t>
      </w:r>
    </w:p>
    <w:p>
      <w:pPr>
        <w:spacing w:after="0" w:line="17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There was no backlog at January 31, 2017 compared to $31.4 million at January 31, 2016. Due to the business model transition, we do not expect material backlog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0696D7"/>
        </w:rPr>
        <w:t>Net Revenue by Product Family</w:t>
      </w:r>
    </w:p>
    <w:p>
      <w:pPr>
        <w:spacing w:after="0" w:line="22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product offerings are focused in four primary product families: AEC, MFG, AutoCAD and AutoCAD LT (“ACAD”), and M&amp;E. During the business model transition, revenue has been and will be negatively impacted as more revenue is recognized ratably rather than upfront and as new product offerings generally have a lower initial purchase price. As part of the transition, we discontinued selling new perpetual licenses of most individual software products effective February 1, 2016, and discontinued selling new perpetual licenses of suites effective August 1, 2016. These broad impacts are reflected in the drivers below.</w:t>
      </w:r>
    </w:p>
    <w:p>
      <w:pPr>
        <w:spacing w:after="0" w:line="188"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Net revenue for AEC product family decreased by 7% during fiscal 2017 as compared to the prior fiscal year, primarily due to 15% decrease in revenue from individual product offerings.</w:t>
      </w:r>
    </w:p>
    <w:p>
      <w:pPr>
        <w:spacing w:after="0" w:line="17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Net revenue for MFG product family decreased by 14% during fiscal 2017 as compared to the prior fiscal year, primarily due to a 14% decrease in individual product offerings and a 13% decrease in our MFG suites.</w:t>
      </w:r>
    </w:p>
    <w:p>
      <w:pPr>
        <w:spacing w:after="0" w:line="17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Net revenue for ACAD product family decreased by 45% during fiscal 2017 as compared to the prior fiscal year. As part of the transition to term-based product subscriptions for our individual software products in February 2016, products like AutoCAD and ACAD LT are negatively impacted when compared to the same period in the prior fiscal year as revenue is recognized ratably rather than upfront.</w:t>
      </w:r>
    </w:p>
    <w:p>
      <w:pPr>
        <w:spacing w:after="0" w:line="181"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Net revenue for M&amp;E product family decreased by 13% during fiscal 2017 as compared to the prior fiscal year, primarily due to a 50% decrease in Creative Finishing, as we exited the Creative Finishing hardware business at the beginning of the fourth quarter of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256540</wp:posOffset>
            </wp:positionV>
            <wp:extent cx="97790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Net Revenue by Geographic Area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Change compared to prior fiscal</w:t>
            </w:r>
          </w:p>
        </w:tc>
        <w:tc>
          <w:tcPr>
            <w:tcW w:w="1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14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Change compared to prior fiscal</w:t>
            </w:r>
          </w:p>
        </w:tc>
        <w:tc>
          <w:tcPr>
            <w:tcW w:w="160" w:type="dxa"/>
            <w:vAlign w:val="bottom"/>
          </w:tcPr>
          <w:p>
            <w:pPr>
              <w:spacing w:after="0"/>
              <w:rPr>
                <w:sz w:val="14"/>
                <w:szCs w:val="14"/>
                <w:color w:val="auto"/>
              </w:rPr>
            </w:pPr>
          </w:p>
        </w:tc>
        <w:tc>
          <w:tcPr>
            <w:tcW w:w="9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3"/>
          </w:tcPr>
          <w:p>
            <w:pPr>
              <w:jc w:val="center"/>
              <w:ind w:right="1060"/>
              <w:spacing w:after="0" w:line="145" w:lineRule="exact"/>
              <w:rPr>
                <w:sz w:val="20"/>
                <w:szCs w:val="20"/>
                <w:color w:val="auto"/>
              </w:rPr>
            </w:pPr>
            <w:r>
              <w:rPr>
                <w:rFonts w:ascii="Arial" w:cs="Arial" w:eastAsia="Arial" w:hAnsi="Arial"/>
                <w:sz w:val="14"/>
                <w:szCs w:val="14"/>
                <w:b w:val="1"/>
                <w:bCs w:val="1"/>
                <w:color w:val="auto"/>
                <w:w w:val="97"/>
              </w:rPr>
              <w:t>year</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3"/>
          </w:tcPr>
          <w:p>
            <w:pPr>
              <w:jc w:val="center"/>
              <w:ind w:right="1060"/>
              <w:spacing w:after="0" w:line="145" w:lineRule="exact"/>
              <w:rPr>
                <w:sz w:val="20"/>
                <w:szCs w:val="20"/>
                <w:color w:val="auto"/>
              </w:rPr>
            </w:pPr>
            <w:r>
              <w:rPr>
                <w:rFonts w:ascii="Arial" w:cs="Arial" w:eastAsia="Arial" w:hAnsi="Arial"/>
                <w:sz w:val="14"/>
                <w:szCs w:val="14"/>
                <w:b w:val="1"/>
                <w:bCs w:val="1"/>
                <w:color w:val="auto"/>
                <w:w w:val="97"/>
              </w:rPr>
              <w:t>year</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1240" w:type="dxa"/>
            <w:vAlign w:val="bottom"/>
            <w:gridSpan w:val="3"/>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5"/>
              </w:rPr>
              <w:t>Ended January</w:t>
            </w:r>
          </w:p>
        </w:tc>
        <w:tc>
          <w:tcPr>
            <w:tcW w:w="0" w:type="dxa"/>
            <w:vAlign w:val="bottom"/>
          </w:tcPr>
          <w:p>
            <w:pPr>
              <w:spacing w:after="0"/>
              <w:rPr>
                <w:sz w:val="1"/>
                <w:szCs w:val="1"/>
                <w:color w:val="auto"/>
              </w:rPr>
            </w:pPr>
          </w:p>
        </w:tc>
      </w:tr>
      <w:tr>
        <w:trPr>
          <w:trHeight w:val="52"/>
        </w:trPr>
        <w:tc>
          <w:tcPr>
            <w:tcW w:w="314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vMerge w:val="restart"/>
          </w:tcPr>
          <w:p>
            <w:pPr>
              <w:jc w:val="right"/>
              <w:ind w:right="5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31, 2017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31, 2016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31, 2015</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871.9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(100.9)</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972.8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898.0</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980.0</w:t>
            </w:r>
          </w:p>
        </w:tc>
        <w:tc>
          <w:tcPr>
            <w:tcW w:w="0" w:type="dxa"/>
            <w:vAlign w:val="bottom"/>
          </w:tcPr>
          <w:p>
            <w:pPr>
              <w:spacing w:after="0"/>
              <w:rPr>
                <w:sz w:val="1"/>
                <w:szCs w:val="1"/>
                <w:color w:val="auto"/>
              </w:rPr>
            </w:pPr>
          </w:p>
        </w:tc>
      </w:tr>
      <w:tr>
        <w:trPr>
          <w:trHeight w:val="237"/>
        </w:trPr>
        <w:tc>
          <w:tcPr>
            <w:tcW w:w="314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358.7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(238.0)</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596.7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634.2</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2,031.0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2,504.1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2,512.2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432"/>
        <w:spacing w:after="0" w:line="342" w:lineRule="auto"/>
        <w:rPr>
          <w:sz w:val="20"/>
          <w:szCs w:val="20"/>
          <w:color w:val="auto"/>
        </w:rPr>
      </w:pPr>
      <w:r>
        <w:rPr>
          <w:rFonts w:ascii="Arial" w:cs="Arial" w:eastAsia="Arial" w:hAnsi="Arial"/>
          <w:sz w:val="16"/>
          <w:szCs w:val="16"/>
          <w:color w:val="auto"/>
        </w:rPr>
        <w:t>Net revenue in the Americas geography decreased by 10% on an as reported basis and on a constant currency basis during fiscal 2017, as compared to the prior fiscal year. Net revenue in the Americas attributable to the United States was approximately 85% and 83% for fiscal 2017 and 2016, respectively.</w:t>
      </w:r>
    </w:p>
    <w:p>
      <w:pPr>
        <w:spacing w:after="0" w:line="124" w:lineRule="exact"/>
        <w:rPr>
          <w:sz w:val="20"/>
          <w:szCs w:val="20"/>
          <w:color w:val="auto"/>
        </w:rPr>
      </w:pPr>
    </w:p>
    <w:p>
      <w:pPr>
        <w:jc w:val="both"/>
        <w:ind w:right="160" w:firstLine="432"/>
        <w:spacing w:after="0" w:line="302" w:lineRule="auto"/>
        <w:rPr>
          <w:sz w:val="20"/>
          <w:szCs w:val="20"/>
          <w:color w:val="auto"/>
        </w:rPr>
      </w:pPr>
      <w:r>
        <w:rPr>
          <w:rFonts w:ascii="Arial" w:cs="Arial" w:eastAsia="Arial" w:hAnsi="Arial"/>
          <w:sz w:val="16"/>
          <w:szCs w:val="16"/>
          <w:color w:val="auto"/>
        </w:rPr>
        <w:t>International net revenue represented 63% and 68% of our net revenue for fiscal 2017 and 2016, respectively. Net revenue in the Europe, Middle East and Africa ("EMEA") geography decreased by 14% on an as reported basis and 8% on a constant currency basis during fiscal 2017 as compared to the prior fiscal year. Net revenue in the Asia Pacific ("APAC") geography decreased 40% on an as reported basis and 39% on a constant currency basis, during fiscal 2017 as compared to the prior fiscal year, primarily as a result of the business model transition and continued weakness in Japan.</w:t>
      </w:r>
    </w:p>
    <w:p>
      <w:pPr>
        <w:spacing w:after="0" w:line="15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Weak global economic conditions that have been characterized by restructuring of sovereign debt, high unemployment, and volatility in the financial markets may impact our future financial results. Additionally during the business model transition, revenue has been and will be negatively impacted as more revenue is recognized ratably rather than upfront and as new product offerings generally have a lower initial purchase price. This transition has a particular impact to emerging economies as sales of perpetual licenses have historically comprised a greater percentage of total emerging economy sales in comparison to mature markets.</w:t>
      </w:r>
    </w:p>
    <w:p>
      <w:pPr>
        <w:spacing w:after="0" w:line="182"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Net revenue in emerging economies decreased 38% on an as reported basis and 37% on a constant currency basis, during fiscal 2017 as compared to the prior fiscal year. Revenue from emerging economies represented 11% and 15% of total net revenue for fiscal 2017 and 2016,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Fiscal 2016 Net Revenue Compared to Fiscal 2015 Net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Discussion has been update to provide comparability to the discussion between fiscal 2017 and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Subscription Revenue</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Subscription revenue increased 9% during fiscal 2016 as compared to fiscal 2015 due to a 7% increase in maintenance plan revenue and a 36% increase in new model subscription revenue. The 36% increase in new model subscription revenue was due to a 38% increase in revenue from flexible enterprise business agreements and a 231% increase in product subscription revenue.</w:t>
      </w:r>
    </w:p>
    <w:p>
      <w:pPr>
        <w:spacing w:after="0" w:line="181"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Maintenance plan revenue from perpetual license software products represented 90% and 92% of subscription revenue for fiscal 2016 and 2015, respectively. New model subscription revenue represented 10% and 8% of subscription revenue for fiscal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97790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License and Other Revenue</w:t>
      </w:r>
    </w:p>
    <w:p>
      <w:pPr>
        <w:spacing w:after="0" w:line="22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Total license and other revenue decreased 9% during fiscal 2016 as compared to fiscal 2015. Product license revenue, as a percentage of license and other revenue, was 88% and 90% for fiscal 2016 and 2015, respectively. The decrease in product license revenue was led by a 17% decrease in revenue from perpetual licenses, partially offset by a 198% increase in license revenue from our new model subscription offerings.</w:t>
      </w:r>
    </w:p>
    <w:p>
      <w:pPr>
        <w:spacing w:after="0" w:line="166"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Other revenue increased by 12% during fiscal 2016 as compared to fiscal 2015. Other revenue represented 6% and 5% of total net revenue for fiscal 2016 and 2015, respectively.</w:t>
      </w:r>
    </w:p>
    <w:p>
      <w:pPr>
        <w:spacing w:after="0" w:line="17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Backlog related to current software license product orders that had not shipped at the end of the fiscal year decreased by $9.0 million from $40.4 million at January 31, 2015 to $31.4 million at January 31,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Net Revenue by Geographic Area</w:t>
      </w:r>
    </w:p>
    <w:p>
      <w:pPr>
        <w:spacing w:after="0" w:line="225"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Net revenue in the Americas geography increased by 8% as reported and 9% on a constant currency basis during fiscal 2016, as compared to the prior fiscal year. Net revenue in the Americas attributable to the United States was approximately 83% and 82% for fiscal 2016 and 2015, respectively.</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International net revenue represented 68% and 71% of our total net revenue for fiscal 2016 and 2015, respectively. Net revenue in the EMEA geography decreased by 5% on an as reported basis and increased 3% on a constant currency basis during fiscal 2016 as compared to the prior fiscal year. Net revenue in the APAC geography decreased 6% on an as reported basis and 1% on a constant currency basis, during fiscal 2016 as compared to the prior fiscal year.</w:t>
      </w:r>
    </w:p>
    <w:p>
      <w:pPr>
        <w:spacing w:after="0" w:line="14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Net revenue in emerging economies decreased 4% on an as reported basis and 2% on a constant currency basis, during fiscal 2016 as compared to the prior fiscal year, primarily due to decreases in revenue from Russia and Brazil, partially offset by an increase in revenue from China. Revenue from emerging economies represented 15% of total net revenue for both fiscal 2016 and 2015,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Net Revenue by Product Family</w:t>
      </w:r>
    </w:p>
    <w:p>
      <w:pPr>
        <w:spacing w:after="0" w:line="225"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Net revenue for the AEC product family increased by 9% during fiscal 2016 as compared to the prior fiscal year primarily due to an 8% increase in revenue from our AEC suites, which was primarily driven by Autodesk Building Design Suite and Autodesk Infrastructure Design Suite.</w:t>
      </w:r>
    </w:p>
    <w:p>
      <w:pPr>
        <w:spacing w:after="0" w:line="14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Net revenue for the MFG product family increased by 7% during fiscal 2016 as compared to the prior fiscal year primarily due to a 78% increase in revenue from our Delcam products as a result of including 12 months of Delcam operating results during fiscal 2016, compared to 10 months during fiscal 2015. Also contributing to the increase in net revenue for MFG during fiscal 2016 was a 12% increase in revenue from our flagship product AutoCAD Mechanical.</w:t>
      </w:r>
    </w:p>
    <w:p>
      <w:pPr>
        <w:spacing w:after="0" w:line="18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Net revenue for the ACAD product family decreased by 14% during fiscal 2016 as compared to the prior fiscal year primarily due to a 26% decrease in revenue from AutoCAD LT. Revenue from AutoCAD decreased by 4% in fiscal 2016 as compared to fiscal 2015.</w:t>
      </w:r>
    </w:p>
    <w:p>
      <w:pPr>
        <w:spacing w:after="0" w:line="17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Net revenue for M&amp;E decreased by 4% during fiscal 2016 as compared to the prior fiscal year, primarily due to a 21% decrease in revenue from Creative Finishing, partially offset by a 1% increase in revenue from Animation. The decline in Creative Finishing was marked by a decrease in revenue from Creative Finishing hardware products and by a general decrease in the M&amp;E industry end-market demand. The slight increase in Animation revenue was primarily due to a 168% increase in our Shotgun product offering as a result of including a full year of Shotgun operating results in fiscal 2016 as compared to six months during fiscal 2015, and a 7% increase in our Maya flagship product offerings, partially offset by a 46% decrease in our Middleware product offerings. M&amp;E revenue is impacted by a general decrease in the M&amp;E industry end-market demand, the planned inclusion of our M&amp;E products in other Autodesk industry suites, and the business model transition as customers are opting for desktop subscription and flexible enterprise offerings. At the beginning of the fourth quarter of fiscal 2016, we exited the Creative Finishing hardware business. This was an immaterial portion of our overall business and comes with substantially lower margins, so we expect that exiting this business will improve our margins within M&amp;E over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2BCAD"/>
        </w:rPr>
        <w:t>Cost of Revenue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Cost of Revenue</w:t>
      </w: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Change compared to</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Change compared to</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prior fiscal year</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5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prior fiscal year</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Fiscal Year Ended</w:t>
            </w:r>
          </w:p>
        </w:tc>
        <w:tc>
          <w:tcPr>
            <w:tcW w:w="0" w:type="dxa"/>
            <w:vAlign w:val="bottom"/>
          </w:tcPr>
          <w:p>
            <w:pPr>
              <w:spacing w:after="0"/>
              <w:rPr>
                <w:sz w:val="1"/>
                <w:szCs w:val="1"/>
                <w:color w:val="auto"/>
              </w:rPr>
            </w:pPr>
          </w:p>
        </w:tc>
      </w:tr>
      <w:tr>
        <w:trPr>
          <w:trHeight w:val="58"/>
        </w:trPr>
        <w:tc>
          <w:tcPr>
            <w:tcW w:w="234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January 31, 2017</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January 31, 2016</w:t>
            </w:r>
          </w:p>
        </w:tc>
        <w:tc>
          <w:tcPr>
            <w:tcW w:w="5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2"/>
              </w:rPr>
              <w:t>January 31, 2015</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4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151.3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156.1</w:t>
            </w:r>
          </w:p>
        </w:tc>
        <w:tc>
          <w:tcPr>
            <w:tcW w:w="120" w:type="dxa"/>
            <w:vAlign w:val="bottom"/>
          </w:tcPr>
          <w:p>
            <w:pPr>
              <w:spacing w:after="0"/>
              <w:rPr>
                <w:sz w:val="20"/>
                <w:szCs w:val="20"/>
                <w:color w:val="auto"/>
              </w:rPr>
            </w:pPr>
          </w:p>
        </w:tc>
        <w:tc>
          <w:tcPr>
            <w:tcW w:w="520" w:type="dxa"/>
            <w:vAlign w:val="bottom"/>
          </w:tcPr>
          <w:p>
            <w:pPr>
              <w:jc w:val="right"/>
              <w:ind w:right="34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3"/>
              <w:spacing w:after="0"/>
              <w:rPr>
                <w:sz w:val="20"/>
                <w:szCs w:val="20"/>
                <w:color w:val="auto"/>
              </w:rPr>
            </w:pPr>
            <w:r>
              <w:rPr>
                <w:rFonts w:ascii="Arial" w:cs="Arial" w:eastAsia="Arial" w:hAnsi="Arial"/>
                <w:sz w:val="16"/>
                <w:szCs w:val="16"/>
                <w:color w:val="auto"/>
              </w:rPr>
              <w:t>22.5</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214.6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84"/>
        </w:trPr>
        <w:tc>
          <w:tcPr>
            <w:tcW w:w="23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341.9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8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370.7</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28.6</w:t>
            </w:r>
          </w:p>
        </w:tc>
        <w:tc>
          <w:tcPr>
            <w:tcW w:w="8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224"/>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Cost of subscription revenue includes the labor costs of providing product support to our maintenance and new model subscription customers, including allocated IT and facilities costs, shipping and handling costs, professional services fees related to operating our network and cloud infrastructure, depreciation expense and operating lease payments associated with computer equipment, data center costs, salaries, related expenses of network operations, amortization of developed technologies, and stock-based compensation expense.</w:t>
      </w:r>
    </w:p>
    <w:p>
      <w:pPr>
        <w:spacing w:after="0" w:line="18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Cost of subscription revenue decreased 3% during fiscal 2017 as compared to fiscal 2016 primarily due to lower amortization expense of developed technologies as a result of fewer assets acquired, as well as a decrease in employee related costs from reduced headcount, and lower professional fees. Cost of subscription revenue increased 17% during fiscal 2016 as compared to fiscal 2015 primarily due to an increase in cloud and hosting related costs in support of our business model transition, and an increase in employee related costs driven by increased employee headcount and product support costs.</w:t>
      </w:r>
    </w:p>
    <w:p>
      <w:pPr>
        <w:spacing w:after="0" w:line="15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developed technology, allocated IT and facilities costs, professional services fees and royalties. Direct material and overhead charges include the cost associated with electronic and physical fulfillment.</w:t>
      </w:r>
    </w:p>
    <w:p>
      <w:pPr>
        <w:spacing w:after="0" w:line="171"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Cost of license and other revenue decreased 11% during fiscal 2017 as compared to fiscal 2016, primarily due to lower professional fees and employee related costs as a result of reduced headcount. Also contributing to lower costs is the elimination of our Creative Finishing hardware business, which we exited in the fourth quarter of fiscal 2016. Cost of license and other revenue increased 3% during fiscal 2016, as compared to fiscal 2015, primarily due to an increase in hardware related costs from our consumer related products, an increase in allocated IT costs, and employee related costs for product support and fulfillment driven by an increase in headcount, partially offset by a decrease in amortization of developed technology.</w:t>
      </w:r>
    </w:p>
    <w:p>
      <w:pPr>
        <w:spacing w:after="0" w:line="15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developed technology, new customer support offerings, royalty rates for licensed technology embedded in our products and stock-based compensation expense.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expect cost of revenue to decrease in absolute dollars and as a percentage of net revenue during fiscal 2018, as compared to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97790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Marketing and Sales</w:t>
      </w: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26"/>
              <w:spacing w:after="0"/>
              <w:rPr>
                <w:sz w:val="20"/>
                <w:szCs w:val="20"/>
                <w:color w:val="auto"/>
              </w:rPr>
            </w:pPr>
            <w:r>
              <w:rPr>
                <w:rFonts w:ascii="Arial" w:cs="Arial" w:eastAsia="Arial" w:hAnsi="Arial"/>
                <w:sz w:val="14"/>
                <w:szCs w:val="14"/>
                <w:b w:val="1"/>
                <w:bCs w:val="1"/>
                <w:color w:val="auto"/>
                <w:w w:val="91"/>
              </w:rPr>
              <w:t>Change compared to</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36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6"/>
              </w:rPr>
              <w:t>Fiscal Year Ended</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93"/>
              </w:rPr>
              <w:t>prior fiscal year</w:t>
            </w:r>
          </w:p>
        </w:tc>
        <w:tc>
          <w:tcPr>
            <w:tcW w:w="340" w:type="dxa"/>
            <w:vAlign w:val="bottom"/>
            <w:tcBorders>
              <w:bottom w:val="single" w:sz="8" w:color="auto"/>
            </w:tcBorders>
          </w:tcPr>
          <w:p>
            <w:pPr>
              <w:spacing w:after="0"/>
              <w:rPr>
                <w:sz w:val="16"/>
                <w:szCs w:val="16"/>
                <w:color w:val="auto"/>
              </w:rPr>
            </w:pP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prior fiscal year</w:t>
            </w:r>
          </w:p>
        </w:tc>
        <w:tc>
          <w:tcPr>
            <w:tcW w:w="320" w:type="dxa"/>
            <w:vAlign w:val="bottom"/>
            <w:tcBorders>
              <w:bottom w:val="single" w:sz="8" w:color="auto"/>
            </w:tcBorders>
          </w:tcPr>
          <w:p>
            <w:pPr>
              <w:spacing w:after="0"/>
              <w:rPr>
                <w:sz w:val="16"/>
                <w:szCs w:val="16"/>
                <w:color w:val="auto"/>
              </w:rPr>
            </w:pPr>
          </w:p>
        </w:tc>
        <w:tc>
          <w:tcPr>
            <w:tcW w:w="13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2"/>
              </w:rPr>
              <w:t>January 31, 2017</w:t>
            </w:r>
          </w:p>
        </w:tc>
        <w:tc>
          <w:tcPr>
            <w:tcW w:w="4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2"/>
              </w:rPr>
              <w:t>January 31, 2016</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2015</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1,022.5</w:t>
            </w:r>
          </w:p>
        </w:tc>
        <w:tc>
          <w:tcPr>
            <w:tcW w:w="46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66"/>
              <w:spacing w:after="0"/>
              <w:rPr>
                <w:sz w:val="20"/>
                <w:szCs w:val="20"/>
                <w:color w:val="auto"/>
              </w:rPr>
            </w:pPr>
            <w:r>
              <w:rPr>
                <w:rFonts w:ascii="Arial" w:cs="Arial" w:eastAsia="Arial" w:hAnsi="Arial"/>
                <w:sz w:val="16"/>
                <w:szCs w:val="16"/>
                <w:color w:val="auto"/>
              </w:rPr>
              <w:t>7.0</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1,015.5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85"/>
              <w:spacing w:after="0"/>
              <w:rPr>
                <w:sz w:val="20"/>
                <w:szCs w:val="20"/>
                <w:color w:val="auto"/>
              </w:rPr>
            </w:pPr>
            <w:r>
              <w:rPr>
                <w:rFonts w:ascii="Arial" w:cs="Arial" w:eastAsia="Arial" w:hAnsi="Arial"/>
                <w:sz w:val="16"/>
                <w:szCs w:val="16"/>
                <w:color w:val="auto"/>
              </w:rPr>
              <w:t>17.5</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998.0</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50%</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payment processing fees, the cost of supplies and equipment, gains and losses on our operating expense cash flow hedges, and allocated IT and facilities costs.</w:t>
      </w:r>
    </w:p>
    <w:p>
      <w:pPr>
        <w:spacing w:after="0" w:line="188"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Marketing and sales expenses increased 1% during fiscal 2017, as compared to fiscal 2016, primarily due to an increase in stock based compensation expense as a result of higher fair market value of awards granted, and an increase in advertising and promotional expense driven by search-engine marketing spend. Offsetting the increase in expense was a decrease in employee-related costs from reduced headcount, and lower professional fees.</w:t>
      </w:r>
    </w:p>
    <w:p>
      <w:pPr>
        <w:spacing w:after="0" w:line="147"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Marketing and sales expenses increased 2% during fiscal 2016, as compared to fiscal 2015, primarily due to an increase in stock based compensation expense as a result of higher fair market value of awards granted, an increase in salaries predominantly driven by increased headcount, and an increase in IT costs allocated to marketing and sales. Partially offsetting the increase in expense was a decrease in sales commission expense.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expect marketing and sales expenses to increase in absolute dollars and as a percentage of net revenue in fiscal 2018 as compared to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321310</wp:posOffset>
            </wp:positionV>
            <wp:extent cx="97790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Research and Development</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5"/>
              </w:rPr>
              <w:t>Change compared to prior fiscal year</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5"/>
              <w:spacing w:after="0"/>
              <w:rPr>
                <w:sz w:val="20"/>
                <w:szCs w:val="20"/>
                <w:color w:val="auto"/>
              </w:rPr>
            </w:pPr>
            <w:r>
              <w:rPr>
                <w:rFonts w:ascii="Arial" w:cs="Arial" w:eastAsia="Arial" w:hAnsi="Arial"/>
                <w:sz w:val="14"/>
                <w:szCs w:val="14"/>
                <w:b w:val="1"/>
                <w:bCs w:val="1"/>
                <w:color w:val="auto"/>
                <w:w w:val="92"/>
              </w:rPr>
              <w:t>Change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2420" w:type="dxa"/>
            <w:vAlign w:val="bottom"/>
            <w:tcBorders>
              <w:bottom w:val="single" w:sz="8" w:color="auto"/>
            </w:tcBorders>
            <w:gridSpan w:val="3"/>
            <w:vMerge w:val="continue"/>
          </w:tcPr>
          <w:p>
            <w:pPr>
              <w:spacing w:after="0"/>
              <w:rPr>
                <w:sz w:val="16"/>
                <w:szCs w:val="16"/>
                <w:color w:val="auto"/>
              </w:rPr>
            </w:pPr>
          </w:p>
        </w:tc>
        <w:tc>
          <w:tcPr>
            <w:tcW w:w="150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05"/>
              <w:spacing w:after="0"/>
              <w:rPr>
                <w:sz w:val="20"/>
                <w:szCs w:val="20"/>
                <w:color w:val="auto"/>
              </w:rPr>
            </w:pPr>
            <w:r>
              <w:rPr>
                <w:rFonts w:ascii="Arial" w:cs="Arial" w:eastAsia="Arial" w:hAnsi="Arial"/>
                <w:sz w:val="14"/>
                <w:szCs w:val="14"/>
                <w:b w:val="1"/>
                <w:bCs w:val="1"/>
                <w:color w:val="auto"/>
                <w:w w:val="97"/>
              </w:rPr>
              <w:t>year</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54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vMerge w:val="restart"/>
          </w:tcPr>
          <w:p>
            <w:pPr>
              <w:jc w:val="right"/>
              <w:ind w:right="783"/>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ind w:right="563"/>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48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2"/>
              </w:rPr>
              <w:t>January 31, 2017</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2"/>
              </w:rPr>
              <w:t>January 31, 2016</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2015</w:t>
            </w: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23"/>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766.1</w:t>
            </w:r>
          </w:p>
        </w:tc>
        <w:tc>
          <w:tcPr>
            <w:tcW w:w="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(23.9)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790.0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725.2</w:t>
            </w:r>
          </w:p>
        </w:tc>
        <w:tc>
          <w:tcPr>
            <w:tcW w:w="0" w:type="dxa"/>
            <w:vAlign w:val="bottom"/>
          </w:tcPr>
          <w:p>
            <w:pPr>
              <w:spacing w:after="0"/>
              <w:rPr>
                <w:sz w:val="1"/>
                <w:szCs w:val="1"/>
                <w:color w:val="auto"/>
              </w:rPr>
            </w:pPr>
          </w:p>
        </w:tc>
      </w:tr>
      <w:tr>
        <w:trPr>
          <w:trHeight w:val="237"/>
        </w:trPr>
        <w:tc>
          <w:tcPr>
            <w:tcW w:w="254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00" w:type="dxa"/>
            <w:vAlign w:val="bottom"/>
          </w:tcPr>
          <w:p>
            <w:pPr>
              <w:spacing w:after="0"/>
              <w:rPr>
                <w:sz w:val="20"/>
                <w:szCs w:val="20"/>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ind w:right="120" w:firstLine="432"/>
        <w:spacing w:after="0" w:line="342" w:lineRule="auto"/>
        <w:rPr>
          <w:sz w:val="20"/>
          <w:szCs w:val="20"/>
          <w:color w:val="auto"/>
        </w:rPr>
      </w:pPr>
      <w:r>
        <w:rPr>
          <w:rFonts w:ascii="Arial" w:cs="Arial" w:eastAsia="Arial" w:hAnsi="Arial"/>
          <w:sz w:val="16"/>
          <w:szCs w:val="16"/>
          <w:color w:val="auto"/>
        </w:rPr>
        <w:t>Research and development expenses decreased 3% during fiscal 2017, as compared to fiscal 2016, primarily due to a decrease in professional fees and employee related costs, partially offset by an increase in stock-based compensation expense due to higher fair market value of awards granted.</w:t>
      </w:r>
    </w:p>
    <w:p>
      <w:pPr>
        <w:spacing w:after="0" w:line="12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Research and development expenses increased 9% during fiscal 2016, as compared to fiscal 2015, primarily due to an increase in employee-related costs from salaries and fringe benefits predominantly driven by increased headcount, an increase in IT costs allocated to research and development, and an increase in stock based compensation expense due to higher fair market value of awards granted.</w:t>
      </w:r>
    </w:p>
    <w:p>
      <w:pPr>
        <w:spacing w:after="0" w:line="18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expect research and development expenses to increase in absolute dollars and as a percentage of net revenue during fiscal 2018, as compared to fiscal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General and Administrative</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tcPr>
          <w:p>
            <w:pPr>
              <w:jc w:val="center"/>
              <w:ind w:right="5"/>
              <w:spacing w:after="0"/>
              <w:rPr>
                <w:sz w:val="20"/>
                <w:szCs w:val="20"/>
                <w:color w:val="auto"/>
              </w:rPr>
            </w:pPr>
            <w:r>
              <w:rPr>
                <w:rFonts w:ascii="Arial" w:cs="Arial" w:eastAsia="Arial" w:hAnsi="Arial"/>
                <w:sz w:val="14"/>
                <w:szCs w:val="14"/>
                <w:b w:val="1"/>
                <w:bCs w:val="1"/>
                <w:color w:val="auto"/>
                <w:w w:val="92"/>
              </w:rPr>
              <w:t>Change compared to prior fiscal</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Change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65"/>
              <w:spacing w:after="0"/>
              <w:rPr>
                <w:sz w:val="20"/>
                <w:szCs w:val="20"/>
                <w:color w:val="auto"/>
              </w:rPr>
            </w:pPr>
            <w:r>
              <w:rPr>
                <w:rFonts w:ascii="Arial" w:cs="Arial" w:eastAsia="Arial" w:hAnsi="Arial"/>
                <w:sz w:val="14"/>
                <w:szCs w:val="14"/>
                <w:b w:val="1"/>
                <w:bCs w:val="1"/>
                <w:color w:val="auto"/>
                <w:w w:val="97"/>
              </w:rPr>
              <w:t>year</w:t>
            </w: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05"/>
              <w:spacing w:after="0"/>
              <w:rPr>
                <w:sz w:val="20"/>
                <w:szCs w:val="20"/>
                <w:color w:val="auto"/>
              </w:rPr>
            </w:pPr>
            <w:r>
              <w:rPr>
                <w:rFonts w:ascii="Arial" w:cs="Arial" w:eastAsia="Arial" w:hAnsi="Arial"/>
                <w:sz w:val="14"/>
                <w:szCs w:val="14"/>
                <w:b w:val="1"/>
                <w:bCs w:val="1"/>
                <w:color w:val="auto"/>
                <w:w w:val="90"/>
              </w:rPr>
              <w:t>year</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ind w:right="445"/>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525"/>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42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2017</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January 31, 2016</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2015</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287.8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293.4</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General and administrative expenses include salaries, bonuses, benefits and stock-based compensation expense for our finance, human resources and legal employees, as well as professional fees for legal and accounting services, certain foreign business taxes, gains and losses on our operating expense cash flow hedges, expense of travel, entertainment and training, IT and facilities costs, and the cost of supplies and equipment.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General and administrative expenses decreased 2% from fiscal 2016 to fiscal 2017 primarily due to decreases in bad debt expense and professional fees.</w:t>
      </w:r>
    </w:p>
    <w:p>
      <w:pPr>
        <w:spacing w:after="0" w:line="248"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General and administrative expenses increased 4% from fiscal 2015 to fiscal 2016, primarily due to an increase in employee-related costs from salaries predominantly driven by increased headcount. Partially offsetting the increase in expense was a decrease in certain foreign business taxes.</w:t>
      </w:r>
    </w:p>
    <w:p>
      <w:pPr>
        <w:spacing w:after="0" w:line="14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expect general and administrative expenses to remain relatively flat in absolute dollars and as a percentage of net revenue during fiscal 2018, as compared to 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97790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Amortization of Purchased Intangibles</w:t>
      </w: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25"/>
              <w:spacing w:after="0"/>
              <w:rPr>
                <w:sz w:val="20"/>
                <w:szCs w:val="20"/>
                <w:color w:val="auto"/>
              </w:rPr>
            </w:pPr>
            <w:r>
              <w:rPr>
                <w:rFonts w:ascii="Arial" w:cs="Arial" w:eastAsia="Arial" w:hAnsi="Arial"/>
                <w:sz w:val="14"/>
                <w:szCs w:val="14"/>
                <w:b w:val="1"/>
                <w:bCs w:val="1"/>
                <w:color w:val="auto"/>
                <w:w w:val="92"/>
              </w:rPr>
              <w:t>Change compared to prior fiscal</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Change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60" w:type="dxa"/>
            <w:vAlign w:val="bottom"/>
            <w:gridSpan w:val="2"/>
            <w:vMerge w:val="restart"/>
          </w:tcPr>
          <w:p>
            <w:pPr>
              <w:jc w:val="right"/>
              <w:ind w:right="99"/>
              <w:spacing w:after="0"/>
              <w:rPr>
                <w:sz w:val="20"/>
                <w:szCs w:val="20"/>
                <w:color w:val="auto"/>
              </w:rPr>
            </w:pPr>
            <w:r>
              <w:rPr>
                <w:rFonts w:ascii="Arial" w:cs="Arial" w:eastAsia="Arial" w:hAnsi="Arial"/>
                <w:sz w:val="14"/>
                <w:szCs w:val="14"/>
                <w:b w:val="1"/>
                <w:bCs w:val="1"/>
                <w:color w:val="auto"/>
                <w:w w:val="96"/>
              </w:rPr>
              <w:t>Fiscal Year Ended</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65"/>
              <w:spacing w:after="0"/>
              <w:rPr>
                <w:sz w:val="20"/>
                <w:szCs w:val="20"/>
                <w:color w:val="auto"/>
              </w:rPr>
            </w:pPr>
            <w:r>
              <w:rPr>
                <w:rFonts w:ascii="Arial" w:cs="Arial" w:eastAsia="Arial" w:hAnsi="Arial"/>
                <w:sz w:val="14"/>
                <w:szCs w:val="14"/>
                <w:b w:val="1"/>
                <w:bCs w:val="1"/>
                <w:color w:val="auto"/>
                <w:w w:val="90"/>
              </w:rPr>
              <w:t>year</w:t>
            </w:r>
          </w:p>
        </w:tc>
        <w:tc>
          <w:tcPr>
            <w:tcW w:w="1480" w:type="dxa"/>
            <w:vAlign w:val="bottom"/>
            <w:gridSpan w:val="2"/>
            <w:vMerge w:val="restart"/>
          </w:tcPr>
          <w:p>
            <w:pPr>
              <w:jc w:val="right"/>
              <w:ind w:right="10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505"/>
              <w:spacing w:after="0"/>
              <w:rPr>
                <w:sz w:val="20"/>
                <w:szCs w:val="20"/>
                <w:color w:val="auto"/>
              </w:rPr>
            </w:pPr>
            <w:r>
              <w:rPr>
                <w:rFonts w:ascii="Arial" w:cs="Arial" w:eastAsia="Arial" w:hAnsi="Arial"/>
                <w:sz w:val="14"/>
                <w:szCs w:val="14"/>
                <w:b w:val="1"/>
                <w:bCs w:val="1"/>
                <w:color w:val="auto"/>
                <w:w w:val="90"/>
              </w:rPr>
              <w:t>year</w:t>
            </w:r>
          </w:p>
        </w:tc>
        <w:tc>
          <w:tcPr>
            <w:tcW w:w="780" w:type="dxa"/>
            <w:vAlign w:val="bottom"/>
            <w:tcBorders>
              <w:bottom w:val="single" w:sz="8" w:color="auto"/>
            </w:tcBorders>
          </w:tcPr>
          <w:p>
            <w:pPr>
              <w:spacing w:after="0"/>
              <w:rPr>
                <w:sz w:val="16"/>
                <w:szCs w:val="16"/>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58"/>
        </w:trPr>
        <w:tc>
          <w:tcPr>
            <w:tcW w:w="28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ind w:right="465"/>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25"/>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vMerge w:val="restart"/>
          </w:tcPr>
          <w:p>
            <w:pPr>
              <w:jc w:val="right"/>
              <w:ind w:right="825"/>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w w:val="99"/>
              </w:rPr>
              <w:t>January 31, 2017</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0"/>
              </w:rPr>
              <w:t>January 31, 2016</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January 31, 2015</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323"/>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46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33.2</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6"/>
                <w:szCs w:val="16"/>
                <w:color w:val="auto"/>
              </w:rPr>
              <w:t>(6.6)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46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320" w:firstLine="648"/>
        <w:spacing w:after="0" w:line="277" w:lineRule="auto"/>
        <w:rPr>
          <w:sz w:val="20"/>
          <w:szCs w:val="20"/>
          <w:color w:val="auto"/>
        </w:rPr>
      </w:pPr>
      <w:r>
        <w:rPr>
          <w:rFonts w:ascii="Arial" w:cs="Arial" w:eastAsia="Arial" w:hAnsi="Arial"/>
          <w:sz w:val="18"/>
          <w:szCs w:val="18"/>
          <w:color w:val="auto"/>
        </w:rPr>
        <w:t>Amortization of purchased intangibles includes amortization expenses from customer relationships, trade names and other non-current intangible assets acquired through business combinations and asset purchase agreements.</w:t>
      </w:r>
    </w:p>
    <w:p>
      <w:pPr>
        <w:spacing w:after="0" w:line="170" w:lineRule="exact"/>
        <w:rPr>
          <w:sz w:val="20"/>
          <w:szCs w:val="20"/>
          <w:color w:val="auto"/>
        </w:rPr>
      </w:pPr>
    </w:p>
    <w:p>
      <w:pPr>
        <w:jc w:val="both"/>
        <w:ind w:right="300" w:firstLine="432"/>
        <w:spacing w:after="0" w:line="312" w:lineRule="auto"/>
        <w:rPr>
          <w:sz w:val="20"/>
          <w:szCs w:val="20"/>
          <w:color w:val="auto"/>
        </w:rPr>
      </w:pPr>
      <w:r>
        <w:rPr>
          <w:rFonts w:ascii="Arial" w:cs="Arial" w:eastAsia="Arial" w:hAnsi="Arial"/>
          <w:sz w:val="16"/>
          <w:szCs w:val="16"/>
          <w:color w:val="auto"/>
        </w:rPr>
        <w:t>Amortization of purchased intangibles decreased 4% from fiscal 2016 to fiscal 2017, primarily as a result of the accumulated effects associated with amortization expense of intangible assets purchased over time, including lower amortization expense from intangible assets acquired during fiscal 2017 as compared to fiscal 2016. In fiscal 2017, we acquired $14.0 million in intangible assets as compared to $25.2 million acquired in fiscal 2016.</w:t>
      </w:r>
    </w:p>
    <w:p>
      <w:pPr>
        <w:spacing w:after="0" w:line="147"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Amortization of purchased intangibles decreased 17% from fiscal 2015 to fiscal 2016, primarily related to the accumulated effects associated with amortization expense of intangible assets purchased over time, including $25.2 million in assets purchased in fiscal 2016 as compared to $86.2 million purchased in fiscal 2015.</w:t>
      </w:r>
    </w:p>
    <w:p>
      <w:pPr>
        <w:spacing w:after="0" w:line="18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expect amortization of purchased intangibles to decrease in absolute dollars and remain relatively flat as a percentage of net revenue during fiscal 2018, as compared to fiscal 2017.</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and Other Facility Exit Costs, Net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 compared to</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ind w:right="25"/>
              <w:spacing w:after="0"/>
              <w:rPr>
                <w:sz w:val="20"/>
                <w:szCs w:val="20"/>
                <w:color w:val="auto"/>
              </w:rPr>
            </w:pPr>
            <w:r>
              <w:rPr>
                <w:rFonts w:ascii="Arial" w:cs="Arial" w:eastAsia="Arial" w:hAnsi="Arial"/>
                <w:sz w:val="14"/>
                <w:szCs w:val="14"/>
                <w:b w:val="1"/>
                <w:bCs w:val="1"/>
                <w:color w:val="auto"/>
                <w:w w:val="92"/>
              </w:rPr>
              <w:t>Change compared to prior fiscal</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8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w w:val="97"/>
              </w:rPr>
              <w:t>Fiscal Year Ended</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prior fiscal year</w:t>
            </w: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65"/>
              <w:spacing w:after="0"/>
              <w:rPr>
                <w:sz w:val="20"/>
                <w:szCs w:val="20"/>
                <w:color w:val="auto"/>
              </w:rPr>
            </w:pPr>
            <w:r>
              <w:rPr>
                <w:rFonts w:ascii="Arial" w:cs="Arial" w:eastAsia="Arial" w:hAnsi="Arial"/>
                <w:sz w:val="14"/>
                <w:szCs w:val="14"/>
                <w:b w:val="1"/>
                <w:bCs w:val="1"/>
                <w:color w:val="auto"/>
                <w:w w:val="97"/>
              </w:rPr>
              <w:t>year</w:t>
            </w:r>
          </w:p>
        </w:tc>
        <w:tc>
          <w:tcPr>
            <w:tcW w:w="1380" w:type="dxa"/>
            <w:vAlign w:val="bottom"/>
            <w:gridSpan w:val="2"/>
            <w:vMerge w:val="restart"/>
          </w:tcPr>
          <w:p>
            <w:pPr>
              <w:jc w:val="center"/>
              <w:ind w:left="23"/>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restart"/>
          </w:tcPr>
          <w:p>
            <w:pPr>
              <w:jc w:val="right"/>
              <w:ind w:right="465"/>
              <w:spacing w:after="0"/>
              <w:rPr>
                <w:sz w:val="20"/>
                <w:szCs w:val="20"/>
                <w:color w:val="auto"/>
              </w:rPr>
            </w:pPr>
            <w:r>
              <w:rPr>
                <w:rFonts w:ascii="Arial" w:cs="Arial" w:eastAsia="Arial" w:hAnsi="Arial"/>
                <w:sz w:val="14"/>
                <w:szCs w:val="14"/>
                <w:b w:val="1"/>
                <w:bCs w:val="1"/>
                <w:color w:val="auto"/>
              </w:rPr>
              <w:t>$</w:t>
            </w:r>
          </w:p>
        </w:tc>
        <w:tc>
          <w:tcPr>
            <w:tcW w:w="1260" w:type="dxa"/>
            <w:vAlign w:val="bottom"/>
            <w:vMerge w:val="restart"/>
          </w:tcPr>
          <w:p>
            <w:pPr>
              <w:jc w:val="right"/>
              <w:ind w:right="525"/>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0"/>
              </w:rPr>
              <w:t>January 31, 2017</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January 31, 2016</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January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3"/>
              </w:rPr>
              <w:t>Restructuring charges and other facility exit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costs,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80.5</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6"/>
                <w:szCs w:val="16"/>
                <w:color w:val="auto"/>
              </w:rPr>
              <w:t>80.5</w:t>
            </w:r>
          </w:p>
        </w:tc>
        <w:tc>
          <w:tcPr>
            <w:tcW w:w="860" w:type="dxa"/>
            <w:vAlign w:val="bottom"/>
            <w:tcBorders>
              <w:bottom w:val="single" w:sz="8" w:color="CCEEFF"/>
            </w:tcBorders>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00" w:type="dxa"/>
            <w:vAlign w:val="bottom"/>
            <w:gridSpan w:val="2"/>
          </w:tcPr>
          <w:p>
            <w:pPr>
              <w:ind w:left="2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ind w:left="8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292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2680" w:type="dxa"/>
            <w:vAlign w:val="bottom"/>
          </w:tcPr>
          <w:p>
            <w:pPr>
              <w:ind w:left="180"/>
              <w:spacing w:after="0"/>
              <w:rPr>
                <w:sz w:val="20"/>
                <w:szCs w:val="20"/>
                <w:color w:val="auto"/>
              </w:rPr>
            </w:pPr>
            <w:r>
              <w:rPr>
                <w:rFonts w:ascii="Arial" w:cs="Arial" w:eastAsia="Arial" w:hAnsi="Arial"/>
                <w:sz w:val="16"/>
                <w:szCs w:val="16"/>
                <w:color w:val="auto"/>
              </w:rPr>
              <w:t>Percentage is not meaningful.</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February 2016, the Board of Directors approved a world-wide restructuring plan (“Fiscal 2017 Plan”) in order to re-balance staffing levels and reduce operating expenses to better align them with the evolving needs of the Company's business. Under the Fiscal 2017 Plan, we recorded $70.9 million in employee termination benefits, lease termination costs and other exit costs during fiscal 2017. Additionally, during fiscal 2017, we recorded $9.6 million in other facility exit costs not related to the Fiscal 2017 Plan. During fiscal 2016 Autodesk recorded no restructuring charges. We have substantially completed the actions authorized under all of the restructuring plans. See Note 15, "Restructuring charges and other facility exit costs, net" in the Notes to Consolidated Financial Statements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285750</wp:posOffset>
            </wp:positionV>
            <wp:extent cx="97790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80"/>
              <w:spacing w:after="0"/>
              <w:rPr>
                <w:sz w:val="20"/>
                <w:szCs w:val="20"/>
                <w:color w:val="auto"/>
              </w:rPr>
            </w:pPr>
            <w:r>
              <w:rPr>
                <w:rFonts w:ascii="Arial" w:cs="Arial" w:eastAsia="Arial" w:hAnsi="Arial"/>
                <w:sz w:val="14"/>
                <w:szCs w:val="14"/>
                <w:b w:val="1"/>
                <w:bCs w:val="1"/>
                <w:color w:val="auto"/>
                <w:w w:val="94"/>
              </w:rPr>
              <w:t>Fiscal Year Ended January 31,</w:t>
            </w:r>
          </w:p>
        </w:tc>
        <w:tc>
          <w:tcPr>
            <w:tcW w:w="1100" w:type="dxa"/>
            <w:vAlign w:val="bottom"/>
            <w:tcBorders>
              <w:bottom w:val="single" w:sz="8" w:color="auto"/>
            </w:tcBorders>
          </w:tcPr>
          <w:p>
            <w:pPr>
              <w:spacing w:after="0"/>
              <w:rPr>
                <w:sz w:val="16"/>
                <w:szCs w:val="16"/>
                <w:color w:val="auto"/>
              </w:rPr>
            </w:pPr>
          </w:p>
        </w:tc>
      </w:tr>
      <w:tr>
        <w:trPr>
          <w:trHeight w:val="196"/>
        </w:trPr>
        <w:tc>
          <w:tcPr>
            <w:tcW w:w="6720" w:type="dxa"/>
            <w:vAlign w:val="bottom"/>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196"/>
        </w:trPr>
        <w:tc>
          <w:tcPr>
            <w:tcW w:w="6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Loss on foreign currency</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(loss) on strategic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98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33"/>
        </w:trPr>
        <w:tc>
          <w:tcPr>
            <w:tcW w:w="6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Interest and other expense, net, increased $2.6 million during fiscal 2017, as compared to fiscal 2016, primarily related to a decrease in gains on certain of our privately-held strategic investments and an increase in losses on foreign currency. This increase was partially offset by a decrease in interest and investments expense, net, that was primarily driven by mark to market gains on deferred compensation plans partially offset by an increase in interest expense resulting from the June 2015 issuance of $450.0 million aggregate principal amount of 3.125% senior notes due June 15, 2020 and $300.0 million aggregate principal amount of 4.375% senior notes due June 15, 2025.</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Interest and other expense, net, decreased $16.1 million during fiscal 2016, as compared to fiscal 2015, the decrease is primarily related to non-recurring settlement gains on certain of our privately-held strategic investments and mark-to-mark gains recognized on the derivative portion on certain of our other privately-held strategic investments during the current fiscal year. Comparatively, we incurred non-recurring impairment losses on certain of our privately-held strategic investments in the same periods in the prior fiscal year. This decrease was offset by an increase in interest expense resulting from the June 2015 issuance of $450.0 million aggregate principal amount of 3.125% senior notes due June 15, 2020 and $300.0 million aggregate principal amount of 4.375% senior notes due June 15, 2025.</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Income tax expense was $58.3 million and $310.2 million for fiscal 2017 and 2016, respectively, relative to a pre-tax loss of $523.8 million and pre-tax income of $20.3 million, respectively, for the same periods. Tax expense for fiscal 2017 consists primarily of foreign tax expense including withholding tax, and tax amortization on indefinite-lived intangibles. Tax expense for fiscal 2016 related to foreign tax expense and the establishment of a $230.8 million valuation allowance against the Company's U.S. federal and remaining state deferred tax assets recorded in the second quarter of fiscal 2016. We regularly assess the need for a valuation allowance against our deferred tax assets. In making that assessment, we consider both positive and negative evidence, whether it is more likely than not that some or all of the deferred tax assets will not be realized. In evaluating the need for a valuation allowance, we considered recent cumulative losses in the U.S. arising from our business model transition as a significant piece of negative evidence and determined that it was more likely than not that the federal and state deferred tax assets would not be realized.</w:t>
      </w:r>
    </w:p>
    <w:p>
      <w:pPr>
        <w:spacing w:after="0" w:line="1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Income tax expense was $310.2 million and $1.2 million for fiscal 2016 and 2015, respectively, relative to pre-tax income of $20.3 million and $83.0 million, respectively, for the same periods. Our tax expense increased from fiscal 2015 to fiscal 2016 due to the establishment of a valuation allowance on our U.S. federal and state deferred tax assets in fiscal 2016 recorded in the second quarter of fiscal 2016.</w:t>
      </w:r>
    </w:p>
    <w:p>
      <w:pPr>
        <w:spacing w:after="0" w:line="181"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possible U.S. tax law changes that, if enacted, could significantly impact how U.S. multinational companies are taxed. A significant amount of our earnings is generated by our Europe and Asia Pacific subsidiaries. Our future effective tax rates may be adversely affected to the extent earnings are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97790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than anticipated in countries where we have lower statutory tax rates or we repatriate certain foreign earnings on which U.S. taxes have not previously been provided.</w:t>
      </w:r>
    </w:p>
    <w:p>
      <w:pPr>
        <w:spacing w:after="0" w:line="17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At January 31, 2017, we had non-current foreign net deferred tax assets of $49.7 million that management believes are more likely than not to be realized in future years.</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additional information regarding our income tax provision and reconciliation of our effective rate to the federal statutory rate of 35%, see Note 4, “Income Taxes,” in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In addition to our results determined under U.S. generally accepted accounting principles (“GAAP”) discussed above, we believe the following non-GAAP measures are useful to investors in evaluating our operating performance. For the fiscal years ended January 31, 2017, 2016, and 2015, our gross profit, gross margin, (loss) income from operations, operating margin, net (loss) income, diluted net (loss) income per share and diluted shares used in per share calculation on a GAAP and non-GAAP basis were as follows (in millions except for gross margin, operating margin,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6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r>
      <w:tr>
        <w:trPr>
          <w:trHeight w:val="23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1,689.1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2,133.4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2,170.1</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1,743.2</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2,194.2</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2,232.2</w:t>
            </w: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120.7</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Non-GAAP (loss) income from operations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382.4</w:t>
            </w: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81.8</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Non-GAAP net (loss)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272.3</w:t>
            </w: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income per share (1)</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0.35</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Non-GAAP diluted (loss) income per share (1)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1.17</w:t>
            </w: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weighted average shares used in per share calculation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232.4</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380" w:type="dxa"/>
            <w:vAlign w:val="bottom"/>
          </w:tcPr>
          <w:p>
            <w:pPr>
              <w:spacing w:after="0"/>
              <w:rPr>
                <w:sz w:val="20"/>
                <w:szCs w:val="20"/>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222.7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230.7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232.4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420" w:right="100" w:hanging="412"/>
        <w:spacing w:after="0" w:line="281"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6"/>
          <w:szCs w:val="16"/>
          <w:color w:val="auto"/>
        </w:rPr>
        <w:t>Net (loss) income per share were computed independently for each of the periods presented; therefore the sum of the net (loss) income per share amount for the quarters may not equal the total for the year.</w:t>
      </w:r>
    </w:p>
    <w:p>
      <w:pPr>
        <w:spacing w:after="0" w:line="17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For our internal budgeting and resource allocation process and as a means to provide consistency in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144780</wp:posOffset>
            </wp:positionV>
            <wp:extent cx="97790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2017 Form 10-K 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97790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163"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13335</wp:posOffset>
            </wp:positionV>
            <wp:extent cx="30359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1,689.1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2,133.4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1,743.2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2,194.2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2,232.2</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Non-GAAP gross margin</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(Loss) income from operations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(499.6)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Non-GAAP (loss) income from operations</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280.7</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Operating margin</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Net (loss)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(582.1)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Pr>
          <w:p>
            <w:pPr>
              <w:spacing w:after="0"/>
              <w:rPr>
                <w:sz w:val="19"/>
                <w:szCs w:val="19"/>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(Gain) Loss on strategic investments</w:t>
            </w:r>
          </w:p>
        </w:tc>
        <w:tc>
          <w:tcPr>
            <w:tcW w:w="3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3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Non-GAAP net (loss) income</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272.3</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Diluted net (loss) income per share (1)</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(Gain) Loss on strategic investments</w:t>
            </w:r>
          </w:p>
        </w:tc>
        <w:tc>
          <w:tcPr>
            <w:tcW w:w="3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Establishment of valuation allowance on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3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
              <w:spacing w:after="0"/>
              <w:rPr>
                <w:sz w:val="20"/>
                <w:szCs w:val="20"/>
                <w:color w:val="auto"/>
              </w:rPr>
            </w:pPr>
            <w:r>
              <w:rPr>
                <w:rFonts w:ascii="Arial" w:cs="Arial" w:eastAsia="Arial" w:hAnsi="Arial"/>
                <w:sz w:val="16"/>
                <w:szCs w:val="16"/>
                <w:color w:val="auto"/>
              </w:rPr>
              <w:t>Non-GAAP diluted (loss) income per share (1)</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6620" w:type="dxa"/>
            <w:vAlign w:val="bottom"/>
            <w:gridSpan w:val="2"/>
            <w:vMerge w:val="restart"/>
          </w:tcPr>
          <w:p>
            <w:pPr>
              <w:jc w:val="right"/>
              <w:ind w:right="5179"/>
              <w:spacing w:after="0"/>
              <w:rPr>
                <w:sz w:val="20"/>
                <w:szCs w:val="20"/>
                <w:color w:val="auto"/>
              </w:rPr>
            </w:pPr>
            <w:r>
              <w:rPr>
                <w:rFonts w:ascii="Arial" w:cs="Arial" w:eastAsia="Arial" w:hAnsi="Arial"/>
                <w:sz w:val="18"/>
                <w:szCs w:val="18"/>
                <w:color w:val="auto"/>
                <w:w w:val="89"/>
              </w:rPr>
              <w:t>_______________</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154305</wp:posOffset>
            </wp:positionV>
            <wp:extent cx="97790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2017 Form 10-K 57</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420" w:right="100" w:hanging="412"/>
        <w:spacing w:after="0" w:line="275"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Net (loss) income per share were computed independently for each of the periods presented; therefore the sum of the net (loss) income per share amount for the quarters may not equal the total for the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Stock-based compensation expense</w:t>
      </w:r>
      <w:r>
        <w:rPr>
          <w:rFonts w:ascii="Arial" w:cs="Arial" w:eastAsia="Arial" w:hAnsi="Arial"/>
          <w:sz w:val="17"/>
          <w:szCs w:val="17"/>
          <w:color w:val="auto"/>
        </w:rPr>
        <w:t>s. 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Restructuring charges and other facility exit costs, net. </w:t>
      </w:r>
      <w:r>
        <w:rPr>
          <w:rFonts w:ascii="Arial" w:cs="Arial" w:eastAsia="Arial" w:hAnsi="Arial"/>
          <w:sz w:val="16"/>
          <w:szCs w:val="16"/>
          <w:color w:val="auto"/>
        </w:rPr>
        <w:t>These expenses are associated with realigning our business strategies based on current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5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and realized gains and losses on the sale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ability to utilize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6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facilities exit costs, net for GAAP and non-GAAP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97790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primary source of cash is from the sale and maintenance of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jc w:val="both"/>
        <w:ind w:right="420" w:firstLine="405"/>
        <w:spacing w:after="0" w:line="342" w:lineRule="auto"/>
        <w:rPr>
          <w:sz w:val="20"/>
          <w:szCs w:val="20"/>
          <w:color w:val="auto"/>
        </w:rPr>
      </w:pPr>
      <w:r>
        <w:rPr>
          <w:rFonts w:ascii="Arial" w:cs="Arial" w:eastAsia="Arial" w:hAnsi="Arial"/>
          <w:sz w:val="16"/>
          <w:szCs w:val="16"/>
          <w:color w:val="auto"/>
        </w:rPr>
        <w:t>At January 31, 2017, our principal sources of liquidity were cash, cash equivalents, and marketable securities totaling $2.2 billion and net accounts receivable of $452.3 million. Net of our senior notes, we have cash, cash equivalents, and marketable securities totaling $0.7 billion at January 31, 2017.</w:t>
      </w:r>
    </w:p>
    <w:p>
      <w:pPr>
        <w:spacing w:after="0" w:line="12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June 2015, we issued $450.0 million aggregate principal amount of 3.125% notes due June 15, 2020 and $300.0 million aggregate principal amount of 4.375% notes due June 15, 2025. In December 2012, we issued $400.0 million aggregate principal amount of 1.95% notes due December 15, 2017 and $350.0 million aggregate principal amount of 3.6% notes due December 15, 2022 (all four series of notes collectively, the “Notes”). As of March 21, 2017, we have $1.5 billion aggregate principal amount of Notes outstanding. In addition, we have a line of credit facility that permits unsecured short-term borrowings of up to $400.0 million with a May 2020 maturity date. As a result of the business model transition, the leverage ratio requirement of the credit agreement was waived during the fourth quarter of fiscal 2017. Autodesk is discussing amendments to the financial covenants in the credit agreement with the lenders and expects to conclude this process during the first quarter of fiscal 2018. As of March 21, 2017, we have no amounts outstanding under the credit facility. Borrowings under the credit facility and the net proceeds from the offering of the Notes are available for general corporate purposes.</w:t>
      </w:r>
    </w:p>
    <w:p>
      <w:pPr>
        <w:spacing w:after="0" w:line="16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cash, cash equivalents, and marketable securities decreased to $2.2 billion at January 31, 2017, from $2.8 billion at January 31, 2016, primarily as a result of cash used for repurchases of our common stock (net of stock issuance proceeds), acquisitions including business combinations and technology purchases, and capital expenditures. The decrease in our cash, cash equivalents, and marketable securities was partially offset by the cash generated through operations. The cash proceeds from issuance of common stock vary based on our stock price, stock option exercise activity and the volume of employee purchases under the Employee Stock Purchase Plan.</w:t>
      </w:r>
    </w:p>
    <w:p>
      <w:pPr>
        <w:spacing w:after="0" w:line="18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primary source of net cash provided by operating activities of $169.7 million in fiscal 2017 was $356.8 million of cash flow provided by the change in operating assets and liabilities and $322.2 million of non-cash expenses, including stock-based compensation expense, and depreciation, amortization and accretion expense, offsetting our net loss of $582.1 million. The primary working capital sources of cash was an increase in deferred revenue and a decrease in accounts receivable for fiscal 2017 compared to fiscal 2016. The primary working capital use of cash was a decrease in other accrued liabilities for fiscal 2017 compared to fiscal 2016. Our days sales outstanding in trade receivables was 86 at January 31, 2017, compared to 92 at January 31, 2016. The decrease in days sales outstanding primarily relates to changes in billings linearity within each comparative period.</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At January 31, 2017, our short-term investment portfolio had an estimated fair value of $686.8 million and a cost basis of $684.5 million. The portfolio fair value consisted of $234.5 million invested in corporate debt securities, $157.3 million invested in certificates of deposit, $109.2 million invested in commercial paper, $43.4 million invested in municipal securities,$32.3 million invested in U.S. treasury bills, $30.0 million invested in sovereign debt, $19.6 million invested in asset backed securities, and $13.2 million invested in U.S. government agency securities.</w:t>
      </w:r>
    </w:p>
    <w:p>
      <w:pPr>
        <w:spacing w:after="0" w:line="171"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At January 31, 2017, $47.3 million of trading securities were invested in a defined set of mutual funds as directed by the participants in our Deferred Compensation Plan (see Note 6, “Deferred Compensation,” in the Notes to Consolidated Financial Statements for further discussion).</w:t>
      </w:r>
    </w:p>
    <w:p>
      <w:pPr>
        <w:spacing w:after="0" w:line="147"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141605</wp:posOffset>
            </wp:positionV>
            <wp:extent cx="97790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4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January 31, 2017, approximately 91%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Our intent is that amounts related to foreign earnings permanently reinvested outside the U.S. will remain outside the United States. We expect to meet our U.S. liquidity needs through ongoing cash flows, foreign cash for which U.S. federal income taxes have been provided, external borrowings, or a combination. We regularly review our capital structure and consider a variety of potential financing alternatives and planning strategies to ensure we have the proper liquidity available in the locations in which it is needed.</w:t>
      </w:r>
    </w:p>
    <w:p>
      <w:pPr>
        <w:spacing w:after="0" w:line="16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table summarizes our significant financial contractual obligations at January 31, 2017 and the effect such obligations are expected to have on our liquidity and cash flows in future periods.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Fiscal 2018</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Fiscal Years 2019-</w:t>
            </w: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Fiscal Years 2021-</w:t>
            </w:r>
          </w:p>
        </w:tc>
        <w:tc>
          <w:tcPr>
            <w:tcW w:w="220" w:type="dxa"/>
            <w:vAlign w:val="bottom"/>
          </w:tcPr>
          <w:p>
            <w:pPr>
              <w:spacing w:after="0"/>
              <w:rPr>
                <w:sz w:val="14"/>
                <w:szCs w:val="14"/>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705.3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Deferred compensation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6"/>
                <w:szCs w:val="16"/>
                <w:color w:val="auto"/>
              </w:rPr>
              <w:t>Asset retirement obligations</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(1)</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2"/>
            <w:vMerge w:val="restart"/>
          </w:tcPr>
          <w:p>
            <w:pPr>
              <w:jc w:val="right"/>
              <w:ind w:right="2239"/>
              <w:spacing w:after="0"/>
              <w:rPr>
                <w:sz w:val="20"/>
                <w:szCs w:val="20"/>
                <w:color w:val="auto"/>
              </w:rPr>
            </w:pPr>
            <w:r>
              <w:rPr>
                <w:rFonts w:ascii="Arial" w:cs="Arial" w:eastAsia="Arial" w:hAnsi="Arial"/>
                <w:sz w:val="18"/>
                <w:szCs w:val="18"/>
                <w:color w:val="auto"/>
                <w:w w:val="88"/>
              </w:rPr>
              <w:t>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0" w:hanging="412"/>
        <w:spacing w:after="0" w:line="254" w:lineRule="auto"/>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Note 4, “Income Taxes” to the Notes to Consolidated Financial Statements).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consist of the Senior Notes issued in December 2012 and June 2015 described above.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lease obligations consist primarily of obligations for facilities, net of sublease income, computer equipment and other equipment leases.</w:t>
      </w:r>
    </w:p>
    <w:p>
      <w:pPr>
        <w:spacing w:after="0" w:line="23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Purchase obligations are contractual obligations for purchase of goods or services and are defined as agreements that are enforceable and legally binding on Autodesk and that specify all significant terms, including: fixed or minimum quantities to be purchased; fixed, minimum, or variable price provisions; and the approximate timing of the transaction. Purchase obligations relate primarily to enterprise subscription agreements, IT infrastructure costs, and marketing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97790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Deferred compensation obligations relate to amounts held in a rabbi trust under our non-qualified deferred compensation plan. See Note 6, “Deferred Compensation,” in our Notes to Consolidated Financial Statements for further information regarding this plan.</w:t>
      </w:r>
    </w:p>
    <w:p>
      <w:pPr>
        <w:spacing w:after="0" w:line="170" w:lineRule="exact"/>
        <w:rPr>
          <w:sz w:val="20"/>
          <w:szCs w:val="20"/>
          <w:color w:val="auto"/>
        </w:rPr>
      </w:pPr>
    </w:p>
    <w:p>
      <w:pPr>
        <w:ind w:right="980" w:firstLine="432"/>
        <w:spacing w:after="0" w:line="277" w:lineRule="auto"/>
        <w:rPr>
          <w:sz w:val="20"/>
          <w:szCs w:val="20"/>
          <w:color w:val="auto"/>
        </w:rPr>
      </w:pPr>
      <w:r>
        <w:rPr>
          <w:rFonts w:ascii="Arial" w:cs="Arial" w:eastAsia="Arial" w:hAnsi="Arial"/>
          <w:sz w:val="18"/>
          <w:szCs w:val="18"/>
          <w:color w:val="auto"/>
        </w:rPr>
        <w:t>Pension obligations relate to our obligations for pension plans outside of the U.S. See Note 14, “Retirement Benefit Plans,” in our Notes to Consolidated Financial Statements for further information regarding these obligations.</w:t>
      </w:r>
    </w:p>
    <w:p>
      <w:pPr>
        <w:spacing w:after="0" w:line="170"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Asset retirement obligations represent the estimated costs to bring certain office buildings that we lease back to their original condition after the termination of the lease.</w:t>
      </w:r>
    </w:p>
    <w:p>
      <w:pPr>
        <w:spacing w:after="0" w:line="1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9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147"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September 2016, the Board of Directors authorized the repurchase of up to 30.0 million shares of the Company's common stock. During the three and twelve months ended January 31, 2017, we repurchased 2.9 million and 9.7 million shares of our common stock, respectively. At January 31, 2017, 26.6 million shares remained available for repurchase under the repurchase programs approved by the Board of Directors. These programs do not have a fixed expiration date. See Note 9, “Stockholders' Equity,” in the Notes to Consolidated Financial Statements for further discussion.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January 31, 2017, we did not have any significant off-balance sheet arrangements other than operating leases, as defined in Item 303(a)(4)(ii)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7A.</w:t>
      </w:r>
      <w:r>
        <w:rPr>
          <w:sz w:val="20"/>
          <w:szCs w:val="20"/>
          <w:color w:val="auto"/>
        </w:rPr>
        <w:tab/>
      </w:r>
      <w:r>
        <w:rPr>
          <w:rFonts w:ascii="Arial" w:cs="Arial" w:eastAsia="Arial" w:hAnsi="Arial"/>
          <w:sz w:val="18"/>
          <w:szCs w:val="18"/>
          <w:b w:val="1"/>
          <w:bCs w:val="1"/>
          <w:color w:val="0696D7"/>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2017 and 2016,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$640.0 million and $374.0 million at January 31, 2017 and 2016, respectively.</w:t>
      </w:r>
    </w:p>
    <w:p>
      <w:pPr>
        <w:spacing w:after="0" w:line="1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January 31, 2017 indicated that a hypothetical 10% appreciation of the U.S. dollar from its value at January 31, 2017 and 2016 would increase the fair value of our foreign currency contracts by $60.9 million and $33.3 million, respectively. A hypothetical 10% depreciation of the dollar from its value at January 31, 2017 and 2016 would decrease the fair value of our foreign currency contracts by $32.5 million and $25.6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January 31, 2017, we had $1,898.9 million of cash equivalents and marketable securities, including $686.8 million classified as short-term marketable securities and $306.2 million classified as long-term marketable securities. If interest rates were to move up by 50 or 100 basis points over a twelve month period, the market value change of our marketable securities would have an unrealized gain or loss of $2.9 million and $5.6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2, "Financial Instruments" for further discussion regarding our privately held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97790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8.</w:t>
      </w:r>
      <w:r>
        <w:rPr>
          <w:sz w:val="20"/>
          <w:szCs w:val="20"/>
          <w:color w:val="auto"/>
        </w:rPr>
        <w:tab/>
      </w:r>
      <w:r>
        <w:rPr>
          <w:rFonts w:ascii="Arial" w:cs="Arial" w:eastAsia="Arial" w:hAnsi="Arial"/>
          <w:sz w:val="17"/>
          <w:szCs w:val="17"/>
          <w:b w:val="1"/>
          <w:bCs w:val="1"/>
          <w:color w:val="0696D7"/>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674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1,170.8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741.0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1,226.9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1,341.4</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2,512.2</w:t>
            </w: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1,689.1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2,133.4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2,170.1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1,022.5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1,015.5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998.0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725.2</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2,049.4</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(Loss) income from operations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(Loss) income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income per share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(loss)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(loss)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226.0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81.8</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 comprehensive loss, net of reclassifications: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gain on derivative instruments (net of tax effect of ($1.1), $0.6, and ($0.7))</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39.3</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Change in net unrealized gain (loss) on available-for-sale securities (net of tax effect of ($0.5), $0.0, and ($0.2))</w:t>
            </w:r>
          </w:p>
        </w:tc>
        <w:tc>
          <w:tcPr>
            <w:tcW w:w="2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($0.9), $0.9, and $1.8)</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(net of tax effect of $0.2, $0.5, and $4.9)</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33"/>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44"/>
        </w:trPr>
        <w:tc>
          <w:tcPr>
            <w:tcW w:w="8440" w:type="dxa"/>
            <w:vAlign w:val="bottom"/>
          </w:tcPr>
          <w:p>
            <w:pPr>
              <w:ind w:left="40"/>
              <w:spacing w:after="0"/>
              <w:rPr>
                <w:sz w:val="20"/>
                <w:szCs w:val="20"/>
                <w:color w:val="auto"/>
              </w:rPr>
            </w:pPr>
            <w:r>
              <w:rPr>
                <w:rFonts w:ascii="Arial" w:cs="Arial" w:eastAsia="Arial" w:hAnsi="Arial"/>
                <w:sz w:val="16"/>
                <w:szCs w:val="16"/>
                <w:color w:val="auto"/>
              </w:rPr>
              <w:t>Total comprehensive (loss)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29.1</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97790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right"/>
              <w:ind w:right="3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7"/>
        </w:trPr>
        <w:tc>
          <w:tcPr>
            <w:tcW w:w="8320" w:type="dxa"/>
            <w:vAlign w:val="bottom"/>
          </w:tcPr>
          <w:p>
            <w:pPr>
              <w:ind w:left="390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1,213.1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1,353.0</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897.9</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653.6</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7"/>
        </w:trPr>
        <w:tc>
          <w:tcPr>
            <w:tcW w:w="8320" w:type="dxa"/>
            <w:vAlign w:val="bottom"/>
          </w:tcPr>
          <w:p>
            <w:pPr>
              <w:ind w:left="7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2,460.6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2,993.1</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532.3</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1,561.1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1,535.0</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205.6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4,798.1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5,515.3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60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67945</wp:posOffset>
            </wp:positionV>
            <wp:extent cx="72294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8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80" w:type="dxa"/>
            <w:vAlign w:val="bottom"/>
          </w:tcPr>
          <w:p>
            <w:pPr>
              <w:ind w:left="360"/>
              <w:spacing w:after="0"/>
              <w:rPr>
                <w:sz w:val="20"/>
                <w:szCs w:val="20"/>
                <w:color w:val="auto"/>
              </w:rPr>
            </w:pPr>
            <w:r>
              <w:rPr>
                <w:rFonts w:ascii="Arial" w:cs="Arial" w:eastAsia="Arial" w:hAnsi="Arial"/>
                <w:sz w:val="16"/>
                <w:szCs w:val="16"/>
                <w:color w:val="auto"/>
              </w:rPr>
              <w:t>Accrued compensation</w:t>
            </w:r>
          </w:p>
        </w:tc>
        <w:tc>
          <w:tcPr>
            <w:tcW w:w="2520" w:type="dxa"/>
            <w:vAlign w:val="bottom"/>
          </w:tcPr>
          <w:p>
            <w:pPr>
              <w:spacing w:after="0"/>
              <w:rPr>
                <w:sz w:val="22"/>
                <w:szCs w:val="22"/>
                <w:color w:val="auto"/>
              </w:rPr>
            </w:pPr>
          </w:p>
        </w:tc>
      </w:tr>
      <w:tr>
        <w:trPr>
          <w:trHeight w:val="270"/>
        </w:trPr>
        <w:tc>
          <w:tcPr>
            <w:tcW w:w="588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2520" w:type="dxa"/>
            <w:vAlign w:val="bottom"/>
          </w:tcPr>
          <w:p>
            <w:pPr>
              <w:spacing w:after="0"/>
              <w:rPr>
                <w:sz w:val="23"/>
                <w:szCs w:val="23"/>
                <w:color w:val="auto"/>
              </w:rPr>
            </w:pPr>
          </w:p>
        </w:tc>
      </w:tr>
      <w:tr>
        <w:trPr>
          <w:trHeight w:val="270"/>
        </w:trPr>
        <w:tc>
          <w:tcPr>
            <w:tcW w:w="588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2520" w:type="dxa"/>
            <w:vAlign w:val="bottom"/>
          </w:tcPr>
          <w:p>
            <w:pPr>
              <w:spacing w:after="0"/>
              <w:rPr>
                <w:sz w:val="23"/>
                <w:szCs w:val="23"/>
                <w:color w:val="auto"/>
              </w:rPr>
            </w:pPr>
          </w:p>
        </w:tc>
      </w:tr>
      <w:tr>
        <w:trPr>
          <w:trHeight w:val="270"/>
        </w:trPr>
        <w:tc>
          <w:tcPr>
            <w:tcW w:w="5880" w:type="dxa"/>
            <w:vAlign w:val="bottom"/>
          </w:tcPr>
          <w:p>
            <w:pPr>
              <w:ind w:left="360"/>
              <w:spacing w:after="0"/>
              <w:rPr>
                <w:sz w:val="20"/>
                <w:szCs w:val="20"/>
                <w:color w:val="auto"/>
              </w:rPr>
            </w:pPr>
            <w:r>
              <w:rPr>
                <w:rFonts w:ascii="Arial" w:cs="Arial" w:eastAsia="Arial" w:hAnsi="Arial"/>
                <w:sz w:val="16"/>
                <w:szCs w:val="16"/>
                <w:color w:val="auto"/>
              </w:rPr>
              <w:t>Current portion of long-term notes payable, net</w:t>
            </w:r>
          </w:p>
        </w:tc>
        <w:tc>
          <w:tcPr>
            <w:tcW w:w="2520" w:type="dxa"/>
            <w:vAlign w:val="bottom"/>
          </w:tcPr>
          <w:p>
            <w:pPr>
              <w:spacing w:after="0"/>
              <w:rPr>
                <w:sz w:val="23"/>
                <w:szCs w:val="23"/>
                <w:color w:val="auto"/>
              </w:rPr>
            </w:pPr>
          </w:p>
        </w:tc>
      </w:tr>
      <w:tr>
        <w:trPr>
          <w:trHeight w:val="270"/>
        </w:trPr>
        <w:tc>
          <w:tcPr>
            <w:tcW w:w="5880" w:type="dxa"/>
            <w:vAlign w:val="bottom"/>
          </w:tcPr>
          <w:p>
            <w:pPr>
              <w:ind w:left="360"/>
              <w:spacing w:after="0"/>
              <w:rPr>
                <w:sz w:val="20"/>
                <w:szCs w:val="20"/>
                <w:color w:val="auto"/>
              </w:rPr>
            </w:pPr>
            <w:r>
              <w:rPr>
                <w:rFonts w:ascii="Arial" w:cs="Arial" w:eastAsia="Arial" w:hAnsi="Arial"/>
                <w:sz w:val="16"/>
                <w:szCs w:val="16"/>
                <w:color w:val="auto"/>
              </w:rPr>
              <w:t>Other accrued liabilities</w:t>
            </w:r>
          </w:p>
        </w:tc>
        <w:tc>
          <w:tcPr>
            <w:tcW w:w="2520" w:type="dxa"/>
            <w:vAlign w:val="bottom"/>
          </w:tcPr>
          <w:p>
            <w:pPr>
              <w:spacing w:after="0"/>
              <w:rPr>
                <w:sz w:val="23"/>
                <w:szCs w:val="23"/>
                <w:color w:val="auto"/>
              </w:rPr>
            </w:pPr>
          </w:p>
        </w:tc>
      </w:tr>
      <w:tr>
        <w:trPr>
          <w:trHeight w:val="270"/>
        </w:trPr>
        <w:tc>
          <w:tcPr>
            <w:tcW w:w="588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deferred revenue</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income taxes payable</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deferred income taxes</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notes payable, net</w:t>
            </w:r>
          </w:p>
        </w:tc>
        <w:tc>
          <w:tcPr>
            <w:tcW w:w="2520" w:type="dxa"/>
            <w:vAlign w:val="bottom"/>
          </w:tcPr>
          <w:p>
            <w:pPr>
              <w:spacing w:after="0"/>
              <w:rPr>
                <w:sz w:val="23"/>
                <w:szCs w:val="23"/>
                <w:color w:val="auto"/>
              </w:rPr>
            </w:pPr>
          </w:p>
        </w:tc>
      </w:tr>
      <w:tr>
        <w:trPr>
          <w:trHeight w:val="270"/>
        </w:trPr>
        <w:tc>
          <w:tcPr>
            <w:tcW w:w="5880" w:type="dxa"/>
            <w:vAlign w:val="bottom"/>
          </w:tcPr>
          <w:p>
            <w:pPr>
              <w:spacing w:after="0"/>
              <w:rPr>
                <w:sz w:val="20"/>
                <w:szCs w:val="20"/>
                <w:color w:val="auto"/>
              </w:rPr>
            </w:pPr>
            <w:r>
              <w:rPr>
                <w:rFonts w:ascii="Arial" w:cs="Arial" w:eastAsia="Arial" w:hAnsi="Arial"/>
                <w:sz w:val="16"/>
                <w:szCs w:val="16"/>
                <w:color w:val="auto"/>
              </w:rPr>
              <w:t>Long-term other liabilities</w:t>
            </w:r>
          </w:p>
        </w:tc>
        <w:tc>
          <w:tcPr>
            <w:tcW w:w="25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-1856740</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-1513205</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-1170305</wp:posOffset>
            </wp:positionV>
            <wp:extent cx="72294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-484505</wp:posOffset>
            </wp:positionV>
            <wp:extent cx="722947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-141605</wp:posOffset>
            </wp:positionV>
            <wp:extent cx="72294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-827405</wp:posOffset>
            </wp:positionV>
            <wp:extent cx="72294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Preferred stock, $0.01 par value; shares authorized 2.0; none issued or outstanding at January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50800</wp:posOffset>
            </wp:positionV>
            <wp:extent cx="7229475" cy="29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78" w:lineRule="exact"/>
        <w:rPr>
          <w:sz w:val="20"/>
          <w:szCs w:val="20"/>
          <w:color w:val="auto"/>
        </w:rPr>
      </w:pPr>
    </w:p>
    <w:p>
      <w:pPr>
        <w:ind w:left="400" w:right="300"/>
        <w:spacing w:after="0" w:line="293" w:lineRule="auto"/>
        <w:rPr>
          <w:sz w:val="20"/>
          <w:szCs w:val="20"/>
          <w:color w:val="auto"/>
        </w:rPr>
      </w:pPr>
      <w:r>
        <w:rPr>
          <w:rFonts w:ascii="Arial" w:cs="Arial" w:eastAsia="Arial" w:hAnsi="Arial"/>
          <w:sz w:val="16"/>
          <w:szCs w:val="16"/>
          <w:color w:val="auto"/>
        </w:rPr>
        <w:t>Common stock and additional paid-in capital, $0.01 par value; shares authorized 750.0; 220.3 outstanding at January 31, 2017 and 224.4 outstanding at January 31, 2016</w:t>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2947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93.5</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119.9</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238.2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243.3</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50.0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29.4</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1,270.1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1,068.9</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398.7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134.9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129.5</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2,185.4</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1,591.0</w:t>
            </w:r>
          </w:p>
        </w:tc>
      </w:tr>
      <w:tr>
        <w:trPr>
          <w:trHeight w:val="33"/>
        </w:trPr>
        <w:tc>
          <w:tcPr>
            <w:tcW w:w="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517.9</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450.3</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39.3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161.4</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91.5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67.7</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1,092.0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1,487.7</w:t>
            </w:r>
          </w:p>
        </w:tc>
      </w:tr>
      <w:tr>
        <w:trPr>
          <w:trHeight w:val="27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138.4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137.6</w:t>
            </w:r>
          </w:p>
        </w:tc>
      </w:tr>
      <w:tr>
        <w:trPr>
          <w:trHeight w:val="810"/>
        </w:trPr>
        <w:tc>
          <w:tcPr>
            <w:tcW w:w="7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700" w:type="dxa"/>
            <w:vAlign w:val="bottom"/>
          </w:tcPr>
          <w:p>
            <w:pPr>
              <w:jc w:val="right"/>
              <w:ind w:right="139"/>
              <w:spacing w:after="0"/>
              <w:rPr>
                <w:sz w:val="20"/>
                <w:szCs w:val="20"/>
                <w:color w:val="auto"/>
              </w:rPr>
            </w:pPr>
            <w:r>
              <w:rPr>
                <w:rFonts w:ascii="Arial" w:cs="Arial" w:eastAsia="Arial" w:hAnsi="Arial"/>
                <w:sz w:val="16"/>
                <w:szCs w:val="16"/>
                <w:color w:val="auto"/>
                <w:w w:val="86"/>
              </w:rPr>
              <w:t>1,876.3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1,821.5</w:t>
            </w:r>
          </w:p>
        </w:tc>
      </w:tr>
      <w:tr>
        <w:trPr>
          <w:trHeight w:val="270"/>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(178.5)</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(121.1)</w:t>
            </w:r>
          </w:p>
        </w:tc>
      </w:tr>
      <w:tr>
        <w:trPr>
          <w:trHeight w:val="270"/>
        </w:trPr>
        <w:tc>
          <w:tcPr>
            <w:tcW w:w="700" w:type="dxa"/>
            <w:vAlign w:val="bottom"/>
          </w:tcPr>
          <w:p>
            <w:pPr>
              <w:jc w:val="right"/>
              <w:ind w:right="79"/>
              <w:spacing w:after="0"/>
              <w:rPr>
                <w:sz w:val="20"/>
                <w:szCs w:val="20"/>
                <w:color w:val="auto"/>
              </w:rPr>
            </w:pPr>
            <w:r>
              <w:rPr>
                <w:rFonts w:ascii="Arial" w:cs="Arial" w:eastAsia="Arial" w:hAnsi="Arial"/>
                <w:sz w:val="16"/>
                <w:szCs w:val="16"/>
                <w:color w:val="auto"/>
              </w:rPr>
              <w:t>(964.2)</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-2156460</wp:posOffset>
            </wp:positionV>
            <wp:extent cx="951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20" w:space="720"/>
            <w:col w:w="218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733.6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1,619.6</w:t>
            </w:r>
          </w:p>
        </w:tc>
      </w:tr>
      <w:tr>
        <w:trPr>
          <w:trHeight w:val="33"/>
        </w:trPr>
        <w:tc>
          <w:tcPr>
            <w:tcW w:w="8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5,515.3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581025</wp:posOffset>
            </wp:positionV>
            <wp:extent cx="97790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2017 Form 10-K 65</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(582.1)</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145.9</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6720" w:type="dxa"/>
            <w:vAlign w:val="bottom"/>
          </w:tcPr>
          <w:p>
            <w:pPr>
              <w:ind w:left="360"/>
              <w:spacing w:after="0"/>
              <w:rPr>
                <w:sz w:val="20"/>
                <w:szCs w:val="20"/>
                <w:color w:val="auto"/>
              </w:rPr>
            </w:pPr>
            <w:r>
              <w:rPr>
                <w:rFonts w:ascii="Arial" w:cs="Arial" w:eastAsia="Arial" w:hAnsi="Arial"/>
                <w:sz w:val="16"/>
                <w:szCs w:val="16"/>
                <w:color w:val="auto"/>
              </w:rPr>
              <w:t>Other operating activities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130.8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245.2</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(50.7)</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operating activities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708.6</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(1,355.1)</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969.0</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(630.0)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(905.6)</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60"/>
        </w:trPr>
        <w:tc>
          <w:tcPr>
            <w:tcW w:w="6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175.4</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and retirement of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(372.4)</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Proceeds from debt, net of discount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7"/>
        </w:trPr>
        <w:tc>
          <w:tcPr>
            <w:tcW w:w="6720" w:type="dxa"/>
            <w:vAlign w:val="bottom"/>
          </w:tcPr>
          <w:p>
            <w:pPr>
              <w:ind w:left="700"/>
              <w:spacing w:after="0"/>
              <w:rPr>
                <w:sz w:val="20"/>
                <w:szCs w:val="20"/>
                <w:color w:val="auto"/>
              </w:rPr>
            </w:pPr>
            <w:r>
              <w:rPr>
                <w:rFonts w:ascii="Arial" w:cs="Arial" w:eastAsia="Arial" w:hAnsi="Arial"/>
                <w:sz w:val="16"/>
                <w:szCs w:val="16"/>
                <w:color w:val="auto"/>
              </w:rPr>
              <w:t>Net cash provided by (used in) financing activities (1)</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(240.4)</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(442.4)</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fiscal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1,853.0</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Cash and cash equivalents at end of fiscal year</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1,353.0</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1,410.6</w:t>
            </w:r>
          </w:p>
        </w:tc>
      </w:tr>
      <w:tr>
        <w:trPr>
          <w:trHeight w:val="73"/>
        </w:trPr>
        <w:tc>
          <w:tcPr>
            <w:tcW w:w="67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177"/>
        </w:trPr>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Supplemental cash flow information: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74"/>
        </w:trPr>
        <w:tc>
          <w:tcPr>
            <w:tcW w:w="6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24"/>
        </w:trPr>
        <w:tc>
          <w:tcPr>
            <w:tcW w:w="6720" w:type="dxa"/>
            <w:vAlign w:val="bottom"/>
          </w:tcPr>
          <w:p>
            <w:pPr>
              <w:ind w:left="380"/>
              <w:spacing w:after="0"/>
              <w:rPr>
                <w:sz w:val="20"/>
                <w:szCs w:val="20"/>
                <w:color w:val="auto"/>
              </w:rPr>
            </w:pPr>
            <w:r>
              <w:rPr>
                <w:rFonts w:ascii="Arial" w:cs="Arial" w:eastAsia="Arial" w:hAnsi="Arial"/>
                <w:sz w:val="16"/>
                <w:szCs w:val="16"/>
                <w:color w:val="auto"/>
              </w:rPr>
              <w:t>Cash paid during the year for interest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20.4</w:t>
            </w:r>
          </w:p>
        </w:tc>
      </w:tr>
      <w:tr>
        <w:trPr>
          <w:trHeight w:val="73"/>
        </w:trPr>
        <w:tc>
          <w:tcPr>
            <w:tcW w:w="67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42"/>
        </w:trPr>
        <w:tc>
          <w:tcPr>
            <w:tcW w:w="672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Net cash paid during the year for income taxes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420" w:right="40" w:hanging="412"/>
        <w:spacing w:after="0" w:line="250" w:lineRule="auto"/>
        <w:tabs>
          <w:tab w:leader="none" w:pos="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the three months ended July 31, 2016, the Company early adopted Accounting Standards Update No. 2016-09, “Improvements to Employee Share-Based Payment Accounting (Topic 718)” (“ASU 2016-09”), which addresses among other items, updates to the presentation and treatment of excess tax benefits related to stock based compensation. The Company has adopted changes to the consolidated statements of cash flows on a retrospective basis. The impact for the fiscal year ended January 31, 2015 to net cash provided by operating activities and net cash used in financing activities was $0.5 million. There was no impact to the fiscal year ended January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7790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2017 Form 10-K 66</w:t>
      </w:r>
    </w:p>
    <w:p>
      <w:pPr>
        <w:sectPr>
          <w:pgSz w:w="11900" w:h="16838" w:orient="portrait"/>
          <w:cols w:equalWidth="0" w:num="1">
            <w:col w:w="11400"/>
          </w:cols>
          <w:pgMar w:left="240" w:top="125" w:right="2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169545</wp:posOffset>
            </wp:positionV>
            <wp:extent cx="97790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7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Common stock and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4"/>
                <w:szCs w:val="14"/>
                <w:color w:val="auto"/>
              </w:rPr>
            </w:pPr>
          </w:p>
        </w:tc>
        <w:tc>
          <w:tcPr>
            <w:tcW w:w="9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7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additional paid-in capital</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earnings</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0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restart"/>
          </w:tcPr>
          <w:p>
            <w:pPr>
              <w:ind w:left="100"/>
              <w:spacing w:after="0" w:line="149" w:lineRule="exact"/>
              <w:rPr>
                <w:sz w:val="20"/>
                <w:szCs w:val="20"/>
                <w:color w:val="auto"/>
              </w:rPr>
            </w:pPr>
            <w:r>
              <w:rPr>
                <w:rFonts w:ascii="Arial" w:cs="Arial" w:eastAsia="Arial" w:hAnsi="Arial"/>
                <w:sz w:val="14"/>
                <w:szCs w:val="14"/>
                <w:b w:val="1"/>
                <w:bCs w:val="1"/>
                <w:color w:val="auto"/>
              </w:rPr>
              <w:t>Accumulated other</w:t>
            </w:r>
          </w:p>
        </w:tc>
        <w:tc>
          <w:tcPr>
            <w:tcW w:w="10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4"/>
                <w:szCs w:val="4"/>
                <w:color w:val="auto"/>
              </w:rPr>
            </w:pPr>
          </w:p>
        </w:tc>
        <w:tc>
          <w:tcPr>
            <w:tcW w:w="980" w:type="dxa"/>
            <w:vAlign w:val="bottom"/>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79"/>
        </w:trPr>
        <w:tc>
          <w:tcPr>
            <w:tcW w:w="6020" w:type="dxa"/>
            <w:vAlign w:val="bottom"/>
          </w:tcPr>
          <w:p>
            <w:pPr>
              <w:spacing w:after="0"/>
              <w:rPr>
                <w:sz w:val="6"/>
                <w:szCs w:val="6"/>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comprehensive loss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deficit)</w:t>
            </w:r>
          </w:p>
        </w:tc>
        <w:tc>
          <w:tcPr>
            <w:tcW w:w="14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36"/>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2014</w:t>
            </w:r>
          </w:p>
        </w:tc>
        <w:tc>
          <w:tcPr>
            <w:tcW w:w="6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2,261.5</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135.4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6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(372.4)</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2015</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2,219.2</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Tax benefits from employee stock plans</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(458.0)</w:t>
            </w:r>
          </w:p>
        </w:tc>
        <w:tc>
          <w:tcPr>
            <w:tcW w:w="0" w:type="dxa"/>
            <w:vAlign w:val="bottom"/>
          </w:tcPr>
          <w:p>
            <w:pPr>
              <w:spacing w:after="0"/>
              <w:rPr>
                <w:sz w:val="1"/>
                <w:szCs w:val="1"/>
                <w:color w:val="auto"/>
              </w:rPr>
            </w:pPr>
          </w:p>
        </w:tc>
      </w:tr>
      <w:tr>
        <w:trPr>
          <w:trHeight w:val="217"/>
        </w:trPr>
        <w:tc>
          <w:tcPr>
            <w:tcW w:w="6020" w:type="dxa"/>
            <w:vAlign w:val="bottom"/>
          </w:tcPr>
          <w:p>
            <w:pPr>
              <w:ind w:left="20"/>
              <w:spacing w:after="0"/>
              <w:rPr>
                <w:sz w:val="20"/>
                <w:szCs w:val="20"/>
                <w:color w:val="auto"/>
              </w:rPr>
            </w:pPr>
            <w:r>
              <w:rPr>
                <w:rFonts w:ascii="Arial" w:cs="Arial" w:eastAsia="Arial" w:hAnsi="Arial"/>
                <w:sz w:val="16"/>
                <w:szCs w:val="16"/>
                <w:color w:val="auto"/>
              </w:rPr>
              <w:t>Balances, January 31, 2016</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1,821.5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1,619.6</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221.8</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Net loss</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(582.1)</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6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(631.6)</w:t>
            </w:r>
          </w:p>
        </w:tc>
        <w:tc>
          <w:tcPr>
            <w:tcW w:w="0" w:type="dxa"/>
            <w:vAlign w:val="bottom"/>
          </w:tcPr>
          <w:p>
            <w:pPr>
              <w:spacing w:after="0"/>
              <w:rPr>
                <w:sz w:val="1"/>
                <w:szCs w:val="1"/>
                <w:color w:val="auto"/>
              </w:rPr>
            </w:pPr>
          </w:p>
        </w:tc>
      </w:tr>
      <w:tr>
        <w:trPr>
          <w:trHeight w:val="33"/>
        </w:trPr>
        <w:tc>
          <w:tcPr>
            <w:tcW w:w="60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2017</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97790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68</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January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07"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Business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consumer, and entertainment industries. The Company’s sophisticated software products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foster innovation, optimize and improve their designs, help save time and money, improve quality, and collaborate with others. Autodesk software products are sold globally, both directly to customers and through a network of resellers and distributors.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Principles of Consolidation</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subsidiaries. All intercompany accounts and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Segments</w:t>
      </w:r>
    </w:p>
    <w:p>
      <w:pPr>
        <w:spacing w:after="0" w:line="225" w:lineRule="exact"/>
        <w:rPr>
          <w:sz w:val="20"/>
          <w:szCs w:val="20"/>
          <w:color w:val="auto"/>
        </w:rPr>
      </w:pPr>
    </w:p>
    <w:p>
      <w:pPr>
        <w:ind w:right="720" w:firstLine="432"/>
        <w:spacing w:after="0" w:line="308" w:lineRule="auto"/>
        <w:rPr>
          <w:sz w:val="20"/>
          <w:szCs w:val="20"/>
          <w:color w:val="auto"/>
        </w:rPr>
      </w:pPr>
      <w:r>
        <w:rPr>
          <w:rFonts w:ascii="Arial" w:cs="Arial" w:eastAsia="Arial" w:hAnsi="Arial"/>
          <w:sz w:val="17"/>
          <w:szCs w:val="17"/>
          <w:color w:val="auto"/>
        </w:rPr>
        <w:t>Through the second quarter of fiscal 2017, Autodesk had four operating and reportable segments: Architecture, Engineering, and Construction (“AEC”), Manufacturing (“MFG”), Platform Solutions and Emerging Business (“PSEB”), and Media and Entertainment (“M&amp;E”).</w:t>
      </w:r>
    </w:p>
    <w:p>
      <w:pPr>
        <w:spacing w:after="0" w:line="147"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During the third quarter of fiscal 2017, as a result of changes in our organizational structure from the business model transition and various other factors described further in Note 13, "Segments," management determined the Company operates as a single operating segment and single reporting unit. However, the Company will continue to provide disaggregation of revenue by product family and geographical information within Note 13, "Segments."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Use of Estimates</w:t>
      </w:r>
    </w:p>
    <w:p>
      <w:pPr>
        <w:spacing w:after="0" w:line="22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Examples of significant estimates and assumptions made by management involve the determination of the fair value of acquired assets and liabilities, goodwill, financial instruments, long-lived assets and other intangible assets, the realizability of deferred tax assets, and the fair value of stock awards. The Company also makes assumptions, judgments, and estimates in determining the accruals for uncertain tax positions, variable compensation, partner incentive programs, product returns reserves, allowances for doubtful accounts, asset retirement obligations, and legal contingencies.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Foreign Currency Translation and Transactions</w:t>
      </w:r>
    </w:p>
    <w:p>
      <w:pPr>
        <w:spacing w:after="0" w:line="225"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as other comprehensive (loss) income.</w:t>
      </w:r>
    </w:p>
    <w:p>
      <w:pPr>
        <w:spacing w:after="0" w:line="1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income, net. Monetary assets and liabilities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134620</wp:posOffset>
            </wp:positionV>
            <wp:extent cx="97790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remeasured using foreign currency exchange rates at the end of the period, and non-monetary assets are remeasured based on historical exchange rates.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Derivative Financial Instruments</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12 months in the future. Autodesk does not enter into any derivative instruments for trading or speculative purposes.</w:t>
      </w:r>
    </w:p>
    <w:p>
      <w:pPr>
        <w:spacing w:after="0" w:line="171"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Autodesk accounts for its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 See Note 2, "Financial Instruments" for information regarding Autodesk's hedging activities.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Cash and Cash Equivalents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recorded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Marketable Securities and Privately Held Company Investments</w:t>
      </w:r>
    </w:p>
    <w:p>
      <w:pPr>
        <w:spacing w:after="0" w:line="225"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Marketable securities are stated at fair value. Marketable securities maturing within one year that are not restricted are classified as current assets. Substantially all marketable debt and equity investments held by Autodesk are classified as current based on the nature of the investments and their availability for use in current operations.</w:t>
      </w:r>
    </w:p>
    <w:p>
      <w:pPr>
        <w:spacing w:after="0" w:line="181"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until disposition or maturity. Autodesk carries all “trading securities” at fair value, with unrealized gains and losses, recorded in “Interest and other income, net” in the Company’s Consolidated Statements of Operations. The cost of securities sold is based on the specific-identification method.</w:t>
      </w:r>
    </w:p>
    <w:p>
      <w:pPr>
        <w:spacing w:after="0" w:line="154" w:lineRule="exact"/>
        <w:rPr>
          <w:sz w:val="20"/>
          <w:szCs w:val="20"/>
          <w:color w:val="auto"/>
        </w:rPr>
      </w:pPr>
    </w:p>
    <w:p>
      <w:pPr>
        <w:ind w:right="500" w:firstLine="432"/>
        <w:spacing w:after="0" w:line="342" w:lineRule="auto"/>
        <w:rPr>
          <w:sz w:val="20"/>
          <w:szCs w:val="20"/>
          <w:color w:val="auto"/>
        </w:rPr>
      </w:pPr>
      <w:r>
        <w:rPr>
          <w:rFonts w:ascii="Arial" w:cs="Arial" w:eastAsia="Arial" w:hAnsi="Arial"/>
          <w:sz w:val="16"/>
          <w:szCs w:val="16"/>
          <w:color w:val="auto"/>
        </w:rPr>
        <w:t>Autodesk regularly invests in non-marketable debt and equity securities of privately held companies. The carrying values of such investments are included in other long-term assets. For the majority of our privately held company investments, we use the cost method of accounting.</w:t>
      </w:r>
    </w:p>
    <w:p>
      <w:pPr>
        <w:spacing w:after="0" w:line="12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All of Autodesk’s marketable securities and privately held company investments are subject to a periodic impairment review. The Company recognizes an impairment charge when a decline in the fair value of its investments below the cost basis is judged to be other-than-temporary. Autodesk considers various factors in determining whether to recognize an impairment charge, including the length of time and extent to which the fair value has been less than Autodesk’s cost basis, the financial condition and near-term prospects of the investee, and Autodesk’s intent and ability to hold the investment for a period of time sufficient to allow for any anticipated recovery in the market value. For additional information, see “Concentration of Credit Risk” within this Note 1 and Note 2, “Financial Instruments.”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Accounts Receivable,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97790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477.5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700.1</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returns reserve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Partner programs and other obligations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653.6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product returns reserves are based on historical experience of actual product returns, estimated channel inventory levels, the timing of new product introductions, channel sell-in for applicable markets, and other factors.</w:t>
      </w:r>
    </w:p>
    <w:p>
      <w:pPr>
        <w:spacing w:after="0" w:line="170"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color w:val="auto"/>
        </w:rPr>
        <w:t>As part of the indirect channel model, Autodesk has a partner incentive program that uses quarterly attainment of monetary rewards to motivate distributors and resellers to achieve mutually agreed upon business goals in a specified time period. A portion of these incentives reduce license and other revenue in the current period. The remainder, which relates to incentives on our Subscription Program, is recorded as a reduction to deferred revenue in the period the subscription transaction is billed and subsequently recognized as a reduction to subscription revenue over the contract period. These incentive balances do not require significant assumptions or judgments. Depending on how the payments are made, the reserves associated with the partner incentive program are treated on the balance sheet as either contra account receivable or accounts payable.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Concentration of Credit Risk</w:t>
      </w:r>
    </w:p>
    <w:p>
      <w:pPr>
        <w:spacing w:after="0" w:line="225"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Geographical concentrations of consolidated cash, cash equivalents, and marketable securities held by Autodesk as of January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2016</w:t>
            </w:r>
          </w:p>
        </w:tc>
      </w:tr>
      <w:tr>
        <w:trPr>
          <w:trHeight w:val="236"/>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Other Americas</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Europe, Middle East, and Africa (“EMEA”)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Asia Pacific (“APAC”)</w:t>
            </w: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235"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Autodesk’s primary commercial banking relationship is with Citigroup Inc. and its global affiliates. Citibank, N.A., an affiliate of Citigroup, is one of the lead lenders and an agent in the syndicate of Autodesk’s $400.0 million line of credit facility. It is Autodesk’s policy to limit the amounts invested with any one institution by type of security and issuer.</w:t>
      </w:r>
    </w:p>
    <w:p>
      <w:pPr>
        <w:spacing w:after="0" w:line="18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Autodesk’s accounts receivable are derived from sales to a large number of resellers, distributors, and direct customers in the Americas; EMEA; and APAC geographies. Autodesk performs ongoing evaluations of these partners' financial condition and limits the amount of credit extended when deemed necessary, but generally does not require collateral from such parties. Total sales to the Company's largest distributor Tech Data Corporation, and its global affiliates (“Tech Data”), accounted for 30%, 25%, and 25% of Autodesk's net revenue for fiscal years ended January 31, 2017, 2016, and 2015, respectively. The majority of the net revenue from sales to Tech Data is for sales made outside of the United States. In addition, Tech Data accounted for 20% and 22% of trade accounts receivable as of January 31, 2017 and 2016, respectively.</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Computer Equipment, Software, Furniture, and Leasehold Improvements, Net</w:t>
      </w:r>
    </w:p>
    <w:p>
      <w:pPr>
        <w:spacing w:after="0" w:line="225"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$73.1 million in fiscal 2017, $60.6 million in fiscal 2016, and $52.1 million in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268605</wp:posOffset>
            </wp:positionV>
            <wp:extent cx="97790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202.7</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85.6</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202.9</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Furniture and equipment, at cost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550.2</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(385.5)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(380.9)</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over the software’s expected useful life, which is generally three years.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Software Development Costs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three year period, if material. Autodesk had no material capitalized software development costs at January 31, 2017 and January 31, 2016.</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Other Intangible Assets, Net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Other intangible assets include developed technologies, customer relationships, trade names, patents, user lists and the related accumulated amortization. These assets are shown as “Developed technologies, net” and as part of “Other assets” in the Consolidated Balance Sheet. The majority of Autodesk’s other intangible assets are amortized to expense over the estimated economic life of the product, which ranges from one to ten years. Amortization expense for developed technologies, customer relationships, trade names, patents, and user lists was $72.2 million in fiscal 2017, $82.6 million in fiscal 2016 and $92.9 million in fiscal 2015.</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at cost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571.4</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371.6</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at cost (2)</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943.0</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amortization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(862.0)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(796.2)</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w:t>
        <w:tab/>
        <w:t>Included in “Other assets” in the accompanying Consolidated Balance Sheets.</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w:t>
        <w:tab/>
        <w:t>Includes the effects of foreign currency translation.</w:t>
      </w:r>
    </w:p>
    <w:p>
      <w:pPr>
        <w:spacing w:after="0" w:line="203" w:lineRule="exact"/>
        <w:rPr>
          <w:sz w:val="20"/>
          <w:szCs w:val="20"/>
          <w:color w:val="auto"/>
        </w:rPr>
      </w:pPr>
    </w:p>
    <w:p>
      <w:pPr>
        <w:jc w:val="both"/>
        <w:ind w:right="480" w:firstLine="432"/>
        <w:spacing w:after="0" w:line="264" w:lineRule="auto"/>
        <w:rPr>
          <w:sz w:val="20"/>
          <w:szCs w:val="20"/>
          <w:color w:val="auto"/>
        </w:rPr>
      </w:pPr>
      <w:r>
        <w:rPr>
          <w:rFonts w:ascii="Arial" w:cs="Arial" w:eastAsia="Arial" w:hAnsi="Arial"/>
          <w:sz w:val="18"/>
          <w:szCs w:val="18"/>
          <w:color w:val="auto"/>
        </w:rPr>
        <w:t>The weighted average amortization period for developed technologies, customer relationships, and trade names during fiscal 2017 was 4.6 years. Excluding in-process research and development, expected future amortization expense for developed technologies, customer relationships, trade names, patents, and user lists for each of the fiscal years ended 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97790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281"/>
              <w:spacing w:after="0"/>
              <w:rPr>
                <w:sz w:val="20"/>
                <w:szCs w:val="20"/>
                <w:color w:val="auto"/>
              </w:rPr>
            </w:pPr>
            <w:r>
              <w:rPr>
                <w:rFonts w:ascii="Arial" w:cs="Arial" w:eastAsia="Arial" w:hAnsi="Arial"/>
                <w:sz w:val="14"/>
                <w:szCs w:val="14"/>
                <w:b w:val="1"/>
                <w:bCs w:val="1"/>
                <w:color w:val="auto"/>
              </w:rPr>
              <w:t>Fiscal Year ended</w:t>
            </w:r>
          </w:p>
        </w:tc>
      </w:tr>
      <w:tr>
        <w:trPr>
          <w:trHeight w:val="192"/>
        </w:trPr>
        <w:tc>
          <w:tcPr>
            <w:tcW w:w="9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January 31,</w:t>
            </w:r>
          </w:p>
        </w:tc>
      </w:tr>
      <w:tr>
        <w:trPr>
          <w:trHeight w:val="236"/>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37.2</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28.9</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8.3</w:t>
            </w:r>
          </w:p>
        </w:tc>
      </w:tr>
      <w:tr>
        <w:trPr>
          <w:trHeight w:val="33"/>
        </w:trPr>
        <w:tc>
          <w:tcPr>
            <w:tcW w:w="9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r>
      <w:tr>
        <w:trPr>
          <w:trHeight w:val="224"/>
        </w:trPr>
        <w:tc>
          <w:tcPr>
            <w:tcW w:w="95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0.1</w:t>
            </w:r>
          </w:p>
        </w:tc>
      </w:tr>
      <w:tr>
        <w:trPr>
          <w:trHeight w:val="33"/>
        </w:trPr>
        <w:tc>
          <w:tcPr>
            <w:tcW w:w="9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94.9</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Goodwill</w:t>
      </w:r>
    </w:p>
    <w:p>
      <w:pPr>
        <w:spacing w:after="0" w:line="225"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reporting units.</w:t>
      </w:r>
    </w:p>
    <w:p>
      <w:pPr>
        <w:spacing w:after="0" w:line="18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93"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Therefore, the two-step quantitative impairment test is necessary when either Autodesk does not utilize the optional assessment or, as a result of the optional assessment, it is not more likely than not that the fair value of the reporting unit is greater than its carrying value. The first step of the goodwill impairment test identifies if there is potential goodwill impairment. If step one indicates that an impairment may exist, a second step is performed to measure the amount of the goodwill impairment, if any. Goodwill impairment exists when the estimated fair value of goodwill is less than its carrying value. If impairment exists, the carrying value of the goodwill is reduced to fair value through an impairment charge recorded in our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w:t>
      </w:r>
    </w:p>
    <w:p>
      <w:pPr>
        <w:spacing w:after="0" w:line="19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As described in Note 13, "Segments" commencing in the third quarter of fiscal 2017, Autodesk changed its segment reporting as it now operates as a single operating segment and single reporting unit. In situations in which an entity's reporting unit is publicly traded, the fair value for step one of the impairment test may be approximated by the entity's market capitalization. For the annual impairment test, Autodesk's market capitalization was substantially in excess of the carrying value of the Company as of January 31, 2017. Accordingly, Autodesk has determined there was no goodwill impairment during the year ended January 31, 2017. In addition, Autodesk did not recognize any goodwill impairment losses in fiscal 2016 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273050</wp:posOffset>
            </wp:positionV>
            <wp:extent cx="97790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fiscal years ended January 31, 2017 and January 31,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beginning of the year</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1,605.4</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Less: accumulated impairment losses, beginning of the year</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arising from acquisitions during the year (1)</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Effect of foreign currency translation, measurement period adjustments, and other (2)</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end of the year</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1,535.0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20" w:hanging="412"/>
        <w:spacing w:after="0" w:line="249" w:lineRule="auto"/>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fiscal 2016 balance has not been adjusted here for measurement period adjustments made in fiscal 2017. Refer to Note 5, "Acquisitions" for additional information on the amounts recorded in fiscal 2017 that relate to goodwill from fiscal 2016 acquisitions.</w:t>
      </w: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Purchase accounting adjustments reflect revisions made to the Company’s preliminary purchase price allocations during fiscal 2017 and 2016.</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Impairment of Long-Lived Assets</w:t>
      </w:r>
    </w:p>
    <w:p>
      <w:pPr>
        <w:spacing w:after="0" w:line="225" w:lineRule="exact"/>
        <w:rPr>
          <w:sz w:val="20"/>
          <w:szCs w:val="20"/>
          <w:color w:val="auto"/>
        </w:rPr>
      </w:pPr>
    </w:p>
    <w:p>
      <w:pPr>
        <w:ind w:right="220" w:firstLine="405"/>
        <w:spacing w:after="0" w:line="285" w:lineRule="auto"/>
        <w:rPr>
          <w:sz w:val="20"/>
          <w:szCs w:val="20"/>
          <w:color w:val="auto"/>
        </w:rPr>
      </w:pPr>
      <w:r>
        <w:rPr>
          <w:rFonts w:ascii="Arial" w:cs="Arial" w:eastAsia="Arial" w:hAnsi="Arial"/>
          <w:sz w:val="16"/>
          <w:szCs w:val="16"/>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recoverability of these assets. Recoverability is measured by comparison of the carrying amounts of the assets to the future undiscounted cash flows the assets are expected to generate. If the long-lived assets are considered to be impaired, the impairment to be recognized is equal to the amount by which the carrying value of the assets exceeds its fair market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value. Autodesk did not recognize any material impairments of long-lived assets during the fiscal years ended January 31, 2017, 2016, and 2015, respectively.</w:t>
      </w:r>
    </w:p>
    <w:p>
      <w:pPr>
        <w:spacing w:after="0" w:line="23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Deferred Tax Assets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Deferred tax assets arise primarily from tax credits, net operating losses, and timing differences for reserves, accrued liabilities, stock options, deferred revenue, purchased technologies, and capitalized intangibles, partially offset by U.S. deferred tax liabilities on unremitted earnings from certain foreign subsidiaries, acquired intangibles, and valuation allowances against U.S. and foreign deferred tax assets. Autodesk performed a quarterly assessment of the recoverability of these net deferred tax assets and believe that we will generate sufficient 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that is "more likely than not" to be realized.</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Revenue Recognition</w:t>
      </w:r>
    </w:p>
    <w:p>
      <w:pPr>
        <w:spacing w:after="0" w:line="2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Autodesk recognizes revenue when persuasive evidence of an arrangement exists, delivery has occurred or services have been rendered, the price is fixed or determinable, and collection is probable.</w:t>
      </w:r>
    </w:p>
    <w:p>
      <w:pPr>
        <w:spacing w:after="0" w:line="17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For multiple element arrangements containing only software and software-related elements, Autodesk allocates the sales price among each of the deliverables using the residual method, under which a portion of the total arrangement consideration is allocated to undelivered elements based on their vendor-specific objective evidence (“VSOE”) of fair value and the remainder or residual of the total consideration is recognized as revenue for the delivered elements. VSOE is the price charged when an element is sold separately or a price set by management with the relevant authority. If Autodesk does not have VSOE of an undelivered element, revenue recognition is deferred on the entire sales arrangement until all elements for which Autodesk does not have VSOE are delivered. If Autodesk does not have VSOE for undelivered product subscriptions, maintenance or services, the total consideration for the arrangement is recognized ratably over the longest contractual service period in the arrangement.</w:t>
      </w:r>
    </w:p>
    <w:p>
      <w:pPr>
        <w:spacing w:after="0" w:line="17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 xml:space="preserve">For multiple element arrangements involving non-software elements, including cloud subscription services, our revenue recognition policy is based upon the accounting guidance contained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For these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7790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74</w:t>
      </w:r>
    </w:p>
    <w:p>
      <w:pPr>
        <w:sectPr>
          <w:pgSz w:w="11900" w:h="16838" w:orient="portrait"/>
          <w:cols w:equalWidth="0" w:num="1">
            <w:col w:w="11380"/>
          </w:cols>
          <w:pgMar w:left="240" w:top="125"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Autodesk first allocates the total arrangement consideration based on the relative selling prices of the software group of elements as a whole and the non-software elements. Autodesk then further allocates consideration within the software group to the respective elements within that group using the residual method as described above. Autodesk exercises judgment and uses estimates in connection with the determination of the amount of revenue to be recognized in each accounting period.</w:t>
      </w:r>
    </w:p>
    <w:p>
      <w:pPr>
        <w:spacing w:after="0" w:line="18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Autodesk allocates the total arrangement consideration among the various elements based on a selling price hierarchy. The selling price for a deliverable is based on its VSOE if available, third-party evidence ("TPE") if VSOE is not available, or the best estimated selling price ("BESP") if neither VSOE nor TPE is available. BESP represents the price at which Autodesk would transact for the deliverable if it were sold regularly on a standalone basis. To establish BESP for those elements for which neither VSOE nor TPE are available, Autodesk performs a quantitative analysis of pricing data points for historical standalone transactions involving such elements for a twelve-month period. As part of this analysis, Autodesk monitors and evaluates the BESP against actual pricing to ensure that it continues to represent a reasonable estimate of the standalone selling price, considering several other external and internal factors including, but not limited to, pricing and discounting practices, contractually stated prices, the geographies in which Autodesk offers products and services, and the type of customer (i.e. distributor, value-added reseller, and direct end user, among others). Autodesk analyzes BESP at least annually or on a more frequent basis if a significant change in our business necessitates a more timely analysis, or if significant selling price variances are experienced.</w:t>
      </w:r>
    </w:p>
    <w:p>
      <w:pPr>
        <w:spacing w:after="0" w:line="167"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In situations when Autodesk has multiple contracts with a single counterparty, Autodesk uses the guidance in ASC 985-605 to evaluate both the form and the substance of the arrangements to determine if they should be combined and accounted for as one arrangement or as separate arrangements.</w:t>
      </w:r>
    </w:p>
    <w:p>
      <w:pPr>
        <w:spacing w:after="0" w:line="124"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Autodesk’s assessment of likelihood of collection is also a critical element in determining the timing of revenue recognition. If collection is not probable, the revenue will be deferred until payment is received.</w:t>
      </w:r>
    </w:p>
    <w:p>
      <w:pPr>
        <w:spacing w:after="0" w:line="170"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Autodesk's Subscription revenue consists of two components: maintenance revenue for our software products and revenue for our cloud service offerings, including Autodesk 360. Autodesk's maintenance program provides our commercial and educational customers of perpetual products with a cost effective and predictable budgetary option to obtain the productivity benefits of our new releases and enhancements when and if released during the term of their contracts. Under Autodesk's maintenance program, customers are eligible to receive unspecified upgrades when and if available, downloadable training courses, and online support. Autodesk recognizes maintenance revenue ratably over the term of the maintenance agreement, which is generally between one and three years but can occasionally be as long as five years. Revenue for Autodesk's cloud service offerings is recognized ratably over the contract term commencing with the date Autodesk's service is made available to customers and all other revenue recognition criteria have been satisfied.</w:t>
      </w:r>
    </w:p>
    <w:p>
      <w:pPr>
        <w:spacing w:after="0" w:line="16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License and other revenue consists of two components: product license revenue and other revenue. Product license revenue includes software license revenue from the sale of perpetual licenses, term-based licenses from our desktop subscription and enterprise offerings, and product revenue for Creative Finishing. Other revenue includes revenue from consulting, training, Autodesk Developers Network and Creative Finishing customer support, and is recognized over time, as the services are performed.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Taxes Collected from Customers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Autodesk nets taxes collected from customers against those remitted to government authorities in the consolidated financial statements. Accordingly, taxes collected from customers are not reported as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Shipping and Handling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Shipping and handling costs are included in cost of revenue for all periods presented.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for fiscal 2017, 2016, and 2015, respectively,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subscription</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Cost of license and other revenue</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72.4</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56.0</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r>
      <w:tr>
        <w:trPr>
          <w:trHeight w:val="200"/>
        </w:trPr>
        <w:tc>
          <w:tcPr>
            <w:tcW w:w="6720" w:type="dxa"/>
            <w:vAlign w:val="bottom"/>
          </w:tcPr>
          <w:p>
            <w:pPr>
              <w:ind w:left="20"/>
              <w:spacing w:after="0"/>
              <w:rPr>
                <w:sz w:val="20"/>
                <w:szCs w:val="20"/>
                <w:color w:val="auto"/>
              </w:rPr>
            </w:pPr>
            <w:r>
              <w:rPr>
                <w:rFonts w:ascii="Arial" w:cs="Arial" w:eastAsia="Arial" w:hAnsi="Arial"/>
                <w:sz w:val="16"/>
                <w:szCs w:val="16"/>
                <w:color w:val="auto"/>
                <w:w w:val="93"/>
              </w:rPr>
              <w:t>Stock-based compensation expense related to stock awards and Employee Qualified Stock Purchase</w:t>
            </w:r>
          </w:p>
        </w:tc>
        <w:tc>
          <w:tcPr>
            <w:tcW w:w="9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06"/>
        </w:trPr>
        <w:tc>
          <w:tcPr>
            <w:tcW w:w="6720" w:type="dxa"/>
            <w:vAlign w:val="bottom"/>
          </w:tcPr>
          <w:p>
            <w:pPr>
              <w:ind w:left="200"/>
              <w:spacing w:after="0"/>
              <w:rPr>
                <w:sz w:val="20"/>
                <w:szCs w:val="20"/>
                <w:color w:val="auto"/>
              </w:rPr>
            </w:pPr>
            <w:r>
              <w:rPr>
                <w:rFonts w:ascii="Arial" w:cs="Arial" w:eastAsia="Arial" w:hAnsi="Arial"/>
                <w:sz w:val="16"/>
                <w:szCs w:val="16"/>
                <w:color w:val="auto"/>
              </w:rPr>
              <w:t>Plan ("ESPP") purchases</w:t>
            </w: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221.8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165.6</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Stock-based compensation expense related to stock awards and ESPP purchases, net</w:t>
            </w:r>
          </w:p>
        </w:tc>
        <w:tc>
          <w:tcPr>
            <w:tcW w:w="96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219.2</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120.4</w:t>
            </w:r>
          </w:p>
        </w:tc>
      </w:tr>
      <w:tr>
        <w:trPr>
          <w:trHeight w:val="33"/>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Black-Scholes Merton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21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2"/>
              </w:rPr>
              <w:t>Fiscal Year Ended</w:t>
            </w:r>
          </w:p>
        </w:tc>
        <w:tc>
          <w:tcPr>
            <w:tcW w:w="2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276"/>
        </w:trPr>
        <w:tc>
          <w:tcPr>
            <w:tcW w:w="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right="401"/>
              <w:spacing w:after="0"/>
              <w:rPr>
                <w:sz w:val="20"/>
                <w:szCs w:val="20"/>
                <w:color w:val="auto"/>
              </w:rPr>
            </w:pPr>
            <w:r>
              <w:rPr>
                <w:rFonts w:ascii="Arial" w:cs="Arial" w:eastAsia="Arial" w:hAnsi="Arial"/>
                <w:sz w:val="14"/>
                <w:szCs w:val="14"/>
                <w:b w:val="1"/>
                <w:bCs w:val="1"/>
                <w:color w:val="auto"/>
                <w:w w:val="94"/>
              </w:rPr>
              <w:t>January 31, 2017</w:t>
            </w:r>
          </w:p>
        </w:tc>
        <w:tc>
          <w:tcPr>
            <w:tcW w:w="120" w:type="dxa"/>
            <w:vAlign w:val="bottom"/>
          </w:tcPr>
          <w:p>
            <w:pPr>
              <w:spacing w:after="0"/>
              <w:rPr>
                <w:sz w:val="24"/>
                <w:szCs w:val="24"/>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2016</w:t>
            </w:r>
          </w:p>
        </w:tc>
        <w:tc>
          <w:tcPr>
            <w:tcW w:w="120" w:type="dxa"/>
            <w:vAlign w:val="bottom"/>
          </w:tcPr>
          <w:p>
            <w:pPr>
              <w:spacing w:after="0"/>
              <w:rPr>
                <w:sz w:val="24"/>
                <w:szCs w:val="2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2015</w:t>
            </w:r>
          </w:p>
        </w:tc>
        <w:tc>
          <w:tcPr>
            <w:tcW w:w="0" w:type="dxa"/>
            <w:vAlign w:val="bottom"/>
          </w:tcPr>
          <w:p>
            <w:pPr>
              <w:spacing w:after="0"/>
              <w:rPr>
                <w:sz w:val="1"/>
                <w:szCs w:val="1"/>
                <w:color w:val="auto"/>
              </w:rPr>
            </w:pPr>
          </w:p>
        </w:tc>
      </w:tr>
      <w:tr>
        <w:trPr>
          <w:trHeight w:val="152"/>
        </w:trPr>
        <w:tc>
          <w:tcPr>
            <w:tcW w:w="150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2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ESPP</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2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ESPP</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8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Unit</w:t>
            </w: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1260" w:type="dxa"/>
            <w:vAlign w:val="bottom"/>
            <w:gridSpan w:val="2"/>
            <w:vMerge w:val="continue"/>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Unit</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7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- 39%</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30 - 40%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28 -29%</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29 - 33%</w:t>
            </w:r>
          </w:p>
        </w:tc>
        <w:tc>
          <w:tcPr>
            <w:tcW w:w="0" w:type="dxa"/>
            <w:vAlign w:val="bottom"/>
          </w:tcPr>
          <w:p>
            <w:pPr>
              <w:spacing w:after="0"/>
              <w:rPr>
                <w:sz w:val="1"/>
                <w:szCs w:val="1"/>
                <w:color w:val="auto"/>
              </w:rPr>
            </w:pPr>
          </w:p>
        </w:tc>
      </w:tr>
      <w:tr>
        <w:trPr>
          <w:trHeight w:val="270"/>
        </w:trPr>
        <w:tc>
          <w:tcPr>
            <w:tcW w:w="1500" w:type="dxa"/>
            <w:vAlign w:val="bottom"/>
            <w:gridSpan w:val="3"/>
          </w:tcPr>
          <w:p>
            <w:pPr>
              <w:jc w:val="center"/>
              <w:spacing w:after="0"/>
              <w:rPr>
                <w:sz w:val="20"/>
                <w:szCs w:val="20"/>
                <w:color w:val="auto"/>
              </w:rPr>
            </w:pPr>
            <w:r>
              <w:rPr>
                <w:rFonts w:ascii="Arial" w:cs="Arial" w:eastAsia="Arial" w:hAnsi="Arial"/>
                <w:sz w:val="16"/>
                <w:szCs w:val="16"/>
                <w:color w:val="auto"/>
                <w:w w:val="97"/>
              </w:rPr>
              <w:t>N/A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50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70"/>
        </w:trPr>
        <w:tc>
          <w:tcPr>
            <w:tcW w:w="620" w:type="dxa"/>
            <w:vAlign w:val="bottom"/>
          </w:tcPr>
          <w:p>
            <w:pPr>
              <w:jc w:val="right"/>
              <w:spacing w:after="0"/>
              <w:rPr>
                <w:sz w:val="20"/>
                <w:szCs w:val="20"/>
                <w:color w:val="auto"/>
              </w:rPr>
            </w:pPr>
            <w:r>
              <w:rPr>
                <w:rFonts w:ascii="Arial" w:cs="Arial" w:eastAsia="Arial" w:hAnsi="Arial"/>
                <w:sz w:val="16"/>
                <w:szCs w:val="16"/>
                <w:color w:val="auto"/>
              </w:rPr>
              <w:t>0.6</w:t>
            </w:r>
          </w:p>
        </w:tc>
        <w:tc>
          <w:tcPr>
            <w:tcW w:w="760" w:type="dxa"/>
            <w:vAlign w:val="bottom"/>
          </w:tcPr>
          <w:p>
            <w:pPr>
              <w:ind w:left="40"/>
              <w:spacing w:after="0"/>
              <w:rPr>
                <w:sz w:val="20"/>
                <w:szCs w:val="20"/>
                <w:color w:val="auto"/>
              </w:rPr>
            </w:pPr>
            <w:r>
              <w:rPr>
                <w:rFonts w:ascii="Arial" w:cs="Arial" w:eastAsia="Arial" w:hAnsi="Arial"/>
                <w:sz w:val="16"/>
                <w:szCs w:val="16"/>
                <w:color w:val="auto"/>
              </w:rPr>
              <w:t>- 0.7%</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0.5 - 0.9%</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0.2%</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0.1 - 0.7%</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0.0 - 0.6%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-673100</wp:posOffset>
            </wp:positionV>
            <wp:extent cx="7229475"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-1953895</wp:posOffset>
            </wp:positionH>
            <wp:positionV relativeFrom="paragraph">
              <wp:posOffset>-321310</wp:posOffset>
            </wp:positionV>
            <wp:extent cx="722947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720"/>
            <w:col w:w="8300"/>
          </w:cols>
          <w:pgMar w:left="240" w:top="125" w:right="259" w:bottom="1440" w:gutter="0" w:footer="0" w:header="0"/>
          <w:type w:val="continuous"/>
        </w:sectPr>
      </w:pPr>
    </w:p>
    <w:p>
      <w:pPr>
        <w:spacing w:after="0" w:line="35"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 The expected volatility for performance stock units ("PSUs") subject to market conditions includes the expected volatility of Autodesk's peer companies within the S&amp;P Computer Software Select Index.</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Autodesk did not pay cash dividends in fiscal 2017, 2016, or 2015 and does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BSM option pricing model and the Monte Carlo simulation model.</w:t>
      </w:r>
    </w:p>
    <w:p>
      <w:pPr>
        <w:spacing w:after="0" w:line="21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As permitted by ASU 2016-09, Autodesk has elected to account for forfeitures of our stock-based awards as those forfeitures occur.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Advertising Expenses</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Advertising costs are expensed as incurred. Total advertising expenses incurred were $33.6 million in fiscal 2017, $29.8 million in fiscal 2016, and $23.9 million in fiscal 2015.</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Net (Loss)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97790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76</w:t>
      </w:r>
    </w:p>
    <w:p>
      <w:pPr>
        <w:sectPr>
          <w:pgSz w:w="11900" w:h="16838" w:orient="portrait"/>
          <w:cols w:equalWidth="0" w:num="1">
            <w:col w:w="11400"/>
          </w:cols>
          <w:pgMar w:left="240" w:top="125" w:right="2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Basic net (loss) income per share is computed based on the weighted average number of shares of common stock outstanding for the period, excluding stock options and restricted stock. Diluted net (loss) income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Defined Benefit Pension Plans</w:t>
      </w:r>
    </w:p>
    <w:p>
      <w:pPr>
        <w:spacing w:after="0" w:line="22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spacing w:after="0" w:line="18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income. Certain events, such as changes in the employee base, plan amendments, and changes in actuarial assumptions may result in a change in the defined benefit obligation and the corresponding change to other comprehensive income.</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Gains and losses and prior service costs not recognized as a component of net periodic benefit cost in the Consolidated Statements of Operations as they arise are recognized as a component of other comprehensive (loss) income in the Consolidated Statements of Comprehensive (Loss) Income.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Accounting Standards in Fiscal 2017</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With the exception of those discussed below, there have been no recent changes in accounting pronouncements issued by the FASB or adopted by the Company during the fiscal year ended January 31, 2017, that are of significance, or potential significance, to the Company.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Accounting Standards Adopted</w:t>
      </w:r>
    </w:p>
    <w:p>
      <w:pPr>
        <w:spacing w:after="0" w:line="225"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Effective in the second quarter of fiscal 2017, Autodesk adopted FASB's Accounting Standards Update No. 2016-09 ("ASU 2016-09") regarding ASC Topic 718, “Improvements to Employee Share-Based Payment Accounting.” The new guidance requires excess tax benefits and tax deficiencies to be recorded in the income statement when the awards vest or are settled. In addition, cash flows related to excess tax benefits will no longer be separately classified as a financing activity apart from other income tax cash flows. The standard also increases the amount of shares an employer can withhold for tax purposes without triggering liability accounting, clarifies that all cash payments made on an employee's behalf for withheld shares should be presented as a financing activity in the statements of cash flows, and provides an entity-wide accounting policy election to account for forfeitures as they occur.</w:t>
      </w:r>
    </w:p>
    <w:p>
      <w:pPr>
        <w:spacing w:after="0" w:line="16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Upon adoption, under the modified retrospective transition method, the Company recognized the previously unrecognized excess tax benefits as increases in deferred tax assets for tax credit and tax loss carryovers, of which $116.5 million were available to offset liabilities for uncertain tax benefits. This reduction in liabilities for uncertain tax benefits resulted in a cumulative-effect increase of $116.5 million to the February 1, 2016, opening accumulated deficit balance. Tax attributes not available to offset uncertain tax benefits were fully offset by a valuation allowance.</w:t>
      </w:r>
    </w:p>
    <w:p>
      <w:pPr>
        <w:spacing w:after="0" w:line="171"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Autodesk elected to account for forfeitures as they occur using a modified retrospective transition method, which resulted in a cumulative-effect adjustment of $6.9 million to reduce the February 1, 2016 opening accumulated deficit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Autodesk elected to apply the change in presentation of excess tax benefits in the statements of cash flows retrospectively to all periods presented and no longer classifies them as a reduction from operating cash flows. The adoption had a $0.5 million impact to net cash provided by operating activities and net cash used in financing activities for fiscal 2015. There adoption had no impact for fiscal 2016. The retrospective presentation requirements for cash flows related to employee taxes paid for withheld shares had no impact to any prior period since such cash flows have historically been presented as a financing activity. Additional amendments to the accounting for minimum statutory withholding tax requirements had no impact to opening accumulated deficit as of February 1, 2016 as Autodesk does not withhold more than the minimum statutory requirements.</w:t>
      </w:r>
    </w:p>
    <w:p>
      <w:pPr>
        <w:spacing w:after="0" w:line="17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Effective in the first quarter of fiscal 2017, Autodesk adopted FABS's Accounting Standards Update No. 2015-16 ("ASU 2015-05") regarding Subtopic 350-40, “Intangibles - Goodwill and Other - Internal-Use Software: Customer's Accounting for Fees Paid in a Cloud Computing Arrangement.” The amendments in this ASU provide guidance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The amendments for ASU-2015-05 were prospectively applied and did not have a material impact on Autodesk's consolidated financial statements.</w:t>
      </w:r>
    </w:p>
    <w:p>
      <w:pPr>
        <w:spacing w:after="0" w:line="16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Effective in the first quarter of fiscal 2017, Autodesk adopted FASB's Accounting Standards Update No. 2015-07 ("ASU 2015-07") regarding ASC Topic 820 "Fair Value Measurement: Disclosures for Investments in Certain Entities That Calculate Net Asset Value per Share (or Its Equivalent)." The amendments in ASU 2015-07 remove the requirement to categorize within the fair value hierarchy all investments for which fair value is measured using the net asset value per share practical expedient. The amendments also limit certain disclosures to investments for which the entity has elected to measure at fair value using the net asset value per share practical expedient. The amendments were applied retrospectively by removing from the fair value hierarchy any investments for which fair value is measured using the net asset value per share practical expedient. Adoption did not have a material impact on its consolidated financial statements.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Recently Issued Accounting Standards</w:t>
      </w:r>
    </w:p>
    <w:p>
      <w:pPr>
        <w:spacing w:after="0" w:line="225" w:lineRule="exact"/>
        <w:rPr>
          <w:sz w:val="20"/>
          <w:szCs w:val="20"/>
          <w:color w:val="auto"/>
        </w:rPr>
      </w:pPr>
    </w:p>
    <w:p>
      <w:pPr>
        <w:ind w:right="220" w:firstLine="405"/>
        <w:spacing w:after="0" w:line="272" w:lineRule="auto"/>
        <w:rPr>
          <w:sz w:val="20"/>
          <w:szCs w:val="20"/>
          <w:color w:val="auto"/>
        </w:rPr>
      </w:pPr>
      <w:r>
        <w:rPr>
          <w:rFonts w:ascii="Arial" w:cs="Arial" w:eastAsia="Arial" w:hAnsi="Arial"/>
          <w:sz w:val="17"/>
          <w:szCs w:val="17"/>
          <w:color w:val="auto"/>
        </w:rPr>
        <w:t>In February 2017, FASB issued Accounting Standards Update No. 2017-05 ("ASU 2017-05"), "Other Income– Gains and Losses from the Derecognition of Nonfinancial Assets (Subtopic 610-20): Clarifying the Scope of Asset Derecognition Guidance and Accounting for Partial Sales of Nonfinancial Assets." The ASU, among other things, clarifies the scope of the derecognition of nonfinancial assets, the definition of in substance financial assets, and impacts the accounting for partial sales of nonfinancial assets by requiring full gain recognition upon the sale. The amendments are effective for Autodesk's fiscal year beginning February 1, 2018. The guidance may be applied retrospectively for all periods presented or retrospectively with a cumulative-effect adjustment at the date of adoption. Autodesk is currently evaluating the impact that the adoption of this guidance will have on its consolidated statements of financial condition and results of operations.</w:t>
      </w:r>
    </w:p>
    <w:p>
      <w:pPr>
        <w:spacing w:after="0" w:line="178"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January 2017, FASB issued Accounting Standards Update No. 2017-04 ("ASU 2017-04"), "Intangibles—Goodwill and Other (Topic 350): Simplifying the Test for Goodwill Impairment" which simplifies the subsequent measurement of goodwill to eliminate Step 2 from the goodwill impairment test. In addition, it eliminates the requirements for any reporting unit with a zero or negative carrying amount to perform a qualitative assessment and, if that fails that qualitative test, to perform Step 2 of the goodwill impairment test. Therefore, the same impairment assessment applies to all reporting units. The amendments will be effective for Autodesk's fiscal year beginning February 1, 2020 unless Autodesk elects early adoption. The new guidance is required to be applied on a prospective basis. Autodesk does not believe ASU 2017-04 will have a material impact on its consolidated financial statements and plans to early adopt in fiscal 2018.</w:t>
      </w:r>
    </w:p>
    <w:p>
      <w:pPr>
        <w:spacing w:after="0" w:line="18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In January 2017, FASB issued Accounting Standards Update No. 2017-01 ("ASU 2017-01"), "Business Combinations: Clarifying the Definition of a Business" which provides a more robust framework to use in determining when a set of assets and activities is a business. The amendments will be effective for Autodesk's fiscal year beginning February 1, 2018 unless Autodesk elects early adoption, which Autodesk is still evaluating. The new guidance is required to be applied on a prospective basis. The effect of the implementation will depend upon the nature of the Company's future acquisitions, if any.</w:t>
      </w:r>
    </w:p>
    <w:p>
      <w:pPr>
        <w:spacing w:after="0" w:line="15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October 2016, FASB issued Accounting Standards Update No. 2016-16 ("ASU 2016-16"), “Income Taxes: Intra-Entity Transfers of Assets Other than Inventory” which requires that entities recognize the income tax consequences of an intra-entity transfer of an asset, other than inventory, when the transfer occurs. The amendments will be effective for Autodesk's fiscal year beginning February 1, 2018 unless Autodesk elects early adoption. The new guidance is required to be applied on a modified retrospective basis through a cumulative-effect adjustment directly to retained earnings as of the beginning of the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7790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adoption. Autodesk is currently evaluating the accounting, transition, and disclosure requirements of the standard and cannot currently estimate the financial statement impact and timing of adoption.</w:t>
      </w:r>
    </w:p>
    <w:p>
      <w:pPr>
        <w:spacing w:after="0" w:line="1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2016, the FASB issued Accounting Standards Update No. 2016-13 ("ASU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and does not believe the ASU will have a material impact on its consolidated financial statements.</w:t>
      </w:r>
    </w:p>
    <w:p>
      <w:pPr>
        <w:spacing w:after="0" w:line="18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February 2016, the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Autodesk plans to adopt ASU 2016-02 as of the effective date which represents Autodesk’s fiscal year beginning February 1, 2019.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January 2016, the FASB issued Accounting Standards Update No. 2016-01 ("ASU 2016-01") regarding ASC Topic 825-10, "Financial Instruments - Overall." The amendments address certain aspects of recognition, measurement, presentation, and disclosure of financial instruments, and require equity securities to be measured at fair value with changes in fair value recognized through net income. The amendments also simplify the impairment assessment of equity investments without readily determinable fair values by requiring a qualitative assessment for impairment quarterly at each reporting period. The amendments in ASU 2016-01 will be effective for Autodesk's fiscal year beginning February 1, 2018. An entity should apply the amendments by means of a cumulative-effect adjustment to the balance sheet as of the beginning of the fiscal year of adoption, with prospective adoption of the amendments related to equity securities without readily determinable fair values existing as of the date of adoption. Autodesk does not believe ASU 2016-01 will have a material impact on its consolidated financial statements.</w:t>
      </w:r>
    </w:p>
    <w:p>
      <w:pPr>
        <w:spacing w:after="0" w:line="17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May 2014, the FASB issued Accounting Standards Update No.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August 2015, the FASB issued Accounting Standards Update No. 2015-14 to defer the effective date by one year with early adoption permitted as of the original effective date. In addition, the FASB issued Accounting Standards Update No. 2016-08, Accounting Standards Update No. 2016-10, Accounting Standards Update No. 2016-12, and Accounting Standard Update No. 2016-20 in March 2016, April 2016, May 2016, and December 2016, respectively, to help provide interpretive clarifications on the new guidance in ASC Topic 606.</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currently plans to adopt ASU 2014-09 as of February 1, 2018, using the modified retrospective transition method.</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terms of Autodesk's evaluation efforts, the Company has assigned internal resources in addition to the engagement of third party service providers to assist in the evaluation. The Company's preliminary assessment is that there should be no material change in the timing and amount of the recognition of revenue for the majority of the Company's product subscription offerings and enterprise arrangements. This preliminary assessment is based on the Company's analysis that the related software and cloud services in a majority of the product subscription and enterprise offerings are not distinct in the context of the contract as they are considered highly interrelated and represent a single combined performance obligation that should be recognized over time. Due to the complexity of certain of our contracts, the actual revenue recognition treatment required under the new standard for these arrangements may be dependent on contract-specific terms and vary in some instances.</w:t>
      </w:r>
    </w:p>
    <w:p>
      <w:pPr>
        <w:spacing w:after="0" w:line="178"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 limited number of Autodesk's product subscriptions do not incorporate substantial cloud services, and under ASU 2014-09 will be recognized as distinct license and service performance obligations. Revenue allocated to the licenses in these offerings will be recognized at a point in time instead of over the contract term. Autodesk does not currently believe the impact of the change to timing of revenue recognition for these limited offerings will be material. The company is currently evaluating its other revenue streams, but does not believe ASU 2014-09 will have a material impact.</w:t>
      </w:r>
    </w:p>
    <w:p>
      <w:pPr>
        <w:spacing w:after="0" w:line="154"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Furthermore, the Company has made and will continue to make investments in systems and processes to enable timely and accurate reporting under the new standard. The company currently expects that necessary operational changes will be implemented prior to the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119380</wp:posOffset>
            </wp:positionV>
            <wp:extent cx="97790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part of our preliminary evaluation, Autodesk has also considered the impact of the guidance in ASC Topic 340-40, "Other Assets and Deferred Costs; Contracts with Customers," and the interpretations of the FASB Transition Resource Group for Revenue Recognition ("TRG") from their November 7, 2016 meeting with respect to capitalization and amortization of incremental costs of obtaining a contract. As a result of this new guidance, Autodesk preliminarily believes that the Company will capitalize additional costs of obtaining the contract, which primarily relates to sales commissions. The amortization period for the Company's deferred costs will be recognized over the period of benefit. Autodesk's current accounting policy is to expense such costs as incurred.</w:t>
      </w:r>
    </w:p>
    <w:p>
      <w:pPr>
        <w:spacing w:after="0" w:line="19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While Autodesk continues to assess the potential impacts of the new standard, including the areas described above, and disclosure requirements of the standard, Autodesk does not know or cannot reasonably estimate quantitative information related to the impact of the new standard on our financial statements except as specifically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97790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80</w:t>
      </w:r>
    </w:p>
    <w:p>
      <w:pPr>
        <w:sectPr>
          <w:pgSz w:w="11900" w:h="16838" w:orient="portrait"/>
          <w:cols w:equalWidth="0" w:num="1">
            <w:col w:w="11360"/>
          </w:cols>
          <w:pgMar w:left="240" w:top="125" w:right="2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January 31, 2017 and 2016.</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January 31, 2017</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Agency bonds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Custody cash deposit</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Money market funds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Municipal bonds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Sovereign debt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U.S. government securities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309.5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440"/>
              <w:spacing w:after="0"/>
              <w:rPr>
                <w:sz w:val="20"/>
                <w:szCs w:val="20"/>
                <w:color w:val="auto"/>
              </w:rPr>
            </w:pPr>
            <w:r>
              <w:rPr>
                <w:rFonts w:ascii="Arial" w:cs="Arial" w:eastAsia="Arial" w:hAnsi="Arial"/>
                <w:sz w:val="16"/>
                <w:szCs w:val="16"/>
                <w:color w:val="auto"/>
              </w:rPr>
              <w:t>Short-term available-for-sale</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Agency bonds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Asset backed securities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Commercial paper</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Corporate bonds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Municipal bonds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Sovereign debt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U.S. government securities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Short-term trading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Long-term available-for-sale</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Agency bonds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Asset 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Corporate bonds</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Municipal bonds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660"/>
              <w:spacing w:after="0"/>
              <w:rPr>
                <w:sz w:val="20"/>
                <w:szCs w:val="20"/>
                <w:color w:val="auto"/>
              </w:rPr>
            </w:pPr>
            <w:r>
              <w:rPr>
                <w:rFonts w:ascii="Arial" w:cs="Arial" w:eastAsia="Arial" w:hAnsi="Arial"/>
                <w:sz w:val="16"/>
                <w:szCs w:val="16"/>
                <w:color w:val="auto"/>
              </w:rPr>
              <w:t>Sovereign debt</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6"/>
                <w:szCs w:val="16"/>
                <w:color w:val="auto"/>
              </w:rPr>
              <w:t>Convertible debt securities (2)</w:t>
            </w:r>
          </w:p>
        </w:tc>
        <w:tc>
          <w:tcPr>
            <w:tcW w:w="28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 contracts (3)</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1"/>
        </w:trPr>
        <w:tc>
          <w:tcPr>
            <w:tcW w:w="3600" w:type="dxa"/>
            <w:vAlign w:val="bottom"/>
          </w:tcPr>
          <w:p>
            <w:pPr>
              <w:ind w:left="66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1,903.5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1,907.3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1,193.8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12700</wp:posOffset>
            </wp:positionV>
            <wp:extent cx="43992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-130175</wp:posOffset>
            </wp:positionV>
            <wp:extent cx="43992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274955</wp:posOffset>
            </wp:positionV>
            <wp:extent cx="97790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Agency bonds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Certificates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Commercial paper</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Custody cash deposit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U.S. government securities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6"/>
                <w:szCs w:val="16"/>
                <w:color w:val="auto"/>
              </w:rPr>
              <w:t>Short-term available-for-sale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Agency bonds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Asset backed securities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Certificates of deposit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Commercial paper</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Municipal bonds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Sovereign debt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U.S. government securities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Short-term trading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Mutual funds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Long-term available-for-sale</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Agency bonds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Asset 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800"/>
              <w:spacing w:after="0"/>
              <w:rPr>
                <w:sz w:val="20"/>
                <w:szCs w:val="20"/>
                <w:color w:val="auto"/>
              </w:rPr>
            </w:pPr>
            <w:r>
              <w:rPr>
                <w:rFonts w:ascii="Arial" w:cs="Arial" w:eastAsia="Arial" w:hAnsi="Arial"/>
                <w:sz w:val="16"/>
                <w:szCs w:val="16"/>
                <w:color w:val="auto"/>
              </w:rPr>
              <w:t>Sovereign debt</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U.S. government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2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4"/>
        </w:trPr>
        <w:tc>
          <w:tcPr>
            <w:tcW w:w="3620" w:type="dxa"/>
            <w:vAlign w:val="bottom"/>
          </w:tcPr>
          <w:p>
            <w:pPr>
              <w:ind w:left="80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2,310.6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2,310.7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1,594.4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712.6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Considered "available for sale" securities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"Other assets," or “Other accrued liabilities” in the accompanying Consolidated Balance Sheets.</w:t>
      </w:r>
    </w:p>
    <w:p>
      <w:pPr>
        <w:spacing w:after="0" w:line="20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Generally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300" w:firstLine="405"/>
        <w:spacing w:after="0" w:line="273"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97790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2017 Form 10-K 82</w:t>
      </w:r>
    </w:p>
    <w:p>
      <w:pPr>
        <w:sectPr>
          <w:pgSz w:w="11900" w:h="16838" w:orient="portrait"/>
          <w:cols w:equalWidth="0" w:num="1">
            <w:col w:w="11400"/>
          </w:cols>
          <w:pgMar w:left="240" w:top="125" w:right="25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year ended January 31, 2017.</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and some of the inputs to the models are unobservable in the market.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fiscal year ended January 31, 2017 was as follows:</w:t>
      </w:r>
    </w:p>
    <w:p>
      <w:pPr>
        <w:spacing w:after="0" w:line="163"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13335</wp:posOffset>
            </wp:positionV>
            <wp:extent cx="22294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3"/>
                <w:szCs w:val="13"/>
                <w:color w:val="auto"/>
              </w:rPr>
            </w:pPr>
          </w:p>
        </w:tc>
        <w:tc>
          <w:tcPr>
            <w:tcW w:w="12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Convertible Debt</w:t>
            </w:r>
          </w:p>
        </w:tc>
        <w:tc>
          <w:tcPr>
            <w:tcW w:w="180" w:type="dxa"/>
            <w:vAlign w:val="bottom"/>
          </w:tcPr>
          <w:p>
            <w:pPr>
              <w:spacing w:after="0"/>
              <w:rPr>
                <w:sz w:val="13"/>
                <w:szCs w:val="13"/>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8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Contracts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8"/>
              </w:rPr>
              <w:t>Securities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January 31, 2016</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7960" w:type="dxa"/>
            <w:vAlign w:val="bottom"/>
            <w:gridSpan w:val="2"/>
          </w:tcPr>
          <w:p>
            <w:pPr>
              <w:ind w:left="38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7960" w:type="dxa"/>
            <w:vAlign w:val="bottom"/>
            <w:gridSpan w:val="2"/>
          </w:tcPr>
          <w:p>
            <w:pPr>
              <w:ind w:left="380"/>
              <w:spacing w:after="0"/>
              <w:rPr>
                <w:sz w:val="20"/>
                <w:szCs w:val="20"/>
                <w:color w:val="auto"/>
              </w:rPr>
            </w:pPr>
            <w:r>
              <w:rPr>
                <w:rFonts w:ascii="Arial" w:cs="Arial" w:eastAsia="Arial" w:hAnsi="Arial"/>
                <w:sz w:val="16"/>
                <w:szCs w:val="16"/>
                <w:color w:val="auto"/>
              </w:rPr>
              <w:t>Gains (losses) included in earnings</w:t>
            </w:r>
          </w:p>
        </w:tc>
        <w:tc>
          <w:tcPr>
            <w:tcW w:w="22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Gains included in OCI</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7960" w:type="dxa"/>
            <w:vAlign w:val="bottom"/>
            <w:gridSpan w:val="2"/>
          </w:tcPr>
          <w:p>
            <w:pPr>
              <w:ind w:left="20"/>
              <w:spacing w:after="0"/>
              <w:rPr>
                <w:sz w:val="20"/>
                <w:szCs w:val="20"/>
                <w:color w:val="auto"/>
              </w:rPr>
            </w:pPr>
            <w:r>
              <w:rPr>
                <w:rFonts w:ascii="Arial" w:cs="Arial" w:eastAsia="Arial" w:hAnsi="Arial"/>
                <w:sz w:val="16"/>
                <w:szCs w:val="16"/>
                <w:color w:val="auto"/>
              </w:rPr>
              <w:t>Balances, January 31, 2017</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6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8"/>
              </w:rPr>
              <w:t>January 31, 2017</w:t>
            </w:r>
          </w:p>
        </w:tc>
      </w:tr>
      <w:tr>
        <w:trPr>
          <w:trHeight w:val="264"/>
        </w:trPr>
        <w:tc>
          <w:tcPr>
            <w:tcW w:w="83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within 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635.6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635.9</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305.4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305.8</w:t>
            </w:r>
          </w:p>
        </w:tc>
      </w:tr>
      <w:tr>
        <w:trPr>
          <w:trHeight w:val="33"/>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33"/>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950.6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951.3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of January 31, 2017 and 2016, Autodesk had no material securities, individually and in the aggregate, in a continuous unrealized loss position for greater than twelve months.</w:t>
      </w:r>
    </w:p>
    <w:p>
      <w:pPr>
        <w:spacing w:after="0" w:line="17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As of January 31, 2017 and 2016 Autodesk had $117.2 million and $104.3 million, respectively, in direct investments in privately held companies accounted for under the cost method. The privately held investments are included in other long-term assets and are periodically assessed for other-than-temporary impairment. If Autodesk determines that an other-than-temporary impairment has occurred, Autodesk writes down the investment to its fair value. Other than the amounts disclosed in the following paragraph, Autodesk does not intend to sell these cost method investments and it is not more likely than not that Autodesk will be required to sell the investment before recovery of the amortized cost bases, which may be maturity. Therefore, Autodesk does not consider those investments to be other-than-temporarily impaired at January 31, 2017.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276860</wp:posOffset>
            </wp:positionV>
            <wp:extent cx="97790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During fiscal 2017 and 2016, Autodesk recorded $1.3 million and $0.2 million, respectively, in other-than-temporary impairment on its privately held equity and debt investments. The impairment expense was recorded in “Interest and other expense, net” on the Company's Consolidated Statements of Operations.</w:t>
      </w:r>
    </w:p>
    <w:p>
      <w:pPr>
        <w:spacing w:after="0" w:line="181" w:lineRule="exact"/>
        <w:rPr>
          <w:sz w:val="20"/>
          <w:szCs w:val="20"/>
          <w:color w:val="auto"/>
        </w:rPr>
      </w:pPr>
    </w:p>
    <w:p>
      <w:pPr>
        <w:ind w:left="60" w:right="440" w:firstLine="405"/>
        <w:spacing w:after="0" w:line="342" w:lineRule="auto"/>
        <w:rPr>
          <w:sz w:val="20"/>
          <w:szCs w:val="20"/>
          <w:color w:val="auto"/>
        </w:rPr>
      </w:pPr>
      <w:r>
        <w:rPr>
          <w:rFonts w:ascii="Arial" w:cs="Arial" w:eastAsia="Arial" w:hAnsi="Arial"/>
          <w:sz w:val="16"/>
          <w:szCs w:val="16"/>
          <w:color w:val="auto"/>
        </w:rPr>
        <w:t>The sales or redemptions of “available-for-sale securities” in fiscal 2017, 2016, and 2015 resulted in gains of $1.5 million, $0.1 million, and $0.7 million, respectively. The losses and gains were recorded in "Interest and other expense, net" on the Company's Consolidated Statements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the sale and maturity of marketable securities for fiscal 2017 and fiscal 2016 were $2.3 billion and $1.7 billion, respectively.</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Derivative Financial Instruments</w:t>
      </w:r>
    </w:p>
    <w:p>
      <w:pPr>
        <w:spacing w:after="0" w:line="22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Foreign currency contracts designated as cash flow hedges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Consolidated Financial Statements at that time.</w:t>
      </w:r>
    </w:p>
    <w:p>
      <w:pPr>
        <w:spacing w:after="0" w:line="179"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The net notional amount of these contracts are presented net settled and were $369.4 million at January 31, 2017 and $142.4 million at January 31, 2016. Outstanding contracts are recognized as either assets or liabilities on the balance sheet at fair value. The majority of the net gain of $14.6 million remaining in “Accumulated other comprehensive loss” as of January 31, 2017 is expected to be recognized into earnings within the next twelve months.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Derivatives not designated as hedging instruments</w:t>
      </w:r>
    </w:p>
    <w:p>
      <w:pPr>
        <w:spacing w:after="0" w:line="225"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$270.6 million at January 31, 2017 and $231.6 million at January 31, 2016.</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97790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84</w:t>
      </w:r>
    </w:p>
    <w:p>
      <w:pPr>
        <w:sectPr>
          <w:pgSz w:w="11900" w:h="16838" w:orient="portrait"/>
          <w:cols w:equalWidth="0" w:num="1">
            <w:col w:w="11420"/>
          </w:cols>
          <w:pgMar w:left="240" w:top="125" w:right="239" w:bottom="1440" w:gutter="0" w:footer="0" w:header="0"/>
        </w:sectPr>
      </w:pPr>
    </w:p>
    <w:bookmarkStart w:id="84" w:name="page85"/>
    <w:bookmarkEnd w:id="84"/>
    <w:p>
      <w:pPr>
        <w:spacing w:after="0" w:line="5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balance sheet date and are recorded in “Other assets.” Changes in the fair values of these instruments are recognized in income as “Interest and other expense, net.”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Fair Value of Derivative Instruments: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fair value of derivative instruments in Autodesk’s Consolidated Balance Sheets were as follows as of January 31, 2017 and January 31, 2016:</w:t>
      </w:r>
    </w:p>
    <w:p>
      <w:pPr>
        <w:sectPr>
          <w:pgSz w:w="11900" w:h="16894"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Assets</w:t>
      </w:r>
    </w:p>
    <w:p>
      <w:pPr>
        <w:spacing w:after="0" w:line="302" w:lineRule="exact"/>
        <w:rPr>
          <w:sz w:val="20"/>
          <w:szCs w:val="20"/>
          <w:color w:val="auto"/>
        </w:rPr>
      </w:pPr>
    </w:p>
    <w:p>
      <w:pPr>
        <w:ind w:left="400" w:right="820" w:hanging="26"/>
        <w:spacing w:after="0" w:line="450" w:lineRule="auto"/>
        <w:rPr>
          <w:sz w:val="20"/>
          <w:szCs w:val="20"/>
          <w:color w:val="auto"/>
        </w:rPr>
      </w:pPr>
      <w:r>
        <w:rPr>
          <w:rFonts w:ascii="Arial" w:cs="Arial" w:eastAsia="Arial" w:hAnsi="Arial"/>
          <w:sz w:val="14"/>
          <w:szCs w:val="14"/>
          <w:color w:val="auto"/>
        </w:rPr>
        <w:t>Foreign currency contracts designated as cash flow hedges Derivatives not designated as hedging instruments</w:t>
      </w:r>
    </w:p>
    <w:p>
      <w:pPr>
        <w:spacing w:after="0" w:line="11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derivative 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Liabilities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Foreign currency contracts designated as cash flow hedges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Derivatives not designated as hedging instrument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derivative liabilities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6"/>
              </w:rPr>
              <w:t>January 31, 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January 31, 2016</w:t>
            </w:r>
          </w:p>
        </w:tc>
      </w:tr>
      <w:tr>
        <w:trPr>
          <w:trHeight w:val="489"/>
        </w:trPr>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10.1</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253"/>
        </w:trPr>
        <w:tc>
          <w:tcPr>
            <w:tcW w:w="2520" w:type="dxa"/>
            <w:vAlign w:val="bottom"/>
          </w:tcPr>
          <w:p>
            <w:pPr>
              <w:ind w:left="20"/>
              <w:spacing w:after="0"/>
              <w:rPr>
                <w:sz w:val="20"/>
                <w:szCs w:val="20"/>
                <w:color w:val="auto"/>
              </w:rPr>
            </w:pPr>
            <w:r>
              <w:rPr>
                <w:rFonts w:ascii="Arial" w:cs="Arial" w:eastAsia="Arial" w:hAnsi="Arial"/>
                <w:sz w:val="16"/>
                <w:szCs w:val="16"/>
                <w:color w:val="auto"/>
                <w:w w:val="97"/>
              </w:rPr>
              <w:t>Prepaid expenses and other current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6"/>
                <w:szCs w:val="16"/>
                <w:color w:val="auto"/>
              </w:rPr>
              <w:t>assets and Other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4.9</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5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8.3</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88"/>
        </w:trPr>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270"/>
        </w:trPr>
        <w:tc>
          <w:tcPr>
            <w:tcW w:w="252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5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6.4</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-1671955</wp:posOffset>
            </wp:positionV>
            <wp:extent cx="722947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-1200150</wp:posOffset>
            </wp:positionV>
            <wp:extent cx="7229475"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9475" cy="29146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-728345</wp:posOffset>
            </wp:positionV>
            <wp:extent cx="722947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-368300</wp:posOffset>
            </wp:positionV>
            <wp:extent cx="722947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94" w:orient="portrait"/>
          <w:cols w:equalWidth="0" w:num="2">
            <w:col w:w="5000" w:space="720"/>
            <w:col w:w="5700"/>
          </w:cols>
          <w:pgMar w:left="240" w:top="125" w:right="239" w:bottom="0" w:gutter="0" w:footer="0" w:header="0"/>
          <w:type w:val="continuous"/>
        </w:sectPr>
      </w:pPr>
    </w:p>
    <w:p>
      <w:pPr>
        <w:spacing w:after="0" w:line="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2017, 2016, and 2015, respectively (amounts presented include any income tax effects):</w:t>
      </w:r>
    </w:p>
    <w:p>
      <w:pPr>
        <w:spacing w:after="0" w:line="108"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5"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of gain recognized in accumulated other comprehensive income on derivatives (effective portion)</w:t>
            </w:r>
          </w:p>
        </w:tc>
        <w:tc>
          <w:tcPr>
            <w:tcW w:w="7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8"/>
              </w:rPr>
              <w:t>Amount and location of gain reclassified from accumulated other comprehensive income into income (effective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00"/>
              <w:spacing w:after="0"/>
              <w:rPr>
                <w:sz w:val="20"/>
                <w:szCs w:val="20"/>
                <w:color w:val="auto"/>
              </w:rPr>
            </w:pPr>
            <w:r>
              <w:rPr>
                <w:rFonts w:ascii="Arial" w:cs="Arial" w:eastAsia="Arial" w:hAnsi="Arial"/>
                <w:sz w:val="16"/>
                <w:szCs w:val="16"/>
                <w:i w:val="1"/>
                <w:iCs w:val="1"/>
                <w:color w:val="auto"/>
              </w:rPr>
              <w:t>portion)</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7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7"/>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3"/>
              </w:rPr>
              <w:t>Amount and location of (loss) gain recognized in income on derivatives (ineffective portion and amount excluded from</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780" w:type="dxa"/>
            <w:vAlign w:val="bottom"/>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and other expense, net</w:t>
            </w:r>
          </w:p>
        </w:tc>
        <w:tc>
          <w:tcPr>
            <w:tcW w:w="7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2017, 2016, and 2015, respectively (amounts presented include any income tax effects):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465"/>
              <w:spacing w:after="0"/>
              <w:rPr>
                <w:sz w:val="20"/>
                <w:szCs w:val="20"/>
                <w:color w:val="auto"/>
              </w:rPr>
            </w:pPr>
            <w:r>
              <w:rPr>
                <w:rFonts w:ascii="Arial" w:cs="Arial" w:eastAsia="Arial" w:hAnsi="Arial"/>
                <w:sz w:val="14"/>
                <w:szCs w:val="14"/>
                <w:b w:val="1"/>
                <w:bCs w:val="1"/>
                <w:color w:val="auto"/>
                <w:w w:val="94"/>
              </w:rPr>
              <w:t>Fiscal Year Ended January 31,</w:t>
            </w:r>
          </w:p>
        </w:tc>
        <w:tc>
          <w:tcPr>
            <w:tcW w:w="78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(loss) gain recognized in income on derivatives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(25.5)</w:t>
            </w:r>
          </w:p>
        </w:tc>
      </w:tr>
    </w:tbl>
    <w:p>
      <w:pPr>
        <w:spacing w:after="0" w:line="231"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Director Stock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Stock Plans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January 31, 2017, Autodesk maintained two active stock plans for the purpose of granting equity awards to employees and to non-employee members of Autodesk’s Board of Directors: the 2012 Employee Stock Plan (as amended, the “2012 Employee Plan”), which is available only to employees, and the Autodesk 2012 Outside Directors’ Stock Plan (“2012 Directors' Plan”), which is available only to non-employee directors. Additionally, there are two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On June 10, 2015, Autodesk's stockholders approved amendments to the 2012 Employee Plan, which increased the number of shares reserved for issuance under the plan by 12.5 million shares. The 2012 Employee Plan replaced the 2008 Employee Stock Plan, as amended ("2008 Plan"), and no further equity awards may be granted under the 2008 Plan. The 2012 Employee Plan reserves up to 45.1 million shares which includes 39.1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2017, 36.7 million shares subject to options or restricted stock awards have been granted under the 2012 Employee Plan. Options and restricted stock that were granted under the 2012 plan vest over periods ranging from immediately upon grant to over a three year period and options expire 10 years from the date of grant. The 2012 Employee Plan will expire on June 30, 2022. At January 31, 2017, 12.4 million shares were available for future issuance under the 2012 Employee Plan.</w:t>
      </w:r>
    </w:p>
    <w:p>
      <w:pPr>
        <w:spacing w:after="0" w:line="169"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The 2012 Director's Plan was approved by Autodesk's stockholders and became effective on January 6, 2012. The 2012 Directors' Plan replaced the 2010 Outside Directors' Stock Plan, as amended ("2010 Plan"). The 2012 Directors' Plan permits the grant of stock options, restricted stock units, and</w:t>
      </w:r>
    </w:p>
    <w:p>
      <w:pPr>
        <w:sectPr>
          <w:pgSz w:w="11900" w:h="16894" w:orient="portrait"/>
          <w:cols w:equalWidth="0" w:num="1">
            <w:col w:w="11420"/>
          </w:cols>
          <w:pgMar w:left="240" w:top="125" w:right="239" w:bottom="0" w:gutter="0" w:footer="0" w:header="0"/>
          <w:type w:val="continuous"/>
        </w:sectPr>
      </w:pPr>
    </w:p>
    <w:bookmarkStart w:id="85" w:name="page86"/>
    <w:bookmarkEnd w:id="85"/>
    <w:p>
      <w:pPr>
        <w:ind w:right="80"/>
        <w:spacing w:after="0" w:line="273" w:lineRule="auto"/>
        <w:rPr>
          <w:sz w:val="20"/>
          <w:szCs w:val="20"/>
          <w:color w:val="auto"/>
        </w:rPr>
      </w:pPr>
      <w:r>
        <w:rPr>
          <w:rFonts w:ascii="Arial" w:cs="Arial" w:eastAsia="Arial" w:hAnsi="Arial"/>
          <w:sz w:val="17"/>
          <w:szCs w:val="17"/>
          <w:color w:val="auto"/>
        </w:rPr>
        <w:t>restricted stock awards to non-employee members of Autodesk’s Board of Directors. Each restricted stock unit or restricted stock award granted will be counted against the shares authorized for issuance under the 2012 Directors' Plan as 2.11 shares. As of January 31, 2017, 0.8 million shares subject to restricted stock unit awards have been granted under the 2012 Directors' Plan. Restricted stock units that were granted under the 2012 Outside Directors' Plan vest over one to three years from the date of grant. On March 12, 2015, the Board reduced the number of shares reserved for issuance under the 2012 Directors' Plan by 0.9 million shares, so that 1.7 million shares are now reserved for issuance under the 2012 Directors' Plan. The 2012 Directors' Plan will expire on June 30, 2022. At January 31, 2017, 0.9 million shares were available for future issuance under the 2012 Director's Plan.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fiscal year ended January 31,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040" w:type="dxa"/>
            <w:vAlign w:val="bottom"/>
          </w:tcPr>
          <w:p>
            <w:pPr>
              <w:jc w:val="center"/>
              <w:ind w:right="10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Intrinsic Value (1)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5"/>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2016</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35.85</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vested, exercisable and outstanding at January 31, 2017</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20"/>
              <w:spacing w:after="0"/>
              <w:rPr>
                <w:sz w:val="20"/>
                <w:szCs w:val="20"/>
                <w:color w:val="auto"/>
              </w:rPr>
            </w:pPr>
            <w:r>
              <w:rPr>
                <w:rFonts w:ascii="Arial" w:cs="Arial" w:eastAsia="Arial" w:hAnsi="Arial"/>
                <w:sz w:val="16"/>
                <w:szCs w:val="16"/>
                <w:color w:val="auto"/>
              </w:rPr>
              <w:t>Options available for grant at January 31, 2017</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gridSpan w:val="2"/>
            <w:vMerge w:val="restart"/>
          </w:tcPr>
          <w:p>
            <w:pPr>
              <w:jc w:val="right"/>
              <w:ind w:right="4379"/>
              <w:spacing w:after="0"/>
              <w:rPr>
                <w:sz w:val="20"/>
                <w:szCs w:val="20"/>
                <w:color w:val="auto"/>
              </w:rPr>
            </w:pPr>
            <w:r>
              <w:rPr>
                <w:rFonts w:ascii="Arial" w:cs="Arial" w:eastAsia="Arial" w:hAnsi="Arial"/>
                <w:sz w:val="18"/>
                <w:szCs w:val="18"/>
                <w:color w:val="auto"/>
                <w:w w:val="89"/>
              </w:rPr>
              <w:t>_______________</w:t>
            </w: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40" w:hanging="412"/>
        <w:spacing w:after="0" w:line="263" w:lineRule="auto"/>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$81.34 per share as of January 31, 2017, which would have been received by the option holders had all option holders exercised their options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275590</wp:posOffset>
            </wp:positionV>
            <wp:extent cx="97790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January 31, 2017, compensation cost related to stock options has been fully recognized.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during the fiscal years ended January 31, 2017, 2016, and 2015:</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1"/>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2015</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intrinsic value of options exercised (1)</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67.6</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options vested and exercisable, and outstanding at January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jc w:val="right"/>
              <w:ind w:right="22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 average exercise</w:t>
            </w: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price per share</w:t>
            </w:r>
          </w:p>
        </w:tc>
      </w:tr>
      <w:tr>
        <w:trPr>
          <w:trHeight w:val="210"/>
        </w:trPr>
        <w:tc>
          <w:tcPr>
            <w:tcW w:w="7900" w:type="dxa"/>
            <w:vAlign w:val="bottom"/>
            <w:shd w:val="clear" w:color="auto" w:fill="CCEEFF"/>
          </w:tcPr>
          <w:p>
            <w:pPr>
              <w:jc w:val="right"/>
              <w:ind w:right="5519"/>
              <w:spacing w:after="0"/>
              <w:rPr>
                <w:sz w:val="20"/>
                <w:szCs w:val="20"/>
                <w:color w:val="auto"/>
              </w:rPr>
            </w:pPr>
            <w:r>
              <w:rPr>
                <w:rFonts w:ascii="Arial" w:cs="Arial" w:eastAsia="Arial" w:hAnsi="Arial"/>
                <w:sz w:val="16"/>
                <w:szCs w:val="16"/>
                <w:color w:val="auto"/>
                <w:w w:val="89"/>
              </w:rPr>
              <w:t>Range of per-share exercise prices: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60"/>
        </w:trPr>
        <w:tc>
          <w:tcPr>
            <w:tcW w:w="790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237"/>
        </w:trPr>
        <w:tc>
          <w:tcPr>
            <w:tcW w:w="7900" w:type="dxa"/>
            <w:vAlign w:val="bottom"/>
          </w:tcPr>
          <w:p>
            <w:pPr>
              <w:jc w:val="right"/>
              <w:ind w:right="6399"/>
              <w:spacing w:after="0"/>
              <w:rPr>
                <w:sz w:val="20"/>
                <w:szCs w:val="20"/>
                <w:color w:val="auto"/>
              </w:rPr>
            </w:pPr>
            <w:r>
              <w:rPr>
                <w:rFonts w:ascii="Arial" w:cs="Arial" w:eastAsia="Arial" w:hAnsi="Arial"/>
                <w:sz w:val="16"/>
                <w:szCs w:val="16"/>
                <w:color w:val="auto"/>
              </w:rPr>
              <w:t>$27.40 - $38.55</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33.00</w:t>
            </w:r>
          </w:p>
        </w:tc>
      </w:tr>
      <w:tr>
        <w:trPr>
          <w:trHeight w:val="33"/>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jc w:val="right"/>
              <w:ind w:right="6399"/>
              <w:spacing w:after="0"/>
              <w:rPr>
                <w:sz w:val="20"/>
                <w:szCs w:val="20"/>
                <w:color w:val="auto"/>
              </w:rPr>
            </w:pPr>
            <w:r>
              <w:rPr>
                <w:rFonts w:ascii="Arial" w:cs="Arial" w:eastAsia="Arial" w:hAnsi="Arial"/>
                <w:sz w:val="16"/>
                <w:szCs w:val="16"/>
                <w:color w:val="auto"/>
              </w:rPr>
              <w:t>$38.56 - $42.38</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41.62</w:t>
            </w:r>
          </w:p>
        </w:tc>
      </w:tr>
      <w:tr>
        <w:trPr>
          <w:trHeight w:val="237"/>
        </w:trPr>
        <w:tc>
          <w:tcPr>
            <w:tcW w:w="7900" w:type="dxa"/>
            <w:vAlign w:val="bottom"/>
          </w:tcPr>
          <w:p>
            <w:pPr>
              <w:jc w:val="right"/>
              <w:ind w:right="6399"/>
              <w:spacing w:after="0"/>
              <w:rPr>
                <w:sz w:val="20"/>
                <w:szCs w:val="20"/>
                <w:color w:val="auto"/>
              </w:rPr>
            </w:pPr>
            <w:r>
              <w:rPr>
                <w:rFonts w:ascii="Arial" w:cs="Arial" w:eastAsia="Arial" w:hAnsi="Arial"/>
                <w:sz w:val="16"/>
                <w:szCs w:val="16"/>
                <w:color w:val="auto"/>
              </w:rPr>
              <w:t>$42.39 - $43.81</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43.81</w:t>
            </w:r>
          </w:p>
        </w:tc>
      </w:tr>
      <w:tr>
        <w:trPr>
          <w:trHeight w:val="33"/>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0.6</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39.25</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September 2022.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activity for the fiscal year ended January 31,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Unreleased 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restricted stock at January 31, 2016</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7,739.6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4,226.3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65.95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(725.2)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53.25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Performance Adjustment (1)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Arial" w:cs="Arial" w:eastAsia="Arial" w:hAnsi="Arial"/>
                <w:sz w:val="16"/>
                <w:szCs w:val="16"/>
                <w:color w:val="auto"/>
              </w:rPr>
              <w:t>Unvested restricted stock at January 31, 2017</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7,622.4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60.13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right"/>
              <w:ind w:right="6899"/>
              <w:spacing w:after="0"/>
              <w:rPr>
                <w:sz w:val="20"/>
                <w:szCs w:val="20"/>
                <w:color w:val="auto"/>
              </w:rPr>
            </w:pPr>
            <w:r>
              <w:rPr>
                <w:rFonts w:ascii="Arial" w:cs="Arial" w:eastAsia="Arial" w:hAnsi="Arial"/>
                <w:sz w:val="18"/>
                <w:szCs w:val="18"/>
                <w:color w:val="auto"/>
                <w:w w:val="89"/>
              </w:rPr>
              <w:t>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20" w:right="340" w:hanging="412"/>
        <w:spacing w:after="0" w:line="283" w:lineRule="auto"/>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Based on Autodesk's financial results and relative total stockholder return for the fiscal 2016 performance period. The performance stock units were attained at rates ranging from </w:t>
      </w:r>
      <w:r>
        <w:rPr>
          <w:rFonts w:ascii="Arial" w:cs="Arial" w:eastAsia="Arial" w:hAnsi="Arial"/>
          <w:sz w:val="18"/>
          <w:szCs w:val="18"/>
          <w:color w:val="auto"/>
        </w:rPr>
        <w:t>86.1%</w:t>
      </w:r>
      <w:r>
        <w:rPr>
          <w:rFonts w:ascii="Arial" w:cs="Arial" w:eastAsia="Arial" w:hAnsi="Arial"/>
          <w:sz w:val="16"/>
          <w:szCs w:val="16"/>
          <w:color w:val="auto"/>
        </w:rPr>
        <w:t xml:space="preserve"> to 98.0% of the target award.</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restricted stock granted during fiscal years ended January 31, 2017, 2016, and 2015, the weighted average grant date fair value was $65.95,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$52.53, and $54.17, respectively. The fair value of the shares vested during fiscal years ended January 31, 2017, 2016, and 2015 was $232.2 million, $193.3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and $147.8 million, respectively.</w:t>
      </w:r>
    </w:p>
    <w:p>
      <w:pPr>
        <w:spacing w:after="0" w:line="184"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During the fiscal year ended January 31, 2017, Autodesk granted 3.8 million restricted stock units.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$173.0 million, $146.4 million, and $118.9 million during fiscal years ended January 31, 2017, 2016, and 2015, respectively. As of January 31, 2017, total compensation cost not yet recognized of $309.8 million related to non-vested awards, is expected to be recognized over a weighted average period of 1.8 years. At January 31, 2017, the number of restricted stock units granted but unvested was 6.8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97790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the fiscal year ended January 31, 2017, Autodesk granted 0.4 million performance stock units for which the ultimate number of shares earned is determined based on the achievement of performance criteria at the end of the stated service. The performance criteria for these grants are based upon net new model subscription additions, new model Annualized Recurring Revenue ("ARR"), non-GAAP total spend, and total subscription renewal rate goals ("FY17 performance criteria") adopted by the Compensation and Human Resource Committee, as well as total stockholder return compared against companies in the S&amp;P Computer Software Select Index (“Relative TSR”). Each performance stock unit covers a three year period:</w:t>
      </w:r>
    </w:p>
    <w:p>
      <w:pPr>
        <w:spacing w:after="0" w:line="173" w:lineRule="exact"/>
        <w:rPr>
          <w:sz w:val="20"/>
          <w:szCs w:val="20"/>
          <w:color w:val="auto"/>
        </w:rPr>
      </w:pPr>
    </w:p>
    <w:p>
      <w:pPr>
        <w:ind w:left="660" w:right="2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FY17 performance criteria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7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Performance stock units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subject to a market condition. The fair value of the performance stock units is expensed using the accelerated attribution over the vesting period. Autodesk recorded stock-based compensation expense related to performance stock units of $22.9 million, $23.2 million, and $17.5 million during fiscal years ended January 31, 2017, 2016, and 2015 respectively. As of January 31, 2017, total compensation cost not yet recognized of $3.2 million related to unvested performance stock units, is expected to be recognized over a weighted average period of 0.8 years. At January 31, 2017, the number of performance stock units granted but unvested was 0.8 million.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At January 31, 2017, a total of 45.6 million shares were available for future issuance. This amount automatically increases on the first trading day of each fiscal year by an amount equal to the lesser of 5.0 million shares or 2% of the total of (1) outstanding shares plus (2) any shares repurchased by Autodesk during the prior fiscal year. Under the ESPP, the Company issues shares on the first trading day following March 31 and September 30 of each fiscal year. The ESPP expires during fiscal 2018.</w:t>
      </w:r>
    </w:p>
    <w:p>
      <w:pPr>
        <w:spacing w:after="0" w:line="18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Autodesk issued 2.3 million shares under the ESPP at an average price of $36.99 per share in fiscal 2017, 2.1 million shares at an average price of $36.29 per share in fiscal 2016, and 2.1 million shares at an average price of $33.91 per share in fiscal 2015. The weighted average grant date fair value of awards granted under the ESPP during fiscal 2017, 2016, and 2015, calculated as of the award grant date using the BSM option pricing model, was $19.20, $11.85, and $15.14 per share, respectively. Autodesk recorded $25.9 million, $27.1 million, and $23.9 million of compensation expense associated with the ESPP in fiscal 2017,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283210</wp:posOffset>
            </wp:positionV>
            <wp:extent cx="97790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Equity Compensation Plan Information</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summarizes the number of outstanding options granted to employees and directors, as well as the number of securities remaining available for future issuance under these plans as of January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3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Weighted-average exercise</w:t>
            </w:r>
          </w:p>
        </w:tc>
        <w:tc>
          <w:tcPr>
            <w:tcW w:w="3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for 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outstanding options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compensation plans (excluding securities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millions)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89"/>
              </w:rPr>
              <w:t>price of outstanding options</w:t>
            </w:r>
          </w:p>
        </w:tc>
        <w:tc>
          <w:tcPr>
            <w:tcW w:w="12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(in millions)</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9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8.2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39.25</w:t>
            </w:r>
          </w:p>
        </w:tc>
        <w:tc>
          <w:tcPr>
            <w:tcW w:w="1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ind w:left="2200"/>
              <w:spacing w:after="0"/>
              <w:rPr>
                <w:sz w:val="20"/>
                <w:szCs w:val="20"/>
                <w:color w:val="auto"/>
              </w:rPr>
            </w:pPr>
            <w:r>
              <w:rPr>
                <w:rFonts w:ascii="Arial" w:cs="Arial" w:eastAsia="Arial" w:hAnsi="Arial"/>
                <w:sz w:val="16"/>
                <w:szCs w:val="16"/>
                <w:color w:val="auto"/>
              </w:rPr>
              <w:t>58.9  (1)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8.2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4"/>
              <w:spacing w:after="0"/>
              <w:rPr>
                <w:sz w:val="20"/>
                <w:szCs w:val="20"/>
                <w:color w:val="auto"/>
              </w:rPr>
            </w:pPr>
            <w:r>
              <w:rPr>
                <w:rFonts w:ascii="Arial" w:cs="Arial" w:eastAsia="Arial" w:hAnsi="Arial"/>
                <w:sz w:val="16"/>
                <w:szCs w:val="16"/>
                <w:color w:val="auto"/>
              </w:rPr>
              <w:t>39.25</w:t>
            </w:r>
          </w:p>
        </w:tc>
        <w:tc>
          <w:tcPr>
            <w:tcW w:w="120" w:type="dxa"/>
            <w:vAlign w:val="bottom"/>
          </w:tcPr>
          <w:p>
            <w:pPr>
              <w:spacing w:after="0"/>
              <w:rPr>
                <w:sz w:val="21"/>
                <w:szCs w:val="21"/>
                <w:color w:val="auto"/>
              </w:rPr>
            </w:pPr>
          </w:p>
        </w:tc>
        <w:tc>
          <w:tcPr>
            <w:tcW w:w="2600" w:type="dxa"/>
            <w:vAlign w:val="bottom"/>
            <w:tcBorders>
              <w:top w:val="single" w:sz="8" w:color="auto"/>
              <w:bottom w:val="single" w:sz="8" w:color="auto"/>
            </w:tcBorders>
          </w:tcPr>
          <w:p>
            <w:pPr>
              <w:ind w:left="2200"/>
              <w:spacing w:after="0"/>
              <w:rPr>
                <w:sz w:val="20"/>
                <w:szCs w:val="20"/>
                <w:color w:val="auto"/>
              </w:rPr>
            </w:pPr>
            <w:r>
              <w:rPr>
                <w:rFonts w:ascii="Arial" w:cs="Arial" w:eastAsia="Arial" w:hAnsi="Arial"/>
                <w:sz w:val="16"/>
                <w:szCs w:val="16"/>
                <w:color w:val="auto"/>
              </w:rPr>
              <w:t>58.9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jc w:val="right"/>
              <w:ind w:right="2362"/>
              <w:spacing w:after="0"/>
              <w:rPr>
                <w:sz w:val="20"/>
                <w:szCs w:val="20"/>
                <w:color w:val="auto"/>
              </w:rPr>
            </w:pPr>
            <w:r>
              <w:rPr>
                <w:rFonts w:ascii="Arial" w:cs="Arial" w:eastAsia="Arial" w:hAnsi="Arial"/>
                <w:sz w:val="18"/>
                <w:szCs w:val="18"/>
                <w:color w:val="auto"/>
                <w:w w:val="88"/>
              </w:rPr>
              <w:t>____________________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Included in this amount are 45.6 million securities available for future issuance under Autodesk’s ESPP.</w:t>
      </w:r>
    </w:p>
    <w:p>
      <w:pPr>
        <w:spacing w:after="0" w:line="176"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584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State: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9.0</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69.5</w:t>
            </w:r>
          </w:p>
        </w:tc>
      </w:tr>
      <w:tr>
        <w:trPr>
          <w:trHeight w:val="33"/>
        </w:trPr>
        <w:tc>
          <w:tcPr>
            <w:tcW w:w="6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6720" w:type="dxa"/>
            <w:vAlign w:val="bottom"/>
          </w:tcPr>
          <w:p>
            <w:pPr>
              <w:spacing w:after="0"/>
              <w:rPr>
                <w:sz w:val="18"/>
                <w:szCs w:val="18"/>
                <w:color w:val="auto"/>
              </w:rPr>
            </w:pPr>
          </w:p>
        </w:tc>
        <w:tc>
          <w:tcPr>
            <w:tcW w:w="98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6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Foreign pretax income (loss) was $(27.6) million in fiscal 2017, $218.2 million in fiscal 2016, and $302.5 million in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97790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88</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 at U.S. Federal statutory rate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(177.0)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State income tax benefit, net of the U.S. Federal benefit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income taxed at rates different from the U.S. statutory rate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U.S. valuation allowance</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in attributes due to ASU 2016-9 adoption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Change in valuation allowance from ASU 2016-9 adoption</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effect of non-deductible stock-based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Stock compensation windfall shortfall</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tax credit benefit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Closure of income tax audits and changes in uncertain tax positions</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effect of officer compensation in excess of $1.0 million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Non-deductible expenses</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217"/>
        </w:trPr>
        <w:tc>
          <w:tcPr>
            <w:tcW w:w="6720" w:type="dxa"/>
            <w:vAlign w:val="bottom"/>
          </w:tcPr>
          <w:p>
            <w:pPr>
              <w:spacing w:after="0"/>
              <w:rPr>
                <w:sz w:val="18"/>
                <w:szCs w:val="18"/>
                <w:color w:val="auto"/>
              </w:rPr>
            </w:pP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6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Research and development tax credit carryforwards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91.3</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41.5</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accruals not currently deductible for tax</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Purchased technology and capitalized software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64.3</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Tax loss carryforwards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13.9</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416.1</w:t>
            </w: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Less: valuation allowance</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(748.0)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(398.0)</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Indefinite lived intangibles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Unremitted earnings of foreign subsidiaries</w:t>
            </w: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7"/>
        </w:trPr>
        <w:tc>
          <w:tcPr>
            <w:tcW w:w="8320" w:type="dxa"/>
            <w:vAlign w:val="bottom"/>
          </w:tcPr>
          <w:p>
            <w:pPr>
              <w:ind w:left="20"/>
              <w:spacing w:after="0"/>
              <w:rPr>
                <w:sz w:val="20"/>
                <w:szCs w:val="20"/>
                <w:color w:val="auto"/>
              </w:rPr>
            </w:pPr>
            <w:r>
              <w:rPr>
                <w:rFonts w:ascii="Arial" w:cs="Arial" w:eastAsia="Arial" w:hAnsi="Arial"/>
                <w:sz w:val="16"/>
                <w:szCs w:val="16"/>
                <w:color w:val="auto"/>
              </w:rPr>
              <w:t>Total deferred tax liabilities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33"/>
        </w:trPr>
        <w:tc>
          <w:tcPr>
            <w:tcW w:w="8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Autodesk’s tax expense is primarily driven by tax expense in foreign locations, withholding taxes paid on payments made to the U.S. from foreign sources, and tax amortization on indefinite-lived intangibles.</w:t>
      </w:r>
    </w:p>
    <w:p>
      <w:pPr>
        <w:spacing w:after="0" w:line="1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Autodesk regularly assesses the need for a valuation allowance against its deferred tax assets. In making that assessment, Autodesk considers both positive and negative evidence, whether it is more likely than not that some or all of the deferred tax assets will not be realized. In evaluating the need for a valuation allowance in the U.S., Autodesk considered cumulative losses in the U.S. arising from the Company's business model transition as a significant piece of negative evidence. Consequently, in our fiscal year 2016, Autodesk determined that a valuation allowance was required on our accumulated domestic tax attributes. In the current year, losses generated in the U.S. created incremental deferred tax assets, primarily net operating losses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126365</wp:posOffset>
            </wp:positionV>
            <wp:extent cx="97790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9980"/>
        <w:spacing w:after="0"/>
        <w:rPr>
          <w:sz w:val="20"/>
          <w:szCs w:val="20"/>
          <w:color w:val="auto"/>
        </w:rPr>
      </w:pPr>
      <w:r>
        <w:rPr>
          <w:rFonts w:ascii="Arial" w:cs="Arial" w:eastAsia="Arial" w:hAnsi="Arial"/>
          <w:sz w:val="16"/>
          <w:szCs w:val="16"/>
          <w:i w:val="1"/>
          <w:iCs w:val="1"/>
          <w:color w:val="auto"/>
        </w:rPr>
        <w:t>2017 Form 10-K 89</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credits, and those deferred tax attributes have also been offset by a full valuation allowance. As a result, Autodesk has no material federal income tax expense or benefit in the current fiscal year. The valuation allowance increased by $352.4 million, $327.2 million, and $3.6 million in fiscal 2017, 2016, and 2015, respectively, primarily related to U.S. and Canadian deferred tax attribute. As Autodesk continually strives to optimize our overall business model, tax planning strategies may become feasible and prudent allowing us to realize many of the deferred tax assets that are offset by a valuation allowance; therefore, Autodesk will continue to evaluate our ability to utilize our net deferred tax assets each quarter, both in the U.S. and in foreign jurisdictions, based on all available evidence, both positive and negative.</w:t>
      </w:r>
    </w:p>
    <w:p>
      <w:pPr>
        <w:spacing w:after="0" w:line="193"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In the second quarter of this fiscal 2017, Autodesk adopted ASU 2016-9 and recorded on our balance sheet U.S. deferred tax assets related to stock-based compensation that were not recorded on the balance sheet until they reduced Autodesk’s current tax expense. Under ASU 2016-9, those federal and state deferred tax assets were recorded on Autodesk’s balance sheet in the second quarter of fiscal 2017 and consequently increased our valuation allowance by an equivalent amount. See Part II, Item 8, Note 1, “Business and Summary of Significant Accounting Policies,” in the Notes to Consolidated Financial Statements for the impact on the valuation allowance as a result of the adoption in the rate reconciliation above.</w:t>
      </w:r>
    </w:p>
    <w:p>
      <w:pPr>
        <w:spacing w:after="0" w:line="17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Realization of foreign non-current net deferred tax assets of $49.7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 and Autodesk then determines that it is not more likely than not to realize such deferred tax assets.</w:t>
      </w:r>
    </w:p>
    <w:p>
      <w:pPr>
        <w:spacing w:after="0" w:line="18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of January 31, 2017, Autodesk had $575.0 million of cumulative federal tax loss carryforwards and $526.8 million of cumulative state tax loss carryforwards, which may be available to reduce future income tax liabilities in federal and state jurisdictions. As discussed above, these cumulative assets have full valuation allowance against them on our balance sheet as the Company has determined it is more likely that not that these losses will not be utilized. These federal and state tax loss carryforwards will expire beginning fiscal 2019 through fiscal 2038 and fiscal 2019 through fiscal 2038, respectively.</w:t>
      </w:r>
    </w:p>
    <w:p>
      <w:pPr>
        <w:spacing w:after="0" w:line="15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January 31, 2017, Autodesk had $127.1 million of cumulative federal research tax credit carryforwards, $66.8 million of cumulative California state research tax credit carryforwards, and $54.6 million of cumulative Canadian federal tax credit carryforwards, which may be available to reduce future income tax liabilities in the respective jurisdictions. The federal tax credit carryforwards will expire beginning fiscal 2021 through fiscal 2038, the state credit carryforwards may reduce future California income tax liabilities indefinitely, and the Canadian tax credit carryforwards will expire beginning fiscal 2027 through fiscal 2038. Autodesk also has $211.5 million of cumulative foreign tax credit carryforwards, which may be available to reduce future U. S. tax liabilities. The foreign tax credit will expire beginning fiscal 2019 through fiscal 2028. As discussed above, these cumulative assets have full valuation allowance against them on our balance sheet as the Company has determined it is more likely that not that these losses will not be utilized.</w:t>
      </w:r>
    </w:p>
    <w:p>
      <w:pPr>
        <w:spacing w:after="0" w:line="167"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 No ownership change has occurred through the balance sheet date that would limit a material amount of U.S. federal and state tax attributes.</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of January 31, 2017, the Company had $261.4 million of gross unrecognized tax benefits, of which $247.3 million would impact the effective tax rate, if recognized. However, this rate impact would be offset to the extent that recognition of unrecognized tax benefits currently presented as a reduction of deferred tax assets would increase the valuation allowance.</w:t>
      </w:r>
    </w:p>
    <w:p>
      <w:pPr>
        <w:spacing w:after="0" w:line="18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It is possible that the amount of unrecognized tax benefits will change in the next twelve months; however an estimate of the range of the possible change cannot be made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97790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90</w:t>
      </w:r>
    </w:p>
    <w:p>
      <w:pPr>
        <w:sectPr>
          <w:pgSz w:w="11900" w:h="16838" w:orient="portrait"/>
          <w:cols w:equalWidth="0" w:num="1">
            <w:col w:w="11380"/>
          </w:cols>
          <w:pgMar w:left="240" w:top="125"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254.3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222.1</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of prior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Increases for tax positions related to the current year</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33.2</w:t>
            </w:r>
          </w:p>
        </w:tc>
      </w:tr>
      <w:tr>
        <w:trPr>
          <w:trHeight w:val="33"/>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relating to settlements with taxing authorities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Reductions as a result of lapse of the statute of limitations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end of the fiscal year</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261.4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It is the Company's continuing practice to recognize interest and/or penalties related to income tax matters in income tax expense. Autodesk had $2.5 million, $3.3 million, and $2.0 million, net of tax benefit, accrued for interest and penalties related to unrecognized tax benefits as of January 31, 2017, 2016, and 2015, respectively. There was $1.5 million and, $1.3 million of net expense and, $(0.8) million of net benefit for interest and penalties related to tax matters recorded through the consolidated statement of operations for the years ended January 31, 2017, 2016, and 2015 respectively.</w:t>
      </w:r>
    </w:p>
    <w:p>
      <w:pPr>
        <w:spacing w:after="0" w:line="17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Autodesk's U.S. and state income tax returns for fiscal year 2003 through fiscal year 2017 remain open to examination. The Internal Revenue Service has started an examination of the Company's U.S. consolidated federal income tax returns and employment tax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files tax returns in multiple foreign taxing jurisdictions with open tax years ranging from fiscal year 2005 to 2017.</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Autodesk provides U.S. income taxes on the earnings of foreign subsidiaries, except to the extent subsidiaries' earnings are considered permanently reinvested outside the United States. As of January 31, 2017, the cumulative amount of earnings upon which U.S. income taxes have not been provided was $1,738.9 million. The unrecognized deferred tax liability for these earnings was approximately $435.1 million.</w:t>
      </w:r>
    </w:p>
    <w:p>
      <w:pPr>
        <w:spacing w:after="0" w:line="181"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As a result of certain business and employment actions and capital investments undertaken by Autodesk, income earned in certain Europe and Asia Pacific countries is subject to reduced tax rates through fiscal 2019. We have $27.1 million benefit ($0.12 basic net income per share) attributable to the tax status of these business arrangements in fiscal 2017, compared to none in fiscal 2016, and $1.2 million ($0.01 basic net income per share) in fiscal 2015.</w:t>
      </w:r>
    </w:p>
    <w:p>
      <w:pPr>
        <w:spacing w:after="0" w:line="143"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fiscal years ended January 31, 2017 and January 31, 2016, Autodesk completed the business combinations and technology purchases described below. The results of operations for the following acquisitions are included in the accompanying Consolidated Statements of Operations since their respective acquisition dates. Pro forma results of operations have not been presented because the effects of the acquisitions, individually and in the aggregate, were not material to Autodesk's Consolidated Financial Statements.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Fiscal 2017 Acquisitions</w:t>
      </w:r>
    </w:p>
    <w:p>
      <w:pPr>
        <w:spacing w:after="0" w:line="225"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During the fiscal year ended January 31, 2017, Autodesk completed several business combinations and technology acquisitions for total cash consideration of $87.0 million. These business combinations and technology acquisitions were not material individually or in aggregate to Autodesk's Consolidated Financial Statements.</w:t>
      </w:r>
    </w:p>
    <w:p>
      <w:pPr>
        <w:spacing w:after="0" w:line="18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37"/>
        </w:trPr>
        <w:tc>
          <w:tcPr>
            <w:tcW w:w="1064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2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10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106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62.8</w:t>
            </w:r>
          </w:p>
        </w:tc>
      </w:tr>
      <w:tr>
        <w:trPr>
          <w:trHeight w:val="33"/>
        </w:trPr>
        <w:tc>
          <w:tcPr>
            <w:tcW w:w="10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1064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10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10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17"/>
        </w:trPr>
        <w:tc>
          <w:tcPr>
            <w:tcW w:w="1064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87.0</w:t>
            </w:r>
          </w:p>
        </w:tc>
      </w:tr>
      <w:tr>
        <w:trPr>
          <w:trHeight w:val="33"/>
        </w:trPr>
        <w:tc>
          <w:tcPr>
            <w:tcW w:w="10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10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For certain business combinations included in the table above, the allocation of purchase price consideration to certain assets and liabilities is not yet finalized. Autodesk's estimates and assumptions are subject to change within the measurement period (up to one year from the acquisition date). For certain business combinations, the primary areas of the preliminary purchase price allocation that are not yet finalized are amounts for tax assets and liabilities, pending finalization of estimates and assumptions in respect of certain tax aspects of the transaction and residual goodwill, and the valuation of certain intangible assets.</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32BCAD"/>
        </w:rPr>
        <w:t>Fiscal 2016 Acquisitions</w:t>
      </w:r>
    </w:p>
    <w:p>
      <w:pPr>
        <w:sectPr>
          <w:pgSz w:w="11900" w:h="16838" w:orient="portrait"/>
          <w:cols w:equalWidth="0" w:num="1">
            <w:col w:w="11420"/>
          </w:cols>
          <w:pgMar w:left="240" w:top="125" w:right="239" w:bottom="0" w:gutter="0" w:footer="0" w:header="0"/>
          <w:type w:val="continuous"/>
        </w:sectPr>
      </w:pPr>
    </w:p>
    <w:bookmarkStart w:id="92" w:name="page93"/>
    <w:bookmarkEnd w:id="92"/>
    <w:p>
      <w:pPr>
        <w:ind w:right="40" w:firstLine="432"/>
        <w:spacing w:after="0" w:line="273" w:lineRule="auto"/>
        <w:rPr>
          <w:sz w:val="20"/>
          <w:szCs w:val="20"/>
          <w:color w:val="auto"/>
        </w:rPr>
      </w:pPr>
      <w:r>
        <w:rPr>
          <w:rFonts w:ascii="Arial" w:cs="Arial" w:eastAsia="Arial" w:hAnsi="Arial"/>
          <w:sz w:val="17"/>
          <w:szCs w:val="17"/>
          <w:color w:val="auto"/>
        </w:rPr>
        <w:t>On November 12, 2015, Autodesk closed a share purchase agreement with FIT AG (“FIT”) to acquire all of the outstanding shares of netfabb GmbH ("netfabb") for approximately $42.5 million cash consideration. Autodesk simultaneously entered into an investment agreement with FIT to invest approximately $27.4 million cash to acquire an equity interest in FIT. netfabb is a German-based provider of industrial grade additive manufacturing software solutions supporting most major 3D printers. FIT is a German-based provider of rapid prototyping and additive design and manufacturing services. The acquisition of netfabb provides Autodesk with software solutions that will reduce production costs and increase efficiency in 3D printing and additive manufacturing. The amount of goodwill that is deductible for U.S. income tax purposes is $29.8 million.</w:t>
      </w:r>
    </w:p>
    <w:p>
      <w:pPr>
        <w:spacing w:after="0" w:line="17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During the fiscal year ended January 31, 2016, Autodesk also completed several other business combination and technology acquisitions for total cash consideration of $106.8 million. These business combinations and technology acquisitions were not material individually or in aggregate to Autodesk's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91</w:t>
      </w:r>
    </w:p>
    <w:p>
      <w:pPr>
        <w:sectPr>
          <w:pgSz w:w="11900" w:h="16838" w:orient="portrait"/>
          <w:cols w:equalWidth="0" w:num="1">
            <w:col w:w="11420"/>
          </w:cols>
          <w:pgMar w:left="240" w:top="34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each of the business combinations and technology acquisitions completed during the fiscal year ended January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netfabb (1)</w:t>
            </w:r>
          </w:p>
        </w:tc>
        <w:tc>
          <w:tcPr>
            <w:tcW w:w="180" w:type="dxa"/>
            <w:vAlign w:val="bottom"/>
          </w:tcPr>
          <w:p>
            <w:pPr>
              <w:spacing w:after="0"/>
              <w:rPr>
                <w:sz w:val="16"/>
                <w:szCs w:val="16"/>
                <w:color w:val="auto"/>
              </w:rPr>
            </w:pPr>
          </w:p>
        </w:tc>
        <w:tc>
          <w:tcPr>
            <w:tcW w:w="840" w:type="dxa"/>
            <w:vAlign w:val="bottom"/>
          </w:tcPr>
          <w:p>
            <w:pPr>
              <w:jc w:val="right"/>
              <w:ind w:right="140"/>
              <w:spacing w:after="0"/>
              <w:rPr>
                <w:sz w:val="20"/>
                <w:szCs w:val="20"/>
                <w:color w:val="auto"/>
              </w:rPr>
            </w:pPr>
            <w:r>
              <w:rPr>
                <w:rFonts w:ascii="Arial" w:cs="Arial" w:eastAsia="Arial" w:hAnsi="Arial"/>
                <w:sz w:val="14"/>
                <w:szCs w:val="14"/>
                <w:b w:val="1"/>
                <w:bCs w:val="1"/>
                <w:color w:val="auto"/>
              </w:rPr>
              <w:t>Other (2)</w:t>
            </w:r>
          </w:p>
        </w:tc>
        <w:tc>
          <w:tcPr>
            <w:tcW w:w="0" w:type="dxa"/>
            <w:vAlign w:val="bottom"/>
          </w:tcPr>
          <w:p>
            <w:pPr>
              <w:spacing w:after="0"/>
              <w:rPr>
                <w:sz w:val="1"/>
                <w:szCs w:val="1"/>
                <w:color w:val="auto"/>
              </w:rPr>
            </w:pPr>
          </w:p>
        </w:tc>
      </w:tr>
      <w:tr>
        <w:trPr>
          <w:trHeight w:val="236"/>
        </w:trPr>
        <w:tc>
          <w:tcPr>
            <w:tcW w:w="9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(liabilities) assets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4"/>
        </w:trPr>
        <w:tc>
          <w:tcPr>
            <w:tcW w:w="92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520" w:hanging="412"/>
        <w:spacing w:after="0" w:line="249"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fiscal 2017, Autodesk recorded measurement period adjustments in our condensed consolidated balance sheet. The measurement period adjustments were recorded as a $3.3 million increase to goodwill, with an offsetting $3.3 million increase to net tangible liabilities.</w:t>
      </w:r>
    </w:p>
    <w:p>
      <w:pPr>
        <w:ind w:left="420" w:right="600" w:hanging="412"/>
        <w:spacing w:after="0" w:line="257"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fiscal 2017, Autodesk recorded a measurement period adjustment in our condensed consolidated balance sheet. The measurement period adjustment was recorded as an $0.8 million decrease to goodwill, with an offsetting $0.8 million decrease to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97790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At January 31, 2017, Autodesk had marketable securities totaling $993.0 million, of which $47.3 million related to investments in debt and equity securities that are held in a rabbi trust under non-qualified deferred compensation plans. The total related deferred compensation liability was $47.3 million at January 31, 2017, of which $3.1 million was classified as current and $44.2 million was classified as non-current liabilities. The total related deferred compensation liability at January 31, 2016 was $38.0 million, of which $1.9 million was classified as current and $36.1 million was classified as non-current liabilities. The securities are recorded in the Consolidated Balance Sheets under the current portion of "Marketable securities". The current and non-current portions of the liability are recorded in the Consolidated Balance Sheets under “Accrued compensation” and “Other liabilities,” respectively.</w:t>
      </w:r>
    </w:p>
    <w:p>
      <w:pPr>
        <w:spacing w:after="0" w:line="161"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29"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In June 2015, Autodesk issued $450.0 million aggregate principal amount of 3.125% senior notes due June 15, 2020 and $300.0 million aggregate principal amount of 4.375% senior notes due June 15, 2025 (collectively, the “2015 Notes”). Autodesk received net proceeds of $742.0 million from issuance of the 2015 Senior Notes, net of a discount of $1.7 million and issuance costs of $6.3 million. Both the discount and issuance costs are being amortized to interest expense over the respective terms of the 2015 Notes using the effective interest method. The proceeds of the 2015 Notes are available for general corporate purposes. 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significant qualifications and exceptions. Based on quoted market prices, the fair value of the 2015 Notes was approximately $768.1 million as of January 31, 2017.</w:t>
      </w:r>
    </w:p>
    <w:p>
      <w:pPr>
        <w:spacing w:after="0" w:line="16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senior notes due December 15, 2017 and $350.0 million aggregate principal amount of 3.6% senior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Autodesk may redeem the 2012 Notes at any time, subject to a make whole premium. In addition, upon the occurrence of certain change of control triggering events, Autodesk may be required to repurchase the 2012 Notes, at a price equal to 101% of their principal amount, plus accrued and unpaid interest to the date of repurchase. The 2012 Notes contain restrictive covenants that limit Autodesk's ability to create certain liens, to enter into certain sale and leaseback transactions and to consolidate or merge with, or convey, transfer, or lease all or substantially all of our assets, subject to significant qualifications and exceptions. Based on quoted market prices, the fair value of the 2012 Notes was approximately $758.6 million as of January 31, 2017.</w:t>
      </w:r>
    </w:p>
    <w:p>
      <w:pPr>
        <w:spacing w:after="0" w:line="17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leverage ratio, and an interest coverage ratio. As a result of the business model transition, we would not have complied with the leverage ratio requirement of the credit agreement at the end of the fourth quarter of fiscal 2017 and obtained a waiver for that period. The line of credit is syndicated with various financial institutions, including Citibank, N.A., an affiliate of Citigroup, which is one of the lead lenders and an agent. The maturity date on the line of credit facility is May 2020. At January 31, 2017, and January 31, 2016, Autodesk had no outstanding borrowings on this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276860</wp:posOffset>
            </wp:positionV>
            <wp:extent cx="97790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Lease commitments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Autodesk leases office space and computer equipment under non-cancellable operating lease agreements that expire at various dates through 2090. The leases generally provide that Autodesk pay taxes, insurance, and maintenance expenses related to the leased assets. Certain of these lease arrangements contain escalation clauses whereby monthly rent increases over time.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January 31, 2017, the aggregate future minimum lease payments required were as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2019</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48.4</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2021</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21.1</w:t>
            </w:r>
          </w:p>
        </w:tc>
      </w:tr>
      <w:tr>
        <w:trPr>
          <w:trHeight w:val="33"/>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41.2</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215.0</w:t>
            </w:r>
          </w:p>
        </w:tc>
      </w:tr>
      <w:tr>
        <w:trPr>
          <w:trHeight w:val="224"/>
        </w:trPr>
        <w:tc>
          <w:tcPr>
            <w:tcW w:w="9920" w:type="dxa"/>
            <w:vAlign w:val="bottom"/>
          </w:tcPr>
          <w:p>
            <w:pPr>
              <w:ind w:left="20"/>
              <w:spacing w:after="0"/>
              <w:rPr>
                <w:sz w:val="20"/>
                <w:szCs w:val="20"/>
                <w:color w:val="auto"/>
              </w:rPr>
            </w:pPr>
            <w:r>
              <w:rPr>
                <w:rFonts w:ascii="Arial" w:cs="Arial" w:eastAsia="Arial" w:hAnsi="Arial"/>
                <w:sz w:val="16"/>
                <w:szCs w:val="16"/>
                <w:color w:val="auto"/>
              </w:rPr>
              <w:t>Less: Sublease income</w:t>
            </w: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related to these operating leases recognized on a straight-line basis over the lease period, was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2015</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 expense</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55.0</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Purchase commitments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2017 were approximately $166.4 million for periods through fiscal 2020. These purchase commitments primarily result from contracts for the acquisition of IT infrastructure, marketing, and software development services.</w:t>
      </w:r>
    </w:p>
    <w:p>
      <w:pPr>
        <w:spacing w:after="0" w:line="18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Autodesk has certain royalty commitments associated with the sale and licensing of certain products. Royalty expense is generally based on a dollar amount per unit sold or a percentage of the underlying revenue. Royalty expense, which was recorded under cost of subscription revenue and cost of license and other revenue on Autodesk’s Consolidated Statements of Operations, was $16.2 million in fiscal 2017, $17.4 million in fiscal 2016, and $17.9 million in fiscal 2015.</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Guarantees and Indemnifications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97790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94</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Legal Proceedings</w:t>
      </w:r>
    </w:p>
    <w:p>
      <w:pPr>
        <w:spacing w:after="0" w:line="225"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9"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Preferred Stock</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Under Autodesk’s Certificate of Incorporation, 2.0 million shares of preferred stock are authorized. At January 31, 2017, there were no preferred shares issued or outstanding. The Board of Directors has the authority to issue the preferred stock in one or more series and to fix rights, preferences, privileges, and restrictions, including dividends and the number of shares constituting any series or the designation of such series, without any further vote or action by the stockholders.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32BCAD"/>
        </w:rPr>
        <w:t>Common Stock Repurchase Program</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 approximately 9.7 million shares in fiscal 2017 at an average repurchase price of $64.73 per share, 8.5 million shares in fiscal 2016 at an average repurchase price of $53.58 per share, and 6.9 million shares in fiscal 2015 at an average repurchase price of $53.83.</w:t>
      </w:r>
    </w:p>
    <w:p>
      <w:pPr>
        <w:spacing w:after="0" w:line="188"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At January 31, 2017, 26.6 million shares remained available for repurchase under the repurchase program approved by the Board of Directors, including the 30.0 million share increase approved by the Board of Directors in September 2016. The share repurchase program does not have an expiration date and the pace and timing of repurchases will depend on factors such as cash generation from operations, available surplus, the volume of employee stock plan activity, cash requirements for acquisitions, economic and market conditions, stock price and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261620</wp:posOffset>
            </wp:positionV>
            <wp:extent cx="97790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Interest and Other Expense,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and other expense,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on foreign currency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(loss) on strategic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9584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-882650</wp:posOffset>
            </wp:positionV>
            <wp:extent cx="722947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-539750</wp:posOffset>
            </wp:positionV>
            <wp:extent cx="722947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-196850</wp:posOffset>
            </wp:positionV>
            <wp:extent cx="722947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ind w:left="440" w:hanging="432"/>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net of taxes,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 for 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Balances, January 31, 2016</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20"/>
        </w:trPr>
        <w:tc>
          <w:tcPr>
            <w:tcW w:w="5260" w:type="dxa"/>
            <w:vAlign w:val="bottom"/>
          </w:tcPr>
          <w:p>
            <w:pPr>
              <w:ind w:left="40"/>
              <w:spacing w:after="0"/>
              <w:rPr>
                <w:sz w:val="20"/>
                <w:szCs w:val="20"/>
                <w:color w:val="auto"/>
              </w:rPr>
            </w:pPr>
            <w:r>
              <w:rPr>
                <w:rFonts w:ascii="Arial" w:cs="Arial" w:eastAsia="Arial" w:hAnsi="Arial"/>
                <w:sz w:val="16"/>
                <w:szCs w:val="16"/>
                <w:color w:val="auto"/>
                <w:w w:val="99"/>
              </w:rPr>
              <w:t>Pre-tax (gains) losses reclassified from accumulated other comprehensive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expense, net. Refer to Note 2, "Financial Instruments" for the amount and location of reclassifications related to derivative instruments. Reclassifications of the defined benefit pension components are included in the computation of net periodic benefit cost. Refer to Note 14, "Retirement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97790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96</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w:t>
      </w:r>
    </w:p>
    <w:p>
      <w:pPr>
        <w:spacing w:after="0" w:line="22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net (loss) income per share is computed using the weighted average number of shares of common stock outstanding for the period, excluding stock options and restricted stock. Diluted net (loss)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income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7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Net (loss) income</w:t>
            </w: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4"/>
              </w:rPr>
              <w:t>(582.1)</w:t>
            </w:r>
          </w:p>
        </w:tc>
        <w:tc>
          <w:tcPr>
            <w:tcW w:w="12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7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Denominator:</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7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Denominator for basic net (loss) income per share—weighted average shares</w:t>
            </w:r>
          </w:p>
        </w:tc>
        <w:tc>
          <w:tcPr>
            <w:tcW w:w="94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ind w:left="380"/>
              <w:spacing w:after="0"/>
              <w:rPr>
                <w:sz w:val="20"/>
                <w:szCs w:val="20"/>
                <w:color w:val="auto"/>
              </w:rPr>
            </w:pPr>
            <w:r>
              <w:rPr>
                <w:rFonts w:ascii="Arial" w:cs="Arial" w:eastAsia="Arial" w:hAnsi="Arial"/>
                <w:sz w:val="16"/>
                <w:szCs w:val="16"/>
                <w:color w:val="auto"/>
              </w:rPr>
              <w:t>Denominator for dilutive net (loss) income per share</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7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net (loss) income per share</w:t>
            </w: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(loss) income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vMerge w:val="continue"/>
          </w:tcPr>
          <w:p>
            <w:pPr>
              <w:spacing w:after="0"/>
              <w:rPr>
                <w:sz w:val="17"/>
                <w:szCs w:val="17"/>
                <w:color w:val="auto"/>
              </w:rPr>
            </w:pPr>
          </w:p>
        </w:tc>
        <w:tc>
          <w:tcPr>
            <w:tcW w:w="94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33"/>
        </w:trPr>
        <w:tc>
          <w:tcPr>
            <w:tcW w:w="6740" w:type="dxa"/>
            <w:vAlign w:val="bottom"/>
            <w:gridSpan w:val="2"/>
            <w:vMerge w:val="restart"/>
          </w:tcPr>
          <w:p>
            <w:pPr>
              <w:jc w:val="right"/>
              <w:ind w:right="4859"/>
              <w:spacing w:after="0"/>
              <w:rPr>
                <w:sz w:val="20"/>
                <w:szCs w:val="20"/>
                <w:color w:val="auto"/>
              </w:rPr>
            </w:pPr>
            <w:r>
              <w:rPr>
                <w:rFonts w:ascii="Arial" w:cs="Arial" w:eastAsia="Arial" w:hAnsi="Arial"/>
                <w:sz w:val="18"/>
                <w:szCs w:val="18"/>
                <w:color w:val="auto"/>
                <w:w w:val="88"/>
              </w:rPr>
              <w:t>____________________</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80" w:hanging="412"/>
        <w:spacing w:after="0" w:line="296" w:lineRule="auto"/>
        <w:tabs>
          <w:tab w:leader="none" w:pos="4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effect of dilutive securities of 4.6 million and 4.7 million shares for the fiscal year ended January 31, 2017 and 2016, respectively, have been excluded from the calculation of diluted net (loss) income per share as those shares would have been anti-dilutive due to the net loss incurred during these fiscal years.</w:t>
      </w:r>
    </w:p>
    <w:p>
      <w:pPr>
        <w:spacing w:after="0" w:line="15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computation of diluted net (loss) income per share does not include shares that are anti-dilutive under the treasury stock method because their exercise prices are higher than the average market value of Autodesk’s stock during the fiscal year. For each of the fiscal years ended January 31, 2017, 2016, and 2015, 0.1 million potentially anti-dilutive shares were excluded from the computation of net (loss) income per share.</w:t>
      </w:r>
    </w:p>
    <w:p>
      <w:pPr>
        <w:spacing w:after="0" w:line="16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Prior to the third quarter of fiscal 2017, Autodesk had four operating segments: AEC, MFG, PSEB, and M&amp;E.</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As a result of the Company’s business model transition, there have been a number of changes in the business including a platform shift from perpetual licenses to subscription-based offerings and organizational changes in how the business is managed including a restructuring announced in the first quarter of fiscal 2017. In the third quarter of fiscal 2017, these organizational changes resulted in a change in the internal reporting provided to Autodesk’s chief operating decision maker (“CODM”) used to assess the performance of the business to focus on consolidated operating results. Accordingly, the Company's CODM now allocates resources and assesses the operating performance of the Company as a whole. As such, beginning in the third quarter of fiscal 2017, Autodesk concluded that it has one segment manager (the CODM), one operating segment, and one reporting unit for goodwill impairment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267970</wp:posOffset>
            </wp:positionV>
            <wp:extent cx="97790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97</w:t>
      </w:r>
    </w:p>
    <w:p>
      <w:pPr>
        <w:sectPr>
          <w:pgSz w:w="11900" w:h="16838" w:orient="portrait"/>
          <w:cols w:equalWidth="0" w:num="1">
            <w:col w:w="11420"/>
          </w:cols>
          <w:pgMar w:left="240" w:top="125" w:right="239" w:bottom="1440" w:gutter="0" w:footer="0" w:header="0"/>
        </w:sectPr>
      </w:pPr>
    </w:p>
    <w:bookmarkStart w:id="99" w:name="page100"/>
    <w:bookmarkEnd w:id="99"/>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revenue by geographic area and product family is as follows:</w:t>
      </w:r>
    </w:p>
    <w:p>
      <w:pPr>
        <w:spacing w:after="0" w:line="163"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584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p>
      <w:pPr>
        <w:jc w:val="both"/>
        <w:ind w:left="7360"/>
        <w:spacing w:after="0"/>
        <w:tabs>
          <w:tab w:leader="none" w:pos="8940" w:val="left"/>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70" w:orient="portrait"/>
          <w:cols w:equalWidth="0" w:num="1">
            <w:col w:w="11420"/>
          </w:cols>
          <w:pgMar w:left="240" w:top="125" w:right="239" w:bottom="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revenue by geographic area (1):</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jc w:val="right"/>
        <w:ind w:right="352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Asia Pacific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742.1</w:t>
            </w:r>
          </w:p>
        </w:tc>
        <w:tc>
          <w:tcPr>
            <w:tcW w:w="12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803.9</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736.4</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161.6</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871.9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898.0</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800.4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934.6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980.0</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358.7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596.7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634.2</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2,031.0</w:t>
            </w:r>
          </w:p>
        </w:tc>
        <w:tc>
          <w:tcPr>
            <w:tcW w:w="12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2,504.1</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2,512.2</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-1054100</wp:posOffset>
            </wp:positionV>
            <wp:extent cx="722947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-711200</wp:posOffset>
            </wp:positionV>
            <wp:extent cx="722947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-368300</wp:posOffset>
            </wp:positionV>
            <wp:extent cx="722947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-16510</wp:posOffset>
            </wp:positionV>
            <wp:extent cx="7229475" cy="222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9475" cy="222885"/>
                    </a:xfrm>
                    <a:prstGeom prst="rect">
                      <a:avLst/>
                    </a:prstGeom>
                    <a:noFill/>
                  </pic:spPr>
                </pic:pic>
              </a:graphicData>
            </a:graphic>
          </wp:anchor>
        </w:drawing>
      </w:r>
    </w:p>
    <w:p>
      <w:pPr>
        <w:spacing w:after="0" w:line="200" w:lineRule="exact"/>
        <w:rPr>
          <w:sz w:val="20"/>
          <w:szCs w:val="20"/>
          <w:color w:val="auto"/>
        </w:rPr>
      </w:pPr>
    </w:p>
    <w:p>
      <w:pPr>
        <w:sectPr>
          <w:pgSz w:w="11900" w:h="16870" w:orient="portrait"/>
          <w:cols w:equalWidth="0" w:num="2">
            <w:col w:w="6020" w:space="720"/>
            <w:col w:w="4680"/>
          </w:cols>
          <w:pgMar w:left="240" w:top="125" w:right="239" w:bottom="0" w:gutter="0" w:footer="0" w:header="0"/>
          <w:type w:val="continuous"/>
        </w:sectPr>
      </w:pP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720" w:type="dxa"/>
            <w:vAlign w:val="bottom"/>
          </w:tcPr>
          <w:p>
            <w:pPr>
              <w:ind w:left="20"/>
              <w:spacing w:after="0"/>
              <w:rPr>
                <w:sz w:val="20"/>
                <w:szCs w:val="20"/>
                <w:color w:val="auto"/>
              </w:rPr>
            </w:pPr>
            <w:r>
              <w:rPr>
                <w:rFonts w:ascii="Arial" w:cs="Arial" w:eastAsia="Arial" w:hAnsi="Arial"/>
                <w:sz w:val="16"/>
                <w:szCs w:val="16"/>
                <w:color w:val="auto"/>
              </w:rPr>
              <w:t>Net revenue by product family:</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7"/>
        </w:trPr>
        <w:tc>
          <w:tcPr>
            <w:tcW w:w="6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Architecture, Engineering and Construction</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872.6</w:t>
            </w: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Manufacturing</w:t>
            </w:r>
          </w:p>
        </w:tc>
        <w:tc>
          <w:tcPr>
            <w:tcW w:w="5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625.8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675.6</w:t>
            </w:r>
          </w:p>
        </w:tc>
      </w:tr>
      <w:tr>
        <w:trPr>
          <w:trHeight w:val="33"/>
        </w:trPr>
        <w:tc>
          <w:tcPr>
            <w:tcW w:w="6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AutoCAD and AutoCAD LT (2)</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695.1</w:t>
            </w:r>
          </w:p>
        </w:tc>
      </w:tr>
      <w:tr>
        <w:trPr>
          <w:trHeight w:val="237"/>
        </w:trPr>
        <w:tc>
          <w:tcPr>
            <w:tcW w:w="6720" w:type="dxa"/>
            <w:vAlign w:val="bottom"/>
          </w:tcPr>
          <w:p>
            <w:pPr>
              <w:ind w:left="700"/>
              <w:spacing w:after="0"/>
              <w:rPr>
                <w:sz w:val="20"/>
                <w:szCs w:val="20"/>
                <w:color w:val="auto"/>
              </w:rPr>
            </w:pPr>
            <w:r>
              <w:rPr>
                <w:rFonts w:ascii="Arial" w:cs="Arial" w:eastAsia="Arial" w:hAnsi="Arial"/>
                <w:sz w:val="16"/>
                <w:szCs w:val="16"/>
                <w:color w:val="auto"/>
              </w:rPr>
              <w:t>Media and Entertainment</w:t>
            </w:r>
          </w:p>
        </w:tc>
        <w:tc>
          <w:tcPr>
            <w:tcW w:w="5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167.3</w:t>
            </w:r>
          </w:p>
        </w:tc>
      </w:tr>
      <w:tr>
        <w:trPr>
          <w:trHeight w:val="33"/>
        </w:trPr>
        <w:tc>
          <w:tcPr>
            <w:tcW w:w="6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(2)</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w:t>
            </w:r>
          </w:p>
        </w:tc>
      </w:tr>
      <w:tr>
        <w:trPr>
          <w:trHeight w:val="217"/>
        </w:trPr>
        <w:tc>
          <w:tcPr>
            <w:tcW w:w="672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2,031.0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2,504.1</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20955</wp:posOffset>
            </wp:positionV>
            <wp:extent cx="29584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-130175</wp:posOffset>
            </wp:positionV>
            <wp:extent cx="29584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Revenue by geographic area is based on the bill to country.</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w:t>
      </w:r>
    </w:p>
    <w:p>
      <w:pPr>
        <w:spacing w:after="0" w:line="148"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Information regarding Autodesk’s long-lived assets by geographic area is as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469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70" w:orient="portrait"/>
          <w:cols w:equalWidth="0" w:num="1">
            <w:col w:w="11420"/>
          </w:cols>
          <w:pgMar w:left="240" w:top="125" w:right="239" w:bottom="0" w:gutter="0" w:footer="0" w:header="0"/>
          <w:type w:val="continuous"/>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Long-lived assets (1):</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jc w:val="right"/>
        <w:ind w:right="514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Asia Pacific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long-lived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980" w:val="left"/>
          <w:tab w:leader="none" w:pos="1600" w:val="left"/>
          <w:tab w:leader="none" w:pos="2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118.8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-135890</wp:posOffset>
            </wp:positionV>
            <wp:extent cx="722947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160"/>
        <w:spacing w:after="0"/>
        <w:tabs>
          <w:tab w:leader="none" w:pos="2720"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34925</wp:posOffset>
            </wp:positionV>
            <wp:extent cx="722947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000"/>
        <w:spacing w:after="0"/>
        <w:tabs>
          <w:tab w:leader="none" w:pos="2560" w:val="left"/>
        </w:tabs>
        <w:rPr>
          <w:sz w:val="20"/>
          <w:szCs w:val="20"/>
          <w:color w:val="auto"/>
        </w:rPr>
      </w:pPr>
      <w:r>
        <w:rPr>
          <w:rFonts w:ascii="Arial" w:cs="Arial" w:eastAsia="Arial" w:hAnsi="Arial"/>
          <w:sz w:val="16"/>
          <w:szCs w:val="16"/>
          <w:color w:val="auto"/>
        </w:rPr>
        <w:t>124.7</w:t>
      </w:r>
      <w:r>
        <w:rPr>
          <w:sz w:val="20"/>
          <w:szCs w:val="20"/>
          <w:color w:val="auto"/>
        </w:rPr>
        <w:tab/>
      </w:r>
      <w:r>
        <w:rPr>
          <w:rFonts w:ascii="Arial" w:cs="Arial" w:eastAsia="Arial" w:hAnsi="Arial"/>
          <w:sz w:val="14"/>
          <w:szCs w:val="14"/>
          <w:color w:val="auto"/>
        </w:rPr>
        <w:t>122.0</w:t>
      </w:r>
    </w:p>
    <w:p>
      <w:pPr>
        <w:spacing w:after="0" w:line="86" w:lineRule="exact"/>
        <w:rPr>
          <w:sz w:val="20"/>
          <w:szCs w:val="20"/>
          <w:color w:val="auto"/>
        </w:rPr>
      </w:pPr>
    </w:p>
    <w:p>
      <w:pPr>
        <w:ind w:left="1080"/>
        <w:spacing w:after="0"/>
        <w:tabs>
          <w:tab w:leader="none" w:pos="2640" w:val="left"/>
        </w:tabs>
        <w:rPr>
          <w:sz w:val="20"/>
          <w:szCs w:val="20"/>
          <w:color w:val="auto"/>
        </w:rPr>
      </w:pPr>
      <w:r>
        <w:rPr>
          <w:rFonts w:ascii="Arial" w:cs="Arial" w:eastAsia="Arial" w:hAnsi="Arial"/>
          <w:sz w:val="16"/>
          <w:szCs w:val="16"/>
          <w:color w:val="auto"/>
        </w:rPr>
        <w:t>18.7</w:t>
      </w:r>
      <w:r>
        <w:rPr>
          <w:sz w:val="20"/>
          <w:szCs w:val="20"/>
          <w:color w:val="auto"/>
        </w:rPr>
        <w:tab/>
      </w:r>
      <w:r>
        <w:rPr>
          <w:rFonts w:ascii="Arial" w:cs="Arial" w:eastAsia="Arial" w:hAnsi="Arial"/>
          <w:sz w:val="14"/>
          <w:szCs w:val="14"/>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34925</wp:posOffset>
            </wp:positionV>
            <wp:extent cx="722947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080"/>
        <w:spacing w:after="0"/>
        <w:tabs>
          <w:tab w:leader="none" w:pos="2640"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469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6" w:lineRule="exact"/>
        <w:rPr>
          <w:sz w:val="20"/>
          <w:szCs w:val="20"/>
          <w:color w:val="auto"/>
        </w:rPr>
      </w:pPr>
    </w:p>
    <w:p>
      <w:pPr>
        <w:spacing w:after="0"/>
        <w:tabs>
          <w:tab w:leader="none" w:pos="980" w:val="left"/>
          <w:tab w:leader="none" w:pos="1600" w:val="left"/>
          <w:tab w:leader="none" w:pos="2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158.6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469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2" w:lineRule="exact"/>
        <w:rPr>
          <w:sz w:val="20"/>
          <w:szCs w:val="20"/>
          <w:color w:val="auto"/>
        </w:rPr>
      </w:pPr>
    </w:p>
    <w:p>
      <w:pPr>
        <w:sectPr>
          <w:pgSz w:w="11900" w:h="16870" w:orient="portrait"/>
          <w:cols w:equalWidth="0" w:num="2">
            <w:col w:w="7640" w:space="720"/>
            <w:col w:w="3060"/>
          </w:cols>
          <w:pgMar w:left="240" w:top="125" w:right="239" w:bottom="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-130175</wp:posOffset>
            </wp:positionV>
            <wp:extent cx="19469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other intangible assets.</w:t>
      </w:r>
    </w:p>
    <w:p>
      <w:pPr>
        <w:spacing w:after="0" w:line="176"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Pretax Savings Plan</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50% of their pretax salary, subject to limitations mandated by the Internal Revenue Service. Autodesk makes voluntary cash contributions and matches a portion of employee contributions in cash. Autodesk’s contributions were $16.4 million in fiscal 2017, $17.3 million in fiscal 2016, and $11.2 million in fiscal 2015. Autodesk does not allow participants to invest in Autodesk common stock through the 401(k) plan.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Defined Benefit Pension Plans</w:t>
      </w:r>
    </w:p>
    <w:p>
      <w:pPr>
        <w:spacing w:after="0" w:line="225"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Autodesk maintains certain defined benefit pension plans to employees primarily located in countries outside of the U.S, particularly the United Kingdom, Switzerland, and Japan. The Company deposits funds for specific plans, consistent with the requirements of local law, with insurance companies, third-party trustees, or into government-managed accounts, and accrues for the unfunded portion of the obligation, where material. Depending on the design of the plan, local customs, and market circumstances, the liabilities of a plan may exceed qualified plan assets.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Benefit Obligation and Plan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projected benefit obligations and plan assets for the plans described above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Fiscal year ended January 31,</w:t>
            </w:r>
          </w:p>
        </w:tc>
      </w:tr>
      <w:tr>
        <w:trPr>
          <w:trHeight w:val="264"/>
        </w:trPr>
        <w:tc>
          <w:tcPr>
            <w:tcW w:w="9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projected benefit obligation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00" w:type="dxa"/>
            <w:vAlign w:val="bottom"/>
          </w:tcPr>
          <w:p>
            <w:pPr>
              <w:spacing w:after="0"/>
              <w:rPr>
                <w:sz w:val="20"/>
                <w:szCs w:val="20"/>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00" w:type="dxa"/>
            <w:vAlign w:val="bottom"/>
          </w:tcPr>
          <w:p>
            <w:pPr>
              <w:spacing w:after="0"/>
              <w:rPr>
                <w:sz w:val="20"/>
                <w:szCs w:val="20"/>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w:t>
            </w: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9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9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ectPr>
          <w:pgSz w:w="11900" w:h="16870" w:orient="portrait"/>
          <w:cols w:equalWidth="0" w:num="1">
            <w:col w:w="11420"/>
          </w:cols>
          <w:pgMar w:left="240" w:top="125" w:right="239" w:bottom="0" w:gutter="0" w:footer="0" w:header="0"/>
          <w:type w:val="continuous"/>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47"/>
        </w:trPr>
        <w:tc>
          <w:tcPr>
            <w:tcW w:w="9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by plan participants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projected benefit obligation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9020" w:type="dxa"/>
            <w:vAlign w:val="bottom"/>
          </w:tcPr>
          <w:p>
            <w:pPr>
              <w:ind w:left="40"/>
              <w:spacing w:after="0"/>
              <w:rPr>
                <w:sz w:val="20"/>
                <w:szCs w:val="20"/>
                <w:color w:val="auto"/>
              </w:rPr>
            </w:pPr>
            <w:r>
              <w:rPr>
                <w:rFonts w:ascii="Arial" w:cs="Arial" w:eastAsia="Arial" w:hAnsi="Arial"/>
                <w:sz w:val="16"/>
                <w:szCs w:val="16"/>
                <w:color w:val="auto"/>
              </w:rPr>
              <w:t>Beginning fair value of plan assets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Actual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Contributions paid by employer</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paid by plan participants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Benefit payments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Curtailments and 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fair value of plan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Funded status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20"/>
              <w:spacing w:after="0"/>
              <w:rPr>
                <w:sz w:val="20"/>
                <w:szCs w:val="20"/>
                <w:color w:val="auto"/>
              </w:rPr>
            </w:pPr>
            <w:r>
              <w:rPr>
                <w:rFonts w:ascii="Arial" w:cs="Arial" w:eastAsia="Arial" w:hAnsi="Arial"/>
                <w:sz w:val="18"/>
                <w:szCs w:val="18"/>
                <w:color w:val="auto"/>
              </w:rPr>
              <w:t>The amounts recognized on the consolidated balance sheets at the end of each period were as follows: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6"/>
              </w:rPr>
              <w:t>Fiscal Year Ended January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recognized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 worldwide basis, our defined benefit pension plans were 73% funded as of January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97790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98</w:t>
      </w:r>
    </w:p>
    <w:p>
      <w:pPr>
        <w:sectPr>
          <w:pgSz w:w="11900" w:h="16838" w:orient="portrait"/>
          <w:cols w:equalWidth="0" w:num="1">
            <w:col w:w="11420"/>
          </w:cols>
          <w:pgMar w:left="240" w:top="130" w:right="239" w:bottom="1440" w:gutter="0" w:footer="0" w:header="0"/>
        </w:sectPr>
      </w:pPr>
    </w:p>
    <w:bookmarkStart w:id="101" w:name="page102"/>
    <w:bookmarkEnd w:id="101"/>
    <w:p>
      <w:pPr>
        <w:ind w:right="160" w:firstLine="405"/>
        <w:spacing w:after="0" w:line="259" w:lineRule="auto"/>
        <w:rPr>
          <w:sz w:val="20"/>
          <w:szCs w:val="20"/>
          <w:color w:val="auto"/>
        </w:rPr>
      </w:pPr>
      <w:r>
        <w:rPr>
          <w:rFonts w:ascii="Arial" w:cs="Arial" w:eastAsia="Arial" w:hAnsi="Arial"/>
          <w:sz w:val="18"/>
          <w:szCs w:val="18"/>
          <w:color w:val="auto"/>
        </w:rPr>
        <w:t>As of January 31, 2017, the aggregate accumulated benefit obligation was $128.2 million for the defined benefit pension plans compared to $127.1 million as of January 31, 2016. Included in the aggregate data in the following tables are the amounts applicable to our defined benefit pension plans, with accumulated benefit obligations in excess of plan assets, as well as plans with projected benefit obligations in excess of plan assets. Amounts related to such plans at the end of each period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Fiscal Year Ended January</w:t>
            </w:r>
          </w:p>
        </w:tc>
      </w:tr>
      <w:tr>
        <w:trPr>
          <w:trHeight w:val="192"/>
        </w:trPr>
        <w:tc>
          <w:tcPr>
            <w:tcW w:w="9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9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2016</w:t>
            </w: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with accumulated benefit obligations in excess of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Accumulated benefit obligations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119.2</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127.1</w:t>
            </w: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101.4</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Plans with projected benefit obligations in excess of plan assets: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9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obligations</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145.2</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Plan Assets</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101.4</w:t>
            </w:r>
          </w:p>
        </w:tc>
      </w:tr>
    </w:tbl>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Defined Benefit Pension Plan Assets</w:t>
      </w:r>
    </w:p>
    <w:p>
      <w:pPr>
        <w:spacing w:after="0" w:line="225" w:lineRule="exact"/>
        <w:rPr>
          <w:sz w:val="20"/>
          <w:szCs w:val="20"/>
          <w:color w:val="auto"/>
        </w:rPr>
      </w:pPr>
    </w:p>
    <w:p>
      <w:pPr>
        <w:jc w:val="both"/>
        <w:ind w:right="120" w:firstLine="405"/>
        <w:spacing w:after="0" w:line="312" w:lineRule="auto"/>
        <w:rPr>
          <w:sz w:val="20"/>
          <w:szCs w:val="20"/>
          <w:color w:val="auto"/>
        </w:rPr>
      </w:pPr>
      <w:r>
        <w:rPr>
          <w:rFonts w:ascii="Arial" w:cs="Arial" w:eastAsia="Arial" w:hAnsi="Arial"/>
          <w:sz w:val="16"/>
          <w:szCs w:val="16"/>
          <w:color w:val="auto"/>
        </w:rPr>
        <w:t>The investments of the plans are managed by insurance companies or third-party investment managers selected by Autodesk's Trustees, consistent with regulations or market practice of the country where the assets are invested. Investments managed by qualified insurance companies or third-party investment managers under standard contracts follow local regulations, and Autodesk is not actively involved in their investment strategies.</w:t>
      </w:r>
    </w:p>
    <w:p>
      <w:pPr>
        <w:spacing w:after="0" w:line="14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Defined benefit pension plan assets measured at fair value on a recurring basis consisted of the following investment categories at the end of each period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Fiscal Year Ended January 31,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r>
      <w:tr>
        <w:trPr>
          <w:trHeight w:val="264"/>
        </w:trPr>
        <w:tc>
          <w:tcPr>
            <w:tcW w:w="58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23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contracts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42.6</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Other investments</w:t>
            </w:r>
          </w:p>
        </w:tc>
        <w:tc>
          <w:tcPr>
            <w:tcW w:w="3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measured at fair value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42.6</w:t>
            </w:r>
          </w:p>
        </w:tc>
      </w:tr>
      <w:tr>
        <w:trPr>
          <w:trHeight w:val="224"/>
        </w:trPr>
        <w:tc>
          <w:tcPr>
            <w:tcW w:w="5820" w:type="dxa"/>
            <w:vAlign w:val="bottom"/>
          </w:tcPr>
          <w:p>
            <w:pPr>
              <w:ind w:left="40"/>
              <w:spacing w:after="0"/>
              <w:rPr>
                <w:sz w:val="20"/>
                <w:szCs w:val="20"/>
                <w:color w:val="auto"/>
              </w:rPr>
            </w:pPr>
            <w:r>
              <w:rPr>
                <w:rFonts w:ascii="Arial" w:cs="Arial" w:eastAsia="Arial" w:hAnsi="Arial"/>
                <w:sz w:val="16"/>
                <w:szCs w:val="16"/>
                <w:color w:val="auto"/>
              </w:rPr>
              <w:t>Cash</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0.3</w:t>
            </w:r>
          </w:p>
        </w:tc>
      </w:tr>
      <w:tr>
        <w:trPr>
          <w:trHeight w:val="33"/>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Fund valued using net asset value</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58.5</w:t>
            </w:r>
          </w:p>
        </w:tc>
      </w:tr>
      <w:tr>
        <w:trPr>
          <w:trHeight w:val="244"/>
        </w:trPr>
        <w:tc>
          <w:tcPr>
            <w:tcW w:w="5820" w:type="dxa"/>
            <w:vAlign w:val="bottom"/>
          </w:tcPr>
          <w:p>
            <w:pPr>
              <w:ind w:left="40"/>
              <w:spacing w:after="0"/>
              <w:rPr>
                <w:sz w:val="20"/>
                <w:szCs w:val="20"/>
                <w:color w:val="auto"/>
              </w:rPr>
            </w:pPr>
            <w:r>
              <w:rPr>
                <w:rFonts w:ascii="Arial" w:cs="Arial" w:eastAsia="Arial" w:hAnsi="Arial"/>
                <w:sz w:val="16"/>
                <w:szCs w:val="16"/>
                <w:color w:val="auto"/>
              </w:rPr>
              <w:t>Total pension plan assets at fair value</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101.4</w:t>
            </w:r>
          </w:p>
        </w:tc>
      </w:tr>
      <w:tr>
        <w:trPr>
          <w:trHeight w:val="20"/>
        </w:trPr>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The insurance contracts in the preceding table represent the immediate cash surrender value of assets managed by qualified insurance companies. Autodesk does not have control over the target allocation or visibility of the investment strategies of those investments. Insurance contracts and investments held by insurance companies made up 43% and 42% of total plan assets as of January 31, 2017 and January 31, 2016, respectively.</w:t>
      </w:r>
    </w:p>
    <w:p>
      <w:pPr>
        <w:spacing w:after="0" w:line="14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assets held in the investment fund in the preceding table are invested in a diversified growth fund actively managed by Russell Investments in association with Aon Hewitt. The objective of the fund is to generate capital appreciation on a long-term basis through a diversified portfolio of investments. The fund aims to deliver equity-like returns in the medium to long term with around two-thirds the volatility of equity markets. The fair value of the assets held in the investment fund are priced monthly at net asset value without restrictions on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272415</wp:posOffset>
            </wp:positionV>
            <wp:extent cx="97790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99</w:t>
      </w:r>
    </w:p>
    <w:p>
      <w:pPr>
        <w:sectPr>
          <w:pgSz w:w="11900" w:h="16838" w:orient="portrait"/>
          <w:cols w:equalWidth="0" w:num="1">
            <w:col w:w="11420"/>
          </w:cols>
          <w:pgMar w:left="240" w:top="368" w:right="239" w:bottom="1440" w:gutter="0" w:footer="0" w:header="0"/>
        </w:sectPr>
      </w:pPr>
    </w:p>
    <w:bookmarkStart w:id="102" w:name="page103"/>
    <w:bookmarkEnd w:id="102"/>
    <w:p>
      <w:pPr>
        <w:ind w:left="260"/>
        <w:spacing w:after="0"/>
        <w:rPr>
          <w:sz w:val="20"/>
          <w:szCs w:val="20"/>
          <w:color w:val="auto"/>
        </w:rPr>
      </w:pPr>
      <w:r>
        <w:rPr>
          <w:rFonts w:ascii="Arial" w:cs="Arial" w:eastAsia="Arial" w:hAnsi="Arial"/>
          <w:sz w:val="18"/>
          <w:szCs w:val="18"/>
          <w:i w:val="1"/>
          <w:iCs w:val="1"/>
          <w:color w:val="32BCAD"/>
        </w:rPr>
        <w:t>Estimated Future Benefit Payments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440"/>
              <w:spacing w:after="0"/>
              <w:rPr>
                <w:sz w:val="20"/>
                <w:szCs w:val="20"/>
                <w:color w:val="auto"/>
              </w:rPr>
            </w:pPr>
            <w:r>
              <w:rPr>
                <w:rFonts w:ascii="Arial" w:cs="Arial" w:eastAsia="Arial" w:hAnsi="Arial"/>
                <w:sz w:val="18"/>
                <w:szCs w:val="18"/>
                <w:color w:val="auto"/>
              </w:rPr>
              <w:t>Estimated benefit payments over the next 10 fiscal years are as follows: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9"/>
        </w:trPr>
        <w:tc>
          <w:tcPr>
            <w:tcW w:w="8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6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4.2</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3.8</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3.5</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2023-2027</w:t>
            </w: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19.1</w:t>
            </w:r>
          </w:p>
        </w:tc>
      </w:tr>
      <w:tr>
        <w:trPr>
          <w:trHeight w:val="459"/>
        </w:trPr>
        <w:tc>
          <w:tcPr>
            <w:tcW w:w="8120" w:type="dxa"/>
            <w:vAlign w:val="bottom"/>
          </w:tcPr>
          <w:p>
            <w:pPr>
              <w:ind w:left="260"/>
              <w:spacing w:after="0"/>
              <w:rPr>
                <w:sz w:val="20"/>
                <w:szCs w:val="20"/>
                <w:color w:val="auto"/>
              </w:rPr>
            </w:pPr>
            <w:r>
              <w:rPr>
                <w:rFonts w:ascii="Arial" w:cs="Arial" w:eastAsia="Arial" w:hAnsi="Arial"/>
                <w:sz w:val="18"/>
                <w:szCs w:val="18"/>
                <w:i w:val="1"/>
                <w:iCs w:val="1"/>
                <w:color w:val="32BCAD"/>
              </w:rPr>
              <w:t>Funding Expectations</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8120" w:type="dxa"/>
            <w:vAlign w:val="bottom"/>
          </w:tcPr>
          <w:p>
            <w:pPr>
              <w:ind w:left="420"/>
              <w:spacing w:after="0"/>
              <w:rPr>
                <w:sz w:val="20"/>
                <w:szCs w:val="20"/>
                <w:color w:val="auto"/>
              </w:rPr>
            </w:pPr>
            <w:r>
              <w:rPr>
                <w:rFonts w:ascii="Arial" w:cs="Arial" w:eastAsia="Arial" w:hAnsi="Arial"/>
                <w:sz w:val="18"/>
                <w:szCs w:val="18"/>
                <w:color w:val="auto"/>
              </w:rPr>
              <w:t>Our expected required funding for the plans during fiscal 2018 is approximately $4.3 million.</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8120" w:type="dxa"/>
            <w:vAlign w:val="bottom"/>
          </w:tcPr>
          <w:p>
            <w:pPr>
              <w:ind w:left="260"/>
              <w:spacing w:after="0"/>
              <w:rPr>
                <w:sz w:val="20"/>
                <w:szCs w:val="20"/>
                <w:color w:val="auto"/>
              </w:rPr>
            </w:pPr>
            <w:r>
              <w:rPr>
                <w:rFonts w:ascii="Arial" w:cs="Arial" w:eastAsia="Arial" w:hAnsi="Arial"/>
                <w:sz w:val="18"/>
                <w:szCs w:val="18"/>
                <w:i w:val="1"/>
                <w:iCs w:val="1"/>
                <w:color w:val="32BCAD"/>
              </w:rPr>
              <w:t>Net Periodic Benefit Cost</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9940" w:type="dxa"/>
            <w:vAlign w:val="bottom"/>
            <w:gridSpan w:val="5"/>
          </w:tcPr>
          <w:p>
            <w:pPr>
              <w:ind w:left="420"/>
              <w:spacing w:after="0"/>
              <w:rPr>
                <w:sz w:val="20"/>
                <w:szCs w:val="20"/>
                <w:color w:val="auto"/>
              </w:rPr>
            </w:pPr>
            <w:r>
              <w:rPr>
                <w:rFonts w:ascii="Arial" w:cs="Arial" w:eastAsia="Arial" w:hAnsi="Arial"/>
                <w:sz w:val="18"/>
                <w:szCs w:val="18"/>
                <w:color w:val="auto"/>
                <w:w w:val="92"/>
              </w:rPr>
              <w:t>The components of net periodic pension cost for the defined benefit pension plans for fiscal 2017, 2016, and 2015 are as follows: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9"/>
        </w:trPr>
        <w:tc>
          <w:tcPr>
            <w:tcW w:w="8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w w:val="95"/>
              </w:rPr>
              <w:t>Fiscal Year Ended January 31,</w:t>
            </w:r>
          </w:p>
        </w:tc>
        <w:tc>
          <w:tcPr>
            <w:tcW w:w="680" w:type="dxa"/>
            <w:vAlign w:val="bottom"/>
            <w:tcBorders>
              <w:bottom w:val="single" w:sz="8" w:color="auto"/>
            </w:tcBorders>
          </w:tcPr>
          <w:p>
            <w:pPr>
              <w:spacing w:after="0"/>
              <w:rPr>
                <w:sz w:val="24"/>
                <w:szCs w:val="24"/>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6"/>
              </w:rPr>
              <w:t>2015</w:t>
            </w: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 for benefits earned during the period</w:t>
            </w: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4.6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 on projected benefit obligation</w:t>
            </w:r>
          </w:p>
        </w:tc>
        <w:tc>
          <w:tcPr>
            <w:tcW w:w="6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6"/>
                <w:szCs w:val="16"/>
                <w:color w:val="auto"/>
              </w:rPr>
              <w:t>3.9</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3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(4.2)</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(3.9)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1"/>
              </w:rPr>
              <w:t>(0.3)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w w:val="84"/>
              </w:rPr>
              <w:t>(0.1)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loss</w:t>
            </w:r>
          </w:p>
        </w:tc>
        <w:tc>
          <w:tcPr>
            <w:tcW w:w="6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0.6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Settlement loss</w:t>
            </w:r>
          </w:p>
        </w:tc>
        <w:tc>
          <w:tcPr>
            <w:tcW w:w="66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benefit cost</w:t>
            </w:r>
          </w:p>
        </w:tc>
        <w:tc>
          <w:tcPr>
            <w:tcW w:w="66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rPr>
              <w:t>4.4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Amounts Recorded in OCI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other comprehensive income for the defined benefit pension plans before taxes for fiscal 2017, 2016, and 2015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w w:val="94"/>
              </w:rPr>
              <w:t>Fiscal Year Ended January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 for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Effect of settlement</w:t>
            </w:r>
          </w:p>
        </w:tc>
        <w:tc>
          <w:tcPr>
            <w:tcW w:w="2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(gain) for period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20"/>
                <w:szCs w:val="20"/>
                <w:color w:val="auto"/>
              </w:rPr>
            </w:pPr>
          </w:p>
        </w:tc>
        <w:tc>
          <w:tcPr>
            <w:tcW w:w="800" w:type="dxa"/>
            <w:vAlign w:val="bottom"/>
            <w:gridSpan w:val="2"/>
          </w:tcPr>
          <w:p>
            <w:pPr>
              <w:jc w:val="right"/>
              <w:ind w:right="43"/>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net loss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gridSpan w:val="2"/>
          </w:tcPr>
          <w:p>
            <w:pPr>
              <w:jc w:val="right"/>
              <w:ind w:right="43"/>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60"/>
              <w:spacing w:after="0"/>
              <w:rPr>
                <w:sz w:val="20"/>
                <w:szCs w:val="20"/>
                <w:color w:val="auto"/>
              </w:rPr>
            </w:pPr>
            <w:r>
              <w:rPr>
                <w:rFonts w:ascii="Arial" w:cs="Arial" w:eastAsia="Arial" w:hAnsi="Arial"/>
                <w:sz w:val="18"/>
                <w:szCs w:val="18"/>
                <w:i w:val="1"/>
                <w:iCs w:val="1"/>
                <w:color w:val="32BCAD"/>
              </w:rPr>
              <w:t>Amounts Recorded in AOCI</w:t>
            </w: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4"/>
          </w:tcPr>
          <w:p>
            <w:pPr>
              <w:ind w:left="420"/>
              <w:spacing w:after="0"/>
              <w:rPr>
                <w:sz w:val="20"/>
                <w:szCs w:val="20"/>
                <w:color w:val="auto"/>
              </w:rPr>
            </w:pPr>
            <w:r>
              <w:rPr>
                <w:rFonts w:ascii="Arial" w:cs="Arial" w:eastAsia="Arial" w:hAnsi="Arial"/>
                <w:sz w:val="18"/>
                <w:szCs w:val="18"/>
                <w:color w:val="auto"/>
                <w:w w:val="90"/>
              </w:rPr>
              <w:t>The amounts recorded in accumulated other comprehensive loss before taxes at the end of each period were as follows: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93"/>
              </w:rPr>
              <w:t>Fiscal Year Ended January 31,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89"/>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prior service credit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actuarial loss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before tax</w:t>
            </w: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97790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2017 Form 10-K 100</w:t>
      </w:r>
    </w:p>
    <w:p>
      <w:pPr>
        <w:sectPr>
          <w:pgSz w:w="11900" w:h="16838" w:orient="portrait"/>
          <w:cols w:equalWidth="0" w:num="1">
            <w:col w:w="11420"/>
          </w:cols>
          <w:pgMar w:left="240" w:top="368" w:right="239" w:bottom="1440" w:gutter="0" w:footer="0" w:header="0"/>
          <w:type w:val="continuous"/>
        </w:sectPr>
      </w:pPr>
    </w:p>
    <w:bookmarkStart w:id="103" w:name="page104"/>
    <w:bookmarkEnd w:id="103"/>
    <w:p>
      <w:pPr>
        <w:ind w:right="20" w:firstLine="405"/>
        <w:spacing w:after="0" w:line="277" w:lineRule="auto"/>
        <w:rPr>
          <w:sz w:val="20"/>
          <w:szCs w:val="20"/>
          <w:color w:val="auto"/>
        </w:rPr>
      </w:pPr>
      <w:r>
        <w:rPr>
          <w:rFonts w:ascii="Arial" w:cs="Arial" w:eastAsia="Arial" w:hAnsi="Arial"/>
          <w:sz w:val="18"/>
          <w:szCs w:val="18"/>
          <w:color w:val="auto"/>
        </w:rPr>
        <w:t>The estimated amounts that will be amortized from AOCI into net periodic benefit cost over the next fiscal year for the qualified defined benefit pension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Amortization of the net loss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10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0"/>
        </w:trPr>
        <w:tc>
          <w:tcPr>
            <w:tcW w:w="10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Assumptions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costs for the plans for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2015</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3.2%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Expected long-term rate of return on plan assets</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4.3%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3.8%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8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weighted-average expected long-term rate of return for the plan assets is 4.3%. The weighted-average expected long-term rate of return on plan assets is based on the interest rates guaranteed under the insurance contracts, and the expected rate of return appropriate for each category of assets weighted for the distribution within the diversified investment fund. The assumptions used for the plans are based upon customary rates and practices for the location of the plans. Factors such as asset class allocations, long-term rates of return (actual and expected), and results of periodic asset liability modeling studies are considered when constructing the long-term rate of return assumption for our defined benefit pension plans.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Weighted average actuarial assumptions used to determine benefit obligations for the plans at the end of each period were as follows:</w:t>
      </w:r>
    </w:p>
    <w:p>
      <w:pPr>
        <w:spacing w:after="0" w:line="230"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23495</wp:posOffset>
            </wp:positionV>
            <wp:extent cx="21697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2015</w:t>
            </w:r>
          </w:p>
        </w:tc>
      </w:tr>
      <w:tr>
        <w:trPr>
          <w:trHeight w:val="23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870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380" w:type="dxa"/>
            <w:vAlign w:val="bottom"/>
          </w:tcPr>
          <w:p>
            <w:pPr>
              <w:jc w:val="right"/>
              <w:spacing w:after="0"/>
              <w:rPr>
                <w:sz w:val="20"/>
                <w:szCs w:val="20"/>
                <w:color w:val="auto"/>
              </w:rPr>
            </w:pPr>
            <w:r>
              <w:rPr>
                <w:rFonts w:ascii="Arial" w:cs="Arial" w:eastAsia="Arial" w:hAnsi="Arial"/>
                <w:sz w:val="16"/>
                <w:szCs w:val="16"/>
                <w:color w:val="auto"/>
                <w:w w:val="87"/>
              </w:rPr>
              <w:t>2.6%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2.6%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35"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In selecting the appropriate discount rate for the plans, the Company uses country-specific information, adjusted to reflect the duration of the particular plan. The discount rate was based on highly rated long-term bond indexes and yield curves that match the duration of the plan’s benefit obligations.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Defined Contribution Plans</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$26.6 million in fiscal 2017, $23.0 million in fiscal 2016, and $23.5 million in fiscal 2015.</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32BCAD"/>
        </w:rPr>
        <w:t>Other Plans</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6, “Deferred Compensation,”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278765</wp:posOffset>
            </wp:positionV>
            <wp:extent cx="97790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101</w:t>
      </w:r>
    </w:p>
    <w:p>
      <w:pPr>
        <w:sectPr>
          <w:pgSz w:w="11900" w:h="16838" w:orient="portrait"/>
          <w:cols w:equalWidth="0" w:num="1">
            <w:col w:w="11420"/>
          </w:cols>
          <w:pgMar w:left="240" w:top="368"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other facility exit costs, net</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fiscal 2017, the Board of Directors approved a world-wide restructuring plan (“Fiscal 2017 Plan”) in order to re-balance staffing levels and reduce operating expenses to better align them with the evolving needs of the Company's business. The restructuring plan included a reduction of approximately 840 positions and the consolidation of 18 leased facilities. During fiscal 2017, restructuring charges under the Fiscal 2017 Plan included $63.3 million in employee termination benefits and $7.6 million in lease termination and other exit costs. By January 31, 2017, the personnel and facilities related actions included in this restructuring plan were substantially complete.</w:t>
      </w:r>
    </w:p>
    <w:p>
      <w:pPr>
        <w:spacing w:after="0" w:line="18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Other costs primarily consist of legal, consulting, and other costs related to employee terminations and are expensed when incurred. During fiscal 2017, we incurred $9.6 million in lease termination costs not related to the Fiscal 2017 Plan.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set forth the restructuring charges and other facility exit costs, net during the fiscal years ended January 31, 2017 and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2017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Employee terminations costs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Facility terminations and other exit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Other Facility Termination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Facility termination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Facility termination and other exit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Fiscal 2013 Plan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Facility termination and other exit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(2)</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Non-current portion (2)</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60" w:type="dxa"/>
            <w:vAlign w:val="bottom"/>
            <w:gridSpan w:val="2"/>
            <w:vMerge w:val="restart"/>
          </w:tcPr>
          <w:p>
            <w:pPr>
              <w:jc w:val="right"/>
              <w:ind w:right="1679"/>
              <w:spacing w:after="0"/>
              <w:rPr>
                <w:sz w:val="20"/>
                <w:szCs w:val="20"/>
                <w:color w:val="auto"/>
              </w:rPr>
            </w:pPr>
            <w:r>
              <w:rPr>
                <w:rFonts w:ascii="Arial" w:cs="Arial" w:eastAsia="Arial" w:hAnsi="Arial"/>
                <w:sz w:val="18"/>
                <w:szCs w:val="18"/>
                <w:color w:val="auto"/>
                <w:w w:val="88"/>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80" w:hanging="412"/>
        <w:spacing w:after="0" w:line="249" w:lineRule="auto"/>
        <w:tabs>
          <w:tab w:leader="none" w:pos="4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Adjustments include the impact of change in estimates, computer equipment, software, furniture, straight-line rent and leasehold improvement write-offs, and foreign currency translation.</w:t>
      </w:r>
    </w:p>
    <w:p>
      <w:pPr>
        <w:ind w:left="420" w:hanging="412"/>
        <w:spacing w:after="0"/>
        <w:tabs>
          <w:tab w:leader="none" w:pos="4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Balances,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4"/>
                <w:szCs w:val="14"/>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Balances, January 31,</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2013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6"/>
                <w:szCs w:val="16"/>
                <w:color w:val="auto"/>
              </w:rPr>
              <w:t>Facility termination and other exit costs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2014 Plan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6"/>
                <w:szCs w:val="16"/>
                <w:color w:val="auto"/>
              </w:rPr>
              <w:t>Facility termination and other exit costs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3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35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Current portion (2)</w:t>
            </w: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(2)</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7"/>
        </w:trPr>
        <w:tc>
          <w:tcPr>
            <w:tcW w:w="352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20955</wp:posOffset>
            </wp:positionV>
            <wp:extent cx="9264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20955</wp:posOffset>
            </wp:positionV>
            <wp:extent cx="9518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-130175</wp:posOffset>
            </wp:positionV>
            <wp:extent cx="9264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-130175</wp:posOffset>
            </wp:positionV>
            <wp:extent cx="9518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Adjustments include the impact of foreign currency translation.</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current and non-current portions of the reserve are recorded in the Consolidated Balance Sheets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97790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102</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2017 and 2016 is as follows: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gridSpan w:val="3"/>
          </w:tcPr>
          <w:p>
            <w:pPr>
              <w:ind w:left="2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 (1)</w:t>
            </w:r>
          </w:p>
        </w:tc>
        <w:tc>
          <w:tcPr>
            <w:tcW w:w="2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4"/>
                <w:szCs w:val="14"/>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2,031.0</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419.5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1,689.1</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(499.6)</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r>
      <w:tr>
        <w:trPr>
          <w:trHeight w:val="237"/>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Basic net loss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net loss per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33"/>
        </w:trPr>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Loss from operations includes the following items: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221.8</w:t>
            </w: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71.8</w:t>
            </w: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tcBorders>
              <w:right w:val="single" w:sz="8" w:color="CCEEFF"/>
            </w:tcBorders>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Restructuring charges and other facility exit costs,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right w:val="single" w:sz="8" w:color="CCEEFF"/>
            </w:tcBorders>
          </w:tcPr>
          <w:p>
            <w:pPr>
              <w:spacing w:after="0"/>
              <w:rPr>
                <w:sz w:val="19"/>
                <w:szCs w:val="19"/>
                <w:color w:val="auto"/>
              </w:rPr>
            </w:pPr>
          </w:p>
        </w:tc>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80.5</w:t>
            </w:r>
          </w:p>
        </w:tc>
      </w:tr>
      <w:tr>
        <w:trPr>
          <w:trHeight w:val="446"/>
        </w:trPr>
        <w:tc>
          <w:tcPr>
            <w:tcW w:w="3560" w:type="dxa"/>
            <w:vAlign w:val="bottom"/>
            <w:gridSpan w:val="3"/>
          </w:tcPr>
          <w:p>
            <w:pPr>
              <w:ind w:left="4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quarter (2)</w:t>
            </w:r>
          </w:p>
        </w:tc>
        <w:tc>
          <w:tcPr>
            <w:tcW w:w="24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24"/>
                <w:szCs w:val="24"/>
                <w:color w:val="auto"/>
              </w:rPr>
            </w:pPr>
          </w:p>
        </w:tc>
        <w:tc>
          <w:tcPr>
            <w:tcW w:w="120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20"/>
                <w:szCs w:val="20"/>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2,504.1</w:t>
            </w: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554.7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508.8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553.4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2,133.4</w:t>
            </w: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(310.2)</w:t>
            </w: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Basic net income (loss)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Diluted net income (loss) per share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6"/>
        </w:trPr>
        <w:tc>
          <w:tcPr>
            <w:tcW w:w="4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operations includes the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6"/>
                <w:szCs w:val="16"/>
                <w:b w:val="1"/>
                <w:bCs w:val="1"/>
                <w:color w:val="auto"/>
              </w:rPr>
              <w:t>following items: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197.2</w:t>
            </w:r>
          </w:p>
        </w:tc>
      </w:tr>
      <w:tr>
        <w:trPr>
          <w:trHeight w:val="237"/>
        </w:trPr>
        <w:tc>
          <w:tcPr>
            <w:tcW w:w="4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82.2</w:t>
            </w:r>
          </w:p>
        </w:tc>
      </w:tr>
      <w:tr>
        <w:trPr>
          <w:trHeight w:val="249"/>
        </w:trPr>
        <w:tc>
          <w:tcPr>
            <w:tcW w:w="3560" w:type="dxa"/>
            <w:vAlign w:val="bottom"/>
            <w:gridSpan w:val="3"/>
          </w:tcPr>
          <w:p>
            <w:pPr>
              <w:jc w:val="right"/>
              <w:ind w:right="1760"/>
              <w:spacing w:after="0"/>
              <w:rPr>
                <w:sz w:val="20"/>
                <w:szCs w:val="20"/>
                <w:color w:val="auto"/>
              </w:rPr>
            </w:pPr>
            <w:r>
              <w:rPr>
                <w:rFonts w:ascii="Arial" w:cs="Arial" w:eastAsia="Arial" w:hAnsi="Arial"/>
                <w:sz w:val="18"/>
                <w:szCs w:val="18"/>
                <w:color w:val="auto"/>
                <w:w w:val="88"/>
              </w:rPr>
              <w:t>____________________</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ind w:left="420" w:right="40" w:hanging="412"/>
        <w:spacing w:after="0" w:line="264" w:lineRule="auto"/>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Certain first quarter fiscal 2017 balances have been revised to reflect the adoption of ASU 2016-09. As the adoption occurred in the second quarter of fiscal 2017, we are required to reflect any adjustments as of February 1, 2016, the beginning of the annual period that includes the interim period of adoption, and are required to revise our reported quarterly results for the first quarter. The revision resulted in a $5.3 million decrease of stock-based compensation expense from the previously reported expense. See Note 1, "Business and Summary of Significant Accounting Policies" for further discussion on the adoption.</w:t>
      </w:r>
    </w:p>
    <w:p>
      <w:pPr>
        <w:spacing w:after="0" w:line="1" w:lineRule="exact"/>
        <w:rPr>
          <w:rFonts w:ascii="Arial" w:cs="Arial" w:eastAsia="Arial" w:hAnsi="Arial"/>
          <w:sz w:val="15"/>
          <w:szCs w:val="15"/>
          <w:color w:val="auto"/>
        </w:rPr>
      </w:pPr>
    </w:p>
    <w:p>
      <w:pPr>
        <w:ind w:left="420" w:right="620" w:hanging="412"/>
        <w:spacing w:after="0" w:line="252" w:lineRule="auto"/>
        <w:tabs>
          <w:tab w:leader="none" w:pos="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Certain second quarter fiscal 2016 balances have been revised to include the correction of an error identified in the third quarter of fiscal 2016, resulting in an additional $33.1 million of income tax expense from the previously reported results, primarily related to the establishment of a valuation allowance. See Note 1, "Business and Summary of Significant Accounting Policies"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144145</wp:posOffset>
            </wp:positionV>
            <wp:extent cx="97790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103</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have audited the accompanying consolidated balance sheets of Autodesk, Inc. as of January 31, 2017 and 2016, and the related consolidated statements of operations, comprehensive (loss) income, stockholders’ equity, and cash flows for each of the three years in the period ended January 31, 2017.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Autodesk, Inc. at January 31, 2017 and 2016, and the consolidated results of its operations and its cash flows for each of the three years in the period ended January 31, 2017,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Autodesk, Inc.’s internal control over financial reporting as of January 31, 2017, based on criteria established in Internal Control-Integrated Framework issued by the Committee of Sponsoring Organizations of the Treadway Commission (2013 framework) and our report dated March 21, 2017 expressed an adverse opinion thereon.</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97790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104</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Autodesk, Inc.</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have audited Autodesk, Inc.’s internal control over financial reporting as of January 31, 2017, based on criteria established in Internal Control-Integrated Framework issued by the Committee of Sponsoring Organizations of the Treadway Commission (2013 framework) (the COSO criteria). Autodesk,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controls related to the Company's income tax process. We also have audited, in accordance with the standards of the Public Company Accounting Oversight Board (United States), the accompanying consolidated balance sheets of Autodesk, Inc. as of January 31, 2017 and 2016, and the related consolidated statements of operations, comprehensive (loss) income, stockholders’ equity, and cash flows for each of the three years in the period ended January 31, 2017. This material weakness was considered in determining the nature, timing and extent of audit tests applied in our audit of the fiscal 2017 financial statements, and this report does not affect our report dated March 21, 2017, which expressed an unqualified opinion on those financial statements.</w:t>
      </w:r>
    </w:p>
    <w:p>
      <w:pPr>
        <w:spacing w:after="0" w:line="16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our opinion, because of the effect of the material weakness described above on the achievement of the objectives of the control criteria, Autodesk, Inc. has not maintained effective internal control over financial reporting as of January 31, 2017, based on the COSO criteria.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297180</wp:posOffset>
            </wp:positionV>
            <wp:extent cx="97790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105</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w:t>
      </w:r>
      <w:r>
        <w:rPr>
          <w:sz w:val="20"/>
          <w:szCs w:val="20"/>
          <w:color w:val="auto"/>
        </w:rPr>
        <w:tab/>
      </w:r>
      <w:r>
        <w:rPr>
          <w:rFonts w:ascii="Arial" w:cs="Arial" w:eastAsia="Arial" w:hAnsi="Arial"/>
          <w:sz w:val="18"/>
          <w:szCs w:val="18"/>
          <w:b w:val="1"/>
          <w:bCs w:val="1"/>
          <w:color w:val="0696D7"/>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9A.</w:t>
      </w:r>
      <w:r>
        <w:rPr>
          <w:sz w:val="20"/>
          <w:szCs w:val="20"/>
          <w:color w:val="auto"/>
        </w:rPr>
        <w:tab/>
      </w:r>
      <w:r>
        <w:rPr>
          <w:rFonts w:ascii="Arial" w:cs="Arial" w:eastAsia="Arial" w:hAnsi="Arial"/>
          <w:sz w:val="17"/>
          <w:szCs w:val="17"/>
          <w:b w:val="1"/>
          <w:bCs w:val="1"/>
          <w:color w:val="0696D7"/>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right="20" w:firstLine="8"/>
        <w:spacing w:after="0" w:line="270" w:lineRule="auto"/>
        <w:tabs>
          <w:tab w:leader="none" w:pos="215"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recorded, processed, summarized and reported within the time periods specified in the rules of the Securities and Exchange Commission, and (ii) accumulated and communicated to Autodesk management, including our Co-Chief Executive Officers and Chief Financial Officer, to allow timely decisions regarding required disclosure. We conducted an evaluation, under the supervision and with the participation of our Co-Chief Executive Officers and Chief Financial Officer, of the effectiveness of the design and operation of our disclosure controls and procedures as of the end of the period covered by this Annual Report on Form 10-K. Based upon this evaluation, our Co-Chief Executive Officers and Chief Financial Officer have concluded that our disclosure controls and procedures were not effective as of January 31, 2017 for reasons described below.</w:t>
      </w:r>
    </w:p>
    <w:p>
      <w:pPr>
        <w:spacing w:after="0" w:line="179" w:lineRule="exact"/>
        <w:rPr>
          <w:sz w:val="20"/>
          <w:szCs w:val="20"/>
          <w:color w:val="auto"/>
        </w:rPr>
      </w:pPr>
    </w:p>
    <w:p>
      <w:pPr>
        <w:jc w:val="both"/>
        <w:ind w:right="360" w:firstLine="432"/>
        <w:spacing w:after="0" w:line="279" w:lineRule="auto"/>
        <w:rPr>
          <w:sz w:val="20"/>
          <w:szCs w:val="20"/>
          <w:color w:val="auto"/>
        </w:rPr>
      </w:pPr>
      <w:r>
        <w:rPr>
          <w:rFonts w:ascii="Arial" w:cs="Arial" w:eastAsia="Arial" w:hAnsi="Arial"/>
          <w:sz w:val="17"/>
          <w:szCs w:val="17"/>
          <w:color w:val="auto"/>
        </w:rPr>
        <w:t>We have performed additional analyses and other procedures to enable management to conclude that, notwithstanding the existence of the material weakness described above, the consolidated financial statements included in this Form 10-K present fairly, in all material respects, our financial position, results of operations and cash flows for the periods presented in conformity with GAAP. Additionally, corrective actions continue to address the internal control material weakness as described below under the section "Remediation Efforts with Respect to Material Weakness".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2017. In making this assessment, our management used the criteria set forth by the Committee of Sponsoring Organizations of the Treadway Commission (“COSO”) in the 2013 Internal Control—Integrated Framework. Our management, including our Co-Chief Executive Officers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82"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Our management has concluded that, as of January 31, 2017, our internal control over financial reporting was not effective to provide reasonable assurance regarding the reliability of financial reporting and the preparation of financial statements for external purposes in accordance with generally accepted accounting principles due to the material weakness discussed in further detail below. Our independent registered public accounting firm, Ernst &amp; Young, LLP, has issued an audit report on our internal control over financial reporting, which is included in Item 8 herein.</w:t>
      </w:r>
    </w:p>
    <w:p>
      <w:pPr>
        <w:spacing w:after="0" w:line="171" w:lineRule="exact"/>
        <w:rPr>
          <w:sz w:val="20"/>
          <w:szCs w:val="20"/>
          <w:color w:val="auto"/>
        </w:rPr>
      </w:pPr>
    </w:p>
    <w:p>
      <w:pPr>
        <w:jc w:val="both"/>
        <w:ind w:right="40" w:firstLine="392"/>
        <w:spacing w:after="0" w:line="302" w:lineRule="auto"/>
        <w:rPr>
          <w:sz w:val="20"/>
          <w:szCs w:val="20"/>
          <w:color w:val="auto"/>
        </w:rPr>
      </w:pPr>
      <w:r>
        <w:rPr>
          <w:rFonts w:ascii="Arial" w:cs="Arial" w:eastAsia="Arial" w:hAnsi="Arial"/>
          <w:sz w:val="16"/>
          <w:szCs w:val="16"/>
          <w:color w:val="auto"/>
        </w:rPr>
        <w:t>In connection with the preparation of our Consolidated Financial Statements for the fiscal year ended January 31, 2017, our management concluded that it has a material weakness in our internal control over financial reporting related to the operating effectiveness of our controls over the calculation of income tax expense.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with Respect to Material Weakness</w:t>
      </w:r>
    </w:p>
    <w:p>
      <w:pPr>
        <w:spacing w:after="0" w:line="229" w:lineRule="exact"/>
        <w:rPr>
          <w:sz w:val="20"/>
          <w:szCs w:val="20"/>
          <w:color w:val="auto"/>
        </w:rPr>
      </w:pPr>
    </w:p>
    <w:p>
      <w:pPr>
        <w:ind w:right="460" w:firstLine="392"/>
        <w:spacing w:after="0" w:line="264" w:lineRule="auto"/>
        <w:rPr>
          <w:sz w:val="20"/>
          <w:szCs w:val="20"/>
          <w:color w:val="auto"/>
        </w:rPr>
      </w:pPr>
      <w:r>
        <w:rPr>
          <w:rFonts w:ascii="Arial" w:cs="Arial" w:eastAsia="Arial" w:hAnsi="Arial"/>
          <w:sz w:val="18"/>
          <w:szCs w:val="18"/>
          <w:color w:val="auto"/>
        </w:rPr>
        <w:t>Management first identified a material weakness in internal control over financial reporting in connection with the preparation of our Condensed Consolidated financial statements for the fiscal quarter ended October 31, 2015. Since that time, management’s remediation activities have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97790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106</w:t>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enhanced our technical accounting review for complex income tax considerations;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enhanced the design of our income tax controls to include specific activities to ensure proper classification of deferred taxes and calculation of income tax expense;</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supplemented our accounting and tax professionals with the engagement of an internationally recognized accounting firm to assist us in the technical review regarding the application of tax rules around deferred tax assets and liabilities;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reorganized the structure of our tax function to enhance the level of documentation, technical oversight, and review.</w:t>
      </w:r>
    </w:p>
    <w:p>
      <w:pPr>
        <w:spacing w:after="0" w:line="225"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Management has enhanced its controls to include refinements and improvements to controls over the accounting for income taxes. While significant progress has been made as of January 31, 2017, management does not believe these controls are operating effectively. As a result, management does not believe that the material weakness has been remediated and will continue to enhance its controls over the accounting for income tax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Other than with respect to the remediation efforts described above, there were no changes in our internal controls over financial reporting (as such term is defined in Rules 13a-15(f) and 15d-15(f) under the Securities Exchange Act of 1934) during the quarter ended January 31, 2017 that have materially affected, or are reasonably likely to materially affect, our internal controls over financial reporting.</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9B.</w:t>
      </w:r>
      <w:r>
        <w:rPr>
          <w:sz w:val="20"/>
          <w:szCs w:val="20"/>
          <w:color w:val="auto"/>
        </w:rPr>
        <w:tab/>
      </w:r>
      <w:r>
        <w:rPr>
          <w:rFonts w:ascii="Arial" w:cs="Arial" w:eastAsia="Arial" w:hAnsi="Arial"/>
          <w:sz w:val="18"/>
          <w:szCs w:val="18"/>
          <w:b w:val="1"/>
          <w:bCs w:val="1"/>
          <w:color w:val="0696D7"/>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107</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10.</w:t>
      </w:r>
      <w:r>
        <w:rPr>
          <w:sz w:val="20"/>
          <w:szCs w:val="20"/>
          <w:color w:val="auto"/>
        </w:rPr>
        <w:tab/>
      </w:r>
      <w:r>
        <w:rPr>
          <w:rFonts w:ascii="Arial" w:cs="Arial" w:eastAsia="Arial" w:hAnsi="Arial"/>
          <w:sz w:val="18"/>
          <w:szCs w:val="18"/>
          <w:b w:val="1"/>
          <w:bCs w:val="1"/>
          <w:color w:val="0696D7"/>
        </w:rPr>
        <w:t>DIRECTORS, EXECUTIVE OFFICERS AND CORPORATE GOVERNANCE</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sets forth certain information as of March 21, 2017 regarding our executive officers.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3"/>
          </w:tcPr>
          <w:p>
            <w:pPr>
              <w:jc w:val="center"/>
              <w:ind w:left="320"/>
              <w:spacing w:after="0"/>
              <w:rPr>
                <w:sz w:val="20"/>
                <w:szCs w:val="20"/>
                <w:color w:val="auto"/>
              </w:rPr>
            </w:pPr>
            <w:r>
              <w:rPr>
                <w:rFonts w:ascii="Arial" w:cs="Arial" w:eastAsia="Arial" w:hAnsi="Arial"/>
                <w:sz w:val="14"/>
                <w:szCs w:val="14"/>
                <w:b w:val="1"/>
                <w:bCs w:val="1"/>
                <w:color w:val="auto"/>
                <w:w w:val="90"/>
              </w:rPr>
              <w:t>Age</w:t>
            </w: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58"/>
        </w:trPr>
        <w:tc>
          <w:tcPr>
            <w:tcW w:w="2520" w:type="dxa"/>
            <w:vAlign w:val="bottom"/>
            <w:gridSpan w:val="2"/>
          </w:tcPr>
          <w:p>
            <w:pPr>
              <w:spacing w:after="0"/>
              <w:rPr>
                <w:sz w:val="20"/>
                <w:szCs w:val="20"/>
                <w:color w:val="auto"/>
              </w:rPr>
            </w:pPr>
            <w:r>
              <w:rPr>
                <w:rFonts w:ascii="Arial" w:cs="Arial" w:eastAsia="Arial" w:hAnsi="Arial"/>
                <w:sz w:val="16"/>
                <w:szCs w:val="16"/>
                <w:color w:val="auto"/>
              </w:rPr>
              <w:t>Andrew Anagnost</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52</w:t>
            </w:r>
          </w:p>
        </w:tc>
        <w:tc>
          <w:tcPr>
            <w:tcW w:w="760" w:type="dxa"/>
            <w:vAlign w:val="bottom"/>
          </w:tcPr>
          <w:p>
            <w:pPr>
              <w:spacing w:after="0"/>
              <w:rPr>
                <w:sz w:val="22"/>
                <w:szCs w:val="22"/>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rPr>
              <w:t>Co-CEO, Chief Marketing Officer and SVP, BSM</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Amar Hanspal</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53</w:t>
            </w:r>
          </w:p>
        </w:tc>
        <w:tc>
          <w:tcPr>
            <w:tcW w:w="760" w:type="dxa"/>
            <w:vAlign w:val="bottom"/>
          </w:tcPr>
          <w:p>
            <w:pPr>
              <w:spacing w:after="0"/>
              <w:rPr>
                <w:sz w:val="23"/>
                <w:szCs w:val="23"/>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rPr>
              <w:t>Co-CEO, Chief Product Officer and SVP, PDG</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R. Scott Herren</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55</w:t>
            </w:r>
          </w:p>
        </w:tc>
        <w:tc>
          <w:tcPr>
            <w:tcW w:w="760" w:type="dxa"/>
            <w:vAlign w:val="bottom"/>
          </w:tcPr>
          <w:p>
            <w:pPr>
              <w:spacing w:after="0"/>
              <w:rPr>
                <w:sz w:val="23"/>
                <w:szCs w:val="23"/>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rPr>
              <w:t>SVP and Chief Financial Officer</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Jan Becker</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64</w:t>
            </w:r>
          </w:p>
        </w:tc>
        <w:tc>
          <w:tcPr>
            <w:tcW w:w="760" w:type="dxa"/>
            <w:vAlign w:val="bottom"/>
          </w:tcPr>
          <w:p>
            <w:pPr>
              <w:spacing w:after="0"/>
              <w:rPr>
                <w:sz w:val="23"/>
                <w:szCs w:val="23"/>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w w:val="90"/>
              </w:rPr>
              <w:t>SVP, Chief Human Resources Officer and Corporate Real Estate</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52</w:t>
            </w:r>
          </w:p>
        </w:tc>
        <w:tc>
          <w:tcPr>
            <w:tcW w:w="760" w:type="dxa"/>
            <w:vAlign w:val="bottom"/>
          </w:tcPr>
          <w:p>
            <w:pPr>
              <w:spacing w:after="0"/>
              <w:rPr>
                <w:sz w:val="23"/>
                <w:szCs w:val="23"/>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rPr>
              <w:t>SVP, Worldwide Sales and Services</w:t>
            </w:r>
          </w:p>
        </w:tc>
      </w:tr>
      <w:tr>
        <w:trPr>
          <w:trHeight w:val="270"/>
        </w:trPr>
        <w:tc>
          <w:tcPr>
            <w:tcW w:w="2520" w:type="dxa"/>
            <w:vAlign w:val="bottom"/>
            <w:gridSpan w:val="2"/>
          </w:tcPr>
          <w:p>
            <w:pPr>
              <w:spacing w:after="0"/>
              <w:rPr>
                <w:sz w:val="20"/>
                <w:szCs w:val="20"/>
                <w:color w:val="auto"/>
              </w:rPr>
            </w:pPr>
            <w:r>
              <w:rPr>
                <w:rFonts w:ascii="Arial" w:cs="Arial" w:eastAsia="Arial" w:hAnsi="Arial"/>
                <w:sz w:val="16"/>
                <w:szCs w:val="16"/>
                <w:color w:val="auto"/>
              </w:rPr>
              <w:t>Pascal W. Di Fronzo</w:t>
            </w:r>
          </w:p>
        </w:tc>
        <w:tc>
          <w:tcPr>
            <w:tcW w:w="1400" w:type="dxa"/>
            <w:vAlign w:val="bottom"/>
            <w:gridSpan w:val="2"/>
          </w:tcPr>
          <w:p>
            <w:pPr>
              <w:jc w:val="center"/>
              <w:ind w:left="1080"/>
              <w:spacing w:after="0"/>
              <w:rPr>
                <w:sz w:val="20"/>
                <w:szCs w:val="20"/>
                <w:color w:val="auto"/>
              </w:rPr>
            </w:pPr>
            <w:r>
              <w:rPr>
                <w:rFonts w:ascii="Arial" w:cs="Arial" w:eastAsia="Arial" w:hAnsi="Arial"/>
                <w:sz w:val="16"/>
                <w:szCs w:val="16"/>
                <w:color w:val="auto"/>
                <w:w w:val="89"/>
              </w:rPr>
              <w:t>52</w:t>
            </w:r>
          </w:p>
        </w:tc>
        <w:tc>
          <w:tcPr>
            <w:tcW w:w="760" w:type="dxa"/>
            <w:vAlign w:val="bottom"/>
          </w:tcPr>
          <w:p>
            <w:pPr>
              <w:spacing w:after="0"/>
              <w:rPr>
                <w:sz w:val="23"/>
                <w:szCs w:val="23"/>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rPr>
              <w:t>SVP, Corporate Affairs, Chief Legal Officer &amp; Secretary</w:t>
            </w:r>
          </w:p>
        </w:tc>
      </w:tr>
    </w:tbl>
    <w:p>
      <w:pPr>
        <w:spacing w:after="0" w:line="231"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b w:val="1"/>
          <w:bCs w:val="1"/>
          <w:color w:val="auto"/>
        </w:rPr>
        <w:t xml:space="preserve">Andrew Anagnost </w:t>
      </w:r>
      <w:r>
        <w:rPr>
          <w:rFonts w:ascii="Arial" w:cs="Arial" w:eastAsia="Arial" w:hAnsi="Arial"/>
          <w:sz w:val="18"/>
          <w:szCs w:val="18"/>
          <w:color w:val="auto"/>
        </w:rPr>
        <w:t>joined Autodesk in September 1997 and has served as our co-CEO since February 2017 and as our Senior Vice President,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&amp; Marketing since March 2012. From December 2009 to March 2012, Dr. Anagnost was Vice President, Product Suites and Web Services. Prior to this position, Dr. Anagnost served as Vice President of CAD/CAE products for the manufacturing division from March 2007 to December 2009. Previously, Dr. Anagnost held other senior management positions at Autodesk. Prior to joining Autodesk, Dr. Anagnost held various engineering, sales, marketing and product management positions at Lockheed Aeronautical Systems Company and EXA Corporation. He also served as an NRC post-doctoral fellow at NASA Ames Research Center.</w:t>
      </w:r>
    </w:p>
    <w:p>
      <w:pPr>
        <w:spacing w:after="0" w:line="188"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b w:val="1"/>
          <w:bCs w:val="1"/>
          <w:color w:val="auto"/>
        </w:rPr>
        <w:t xml:space="preserve">Amar Hanspal </w:t>
      </w:r>
      <w:r>
        <w:rPr>
          <w:rFonts w:ascii="Arial" w:cs="Arial" w:eastAsia="Arial" w:hAnsi="Arial"/>
          <w:sz w:val="18"/>
          <w:szCs w:val="18"/>
          <w:color w:val="auto"/>
        </w:rPr>
        <w:t>joined Autodesk in June 1987 and has served as our co-CEO since February 2017 and as our Senior Vice President, Autodesk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Group since November 2015. From February 2012 to November 2015, Mr. Hanspal served as Senior Vice President, Information Modeling &amp; Platform Product Group. Prior to this position, Mr. Hanspal served as Senior Vice President, Platform Solutions and Emerging Business from January 2007 to February 2012 and as Vice President of Autodesk Collaboration Solutions from January 2003 to January 2007. Previously, Mr. Hanspal held other executive and non-executive positions at Autodesk.</w:t>
      </w:r>
    </w:p>
    <w:p>
      <w:pPr>
        <w:spacing w:after="0" w:line="143"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b w:val="1"/>
          <w:bCs w:val="1"/>
          <w:color w:val="auto"/>
        </w:rPr>
        <w:t xml:space="preserve">R. Scott Herren </w:t>
      </w:r>
      <w:r>
        <w:rPr>
          <w:rFonts w:ascii="Arial" w:cs="Arial" w:eastAsia="Arial" w:hAnsi="Arial"/>
          <w:sz w:val="18"/>
          <w:szCs w:val="18"/>
          <w:color w:val="auto"/>
        </w:rPr>
        <w:t>joined Autodesk in November 2014 and serves as Senior Vice President and Chief Financial Officer. Prior to joining Autodesk, Mr.</w:t>
      </w:r>
      <w:r>
        <w:rPr>
          <w:rFonts w:ascii="Arial" w:cs="Arial" w:eastAsia="Arial" w:hAnsi="Arial"/>
          <w:sz w:val="18"/>
          <w:szCs w:val="18"/>
          <w:b w:val="1"/>
          <w:bCs w:val="1"/>
          <w:color w:val="auto"/>
        </w:rPr>
        <w:t xml:space="preserve"> </w:t>
      </w:r>
      <w:r>
        <w:rPr>
          <w:rFonts w:ascii="Arial" w:cs="Arial" w:eastAsia="Arial" w:hAnsi="Arial"/>
          <w:sz w:val="18"/>
          <w:szCs w:val="18"/>
          <w:color w:val="auto"/>
        </w:rPr>
        <w:t>Herren was the Senior Vice President of Finance for Citrix Systems, Inc. from September 2011 to October 2014 where he led the company’s finance, accounting, tax, treasury, investor relations, real estate, and facilities teams. From March 2000 to September 2011, Mr. Herren held a variety of leadership positions at Citrix including Vice President and Managing Director for EMEA and Vice President and General Manager of the Virtualization Systems Group. Prior to Citrix, Mr. Herren served at FedEx Corporation as Vice President, Financial Planning. Prior to FedEx, he spent 13 years at International Business Machines Corporation in senior financial positions.</w:t>
      </w:r>
    </w:p>
    <w:p>
      <w:pPr>
        <w:spacing w:after="0" w:line="18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7"/>
          <w:szCs w:val="17"/>
          <w:b w:val="1"/>
          <w:bCs w:val="1"/>
          <w:color w:val="auto"/>
        </w:rPr>
        <w:t xml:space="preserve">Jan Becker </w:t>
      </w:r>
      <w:r>
        <w:rPr>
          <w:rFonts w:ascii="Arial" w:cs="Arial" w:eastAsia="Arial" w:hAnsi="Arial"/>
          <w:sz w:val="17"/>
          <w:szCs w:val="17"/>
          <w:color w:val="auto"/>
        </w:rPr>
        <w:t>joined Autodesk in September 1992 and has served as Senior Vice President, Chief Human Resources and Corporate Real Estate since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2016. Ms. Becker served as Senior Vice President, Human Resources and Corporate Real Estate from June 2000 to December 2016. Ms. Becker previously served in other capacities in the Human Resources Department at Autodesk. Prior to joining Autodesk, Ms. Becker held a variety of senior management positions at Sun Microsystems. Prior to Sun Microsystems, Ms. Becker worked both domestically and internationally at a number of high-tech organizations, including Activision, Digital Equipment Corporation, and Hewlett-Packard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97790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108</w:t>
      </w:r>
    </w:p>
    <w:p>
      <w:pPr>
        <w:sectPr>
          <w:pgSz w:w="11900" w:h="16838" w:orient="portrait"/>
          <w:cols w:equalWidth="0" w:num="1">
            <w:col w:w="11400"/>
          </w:cols>
          <w:pgMar w:left="240" w:top="125"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405"/>
        <w:spacing w:after="0" w:line="281" w:lineRule="auto"/>
        <w:rPr>
          <w:sz w:val="20"/>
          <w:szCs w:val="20"/>
          <w:color w:val="auto"/>
        </w:rPr>
      </w:pPr>
      <w:r>
        <w:rPr>
          <w:rFonts w:ascii="Arial" w:cs="Arial" w:eastAsia="Arial" w:hAnsi="Arial"/>
          <w:sz w:val="17"/>
          <w:szCs w:val="17"/>
          <w:b w:val="1"/>
          <w:bCs w:val="1"/>
          <w:color w:val="auto"/>
        </w:rPr>
        <w:t xml:space="preserve">Steven M. Blum </w:t>
      </w:r>
      <w:r>
        <w:rPr>
          <w:rFonts w:ascii="Arial" w:cs="Arial" w:eastAsia="Arial" w:hAnsi="Arial"/>
          <w:sz w:val="17"/>
          <w:szCs w:val="17"/>
          <w:color w:val="auto"/>
        </w:rPr>
        <w:t>joined Autodesk in January 2003 and has served as Senior Vice President, Worldwide Sales and Services since February 2011.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65" w:lineRule="exact"/>
        <w:rPr>
          <w:sz w:val="20"/>
          <w:szCs w:val="20"/>
          <w:color w:val="auto"/>
        </w:rPr>
      </w:pPr>
    </w:p>
    <w:p>
      <w:pPr>
        <w:ind w:right="20" w:firstLine="405"/>
        <w:spacing w:after="0" w:line="298" w:lineRule="auto"/>
        <w:rPr>
          <w:sz w:val="20"/>
          <w:szCs w:val="20"/>
          <w:color w:val="auto"/>
        </w:rPr>
      </w:pPr>
      <w:r>
        <w:rPr>
          <w:rFonts w:ascii="Arial" w:cs="Arial" w:eastAsia="Arial" w:hAnsi="Arial"/>
          <w:sz w:val="16"/>
          <w:szCs w:val="16"/>
          <w:b w:val="1"/>
          <w:bCs w:val="1"/>
          <w:color w:val="auto"/>
        </w:rPr>
        <w:t xml:space="preserve">Pascal W. Di Fronzo </w:t>
      </w:r>
      <w:r>
        <w:rPr>
          <w:rFonts w:ascii="Arial" w:cs="Arial" w:eastAsia="Arial" w:hAnsi="Arial"/>
          <w:sz w:val="16"/>
          <w:szCs w:val="16"/>
          <w:color w:val="auto"/>
        </w:rPr>
        <w:t>joined Autodesk in June 1998 and has served as SVP, Corporate Affairs, Chief Legal Officer &amp; Secretary since December 2016.</w:t>
      </w:r>
      <w:r>
        <w:rPr>
          <w:rFonts w:ascii="Arial" w:cs="Arial" w:eastAsia="Arial" w:hAnsi="Arial"/>
          <w:sz w:val="16"/>
          <w:szCs w:val="16"/>
          <w:b w:val="1"/>
          <w:bCs w:val="1"/>
          <w:color w:val="auto"/>
        </w:rPr>
        <w:t xml:space="preserve"> </w:t>
      </w:r>
      <w:r>
        <w:rPr>
          <w:rFonts w:ascii="Arial" w:cs="Arial" w:eastAsia="Arial" w:hAnsi="Arial"/>
          <w:sz w:val="16"/>
          <w:szCs w:val="16"/>
          <w:color w:val="auto"/>
        </w:rPr>
        <w:t>Mr. Di Fronzo served as Senior Vice President, General Counsel and Secretary from March 2007 to December 2016. From March 2006 to March 2007, Mr. Di Fronzo served as Vice President, General Counsel and Secretary, and served as Vice President, Assistant General Counsel and Assistant Secretary from March 2005 through March 2006. Previously, Mr. Di Fronzo served in other business and legal capacities in our Legal Department. Prior to joining Autodesk, he advised high technology and emerging growth companies on business and intellectual property transactions and litigation while in private practice.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11.</w:t>
      </w:r>
      <w:r>
        <w:rPr>
          <w:sz w:val="20"/>
          <w:szCs w:val="20"/>
          <w:color w:val="auto"/>
        </w:rPr>
        <w:tab/>
      </w:r>
      <w:r>
        <w:rPr>
          <w:rFonts w:ascii="Arial" w:cs="Arial" w:eastAsia="Arial" w:hAnsi="Arial"/>
          <w:sz w:val="18"/>
          <w:szCs w:val="18"/>
          <w:b w:val="1"/>
          <w:bCs w:val="1"/>
          <w:color w:val="0696D7"/>
        </w:rPr>
        <w:t>EXECUTIVE COMPENSATION</w:t>
      </w:r>
    </w:p>
    <w:p>
      <w:pPr>
        <w:spacing w:after="0" w:line="229" w:lineRule="exact"/>
        <w:rPr>
          <w:sz w:val="20"/>
          <w:szCs w:val="20"/>
          <w:color w:val="auto"/>
        </w:rPr>
      </w:pPr>
    </w:p>
    <w:p>
      <w:pPr>
        <w:ind w:right="11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“Executive Compensation,” in our Proxy Statement.</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12.</w:t>
      </w:r>
      <w:r>
        <w:rPr>
          <w:sz w:val="20"/>
          <w:szCs w:val="20"/>
          <w:color w:val="auto"/>
        </w:rPr>
        <w:tab/>
      </w:r>
      <w:r>
        <w:rPr>
          <w:rFonts w:ascii="Arial" w:cs="Arial" w:eastAsia="Arial" w:hAnsi="Arial"/>
          <w:sz w:val="18"/>
          <w:szCs w:val="18"/>
          <w:b w:val="1"/>
          <w:bCs w:val="1"/>
          <w:color w:val="0696D7"/>
        </w:rPr>
        <w:t>SECURITY OWNERSHIP OF CERTAIN BENEFICIAL OWNERS AND MANAGEMENT AND RELATED STOCKHOLDER MATTERS</w:t>
      </w:r>
    </w:p>
    <w:p>
      <w:pPr>
        <w:spacing w:after="0" w:line="16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“Security Ownership of Certain Beneficial Owners and Management,” and “Executive Compensation—Equity Compensation Plan Information”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13.</w:t>
      </w:r>
      <w:r>
        <w:rPr>
          <w:sz w:val="20"/>
          <w:szCs w:val="20"/>
          <w:color w:val="auto"/>
        </w:rPr>
        <w:tab/>
      </w:r>
      <w:r>
        <w:rPr>
          <w:rFonts w:ascii="Arial" w:cs="Arial" w:eastAsia="Arial" w:hAnsi="Arial"/>
          <w:sz w:val="18"/>
          <w:szCs w:val="18"/>
          <w:b w:val="1"/>
          <w:bCs w:val="1"/>
          <w:color w:val="0696D7"/>
        </w:rPr>
        <w:t>CERTAIN RELATIONSHIPS AND RELATED TRANSACTIONS, AND DIRECTOR INDEPENDENCE</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Party Transactions” and “Corporate Governance—Independence of the Board of Directors”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14.</w:t>
      </w:r>
      <w:r>
        <w:rPr>
          <w:sz w:val="20"/>
          <w:szCs w:val="20"/>
          <w:color w:val="auto"/>
        </w:rPr>
        <w:tab/>
      </w:r>
      <w:r>
        <w:rPr>
          <w:rFonts w:ascii="Arial" w:cs="Arial" w:eastAsia="Arial" w:hAnsi="Arial"/>
          <w:sz w:val="17"/>
          <w:szCs w:val="17"/>
          <w:b w:val="1"/>
          <w:bCs w:val="1"/>
          <w:color w:val="0696D7"/>
        </w:rPr>
        <w:t>PRINCIPAL ACCOUNTING FEES AND SERVICES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271780</wp:posOffset>
            </wp:positionV>
            <wp:extent cx="97790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109</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15.</w:t>
      </w:r>
      <w:r>
        <w:rPr>
          <w:sz w:val="20"/>
          <w:szCs w:val="20"/>
          <w:color w:val="auto"/>
        </w:rPr>
        <w:tab/>
      </w:r>
      <w:r>
        <w:rPr>
          <w:rFonts w:ascii="Arial" w:cs="Arial" w:eastAsia="Arial" w:hAnsi="Arial"/>
          <w:sz w:val="18"/>
          <w:szCs w:val="18"/>
          <w:b w:val="1"/>
          <w:bCs w:val="1"/>
          <w:color w:val="0696D7"/>
        </w:rPr>
        <w:t>EXHIBITS AND FINANCIAL STATEMENT SCHEDULES</w:t>
      </w:r>
    </w:p>
    <w:p>
      <w:pPr>
        <w:spacing w:after="0" w:line="229" w:lineRule="exact"/>
        <w:rPr>
          <w:sz w:val="20"/>
          <w:szCs w:val="20"/>
          <w:color w:val="auto"/>
        </w:rPr>
      </w:pPr>
    </w:p>
    <w:p>
      <w:pPr>
        <w:ind w:left="840" w:hanging="427"/>
        <w:spacing w:after="0"/>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00" w:right="140" w:hanging="325"/>
        <w:spacing w:after="0" w:line="264" w:lineRule="auto"/>
        <w:tabs>
          <w:tab w:leader="none" w:pos="900" w:val="left"/>
        </w:tabs>
        <w:numPr>
          <w:ilvl w:val="1"/>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Report of Ernst &amp; Young LLP,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is incorporated by reference herein to the section of this Report in Item 8, entitled “Financial Statements and Supplementary Data.”</w:t>
      </w:r>
    </w:p>
    <w:p>
      <w:pPr>
        <w:spacing w:after="0" w:line="181" w:lineRule="exact"/>
        <w:rPr>
          <w:rFonts w:ascii="Arial" w:cs="Arial" w:eastAsia="Arial" w:hAnsi="Arial"/>
          <w:sz w:val="18"/>
          <w:szCs w:val="18"/>
          <w:i w:val="1"/>
          <w:iCs w:val="1"/>
          <w:color w:val="auto"/>
        </w:rPr>
      </w:pPr>
    </w:p>
    <w:p>
      <w:pPr>
        <w:ind w:left="900" w:hanging="325"/>
        <w:spacing w:after="0" w:line="342" w:lineRule="auto"/>
        <w:tabs>
          <w:tab w:leader="none" w:pos="900" w:val="left"/>
        </w:tabs>
        <w:numPr>
          <w:ilvl w:val="1"/>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2017, 2016,</w:t>
      </w:r>
      <w:r>
        <w:rPr>
          <w:rFonts w:ascii="Arial" w:cs="Arial" w:eastAsia="Arial" w:hAnsi="Arial"/>
          <w:sz w:val="16"/>
          <w:szCs w:val="16"/>
          <w:i w:val="1"/>
          <w:iCs w:val="1"/>
          <w:color w:val="auto"/>
        </w:rPr>
        <w:t xml:space="preserve"> </w:t>
      </w:r>
      <w:r>
        <w:rPr>
          <w:rFonts w:ascii="Arial" w:cs="Arial" w:eastAsia="Arial" w:hAnsi="Arial"/>
          <w:sz w:val="16"/>
          <w:szCs w:val="16"/>
          <w:color w:val="auto"/>
        </w:rPr>
        <w:t>and 2015, is filed as part of this Report and should be read in conjunction with the Consolidated Financial Statements of Autodesk, Inc.:</w:t>
      </w:r>
    </w:p>
    <w:p>
      <w:pPr>
        <w:spacing w:after="0" w:line="124" w:lineRule="exact"/>
        <w:rPr>
          <w:sz w:val="20"/>
          <w:szCs w:val="20"/>
          <w:color w:val="auto"/>
        </w:rPr>
      </w:pPr>
    </w:p>
    <w:p>
      <w:pPr>
        <w:ind w:left="1140"/>
        <w:spacing w:after="0"/>
        <w:tabs>
          <w:tab w:leader="none" w:pos="212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225"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900" w:right="220" w:hanging="325"/>
        <w:spacing w:after="0" w:line="277" w:lineRule="auto"/>
        <w:tabs>
          <w:tab w:leader="none" w:pos="900" w:val="left"/>
        </w:tabs>
        <w:numPr>
          <w:ilvl w:val="1"/>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following the signature page of this Form 10-K.</w:t>
      </w:r>
    </w:p>
    <w:p>
      <w:pPr>
        <w:spacing w:after="0" w:line="170" w:lineRule="exact"/>
        <w:rPr>
          <w:rFonts w:ascii="Arial" w:cs="Arial" w:eastAsia="Arial" w:hAnsi="Arial"/>
          <w:sz w:val="18"/>
          <w:szCs w:val="18"/>
          <w:i w:val="1"/>
          <w:iCs w:val="1"/>
          <w:color w:val="auto"/>
        </w:rPr>
      </w:pPr>
    </w:p>
    <w:p>
      <w:pPr>
        <w:ind w:left="840" w:hanging="427"/>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00" w:right="20"/>
        <w:spacing w:after="0" w:line="277" w:lineRule="auto"/>
        <w:rPr>
          <w:sz w:val="20"/>
          <w:szCs w:val="20"/>
          <w:color w:val="auto"/>
        </w:rPr>
      </w:pPr>
      <w:r>
        <w:rPr>
          <w:rFonts w:ascii="Arial" w:cs="Arial" w:eastAsia="Arial" w:hAnsi="Arial"/>
          <w:sz w:val="18"/>
          <w:szCs w:val="18"/>
          <w:color w:val="auto"/>
        </w:rPr>
        <w:t>We have filed, or incorporated into the Report by reference, the exhibits listed on the accompanying Index to Exhibits immediately following the signature page of this Form 10-K.</w:t>
      </w:r>
    </w:p>
    <w:p>
      <w:pPr>
        <w:spacing w:after="0" w:line="170" w:lineRule="exact"/>
        <w:rPr>
          <w:sz w:val="20"/>
          <w:szCs w:val="20"/>
          <w:color w:val="auto"/>
        </w:rPr>
      </w:pPr>
    </w:p>
    <w:p>
      <w:pPr>
        <w:ind w:left="840" w:hanging="427"/>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97790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110</w:t>
      </w:r>
    </w:p>
    <w:p>
      <w:pPr>
        <w:sectPr>
          <w:pgSz w:w="11900" w:h="16838" w:orient="portrait"/>
          <w:cols w:equalWidth="0" w:num="1">
            <w:col w:w="11360"/>
          </w:cols>
          <w:pgMar w:left="240" w:top="125" w:right="2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696D7"/>
        </w:rPr>
        <w:t>ITEM 15(A)(2)  FINANCIAL STATEMENT SCHEDULE II</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center"/>
              <w:ind w:right="222"/>
              <w:spacing w:after="0"/>
              <w:rPr>
                <w:sz w:val="20"/>
                <w:szCs w:val="20"/>
                <w:color w:val="auto"/>
              </w:rPr>
            </w:pPr>
            <w:r>
              <w:rPr>
                <w:rFonts w:ascii="Arial" w:cs="Arial" w:eastAsia="Arial" w:hAnsi="Arial"/>
                <w:sz w:val="14"/>
                <w:szCs w:val="14"/>
                <w:b w:val="1"/>
                <w:bCs w:val="1"/>
                <w:color w:val="auto"/>
                <w:w w:val="92"/>
              </w:rPr>
              <w:t>Additions</w:t>
            </w: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restart"/>
          </w:tcPr>
          <w:p>
            <w:pPr>
              <w:jc w:val="center"/>
              <w:ind w:right="181"/>
              <w:spacing w:after="0"/>
              <w:rPr>
                <w:sz w:val="20"/>
                <w:szCs w:val="20"/>
                <w:color w:val="auto"/>
              </w:rPr>
            </w:pPr>
            <w:r>
              <w:rPr>
                <w:rFonts w:ascii="Arial" w:cs="Arial" w:eastAsia="Arial" w:hAnsi="Arial"/>
                <w:sz w:val="14"/>
                <w:szCs w:val="14"/>
                <w:b w:val="1"/>
                <w:bCs w:val="1"/>
                <w:color w:val="auto"/>
                <w:w w:val="91"/>
              </w:rPr>
              <w:t>Balance at</w:t>
            </w:r>
          </w:p>
        </w:tc>
        <w:tc>
          <w:tcPr>
            <w:tcW w:w="380" w:type="dxa"/>
            <w:vAlign w:val="bottom"/>
          </w:tcPr>
          <w:p>
            <w:pPr>
              <w:spacing w:after="0"/>
              <w:rPr>
                <w:sz w:val="12"/>
                <w:szCs w:val="12"/>
                <w:color w:val="auto"/>
              </w:rPr>
            </w:pPr>
          </w:p>
        </w:tc>
        <w:tc>
          <w:tcPr>
            <w:tcW w:w="138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4"/>
              </w:rPr>
              <w:t>Charged to</w:t>
            </w:r>
          </w:p>
        </w:tc>
        <w:tc>
          <w:tcPr>
            <w:tcW w:w="420" w:type="dxa"/>
            <w:vAlign w:val="bottom"/>
          </w:tcPr>
          <w:p>
            <w:pPr>
              <w:spacing w:after="0"/>
              <w:rPr>
                <w:sz w:val="12"/>
                <w:szCs w:val="12"/>
                <w:color w:val="auto"/>
              </w:rPr>
            </w:pPr>
          </w:p>
        </w:tc>
        <w:tc>
          <w:tcPr>
            <w:tcW w:w="1260" w:type="dxa"/>
            <w:vAlign w:val="bottom"/>
            <w:vMerge w:val="restart"/>
          </w:tcPr>
          <w:p>
            <w:pPr>
              <w:jc w:val="center"/>
              <w:ind w:right="321"/>
              <w:spacing w:after="0"/>
              <w:rPr>
                <w:sz w:val="20"/>
                <w:szCs w:val="20"/>
                <w:color w:val="auto"/>
              </w:rPr>
            </w:pPr>
            <w:r>
              <w:rPr>
                <w:rFonts w:ascii="Arial" w:cs="Arial" w:eastAsia="Arial" w:hAnsi="Arial"/>
                <w:sz w:val="14"/>
                <w:szCs w:val="14"/>
                <w:b w:val="1"/>
                <w:bCs w:val="1"/>
                <w:color w:val="auto"/>
                <w:w w:val="91"/>
              </w:rPr>
              <w:t>Deductions</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8"/>
              </w:rPr>
              <w:t>Costs and</w:t>
            </w:r>
          </w:p>
        </w:tc>
        <w:tc>
          <w:tcPr>
            <w:tcW w:w="4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0"/>
              </w:rPr>
              <w:t>Beginning</w:t>
            </w:r>
          </w:p>
        </w:tc>
        <w:tc>
          <w:tcPr>
            <w:tcW w:w="380" w:type="dxa"/>
            <w:vAlign w:val="bottom"/>
          </w:tcPr>
          <w:p>
            <w:pPr>
              <w:spacing w:after="0"/>
              <w:rPr>
                <w:sz w:val="12"/>
                <w:szCs w:val="12"/>
                <w:color w:val="auto"/>
              </w:rPr>
            </w:pPr>
          </w:p>
        </w:tc>
        <w:tc>
          <w:tcPr>
            <w:tcW w:w="138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88"/>
              </w:rPr>
              <w:t>Expenses or</w:t>
            </w:r>
          </w:p>
        </w:tc>
        <w:tc>
          <w:tcPr>
            <w:tcW w:w="420" w:type="dxa"/>
            <w:vAlign w:val="bottom"/>
          </w:tcPr>
          <w:p>
            <w:pPr>
              <w:spacing w:after="0"/>
              <w:rPr>
                <w:sz w:val="12"/>
                <w:szCs w:val="12"/>
                <w:color w:val="auto"/>
              </w:rPr>
            </w:pPr>
          </w:p>
        </w:tc>
        <w:tc>
          <w:tcPr>
            <w:tcW w:w="1260" w:type="dxa"/>
            <w:vAlign w:val="bottom"/>
          </w:tcPr>
          <w:p>
            <w:pPr>
              <w:jc w:val="center"/>
              <w:ind w:right="321"/>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81"/>
              <w:spacing w:after="0" w:line="158" w:lineRule="exact"/>
              <w:rPr>
                <w:sz w:val="20"/>
                <w:szCs w:val="20"/>
                <w:color w:val="auto"/>
              </w:rPr>
            </w:pPr>
            <w:r>
              <w:rPr>
                <w:rFonts w:ascii="Arial" w:cs="Arial" w:eastAsia="Arial" w:hAnsi="Arial"/>
                <w:sz w:val="14"/>
                <w:szCs w:val="14"/>
                <w:b w:val="1"/>
                <w:bCs w:val="1"/>
                <w:color w:val="auto"/>
                <w:w w:val="92"/>
              </w:rPr>
              <w:t>of Fiscal Year</w:t>
            </w:r>
          </w:p>
        </w:tc>
        <w:tc>
          <w:tcPr>
            <w:tcW w:w="380" w:type="dxa"/>
            <w:vAlign w:val="bottom"/>
          </w:tcPr>
          <w:p>
            <w:pPr>
              <w:spacing w:after="0"/>
              <w:rPr>
                <w:sz w:val="13"/>
                <w:szCs w:val="13"/>
                <w:color w:val="auto"/>
              </w:rPr>
            </w:pPr>
          </w:p>
        </w:tc>
        <w:tc>
          <w:tcPr>
            <w:tcW w:w="1380" w:type="dxa"/>
            <w:vAlign w:val="bottom"/>
          </w:tcPr>
          <w:p>
            <w:pPr>
              <w:jc w:val="center"/>
              <w:ind w:right="242"/>
              <w:spacing w:after="0" w:line="158" w:lineRule="exact"/>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3"/>
                <w:szCs w:val="13"/>
                <w:color w:val="auto"/>
              </w:rPr>
            </w:pPr>
          </w:p>
        </w:tc>
        <w:tc>
          <w:tcPr>
            <w:tcW w:w="1260" w:type="dxa"/>
            <w:vAlign w:val="bottom"/>
          </w:tcPr>
          <w:p>
            <w:pPr>
              <w:jc w:val="center"/>
              <w:ind w:right="321"/>
              <w:spacing w:after="0" w:line="158" w:lineRule="exact"/>
              <w:rPr>
                <w:sz w:val="20"/>
                <w:szCs w:val="20"/>
                <w:color w:val="auto"/>
              </w:rPr>
            </w:pPr>
            <w:r>
              <w:rPr>
                <w:rFonts w:ascii="Arial" w:cs="Arial" w:eastAsia="Arial" w:hAnsi="Arial"/>
                <w:sz w:val="14"/>
                <w:szCs w:val="14"/>
                <w:b w:val="1"/>
                <w:bCs w:val="1"/>
                <w:color w:val="auto"/>
                <w:w w:val="97"/>
              </w:rPr>
              <w:t>Write-Offs</w:t>
            </w:r>
          </w:p>
        </w:tc>
        <w:tc>
          <w:tcPr>
            <w:tcW w:w="240" w:type="dxa"/>
            <w:vAlign w:val="bottom"/>
          </w:tcPr>
          <w:p>
            <w:pPr>
              <w:spacing w:after="0"/>
              <w:rPr>
                <w:sz w:val="13"/>
                <w:szCs w:val="13"/>
                <w:color w:val="auto"/>
              </w:rPr>
            </w:pPr>
          </w:p>
        </w:tc>
        <w:tc>
          <w:tcPr>
            <w:tcW w:w="1400" w:type="dxa"/>
            <w:vAlign w:val="bottom"/>
          </w:tcPr>
          <w:p>
            <w:pPr>
              <w:jc w:val="right"/>
              <w:ind w:right="140"/>
              <w:spacing w:after="0" w:line="158" w:lineRule="exact"/>
              <w:rPr>
                <w:sz w:val="20"/>
                <w:szCs w:val="20"/>
                <w:color w:val="auto"/>
              </w:rPr>
            </w:pPr>
            <w:r>
              <w:rPr>
                <w:rFonts w:ascii="Arial" w:cs="Arial" w:eastAsia="Arial" w:hAnsi="Arial"/>
                <w:sz w:val="14"/>
                <w:szCs w:val="14"/>
                <w:b w:val="1"/>
                <w:bCs w:val="1"/>
                <w:color w:val="auto"/>
                <w:w w:val="95"/>
              </w:rPr>
              <w:t>End of Fiscal Year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2017</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7.6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(3.3)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45.2</w:t>
            </w:r>
          </w:p>
        </w:tc>
        <w:tc>
          <w:tcPr>
            <w:tcW w:w="380" w:type="dxa"/>
            <w:vAlign w:val="bottom"/>
          </w:tcPr>
          <w:p>
            <w:pPr>
              <w:spacing w:after="0"/>
              <w:rPr>
                <w:sz w:val="20"/>
                <w:szCs w:val="20"/>
                <w:color w:val="auto"/>
              </w:rPr>
            </w:pP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240.3</w:t>
            </w:r>
          </w:p>
        </w:tc>
        <w:tc>
          <w:tcPr>
            <w:tcW w:w="42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257.4</w:t>
            </w:r>
          </w:p>
        </w:tc>
        <w:tc>
          <w:tcPr>
            <w:tcW w:w="24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77.8</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70.7</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January 31, 2016</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20"/>
                <w:szCs w:val="20"/>
                <w:color w:val="auto"/>
              </w:rPr>
            </w:pP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10.4</w:t>
            </w:r>
          </w:p>
        </w:tc>
        <w:tc>
          <w:tcPr>
            <w:tcW w:w="42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11.4</w:t>
            </w:r>
          </w:p>
        </w:tc>
        <w:tc>
          <w:tcPr>
            <w:tcW w:w="24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36.5</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267.4</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258.7</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20"/>
                <w:szCs w:val="20"/>
                <w:color w:val="auto"/>
              </w:rPr>
            </w:pP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Fiscal Year Ended January 31, 2015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Allowance for doubtful accounts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4.9</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1.6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Product returns reserves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17.4</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18.8</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38.4</w:t>
            </w:r>
          </w:p>
        </w:tc>
        <w:tc>
          <w:tcPr>
            <w:tcW w:w="380" w:type="dxa"/>
            <w:vAlign w:val="bottom"/>
          </w:tcPr>
          <w:p>
            <w:pPr>
              <w:spacing w:after="0"/>
              <w:rPr>
                <w:sz w:val="20"/>
                <w:szCs w:val="20"/>
                <w:color w:val="auto"/>
              </w:rPr>
            </w:pP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237.3</w:t>
            </w:r>
          </w:p>
        </w:tc>
        <w:tc>
          <w:tcPr>
            <w:tcW w:w="42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Arial" w:cs="Arial" w:eastAsia="Arial" w:hAnsi="Arial"/>
                <w:sz w:val="16"/>
                <w:szCs w:val="16"/>
                <w:color w:val="auto"/>
              </w:rPr>
              <w:t>239.2</w:t>
            </w:r>
          </w:p>
        </w:tc>
        <w:tc>
          <w:tcPr>
            <w:tcW w:w="24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3.2</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7.2</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4680" w:type="dxa"/>
            <w:vAlign w:val="bottom"/>
            <w:gridSpan w:val="3"/>
          </w:tcPr>
          <w:p>
            <w:pPr>
              <w:ind w:left="20"/>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partner program reserves balance impacts "Accounts receivable, net" and "Accounts payable" on the accompanying Consolidated Balance Sheets.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16</w:t>
      </w:r>
      <w:r>
        <w:rPr>
          <w:sz w:val="20"/>
          <w:szCs w:val="20"/>
          <w:color w:val="auto"/>
        </w:rPr>
        <w:tab/>
      </w:r>
      <w:r>
        <w:rPr>
          <w:rFonts w:ascii="Arial" w:cs="Arial" w:eastAsia="Arial" w:hAnsi="Arial"/>
          <w:sz w:val="18"/>
          <w:szCs w:val="18"/>
          <w:b w:val="1"/>
          <w:bCs w:val="1"/>
          <w:color w:val="0696D7"/>
        </w:rPr>
        <w:t>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306705</wp:posOffset>
            </wp:positionV>
            <wp:extent cx="97790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111</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AUTODESK, INC.</w:t>
      </w:r>
    </w:p>
    <w:p>
      <w:pPr>
        <w:spacing w:after="0" w:line="54" w:lineRule="exact"/>
        <w:rPr>
          <w:sz w:val="20"/>
          <w:szCs w:val="20"/>
          <w:color w:val="auto"/>
        </w:rPr>
      </w:pPr>
    </w:p>
    <w:p>
      <w:pPr>
        <w:ind w:left="5640"/>
        <w:spacing w:after="0"/>
        <w:tabs>
          <w:tab w:leader="none" w:pos="7720" w:val="left"/>
          <w:tab w:leader="none" w:pos="8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43815</wp:posOffset>
            </wp:positionV>
            <wp:extent cx="32588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6"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Co-CEO, Chief Marketing Officer and SVP, BSM</w:t>
      </w:r>
    </w:p>
    <w:p>
      <w:pPr>
        <w:spacing w:after="0" w:line="77"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21, 2017</w:t>
      </w:r>
    </w:p>
    <w:p>
      <w:pPr>
        <w:spacing w:after="0" w:line="200" w:lineRule="exact"/>
        <w:rPr>
          <w:sz w:val="20"/>
          <w:szCs w:val="20"/>
          <w:color w:val="auto"/>
        </w:rPr>
      </w:pPr>
    </w:p>
    <w:p>
      <w:pPr>
        <w:spacing w:after="0" w:line="292"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AUTODESK, INC.</w:t>
      </w:r>
    </w:p>
    <w:p>
      <w:pPr>
        <w:spacing w:after="0" w:line="54" w:lineRule="exact"/>
        <w:rPr>
          <w:sz w:val="20"/>
          <w:szCs w:val="20"/>
          <w:color w:val="auto"/>
        </w:rPr>
      </w:pPr>
    </w:p>
    <w:p>
      <w:pPr>
        <w:ind w:left="5640"/>
        <w:spacing w:after="0"/>
        <w:tabs>
          <w:tab w:leader="none" w:pos="8020" w:val="left"/>
          <w:tab w:leader="none" w:pos="83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tab/>
        <w:t>AMAR HANSPAL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43815</wp:posOffset>
            </wp:positionV>
            <wp:extent cx="32588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6"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Amar Hanspal</w:t>
      </w:r>
    </w:p>
    <w:p>
      <w:pPr>
        <w:spacing w:after="0" w:line="86"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Co-CEO, Chief Product Officer and SVP, PDG</w:t>
      </w:r>
    </w:p>
    <w:p>
      <w:pPr>
        <w:spacing w:after="0" w:line="77"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97790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112</w:t>
      </w:r>
    </w:p>
    <w:p>
      <w:pPr>
        <w:sectPr>
          <w:pgSz w:w="11900" w:h="16838" w:orient="portrait"/>
          <w:cols w:equalWidth="0" w:num="1">
            <w:col w:w="11140"/>
          </w:cols>
          <w:pgMar w:left="240" w:top="125" w:right="5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Andrew Anagnost, Amar</w:t>
      </w:r>
      <w:r>
        <w:rPr>
          <w:rFonts w:ascii="Arial" w:cs="Arial" w:eastAsia="Arial" w:hAnsi="Arial"/>
          <w:sz w:val="18"/>
          <w:szCs w:val="18"/>
          <w:b w:val="1"/>
          <w:bCs w:val="1"/>
          <w:color w:val="auto"/>
        </w:rPr>
        <w:t xml:space="preserve"> </w:t>
      </w:r>
      <w:r>
        <w:rPr>
          <w:rFonts w:ascii="Arial" w:cs="Arial" w:eastAsia="Arial" w:hAnsi="Arial"/>
          <w:sz w:val="18"/>
          <w:szCs w:val="18"/>
          <w:color w:val="auto"/>
        </w:rPr>
        <w:t>Hanspal, and R. Scott Herren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30" w:lineRule="exact"/>
        <w:rPr>
          <w:sz w:val="20"/>
          <w:szCs w:val="20"/>
          <w:color w:val="auto"/>
        </w:rPr>
      </w:pPr>
    </w:p>
    <w:p>
      <w:pPr>
        <w:ind w:right="180" w:firstLine="432"/>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21, 2017.</w:t>
      </w:r>
    </w:p>
    <w:p>
      <w:pPr>
        <w:spacing w:after="0" w:line="2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2"/>
              </w:rPr>
              <w:t>Signature</w:t>
            </w:r>
          </w:p>
        </w:tc>
        <w:tc>
          <w:tcPr>
            <w:tcW w:w="402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20" w:type="dxa"/>
            <w:vAlign w:val="bottom"/>
            <w:gridSpan w:val="3"/>
          </w:tcPr>
          <w:p>
            <w:pPr>
              <w:jc w:val="center"/>
              <w:ind w:left="699"/>
              <w:spacing w:after="0"/>
              <w:rPr>
                <w:sz w:val="20"/>
                <w:szCs w:val="20"/>
                <w:color w:val="auto"/>
              </w:rPr>
            </w:pPr>
            <w:r>
              <w:rPr>
                <w:rFonts w:ascii="Arial" w:cs="Arial" w:eastAsia="Arial" w:hAnsi="Arial"/>
                <w:sz w:val="16"/>
                <w:szCs w:val="16"/>
                <w:color w:val="auto"/>
                <w:w w:val="94"/>
              </w:rPr>
              <w:t>Co-CEO, Chief Marketing Officer and SVP, BSM</w:t>
            </w:r>
          </w:p>
        </w:tc>
      </w:tr>
      <w:tr>
        <w:trPr>
          <w:trHeight w:val="230"/>
        </w:trPr>
        <w:tc>
          <w:tcPr>
            <w:tcW w:w="116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/s/</w:t>
            </w:r>
          </w:p>
        </w:tc>
        <w:tc>
          <w:tcPr>
            <w:tcW w:w="3120" w:type="dxa"/>
            <w:vAlign w:val="bottom"/>
            <w:gridSpan w:val="5"/>
          </w:tcPr>
          <w:p>
            <w:pPr>
              <w:jc w:val="right"/>
              <w:ind w:right="1420"/>
              <w:spacing w:after="0"/>
              <w:rPr>
                <w:sz w:val="20"/>
                <w:szCs w:val="20"/>
                <w:color w:val="auto"/>
              </w:rPr>
            </w:pPr>
            <w:r>
              <w:rPr>
                <w:rFonts w:ascii="Arial" w:cs="Arial" w:eastAsia="Arial" w:hAnsi="Arial"/>
                <w:sz w:val="16"/>
                <w:szCs w:val="16"/>
                <w:color w:val="auto"/>
              </w:rPr>
              <w:t>ANDREW ANAGNOST</w:t>
            </w:r>
          </w:p>
        </w:tc>
        <w:tc>
          <w:tcPr>
            <w:tcW w:w="4020" w:type="dxa"/>
            <w:vAlign w:val="bottom"/>
            <w:gridSpan w:val="3"/>
          </w:tcPr>
          <w:p>
            <w:pPr>
              <w:jc w:val="center"/>
              <w:ind w:left="699"/>
              <w:spacing w:after="0"/>
              <w:rPr>
                <w:sz w:val="20"/>
                <w:szCs w:val="20"/>
                <w:color w:val="auto"/>
              </w:rPr>
            </w:pPr>
            <w:r>
              <w:rPr>
                <w:rFonts w:ascii="Arial" w:cs="Arial" w:eastAsia="Arial" w:hAnsi="Arial"/>
                <w:sz w:val="16"/>
                <w:szCs w:val="16"/>
                <w:color w:val="auto"/>
                <w:w w:val="95"/>
              </w:rPr>
              <w:t>(Principal Executive Officer)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center"/>
              <w:ind w:right="1600"/>
              <w:spacing w:after="0"/>
              <w:rPr>
                <w:sz w:val="20"/>
                <w:szCs w:val="20"/>
                <w:color w:val="auto"/>
              </w:rPr>
            </w:pPr>
            <w:r>
              <w:rPr>
                <w:rFonts w:ascii="Arial" w:cs="Arial" w:eastAsia="Arial" w:hAnsi="Arial"/>
                <w:sz w:val="16"/>
                <w:szCs w:val="16"/>
                <w:color w:val="auto"/>
                <w:w w:val="93"/>
              </w:rPr>
              <w:t>Andrew Anagnost</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2"/>
              </w:rPr>
              <w:t>Co-CEO, Chief Product Officer and SVP, PDG</w:t>
            </w:r>
          </w:p>
        </w:tc>
      </w:tr>
      <w:tr>
        <w:trPr>
          <w:trHeight w:val="206"/>
        </w:trPr>
        <w:tc>
          <w:tcPr>
            <w:tcW w:w="1160" w:type="dxa"/>
            <w:vAlign w:val="bottom"/>
          </w:tcPr>
          <w:p>
            <w:pPr>
              <w:spacing w:after="0"/>
              <w:rPr>
                <w:sz w:val="17"/>
                <w:szCs w:val="17"/>
                <w:color w:val="auto"/>
              </w:rPr>
            </w:pPr>
          </w:p>
        </w:tc>
        <w:tc>
          <w:tcPr>
            <w:tcW w:w="420" w:type="dxa"/>
            <w:vAlign w:val="bottom"/>
            <w:gridSpan w:val="2"/>
          </w:tcPr>
          <w:p>
            <w:pPr>
              <w:ind w:left="260"/>
              <w:spacing w:after="0"/>
              <w:rPr>
                <w:sz w:val="20"/>
                <w:szCs w:val="20"/>
                <w:color w:val="auto"/>
              </w:rPr>
            </w:pPr>
            <w:r>
              <w:rPr>
                <w:rFonts w:ascii="Arial" w:cs="Arial" w:eastAsia="Arial" w:hAnsi="Arial"/>
                <w:sz w:val="16"/>
                <w:szCs w:val="16"/>
                <w:color w:val="auto"/>
                <w:w w:val="82"/>
              </w:rPr>
              <w:t>/s/</w:t>
            </w:r>
          </w:p>
        </w:tc>
        <w:tc>
          <w:tcPr>
            <w:tcW w:w="2980" w:type="dxa"/>
            <w:vAlign w:val="bottom"/>
            <w:gridSpan w:val="4"/>
          </w:tcPr>
          <w:p>
            <w:pPr>
              <w:jc w:val="right"/>
              <w:ind w:right="1580"/>
              <w:spacing w:after="0"/>
              <w:rPr>
                <w:sz w:val="20"/>
                <w:szCs w:val="20"/>
                <w:color w:val="auto"/>
              </w:rPr>
            </w:pPr>
            <w:r>
              <w:rPr>
                <w:rFonts w:ascii="Arial" w:cs="Arial" w:eastAsia="Arial" w:hAnsi="Arial"/>
                <w:sz w:val="16"/>
                <w:szCs w:val="16"/>
                <w:color w:val="auto"/>
              </w:rPr>
              <w:t>AMAR HANSPAL</w:t>
            </w:r>
          </w:p>
        </w:tc>
        <w:tc>
          <w:tcPr>
            <w:tcW w:w="4020" w:type="dxa"/>
            <w:vAlign w:val="bottom"/>
            <w:gridSpan w:val="3"/>
          </w:tcPr>
          <w:p>
            <w:pPr>
              <w:jc w:val="center"/>
              <w:ind w:left="859"/>
              <w:spacing w:after="0"/>
              <w:rPr>
                <w:sz w:val="20"/>
                <w:szCs w:val="20"/>
                <w:color w:val="auto"/>
              </w:rPr>
            </w:pPr>
            <w:r>
              <w:rPr>
                <w:rFonts w:ascii="Arial" w:cs="Arial" w:eastAsia="Arial" w:hAnsi="Arial"/>
                <w:sz w:val="16"/>
                <w:szCs w:val="16"/>
                <w:color w:val="auto"/>
                <w:w w:val="95"/>
              </w:rPr>
              <w:t>(Principal Executive Officer)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780"/>
              <w:spacing w:after="0"/>
              <w:rPr>
                <w:sz w:val="20"/>
                <w:szCs w:val="20"/>
                <w:color w:val="auto"/>
              </w:rPr>
            </w:pPr>
            <w:r>
              <w:rPr>
                <w:rFonts w:ascii="Arial" w:cs="Arial" w:eastAsia="Arial" w:hAnsi="Arial"/>
                <w:sz w:val="16"/>
                <w:szCs w:val="16"/>
                <w:color w:val="auto"/>
                <w:w w:val="92"/>
              </w:rPr>
              <w:t>Amar Hanspal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2"/>
              </w:rPr>
              <w:t>Senior Vice President and Chief Financial Officer</w:t>
            </w:r>
          </w:p>
        </w:tc>
      </w:tr>
      <w:tr>
        <w:trPr>
          <w:trHeight w:val="206"/>
        </w:trPr>
        <w:tc>
          <w:tcPr>
            <w:tcW w:w="1160" w:type="dxa"/>
            <w:vAlign w:val="bottom"/>
          </w:tcPr>
          <w:p>
            <w:pPr>
              <w:spacing w:after="0"/>
              <w:rPr>
                <w:sz w:val="17"/>
                <w:szCs w:val="17"/>
                <w:color w:val="auto"/>
              </w:rPr>
            </w:pPr>
          </w:p>
        </w:tc>
        <w:tc>
          <w:tcPr>
            <w:tcW w:w="280" w:type="dxa"/>
            <w:vAlign w:val="bottom"/>
          </w:tcPr>
          <w:p>
            <w:pPr>
              <w:ind w:left="100"/>
              <w:spacing w:after="0"/>
              <w:rPr>
                <w:sz w:val="20"/>
                <w:szCs w:val="20"/>
                <w:color w:val="auto"/>
              </w:rPr>
            </w:pPr>
            <w:r>
              <w:rPr>
                <w:rFonts w:ascii="Arial" w:cs="Arial" w:eastAsia="Arial" w:hAnsi="Arial"/>
                <w:sz w:val="16"/>
                <w:szCs w:val="16"/>
                <w:color w:val="auto"/>
                <w:w w:val="94"/>
              </w:rPr>
              <w:t>/s/</w:t>
            </w:r>
          </w:p>
        </w:tc>
        <w:tc>
          <w:tcPr>
            <w:tcW w:w="140" w:type="dxa"/>
            <w:vAlign w:val="bottom"/>
          </w:tcPr>
          <w:p>
            <w:pPr>
              <w:spacing w:after="0"/>
              <w:rPr>
                <w:sz w:val="17"/>
                <w:szCs w:val="17"/>
                <w:color w:val="auto"/>
              </w:rPr>
            </w:pPr>
          </w:p>
        </w:tc>
        <w:tc>
          <w:tcPr>
            <w:tcW w:w="2980" w:type="dxa"/>
            <w:vAlign w:val="bottom"/>
            <w:gridSpan w:val="4"/>
          </w:tcPr>
          <w:p>
            <w:pPr>
              <w:jc w:val="center"/>
              <w:ind w:right="1600"/>
              <w:spacing w:after="0"/>
              <w:rPr>
                <w:sz w:val="20"/>
                <w:szCs w:val="20"/>
                <w:color w:val="auto"/>
              </w:rPr>
            </w:pPr>
            <w:r>
              <w:rPr>
                <w:rFonts w:ascii="Arial" w:cs="Arial" w:eastAsia="Arial" w:hAnsi="Arial"/>
                <w:sz w:val="16"/>
                <w:szCs w:val="16"/>
                <w:color w:val="auto"/>
                <w:w w:val="94"/>
              </w:rPr>
              <w:t>R. SCOTT HERREN</w:t>
            </w:r>
          </w:p>
        </w:tc>
        <w:tc>
          <w:tcPr>
            <w:tcW w:w="4020" w:type="dxa"/>
            <w:vAlign w:val="bottom"/>
            <w:gridSpan w:val="3"/>
          </w:tcPr>
          <w:p>
            <w:pPr>
              <w:jc w:val="center"/>
              <w:ind w:left="859"/>
              <w:spacing w:after="0"/>
              <w:rPr>
                <w:sz w:val="20"/>
                <w:szCs w:val="20"/>
                <w:color w:val="auto"/>
              </w:rPr>
            </w:pPr>
            <w:r>
              <w:rPr>
                <w:rFonts w:ascii="Arial" w:cs="Arial" w:eastAsia="Arial" w:hAnsi="Arial"/>
                <w:sz w:val="16"/>
                <w:szCs w:val="16"/>
                <w:color w:val="auto"/>
                <w:w w:val="95"/>
              </w:rPr>
              <w:t>(Principal Financial Officer)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90"/>
              </w:rPr>
              <w:t>R. Scott Herren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699"/>
              <w:spacing w:after="0"/>
              <w:rPr>
                <w:sz w:val="20"/>
                <w:szCs w:val="20"/>
                <w:color w:val="auto"/>
              </w:rPr>
            </w:pPr>
            <w:r>
              <w:rPr>
                <w:rFonts w:ascii="Arial" w:cs="Arial" w:eastAsia="Arial" w:hAnsi="Arial"/>
                <w:sz w:val="16"/>
                <w:szCs w:val="16"/>
                <w:color w:val="auto"/>
                <w:w w:val="92"/>
              </w:rPr>
              <w:t>Vice President and Controller</w:t>
            </w:r>
          </w:p>
        </w:tc>
      </w:tr>
      <w:tr>
        <w:trPr>
          <w:trHeight w:val="206"/>
        </w:trPr>
        <w:tc>
          <w:tcPr>
            <w:tcW w:w="1160" w:type="dxa"/>
            <w:vAlign w:val="bottom"/>
          </w:tcPr>
          <w:p>
            <w:pPr>
              <w:spacing w:after="0"/>
              <w:rPr>
                <w:sz w:val="17"/>
                <w:szCs w:val="17"/>
                <w:color w:val="auto"/>
              </w:rPr>
            </w:pPr>
          </w:p>
        </w:tc>
        <w:tc>
          <w:tcPr>
            <w:tcW w:w="280" w:type="dxa"/>
            <w:vAlign w:val="bottom"/>
          </w:tcPr>
          <w:p>
            <w:pPr>
              <w:ind w:left="80"/>
              <w:spacing w:after="0"/>
              <w:rPr>
                <w:sz w:val="20"/>
                <w:szCs w:val="20"/>
                <w:color w:val="auto"/>
              </w:rPr>
            </w:pPr>
            <w:r>
              <w:rPr>
                <w:rFonts w:ascii="Arial" w:cs="Arial" w:eastAsia="Arial" w:hAnsi="Arial"/>
                <w:sz w:val="16"/>
                <w:szCs w:val="16"/>
                <w:color w:val="auto"/>
              </w:rPr>
              <w:t>/s/</w:t>
            </w:r>
          </w:p>
        </w:tc>
        <w:tc>
          <w:tcPr>
            <w:tcW w:w="3120" w:type="dxa"/>
            <w:vAlign w:val="bottom"/>
            <w:gridSpan w:val="5"/>
          </w:tcPr>
          <w:p>
            <w:pPr>
              <w:jc w:val="right"/>
              <w:ind w:right="1500"/>
              <w:spacing w:after="0"/>
              <w:rPr>
                <w:sz w:val="20"/>
                <w:szCs w:val="20"/>
                <w:color w:val="auto"/>
              </w:rPr>
            </w:pPr>
            <w:r>
              <w:rPr>
                <w:rFonts w:ascii="Arial" w:cs="Arial" w:eastAsia="Arial" w:hAnsi="Arial"/>
                <w:sz w:val="16"/>
                <w:szCs w:val="16"/>
                <w:color w:val="auto"/>
              </w:rPr>
              <w:t>PAUL UNDERWOOD</w:t>
            </w:r>
          </w:p>
        </w:tc>
        <w:tc>
          <w:tcPr>
            <w:tcW w:w="4020" w:type="dxa"/>
            <w:vAlign w:val="bottom"/>
            <w:gridSpan w:val="3"/>
          </w:tcPr>
          <w:p>
            <w:pPr>
              <w:jc w:val="center"/>
              <w:ind w:left="899"/>
              <w:spacing w:after="0"/>
              <w:rPr>
                <w:sz w:val="20"/>
                <w:szCs w:val="20"/>
                <w:color w:val="auto"/>
              </w:rPr>
            </w:pPr>
            <w:r>
              <w:rPr>
                <w:rFonts w:ascii="Arial" w:cs="Arial" w:eastAsia="Arial" w:hAnsi="Arial"/>
                <w:sz w:val="16"/>
                <w:szCs w:val="16"/>
                <w:color w:val="auto"/>
                <w:w w:val="96"/>
              </w:rPr>
              <w:t>(Principal Accounting Officer)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center"/>
              <w:ind w:right="1580"/>
              <w:spacing w:after="0"/>
              <w:rPr>
                <w:sz w:val="20"/>
                <w:szCs w:val="20"/>
                <w:color w:val="auto"/>
              </w:rPr>
            </w:pPr>
            <w:r>
              <w:rPr>
                <w:rFonts w:ascii="Arial" w:cs="Arial" w:eastAsia="Arial" w:hAnsi="Arial"/>
                <w:sz w:val="16"/>
                <w:szCs w:val="16"/>
                <w:color w:val="auto"/>
                <w:w w:val="91"/>
              </w:rPr>
              <w:t>Paul Underwood</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8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206"/>
        </w:trPr>
        <w:tc>
          <w:tcPr>
            <w:tcW w:w="1160" w:type="dxa"/>
            <w:vAlign w:val="bottom"/>
          </w:tcPr>
          <w:p>
            <w:pPr>
              <w:ind w:left="920"/>
              <w:spacing w:after="0"/>
              <w:rPr>
                <w:sz w:val="20"/>
                <w:szCs w:val="20"/>
                <w:color w:val="auto"/>
              </w:rPr>
            </w:pPr>
            <w:r>
              <w:rPr>
                <w:rFonts w:ascii="Arial" w:cs="Arial" w:eastAsia="Arial" w:hAnsi="Arial"/>
                <w:sz w:val="16"/>
                <w:szCs w:val="16"/>
                <w:color w:val="auto"/>
              </w:rPr>
              <w:t>/s/</w:t>
            </w:r>
          </w:p>
        </w:tc>
        <w:tc>
          <w:tcPr>
            <w:tcW w:w="3400" w:type="dxa"/>
            <w:vAlign w:val="bottom"/>
            <w:gridSpan w:val="6"/>
          </w:tcPr>
          <w:p>
            <w:pPr>
              <w:jc w:val="center"/>
              <w:ind w:right="1160"/>
              <w:spacing w:after="0"/>
              <w:rPr>
                <w:sz w:val="20"/>
                <w:szCs w:val="20"/>
                <w:color w:val="auto"/>
              </w:rPr>
            </w:pPr>
            <w:r>
              <w:rPr>
                <w:rFonts w:ascii="Arial" w:cs="Arial" w:eastAsia="Arial" w:hAnsi="Arial"/>
                <w:sz w:val="16"/>
                <w:szCs w:val="16"/>
                <w:color w:val="auto"/>
                <w:w w:val="96"/>
              </w:rPr>
              <w:t>CRAWFORD W. BEVERIDGE</w:t>
            </w:r>
          </w:p>
        </w:tc>
        <w:tc>
          <w:tcPr>
            <w:tcW w:w="4020" w:type="dxa"/>
            <w:vAlign w:val="bottom"/>
            <w:gridSpan w:val="3"/>
          </w:tcPr>
          <w:p>
            <w:pPr>
              <w:jc w:val="center"/>
              <w:ind w:left="859"/>
              <w:spacing w:after="0"/>
              <w:rPr>
                <w:sz w:val="20"/>
                <w:szCs w:val="20"/>
                <w:color w:val="auto"/>
              </w:rPr>
            </w:pPr>
            <w:r>
              <w:rPr>
                <w:rFonts w:ascii="Arial" w:cs="Arial" w:eastAsia="Arial" w:hAnsi="Arial"/>
                <w:sz w:val="16"/>
                <w:szCs w:val="16"/>
                <w:color w:val="auto"/>
                <w:w w:val="93"/>
              </w:rPr>
              <w:t>(Non-executive Chairman of the Board)</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5"/>
          </w:tcPr>
          <w:p>
            <w:pPr>
              <w:jc w:val="center"/>
              <w:ind w:right="1440"/>
              <w:spacing w:after="0"/>
              <w:rPr>
                <w:sz w:val="20"/>
                <w:szCs w:val="20"/>
                <w:color w:val="auto"/>
              </w:rPr>
            </w:pPr>
            <w:r>
              <w:rPr>
                <w:rFonts w:ascii="Arial" w:cs="Arial" w:eastAsia="Arial" w:hAnsi="Arial"/>
                <w:sz w:val="16"/>
                <w:szCs w:val="16"/>
                <w:color w:val="auto"/>
                <w:w w:val="94"/>
              </w:rPr>
              <w:t>Crawford W. Beveridge</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/s/</w:t>
            </w: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97"/>
              </w:rPr>
              <w:t>CARL BASS</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92"/>
              </w:rPr>
              <w:t>Carl Bass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2"/>
              </w:rPr>
              <w:t>/s/</w:t>
            </w:r>
          </w:p>
        </w:tc>
        <w:tc>
          <w:tcPr>
            <w:tcW w:w="2800" w:type="dxa"/>
            <w:vAlign w:val="bottom"/>
            <w:gridSpan w:val="3"/>
          </w:tcPr>
          <w:p>
            <w:pPr>
              <w:jc w:val="right"/>
              <w:ind w:right="1600"/>
              <w:spacing w:after="0"/>
              <w:rPr>
                <w:sz w:val="20"/>
                <w:szCs w:val="20"/>
                <w:color w:val="auto"/>
              </w:rPr>
            </w:pPr>
            <w:r>
              <w:rPr>
                <w:rFonts w:ascii="Arial" w:cs="Arial" w:eastAsia="Arial" w:hAnsi="Arial"/>
                <w:sz w:val="16"/>
                <w:szCs w:val="16"/>
                <w:color w:val="auto"/>
              </w:rPr>
              <w:t>JEFF CLARKE</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94"/>
              </w:rPr>
              <w:t>Jeff Clarke</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420" w:type="dxa"/>
            <w:vAlign w:val="bottom"/>
            <w:gridSpan w:val="2"/>
          </w:tcPr>
          <w:p>
            <w:pPr>
              <w:ind w:left="260"/>
              <w:spacing w:after="0"/>
              <w:rPr>
                <w:sz w:val="20"/>
                <w:szCs w:val="20"/>
                <w:color w:val="auto"/>
              </w:rPr>
            </w:pPr>
            <w:r>
              <w:rPr>
                <w:rFonts w:ascii="Arial" w:cs="Arial" w:eastAsia="Arial" w:hAnsi="Arial"/>
                <w:sz w:val="16"/>
                <w:szCs w:val="16"/>
                <w:color w:val="auto"/>
                <w:w w:val="82"/>
              </w:rPr>
              <w:t>/s/</w:t>
            </w:r>
          </w:p>
        </w:tc>
        <w:tc>
          <w:tcPr>
            <w:tcW w:w="2980" w:type="dxa"/>
            <w:vAlign w:val="bottom"/>
            <w:gridSpan w:val="4"/>
          </w:tcPr>
          <w:p>
            <w:pPr>
              <w:jc w:val="right"/>
              <w:ind w:right="1420"/>
              <w:spacing w:after="0"/>
              <w:rPr>
                <w:sz w:val="20"/>
                <w:szCs w:val="20"/>
                <w:color w:val="auto"/>
              </w:rPr>
            </w:pPr>
            <w:r>
              <w:rPr>
                <w:rFonts w:ascii="Arial" w:cs="Arial" w:eastAsia="Arial" w:hAnsi="Arial"/>
                <w:sz w:val="16"/>
                <w:szCs w:val="16"/>
                <w:color w:val="auto"/>
              </w:rPr>
              <w:t>SCOTT FERGUSON</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88"/>
              </w:rPr>
              <w:t>Scott Ferguson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/s/</w:t>
            </w:r>
          </w:p>
        </w:tc>
        <w:tc>
          <w:tcPr>
            <w:tcW w:w="3120" w:type="dxa"/>
            <w:vAlign w:val="bottom"/>
            <w:gridSpan w:val="5"/>
          </w:tcPr>
          <w:p>
            <w:pPr>
              <w:jc w:val="center"/>
              <w:ind w:right="1460"/>
              <w:spacing w:after="0"/>
              <w:rPr>
                <w:sz w:val="20"/>
                <w:szCs w:val="20"/>
                <w:color w:val="auto"/>
              </w:rPr>
            </w:pPr>
            <w:r>
              <w:rPr>
                <w:rFonts w:ascii="Arial" w:cs="Arial" w:eastAsia="Arial" w:hAnsi="Arial"/>
                <w:sz w:val="16"/>
                <w:szCs w:val="16"/>
                <w:color w:val="auto"/>
                <w:w w:val="95"/>
              </w:rPr>
              <w:t>THOMAS GEORGENS</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center"/>
              <w:ind w:right="1600"/>
              <w:spacing w:after="0"/>
              <w:rPr>
                <w:sz w:val="20"/>
                <w:szCs w:val="20"/>
                <w:color w:val="auto"/>
              </w:rPr>
            </w:pPr>
            <w:r>
              <w:rPr>
                <w:rFonts w:ascii="Arial" w:cs="Arial" w:eastAsia="Arial" w:hAnsi="Arial"/>
                <w:sz w:val="16"/>
                <w:szCs w:val="16"/>
                <w:color w:val="auto"/>
                <w:w w:val="89"/>
              </w:rPr>
              <w:t>Thomas Georgens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5"/>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4"/>
          </w:tcPr>
          <w:p>
            <w:pPr>
              <w:jc w:val="center"/>
              <w:ind w:right="1580"/>
              <w:spacing w:after="0"/>
              <w:rPr>
                <w:sz w:val="20"/>
                <w:szCs w:val="20"/>
                <w:color w:val="auto"/>
              </w:rPr>
            </w:pPr>
            <w:r>
              <w:rPr>
                <w:rFonts w:ascii="Arial" w:cs="Arial" w:eastAsia="Arial" w:hAnsi="Arial"/>
                <w:sz w:val="16"/>
                <w:szCs w:val="16"/>
                <w:color w:val="auto"/>
              </w:rPr>
              <w:t>/s/  RICK HILL</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rPr>
              <w:t>Rick Hill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/s/</w:t>
            </w:r>
          </w:p>
        </w:tc>
        <w:tc>
          <w:tcPr>
            <w:tcW w:w="3120" w:type="dxa"/>
            <w:vAlign w:val="bottom"/>
            <w:gridSpan w:val="5"/>
          </w:tcPr>
          <w:p>
            <w:pPr>
              <w:jc w:val="center"/>
              <w:ind w:right="1460"/>
              <w:spacing w:after="0"/>
              <w:rPr>
                <w:sz w:val="20"/>
                <w:szCs w:val="20"/>
                <w:color w:val="auto"/>
              </w:rPr>
            </w:pPr>
            <w:r>
              <w:rPr>
                <w:rFonts w:ascii="Arial" w:cs="Arial" w:eastAsia="Arial" w:hAnsi="Arial"/>
                <w:sz w:val="16"/>
                <w:szCs w:val="16"/>
                <w:color w:val="auto"/>
              </w:rPr>
              <w:t>MARY T. MCDOWELL</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center"/>
              <w:ind w:right="1580"/>
              <w:spacing w:after="0"/>
              <w:rPr>
                <w:sz w:val="20"/>
                <w:szCs w:val="20"/>
                <w:color w:val="auto"/>
              </w:rPr>
            </w:pPr>
            <w:r>
              <w:rPr>
                <w:rFonts w:ascii="Arial" w:cs="Arial" w:eastAsia="Arial" w:hAnsi="Arial"/>
                <w:sz w:val="16"/>
                <w:szCs w:val="16"/>
                <w:color w:val="auto"/>
                <w:w w:val="96"/>
              </w:rPr>
              <w:t>Mary T. McDowell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ind w:left="1000"/>
              <w:spacing w:after="0"/>
              <w:rPr>
                <w:sz w:val="20"/>
                <w:szCs w:val="20"/>
                <w:color w:val="auto"/>
              </w:rPr>
            </w:pPr>
            <w:r>
              <w:rPr>
                <w:rFonts w:ascii="Arial" w:cs="Arial" w:eastAsia="Arial" w:hAnsi="Arial"/>
                <w:sz w:val="16"/>
                <w:szCs w:val="16"/>
                <w:color w:val="auto"/>
                <w:w w:val="82"/>
              </w:rPr>
              <w:t>/s/</w:t>
            </w:r>
          </w:p>
        </w:tc>
        <w:tc>
          <w:tcPr>
            <w:tcW w:w="3400" w:type="dxa"/>
            <w:vAlign w:val="bottom"/>
            <w:gridSpan w:val="6"/>
          </w:tcPr>
          <w:p>
            <w:pPr>
              <w:jc w:val="center"/>
              <w:ind w:right="1160"/>
              <w:spacing w:after="0"/>
              <w:rPr>
                <w:sz w:val="20"/>
                <w:szCs w:val="20"/>
                <w:color w:val="auto"/>
              </w:rPr>
            </w:pPr>
            <w:r>
              <w:rPr>
                <w:rFonts w:ascii="Arial" w:cs="Arial" w:eastAsia="Arial" w:hAnsi="Arial"/>
                <w:sz w:val="16"/>
                <w:szCs w:val="16"/>
                <w:color w:val="auto"/>
                <w:w w:val="98"/>
              </w:rPr>
              <w:t>LORRIE M. NORRINGTON</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center"/>
              <w:ind w:right="1580"/>
              <w:spacing w:after="0"/>
              <w:rPr>
                <w:sz w:val="20"/>
                <w:szCs w:val="20"/>
                <w:color w:val="auto"/>
              </w:rPr>
            </w:pPr>
            <w:r>
              <w:rPr>
                <w:rFonts w:ascii="Arial" w:cs="Arial" w:eastAsia="Arial" w:hAnsi="Arial"/>
                <w:sz w:val="16"/>
                <w:szCs w:val="16"/>
                <w:color w:val="auto"/>
                <w:w w:val="98"/>
              </w:rPr>
              <w:t>Lorrie M. Norrington</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6"/>
                <w:szCs w:val="16"/>
                <w:color w:val="auto"/>
                <w:w w:val="94"/>
              </w:rPr>
              <w:t>/s/</w:t>
            </w:r>
          </w:p>
        </w:tc>
        <w:tc>
          <w:tcPr>
            <w:tcW w:w="140" w:type="dxa"/>
            <w:vAlign w:val="bottom"/>
          </w:tcPr>
          <w:p>
            <w:pPr>
              <w:spacing w:after="0"/>
              <w:rPr>
                <w:sz w:val="24"/>
                <w:szCs w:val="24"/>
                <w:color w:val="auto"/>
              </w:rPr>
            </w:pPr>
          </w:p>
        </w:tc>
        <w:tc>
          <w:tcPr>
            <w:tcW w:w="2980" w:type="dxa"/>
            <w:vAlign w:val="bottom"/>
            <w:gridSpan w:val="4"/>
          </w:tcPr>
          <w:p>
            <w:pPr>
              <w:jc w:val="right"/>
              <w:ind w:right="1420"/>
              <w:spacing w:after="0"/>
              <w:rPr>
                <w:sz w:val="20"/>
                <w:szCs w:val="20"/>
                <w:color w:val="auto"/>
              </w:rPr>
            </w:pPr>
            <w:r>
              <w:rPr>
                <w:rFonts w:ascii="Arial" w:cs="Arial" w:eastAsia="Arial" w:hAnsi="Arial"/>
                <w:sz w:val="16"/>
                <w:szCs w:val="16"/>
                <w:color w:val="auto"/>
              </w:rPr>
              <w:t>ELIZABETH RAFAEL</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4"/>
          </w:tcPr>
          <w:p>
            <w:pPr>
              <w:jc w:val="center"/>
              <w:ind w:right="1580"/>
              <w:spacing w:after="0"/>
              <w:rPr>
                <w:sz w:val="20"/>
                <w:szCs w:val="20"/>
                <w:color w:val="auto"/>
              </w:rPr>
            </w:pPr>
            <w:r>
              <w:rPr>
                <w:rFonts w:ascii="Arial" w:cs="Arial" w:eastAsia="Arial" w:hAnsi="Arial"/>
                <w:sz w:val="16"/>
                <w:szCs w:val="16"/>
                <w:color w:val="auto"/>
                <w:w w:val="92"/>
              </w:rPr>
              <w:t>Elizabeth Rafael</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92"/>
        </w:trPr>
        <w:tc>
          <w:tcPr>
            <w:tcW w:w="1160" w:type="dxa"/>
            <w:vAlign w:val="bottom"/>
          </w:tcPr>
          <w:p>
            <w:pPr>
              <w:spacing w:after="0"/>
              <w:rPr>
                <w:sz w:val="24"/>
                <w:szCs w:val="24"/>
                <w:color w:val="auto"/>
              </w:rPr>
            </w:pP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/s/</w:t>
            </w:r>
          </w:p>
        </w:tc>
        <w:tc>
          <w:tcPr>
            <w:tcW w:w="2980" w:type="dxa"/>
            <w:vAlign w:val="bottom"/>
            <w:gridSpan w:val="4"/>
          </w:tcPr>
          <w:p>
            <w:pPr>
              <w:jc w:val="center"/>
              <w:ind w:right="1560"/>
              <w:spacing w:after="0"/>
              <w:rPr>
                <w:sz w:val="20"/>
                <w:szCs w:val="20"/>
                <w:color w:val="auto"/>
              </w:rPr>
            </w:pPr>
            <w:r>
              <w:rPr>
                <w:rFonts w:ascii="Arial" w:cs="Arial" w:eastAsia="Arial" w:hAnsi="Arial"/>
                <w:sz w:val="16"/>
                <w:szCs w:val="16"/>
                <w:color w:val="auto"/>
                <w:w w:val="97"/>
              </w:rPr>
              <w:t>STACY J. SMITH</w:t>
            </w:r>
          </w:p>
        </w:tc>
        <w:tc>
          <w:tcPr>
            <w:tcW w:w="4020" w:type="dxa"/>
            <w:vAlign w:val="bottom"/>
            <w:gridSpan w:val="3"/>
          </w:tcPr>
          <w:p>
            <w:pPr>
              <w:jc w:val="center"/>
              <w:ind w:left="719"/>
              <w:spacing w:after="0"/>
              <w:rPr>
                <w:sz w:val="20"/>
                <w:szCs w:val="20"/>
                <w:color w:val="auto"/>
              </w:rPr>
            </w:pPr>
            <w:r>
              <w:rPr>
                <w:rFonts w:ascii="Arial" w:cs="Arial" w:eastAsia="Arial" w:hAnsi="Arial"/>
                <w:sz w:val="16"/>
                <w:szCs w:val="16"/>
                <w:color w:val="auto"/>
                <w:w w:val="96"/>
              </w:rPr>
              <w:t>Director</w:t>
            </w:r>
          </w:p>
        </w:tc>
      </w:tr>
      <w:tr>
        <w:trPr>
          <w:trHeight w:val="33"/>
        </w:trPr>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7"/>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760"/>
              <w:spacing w:after="0"/>
              <w:rPr>
                <w:sz w:val="20"/>
                <w:szCs w:val="20"/>
                <w:color w:val="auto"/>
              </w:rPr>
            </w:pPr>
            <w:r>
              <w:rPr>
                <w:rFonts w:ascii="Arial" w:cs="Arial" w:eastAsia="Arial" w:hAnsi="Arial"/>
                <w:sz w:val="16"/>
                <w:szCs w:val="16"/>
                <w:color w:val="auto"/>
                <w:w w:val="89"/>
              </w:rPr>
              <w:t>Stacy J. Smith</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175260</wp:posOffset>
            </wp:positionV>
            <wp:extent cx="97790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9900"/>
        <w:spacing w:after="0"/>
        <w:rPr>
          <w:sz w:val="20"/>
          <w:szCs w:val="20"/>
          <w:color w:val="auto"/>
        </w:rPr>
      </w:pPr>
      <w:r>
        <w:rPr>
          <w:rFonts w:ascii="Arial" w:cs="Arial" w:eastAsia="Arial" w:hAnsi="Arial"/>
          <w:sz w:val="16"/>
          <w:szCs w:val="16"/>
          <w:i w:val="1"/>
          <w:iCs w:val="1"/>
          <w:color w:val="auto"/>
        </w:rPr>
        <w:t>2017 Form 10-K 113</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60" w:type="dxa"/>
            <w:vAlign w:val="bottom"/>
            <w:gridSpan w:val="3"/>
          </w:tcPr>
          <w:p>
            <w:pPr>
              <w:ind w:left="3760"/>
              <w:spacing w:after="0"/>
              <w:rPr>
                <w:sz w:val="20"/>
                <w:szCs w:val="20"/>
                <w:color w:val="auto"/>
              </w:rPr>
            </w:pPr>
            <w:r>
              <w:rPr>
                <w:rFonts w:ascii="Arial" w:cs="Arial" w:eastAsia="Arial" w:hAnsi="Arial"/>
                <w:sz w:val="18"/>
                <w:szCs w:val="18"/>
                <w:b w:val="1"/>
                <w:bCs w:val="1"/>
                <w:color w:val="auto"/>
              </w:rPr>
              <w:t>Index to Exhibits</w:t>
            </w:r>
          </w:p>
        </w:tc>
      </w:tr>
      <w:tr>
        <w:trPr>
          <w:trHeight w:val="486"/>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6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62"/>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 xml:space="preserve">Amended and Restated Certificate of Incorporation of Registrant </w:t>
            </w:r>
            <w:r>
              <w:rPr>
                <w:rFonts w:ascii="Arial" w:cs="Arial" w:eastAsia="Arial" w:hAnsi="Arial"/>
                <w:sz w:val="16"/>
                <w:szCs w:val="16"/>
                <w:i w:val="1"/>
                <w:iCs w:val="1"/>
                <w:color w:val="auto"/>
                <w:w w:val="92"/>
              </w:rPr>
              <w:t>(incorporated by reference to Exhibit 3.1 filed with the Registrant’s Annual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10-K for the fiscal year ended January 31, 2006)</w:t>
            </w:r>
          </w:p>
        </w:tc>
      </w:tr>
      <w:tr>
        <w:trPr>
          <w:trHeight w:val="374"/>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Amended and Restated Bylaws of Registrant (</w:t>
            </w:r>
            <w:r>
              <w:rPr>
                <w:rFonts w:ascii="Arial" w:cs="Arial" w:eastAsia="Arial" w:hAnsi="Arial"/>
                <w:sz w:val="16"/>
                <w:szCs w:val="16"/>
                <w:i w:val="1"/>
                <w:iCs w:val="1"/>
                <w:color w:val="auto"/>
                <w:w w:val="93"/>
              </w:rPr>
              <w:t>incorporated by reference to Exhibit 3.1 filed with the Registrant’s Current Report on Form 8-K filed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February 7, 2017</w:t>
            </w:r>
            <w:r>
              <w:rPr>
                <w:rFonts w:ascii="Arial" w:cs="Arial" w:eastAsia="Arial" w:hAnsi="Arial"/>
                <w:sz w:val="16"/>
                <w:szCs w:val="16"/>
                <w:color w:val="auto"/>
              </w:rPr>
              <w:t>)</w:t>
            </w:r>
          </w:p>
        </w:tc>
      </w:tr>
      <w:tr>
        <w:trPr>
          <w:trHeight w:val="374"/>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Indenture dated December 13, 2012, by and between Autodesk, Inc. and U.S. Bank National Association (</w:t>
            </w:r>
            <w:r>
              <w:rPr>
                <w:rFonts w:ascii="Arial" w:cs="Arial" w:eastAsia="Arial" w:hAnsi="Arial"/>
                <w:sz w:val="16"/>
                <w:szCs w:val="16"/>
                <w:i w:val="1"/>
                <w:iCs w:val="1"/>
                <w:color w:val="auto"/>
                <w:w w:val="92"/>
              </w:rPr>
              <w:t>incorporated by reference to Exhibit 4.1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with the Registrant's Current Report on Form 8-K filed on December 13, 2012</w:t>
            </w:r>
            <w:r>
              <w:rPr>
                <w:rFonts w:ascii="Arial" w:cs="Arial" w:eastAsia="Arial" w:hAnsi="Arial"/>
                <w:sz w:val="16"/>
                <w:szCs w:val="16"/>
                <w:color w:val="auto"/>
              </w:rPr>
              <w:t>)</w:t>
            </w:r>
          </w:p>
        </w:tc>
      </w:tr>
      <w:tr>
        <w:trPr>
          <w:trHeight w:val="415"/>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First Supplemental Indenture (including Form of Notes) dated December 13, 2012, by and between Autodesk, Inc. and U.S. Bank National Association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incorporated by reference to Exhibit 4.2 filed with the Registrant's Current Report on Form 8-K filed on December 13, 2012</w:t>
            </w:r>
            <w:r>
              <w:rPr>
                <w:rFonts w:ascii="Arial" w:cs="Arial" w:eastAsia="Arial" w:hAnsi="Arial"/>
                <w:sz w:val="16"/>
                <w:szCs w:val="16"/>
                <w:color w:val="auto"/>
              </w:rPr>
              <w:t>)</w:t>
            </w:r>
          </w:p>
        </w:tc>
      </w:tr>
      <w:tr>
        <w:trPr>
          <w:trHeight w:val="415"/>
        </w:trPr>
        <w:tc>
          <w:tcPr>
            <w:tcW w:w="700" w:type="dxa"/>
            <w:vAlign w:val="bottom"/>
          </w:tcPr>
          <w:p>
            <w:pPr>
              <w:jc w:val="right"/>
              <w:ind w:right="160"/>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Second Supplemental Indenture (including Form of Notes) dated June 5, 2015, by and between Autodesk, Inc. and U.S. Bank National</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Association </w:t>
            </w:r>
            <w:r>
              <w:rPr>
                <w:rFonts w:ascii="Arial" w:cs="Arial" w:eastAsia="Arial" w:hAnsi="Arial"/>
                <w:sz w:val="16"/>
                <w:szCs w:val="16"/>
                <w:i w:val="1"/>
                <w:iCs w:val="1"/>
                <w:color w:val="auto"/>
              </w:rPr>
              <w:t>(incorporated by reference to Exhibit 4.1 of the Registrant's Current Report on Form 8-K filed on June 8, 2015)</w:t>
            </w:r>
          </w:p>
        </w:tc>
      </w:tr>
      <w:tr>
        <w:trPr>
          <w:trHeight w:val="442"/>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Description of Registrant's Performance Stock Unit Program (</w:t>
            </w:r>
            <w:r>
              <w:rPr>
                <w:rFonts w:ascii="Arial" w:cs="Arial" w:eastAsia="Arial" w:hAnsi="Arial"/>
                <w:sz w:val="16"/>
                <w:szCs w:val="16"/>
                <w:i w:val="1"/>
                <w:iCs w:val="1"/>
                <w:color w:val="auto"/>
                <w:w w:val="93"/>
              </w:rPr>
              <w:t>incorporated by reference to Item 5.02 of the Registrant's Current Report on Form 8-K</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on March 15, 2016</w:t>
            </w:r>
            <w:r>
              <w:rPr>
                <w:rFonts w:ascii="Arial" w:cs="Arial" w:eastAsia="Arial" w:hAnsi="Arial"/>
                <w:sz w:val="16"/>
                <w:szCs w:val="16"/>
                <w:color w:val="auto"/>
              </w:rPr>
              <w:t>)</w:t>
            </w:r>
          </w:p>
        </w:tc>
      </w:tr>
      <w:tr>
        <w:trPr>
          <w:trHeight w:val="374"/>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 xml:space="preserve">Registrant’s 1998 Employee Qualified Stock Purchase Plan, as amended and restated effective as of October 1, 2016 </w:t>
            </w:r>
            <w:r>
              <w:rPr>
                <w:rFonts w:ascii="Arial" w:cs="Arial" w:eastAsia="Arial" w:hAnsi="Arial"/>
                <w:sz w:val="16"/>
                <w:szCs w:val="16"/>
                <w:i w:val="1"/>
                <w:iCs w:val="1"/>
                <w:color w:val="auto"/>
                <w:w w:val="93"/>
              </w:rPr>
              <w:t>(incorporated by reference to</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Exhibit 99.1 filed with the Registrant’s Registration Statement on Form S-8 filed on September 19, 2016)</w:t>
            </w:r>
          </w:p>
        </w:tc>
      </w:tr>
      <w:tr>
        <w:trPr>
          <w:trHeight w:val="374"/>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1998 Employee Qualified Stock Purchase Plan Forms of Subscription Agreement, as amended and restated (</w:t>
            </w:r>
            <w:r>
              <w:rPr>
                <w:rFonts w:ascii="Arial" w:cs="Arial" w:eastAsia="Arial" w:hAnsi="Arial"/>
                <w:sz w:val="16"/>
                <w:szCs w:val="16"/>
                <w:i w:val="1"/>
                <w:iCs w:val="1"/>
                <w:color w:val="auto"/>
                <w:w w:val="92"/>
              </w:rPr>
              <w:t>incorporated by reference to</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Exhibit 10.5 filed with the Registrant’s Quarterly Report on Form 10-Q for the fiscal quarter ended July 31, 2016</w:t>
            </w:r>
            <w:r>
              <w:rPr>
                <w:rFonts w:ascii="Arial" w:cs="Arial" w:eastAsia="Arial" w:hAnsi="Arial"/>
                <w:sz w:val="16"/>
                <w:szCs w:val="16"/>
                <w:color w:val="auto"/>
              </w:rPr>
              <w:t>)</w:t>
            </w:r>
          </w:p>
        </w:tc>
      </w:tr>
      <w:tr>
        <w:trPr>
          <w:trHeight w:val="374"/>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5"/>
              </w:rPr>
              <w:t>Registrant’s 2008 Employee Stock Plan, as amended and restated (</w:t>
            </w:r>
            <w:r>
              <w:rPr>
                <w:rFonts w:ascii="Arial" w:cs="Arial" w:eastAsia="Arial" w:hAnsi="Arial"/>
                <w:sz w:val="16"/>
                <w:szCs w:val="16"/>
                <w:i w:val="1"/>
                <w:iCs w:val="1"/>
                <w:color w:val="auto"/>
                <w:w w:val="95"/>
              </w:rPr>
              <w:t>incorporated by reference to Exhibit 10.2 filed with the Registrant’s Quarterly</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Report on Form 10-Q for the fiscal quarter ended July 31, 2010)</w:t>
            </w:r>
          </w:p>
        </w:tc>
      </w:tr>
      <w:tr>
        <w:trPr>
          <w:trHeight w:val="374"/>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2008 Employee Stock Plan Forms of Agreement (</w:t>
            </w:r>
            <w:r>
              <w:rPr>
                <w:rFonts w:ascii="Arial" w:cs="Arial" w:eastAsia="Arial" w:hAnsi="Arial"/>
                <w:sz w:val="16"/>
                <w:szCs w:val="16"/>
                <w:i w:val="1"/>
                <w:iCs w:val="1"/>
                <w:color w:val="auto"/>
                <w:w w:val="92"/>
              </w:rPr>
              <w:t>incorporated by reference to Exhibit 10.1 filed with the Registrant’s Quarterly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10-Q for the fiscal quarter ended April 30, 2008</w:t>
            </w:r>
            <w:r>
              <w:rPr>
                <w:rFonts w:ascii="Arial" w:cs="Arial" w:eastAsia="Arial" w:hAnsi="Arial"/>
                <w:sz w:val="16"/>
                <w:szCs w:val="16"/>
                <w:color w:val="auto"/>
              </w:rPr>
              <w:t>)</w:t>
            </w:r>
          </w:p>
        </w:tc>
      </w:tr>
      <w:tr>
        <w:trPr>
          <w:trHeight w:val="374"/>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Registrant’s 2008 Employee Stock Plan Form of Agreement (</w:t>
            </w:r>
            <w:r>
              <w:rPr>
                <w:rFonts w:ascii="Arial" w:cs="Arial" w:eastAsia="Arial" w:hAnsi="Arial"/>
                <w:sz w:val="16"/>
                <w:szCs w:val="16"/>
                <w:i w:val="1"/>
                <w:iCs w:val="1"/>
                <w:color w:val="auto"/>
                <w:w w:val="94"/>
              </w:rPr>
              <w:t>incorporated by reference to Exhibit 10.1 filed with the Registrant’s Current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8-K filed on February 6, 2009</w:t>
            </w:r>
            <w:r>
              <w:rPr>
                <w:rFonts w:ascii="Arial" w:cs="Arial" w:eastAsia="Arial" w:hAnsi="Arial"/>
                <w:sz w:val="16"/>
                <w:szCs w:val="16"/>
                <w:color w:val="auto"/>
              </w:rPr>
              <w:t>)</w:t>
            </w:r>
          </w:p>
        </w:tc>
      </w:tr>
      <w:tr>
        <w:trPr>
          <w:trHeight w:val="374"/>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9"/>
              </w:rPr>
              <w:t>Registrant’s 2008 Employee Stock Plan Forms of Restricted Stock Unit Agreements (</w:t>
            </w:r>
            <w:r>
              <w:rPr>
                <w:rFonts w:ascii="Arial" w:cs="Arial" w:eastAsia="Arial" w:hAnsi="Arial"/>
                <w:sz w:val="16"/>
                <w:szCs w:val="16"/>
                <w:i w:val="1"/>
                <w:iCs w:val="1"/>
                <w:color w:val="auto"/>
                <w:w w:val="99"/>
              </w:rPr>
              <w:t>incorporated by reference to Exhibit 10.2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June 18, 2008</w:t>
            </w:r>
            <w:r>
              <w:rPr>
                <w:rFonts w:ascii="Arial" w:cs="Arial" w:eastAsia="Arial" w:hAnsi="Arial"/>
                <w:sz w:val="16"/>
                <w:szCs w:val="16"/>
                <w:color w:val="auto"/>
              </w:rPr>
              <w:t>)</w:t>
            </w:r>
          </w:p>
        </w:tc>
      </w:tr>
      <w:tr>
        <w:trPr>
          <w:trHeight w:val="388"/>
        </w:trPr>
        <w:tc>
          <w:tcPr>
            <w:tcW w:w="700" w:type="dxa"/>
            <w:vAlign w:val="bottom"/>
          </w:tcPr>
          <w:p>
            <w:pPr>
              <w:jc w:val="right"/>
              <w:ind w:right="80"/>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8"/>
              </w:rPr>
              <w:t>Registrant’s 2008 Employee Stock Plan Forms of Agreement (non-U.S. Employees) (</w:t>
            </w:r>
            <w:r>
              <w:rPr>
                <w:rFonts w:ascii="Arial" w:cs="Arial" w:eastAsia="Arial" w:hAnsi="Arial"/>
                <w:sz w:val="16"/>
                <w:szCs w:val="16"/>
                <w:i w:val="1"/>
                <w:iCs w:val="1"/>
                <w:color w:val="auto"/>
                <w:w w:val="98"/>
              </w:rPr>
              <w:t>incorporated by reference to Exhibit 10.14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2009</w:t>
            </w: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1136015</wp:posOffset>
            </wp:positionV>
            <wp:extent cx="97790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Form 10-K 114</w:t>
      </w:r>
    </w:p>
    <w:p>
      <w:pPr>
        <w:sectPr>
          <w:pgSz w:w="11900" w:h="16838" w:orient="portrait"/>
          <w:cols w:equalWidth="0" w:num="1">
            <w:col w:w="11360"/>
          </w:cols>
          <w:pgMar w:left="240" w:top="125" w:right="2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40"/>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260" w:type="dxa"/>
            <w:vAlign w:val="bottom"/>
          </w:tcPr>
          <w:p>
            <w:pPr>
              <w:spacing w:after="0"/>
              <w:rPr>
                <w:sz w:val="20"/>
                <w:szCs w:val="20"/>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6"/>
              </w:rPr>
              <w:t>Registrant's 2012 Employee Stock Plan, as amended and restated (</w:t>
            </w:r>
            <w:r>
              <w:rPr>
                <w:rFonts w:ascii="Arial" w:cs="Arial" w:eastAsia="Arial" w:hAnsi="Arial"/>
                <w:sz w:val="16"/>
                <w:szCs w:val="16"/>
                <w:i w:val="1"/>
                <w:iCs w:val="1"/>
                <w:color w:val="auto"/>
                <w:w w:val="96"/>
              </w:rPr>
              <w:t>incorporated by reference to Exhibit 10.1 filed with the Registrant's Quarterly</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Report on Form 10-Q for the fiscal quarter ended July 31, 2016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2012 Employee Stock Plan Form of Restricted Stock Unit Agreement, as amended and restated (</w:t>
            </w:r>
            <w:r>
              <w:rPr>
                <w:rFonts w:ascii="Arial" w:cs="Arial" w:eastAsia="Arial" w:hAnsi="Arial"/>
                <w:sz w:val="16"/>
                <w:szCs w:val="16"/>
                <w:i w:val="1"/>
                <w:iCs w:val="1"/>
                <w:color w:val="auto"/>
                <w:w w:val="92"/>
              </w:rPr>
              <w:t>incorporated by reference to Exhibit 10.2</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with the Registrant's Quarterly Report on Form 10-Q for the fiscal quarter ended July 31, 2016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2012 Employee Stock Plan Form of Severance Restricted Stock Unit Agreement, as amended and restated (</w:t>
            </w:r>
            <w:r>
              <w:rPr>
                <w:rFonts w:ascii="Arial" w:cs="Arial" w:eastAsia="Arial" w:hAnsi="Arial"/>
                <w:sz w:val="16"/>
                <w:szCs w:val="16"/>
                <w:i w:val="1"/>
                <w:iCs w:val="1"/>
                <w:color w:val="auto"/>
                <w:w w:val="92"/>
              </w:rPr>
              <w:t>incorporated by reference to</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Exhibit 10.3 filed with the Registrant's Quarterly Report on Form 10-Q for the fiscal quarter ended July 31, 2016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Registrant's 2012 Employee Stock Plan Form of Stock Option Agreement (</w:t>
            </w:r>
            <w:r>
              <w:rPr>
                <w:rFonts w:ascii="Arial" w:cs="Arial" w:eastAsia="Arial" w:hAnsi="Arial"/>
                <w:sz w:val="16"/>
                <w:szCs w:val="16"/>
                <w:i w:val="1"/>
                <w:iCs w:val="1"/>
                <w:color w:val="auto"/>
                <w:w w:val="92"/>
              </w:rPr>
              <w:t>incorporated by reference to Exhibit 10.2 filed with the Registrant's Current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 xml:space="preserve">Registrant's 2012 Employee Stock Plan Form of Stock Option Agreement (non-U.S. Employees) </w:t>
            </w:r>
            <w:r>
              <w:rPr>
                <w:rFonts w:ascii="Arial" w:cs="Arial" w:eastAsia="Arial" w:hAnsi="Arial"/>
                <w:sz w:val="16"/>
                <w:szCs w:val="16"/>
                <w:i w:val="1"/>
                <w:iCs w:val="1"/>
                <w:color w:val="auto"/>
                <w:w w:val="93"/>
              </w:rPr>
              <w:t>(incorporated by reference to Exhibit 10.4 filed with</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the Registrant's 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4"/>
              </w:rPr>
              <w:t>Amendments to certain stock option agreements (</w:t>
            </w:r>
            <w:r>
              <w:rPr>
                <w:rFonts w:ascii="Arial" w:cs="Arial" w:eastAsia="Arial" w:hAnsi="Arial"/>
                <w:sz w:val="16"/>
                <w:szCs w:val="16"/>
                <w:i w:val="1"/>
                <w:iCs w:val="1"/>
                <w:color w:val="auto"/>
                <w:w w:val="94"/>
              </w:rPr>
              <w:t>incorporated by reference to Exhibit 10.16 filed with the Registrant’s Annual Report on Form 10-K</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 the fiscal year ended January 31,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Registrant’s 2010 Outside Directors’ Stock Plan (</w:t>
            </w:r>
            <w:r>
              <w:rPr>
                <w:rFonts w:ascii="Arial" w:cs="Arial" w:eastAsia="Arial" w:hAnsi="Arial"/>
                <w:sz w:val="16"/>
                <w:szCs w:val="16"/>
                <w:i w:val="1"/>
                <w:iCs w:val="1"/>
                <w:color w:val="auto"/>
                <w:w w:val="93"/>
              </w:rPr>
              <w:t>incorporated by reference to Exhibit 10.1 filed with the Registrant’s Current Report on Form 8-K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on June 16, 2009</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Registrant’s 2010 Outside Directors’ Stock Plan Form of Stock Option Agreement (</w:t>
            </w:r>
            <w:r>
              <w:rPr>
                <w:rFonts w:ascii="Arial" w:cs="Arial" w:eastAsia="Arial" w:hAnsi="Arial"/>
                <w:sz w:val="16"/>
                <w:szCs w:val="16"/>
                <w:i w:val="1"/>
                <w:iCs w:val="1"/>
                <w:color w:val="auto"/>
                <w:w w:val="93"/>
              </w:rPr>
              <w:t>incorporated by reference to Exhibit 10.1 filed with the Registrant’s</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Current Report on Form 8-K filed on March 31, 2010</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4"/>
              </w:rPr>
              <w:t>Registrant’s 2010 Outside Directors’ Stock Plan Form of Restricted Stock Award Agreement (</w:t>
            </w:r>
            <w:r>
              <w:rPr>
                <w:rFonts w:ascii="Arial" w:cs="Arial" w:eastAsia="Arial" w:hAnsi="Arial"/>
                <w:sz w:val="16"/>
                <w:szCs w:val="16"/>
                <w:i w:val="1"/>
                <w:iCs w:val="1"/>
                <w:color w:val="auto"/>
                <w:w w:val="94"/>
              </w:rPr>
              <w:t>incorporated by reference to Exhibit 10.2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March 31, 2010</w:t>
            </w:r>
            <w:r>
              <w:rPr>
                <w:rFonts w:ascii="Arial" w:cs="Arial" w:eastAsia="Arial" w:hAnsi="Arial"/>
                <w:sz w:val="16"/>
                <w:szCs w:val="16"/>
                <w:color w:val="auto"/>
              </w:rPr>
              <w:t>)</w:t>
            </w:r>
          </w:p>
        </w:tc>
      </w:tr>
      <w:tr>
        <w:trPr>
          <w:trHeight w:val="392"/>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rPr>
              <w:t xml:space="preserve">Registrant's 2012 Outside Directors' Stock Plan, as amended and restated </w:t>
            </w:r>
            <w:r>
              <w:rPr>
                <w:rFonts w:ascii="Arial" w:cs="Arial" w:eastAsia="Arial" w:hAnsi="Arial"/>
                <w:sz w:val="16"/>
                <w:szCs w:val="16"/>
                <w:i w:val="1"/>
                <w:iCs w:val="1"/>
                <w:color w:val="auto"/>
              </w:rPr>
              <w:t>(filed herewith)</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5"/>
              </w:rPr>
              <w:t xml:space="preserve">Registrant's 2012 Outside Directors' Stock Plan Form of Restricted Stock Unit Agreement </w:t>
            </w:r>
            <w:r>
              <w:rPr>
                <w:rFonts w:ascii="Arial" w:cs="Arial" w:eastAsia="Arial" w:hAnsi="Arial"/>
                <w:sz w:val="16"/>
                <w:szCs w:val="16"/>
                <w:i w:val="1"/>
                <w:iCs w:val="1"/>
                <w:color w:val="auto"/>
                <w:w w:val="95"/>
              </w:rPr>
              <w:t>(incorporated by reference to Exhibit 10.5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March 13, 2012)</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1"/>
              </w:rPr>
              <w:t>Registrant’s Executive Incentive Plan, as amended and restated (</w:t>
            </w:r>
            <w:r>
              <w:rPr>
                <w:rFonts w:ascii="Arial" w:cs="Arial" w:eastAsia="Arial" w:hAnsi="Arial"/>
                <w:sz w:val="16"/>
                <w:szCs w:val="16"/>
                <w:i w:val="1"/>
                <w:iCs w:val="1"/>
                <w:color w:val="auto"/>
                <w:w w:val="91"/>
              </w:rPr>
              <w:t>incorporated by reference to Exhibit 10.23 filed with the Registrant’s Annual Report on</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Form 10-K for the fiscal year ended January 31, 2016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 xml:space="preserve">Registrant’s 2005 Non-Qualified Deferred Compensation Plan, as amended and restated, effective as of January 1, 2010 </w:t>
            </w:r>
            <w:r>
              <w:rPr>
                <w:rFonts w:ascii="Arial" w:cs="Arial" w:eastAsia="Arial" w:hAnsi="Arial"/>
                <w:sz w:val="16"/>
                <w:szCs w:val="16"/>
                <w:i w:val="1"/>
                <w:iCs w:val="1"/>
                <w:color w:val="auto"/>
                <w:w w:val="92"/>
              </w:rPr>
              <w:t>(incorporated by reference to</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Exhibit 10.1 filed with the Registrant’s Quarterly Report on Form 10-Q for the fiscal quarter ended October 31, 2009)</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10.22*</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Participants, target awards and payout formulas for fiscal year 2017 under the Registrant's Executive Incentive Plan (</w:t>
            </w:r>
            <w:r>
              <w:rPr>
                <w:rFonts w:ascii="Arial" w:cs="Arial" w:eastAsia="Arial" w:hAnsi="Arial"/>
                <w:sz w:val="16"/>
                <w:szCs w:val="16"/>
                <w:i w:val="1"/>
                <w:iCs w:val="1"/>
                <w:color w:val="auto"/>
                <w:w w:val="92"/>
              </w:rPr>
              <w:t>incorporated by reference to Item</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5.02 of the Registrant's Current Report on Form 8-K filed on March 15, 2016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10.23*</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Executive Change in Control Program, as amended and restated (</w:t>
            </w:r>
            <w:r>
              <w:rPr>
                <w:rFonts w:ascii="Arial" w:cs="Arial" w:eastAsia="Arial" w:hAnsi="Arial"/>
                <w:sz w:val="16"/>
                <w:szCs w:val="16"/>
                <w:i w:val="1"/>
                <w:iCs w:val="1"/>
                <w:color w:val="auto"/>
                <w:w w:val="93"/>
              </w:rPr>
              <w:t>incorporated by reference to Exhibit 10.1 filed with the Registrant’s Current Report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on Form 8-K filed on December 21, 2016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10.24*</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1"/>
              </w:rPr>
              <w:t>Sub-Plan of the Autodesk, Inc. 1998 Employee Qualified Stock Purchase Plan, as amended and restated (</w:t>
            </w:r>
            <w:r>
              <w:rPr>
                <w:rFonts w:ascii="Arial" w:cs="Arial" w:eastAsia="Arial" w:hAnsi="Arial"/>
                <w:sz w:val="16"/>
                <w:szCs w:val="16"/>
                <w:i w:val="1"/>
                <w:iCs w:val="1"/>
                <w:color w:val="auto"/>
                <w:w w:val="91"/>
              </w:rPr>
              <w:t>incorporated by reference to Exhibit 99.2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with the Registrant’s Registration Statement on Form S-8 filed on September 19, 2016</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10.25*</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4"/>
              </w:rPr>
              <w:t>Form of Indemnification Agreement executed by the Registrant and each of its officers and directors (</w:t>
            </w:r>
            <w:r>
              <w:rPr>
                <w:rFonts w:ascii="Arial" w:cs="Arial" w:eastAsia="Arial" w:hAnsi="Arial"/>
                <w:sz w:val="16"/>
                <w:szCs w:val="16"/>
                <w:i w:val="1"/>
                <w:iCs w:val="1"/>
                <w:color w:val="auto"/>
                <w:w w:val="94"/>
              </w:rPr>
              <w:t>incorporated by reference to Exhibit 10.8 filed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with the Registrant’s Annual Report on Form 10-K for the fiscal year ended January 31, 2005</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10.26*</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3"/>
              </w:rPr>
              <w:t>Third Amended and Restated Employment Agreement between Registrant and Carl Bass dated March 21, 2013 (</w:t>
            </w:r>
            <w:r>
              <w:rPr>
                <w:rFonts w:ascii="Arial" w:cs="Arial" w:eastAsia="Arial" w:hAnsi="Arial"/>
                <w:sz w:val="16"/>
                <w:szCs w:val="16"/>
                <w:i w:val="1"/>
                <w:iCs w:val="1"/>
                <w:color w:val="auto"/>
                <w:w w:val="93"/>
              </w:rPr>
              <w:t>incorporated by reference to Exhibit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10.1 filed with the Registrant’s Current Report on Form 8-K filed on March 25, 2013</w:t>
            </w:r>
            <w:r>
              <w:rPr>
                <w:rFonts w:ascii="Arial" w:cs="Arial" w:eastAsia="Arial" w:hAnsi="Arial"/>
                <w:sz w:val="16"/>
                <w:szCs w:val="16"/>
                <w:color w:val="auto"/>
              </w:rPr>
              <w:t>)</w:t>
            </w:r>
          </w:p>
        </w:tc>
      </w:tr>
      <w:tr>
        <w:trPr>
          <w:trHeight w:val="374"/>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10.27*</w:t>
            </w:r>
          </w:p>
        </w:tc>
        <w:tc>
          <w:tcPr>
            <w:tcW w:w="260" w:type="dxa"/>
            <w:vAlign w:val="bottom"/>
          </w:tcPr>
          <w:p>
            <w:pPr>
              <w:spacing w:after="0"/>
              <w:rPr>
                <w:sz w:val="24"/>
                <w:szCs w:val="24"/>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color w:val="auto"/>
                <w:w w:val="92"/>
              </w:rPr>
              <w:t>R. Scott Herren Offer Letter dated September 23, 2014 (</w:t>
            </w:r>
            <w:r>
              <w:rPr>
                <w:rFonts w:ascii="Arial" w:cs="Arial" w:eastAsia="Arial" w:hAnsi="Arial"/>
                <w:sz w:val="16"/>
                <w:szCs w:val="16"/>
                <w:i w:val="1"/>
                <w:iCs w:val="1"/>
                <w:color w:val="auto"/>
                <w:w w:val="92"/>
              </w:rPr>
              <w:t>incorporated by reference to Exhibit 10.1 filed with the Registrant's Quarterly Report on Form</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
          </w:tcPr>
          <w:p>
            <w:pPr>
              <w:ind w:left="240"/>
              <w:spacing w:after="0"/>
              <w:rPr>
                <w:sz w:val="20"/>
                <w:szCs w:val="20"/>
                <w:color w:val="auto"/>
              </w:rPr>
            </w:pPr>
            <w:r>
              <w:rPr>
                <w:rFonts w:ascii="Arial" w:cs="Arial" w:eastAsia="Arial" w:hAnsi="Arial"/>
                <w:sz w:val="16"/>
                <w:szCs w:val="16"/>
                <w:i w:val="1"/>
                <w:iCs w:val="1"/>
                <w:color w:val="auto"/>
              </w:rPr>
              <w:t>10-Q for the fiscal quarter ended October 31, 2014</w:t>
            </w: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175260</wp:posOffset>
            </wp:positionV>
            <wp:extent cx="97790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115</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6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62"/>
        </w:trPr>
        <w:tc>
          <w:tcPr>
            <w:tcW w:w="700" w:type="dxa"/>
            <w:vAlign w:val="bottom"/>
          </w:tcPr>
          <w:p>
            <w:pPr>
              <w:jc w:val="center"/>
              <w:ind w:left="59"/>
              <w:spacing w:after="0"/>
              <w:rPr>
                <w:sz w:val="20"/>
                <w:szCs w:val="20"/>
                <w:color w:val="auto"/>
              </w:rPr>
            </w:pPr>
            <w:r>
              <w:rPr>
                <w:rFonts w:ascii="Arial" w:cs="Arial" w:eastAsia="Arial" w:hAnsi="Arial"/>
                <w:sz w:val="16"/>
                <w:szCs w:val="16"/>
                <w:color w:val="auto"/>
                <w:w w:val="95"/>
              </w:rPr>
              <w:t>10.28*</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Registrant’s Equity Incentive Deferral Plan as amended and restated effective as of June 12, 2008 (</w:t>
            </w:r>
            <w:r>
              <w:rPr>
                <w:rFonts w:ascii="Arial" w:cs="Arial" w:eastAsia="Arial" w:hAnsi="Arial"/>
                <w:sz w:val="16"/>
                <w:szCs w:val="16"/>
                <w:i w:val="1"/>
                <w:iCs w:val="1"/>
                <w:color w:val="auto"/>
                <w:w w:val="92"/>
              </w:rPr>
              <w:t>incorporated by reference to Exhibit 10.4 filed with</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the Registrant’s Quarterly Report on Form 10-Q for the fiscal quarter ended July 31, 2008</w:t>
            </w:r>
            <w:r>
              <w:rPr>
                <w:rFonts w:ascii="Arial" w:cs="Arial" w:eastAsia="Arial" w:hAnsi="Arial"/>
                <w:sz w:val="16"/>
                <w:szCs w:val="16"/>
                <w:color w:val="auto"/>
              </w:rPr>
              <w:t>)</w:t>
            </w:r>
          </w:p>
        </w:tc>
      </w:tr>
      <w:tr>
        <w:trPr>
          <w:trHeight w:val="374"/>
        </w:trPr>
        <w:tc>
          <w:tcPr>
            <w:tcW w:w="700" w:type="dxa"/>
            <w:vAlign w:val="bottom"/>
          </w:tcPr>
          <w:p>
            <w:pPr>
              <w:ind w:left="180"/>
              <w:spacing w:after="0"/>
              <w:rPr>
                <w:sz w:val="20"/>
                <w:szCs w:val="20"/>
                <w:color w:val="auto"/>
              </w:rPr>
            </w:pPr>
            <w:r>
              <w:rPr>
                <w:rFonts w:ascii="Arial" w:cs="Arial" w:eastAsia="Arial" w:hAnsi="Arial"/>
                <w:sz w:val="16"/>
                <w:szCs w:val="16"/>
                <w:color w:val="auto"/>
              </w:rPr>
              <w:t>10.29*</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3"/>
              </w:rPr>
              <w:t xml:space="preserve">Amendment to Registrant's Equity Incentive Deferral Plan effective as of February 17, 2012 </w:t>
            </w:r>
            <w:r>
              <w:rPr>
                <w:rFonts w:ascii="Arial" w:cs="Arial" w:eastAsia="Arial" w:hAnsi="Arial"/>
                <w:sz w:val="16"/>
                <w:szCs w:val="16"/>
                <w:i w:val="1"/>
                <w:iCs w:val="1"/>
                <w:color w:val="auto"/>
                <w:w w:val="93"/>
              </w:rPr>
              <w:t>(incorporated by reference to Exhibit 10.37 filed with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Annual Report on Form 10-K for the fiscal year ended January 31, 2012)</w:t>
            </w:r>
          </w:p>
        </w:tc>
      </w:tr>
      <w:tr>
        <w:trPr>
          <w:trHeight w:val="374"/>
        </w:trPr>
        <w:tc>
          <w:tcPr>
            <w:tcW w:w="700" w:type="dxa"/>
            <w:vAlign w:val="bottom"/>
          </w:tcPr>
          <w:p>
            <w:pPr>
              <w:ind w:left="180"/>
              <w:spacing w:after="0"/>
              <w:rPr>
                <w:sz w:val="20"/>
                <w:szCs w:val="20"/>
                <w:color w:val="auto"/>
              </w:rPr>
            </w:pPr>
            <w:r>
              <w:rPr>
                <w:rFonts w:ascii="Arial" w:cs="Arial" w:eastAsia="Arial" w:hAnsi="Arial"/>
                <w:sz w:val="16"/>
                <w:szCs w:val="16"/>
                <w:color w:val="auto"/>
              </w:rPr>
              <w:t>10.30</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1"/>
              </w:rPr>
              <w:t xml:space="preserve">Office Lease between Registrant and the J.H.S. Trust for 111 McInnis Parkway, San Rafael, CA, as amended </w:t>
            </w:r>
            <w:r>
              <w:rPr>
                <w:rFonts w:ascii="Arial" w:cs="Arial" w:eastAsia="Arial" w:hAnsi="Arial"/>
                <w:sz w:val="16"/>
                <w:szCs w:val="16"/>
                <w:i w:val="1"/>
                <w:iCs w:val="1"/>
                <w:color w:val="auto"/>
                <w:w w:val="91"/>
              </w:rPr>
              <w:t>(incorporated by reference to Exhibit 10.1</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with the Registrant’s Quarterly Report on Form 10-Q for the fiscal quarter ended October 31, 2004)</w:t>
            </w:r>
          </w:p>
        </w:tc>
      </w:tr>
      <w:tr>
        <w:trPr>
          <w:trHeight w:val="374"/>
        </w:trPr>
        <w:tc>
          <w:tcPr>
            <w:tcW w:w="700" w:type="dxa"/>
            <w:vAlign w:val="bottom"/>
          </w:tcPr>
          <w:p>
            <w:pPr>
              <w:jc w:val="center"/>
              <w:ind w:left="59"/>
              <w:spacing w:after="0"/>
              <w:rPr>
                <w:sz w:val="20"/>
                <w:szCs w:val="20"/>
                <w:color w:val="auto"/>
              </w:rPr>
            </w:pPr>
            <w:r>
              <w:rPr>
                <w:rFonts w:ascii="Arial" w:cs="Arial" w:eastAsia="Arial" w:hAnsi="Arial"/>
                <w:sz w:val="16"/>
                <w:szCs w:val="16"/>
                <w:color w:val="auto"/>
                <w:w w:val="89"/>
              </w:rPr>
              <w:t>10.31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 xml:space="preserve">Fourth Amendment to Lease between Registrant and the J.H.S. Holdings L.P. for 111 McInnis Parkway, San Rafael, CA </w:t>
            </w:r>
            <w:r>
              <w:rPr>
                <w:rFonts w:ascii="Arial" w:cs="Arial" w:eastAsia="Arial" w:hAnsi="Arial"/>
                <w:sz w:val="16"/>
                <w:szCs w:val="16"/>
                <w:i w:val="1"/>
                <w:iCs w:val="1"/>
                <w:color w:val="auto"/>
                <w:w w:val="92"/>
              </w:rPr>
              <w:t>(incorporated by reference to</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Exhibit 10.30 filed with the Registrant’s Annual Report on Form 10-K for the fiscal year ended January 31, 2010)</w:t>
            </w:r>
          </w:p>
        </w:tc>
      </w:tr>
      <w:tr>
        <w:trPr>
          <w:trHeight w:val="374"/>
        </w:trPr>
        <w:tc>
          <w:tcPr>
            <w:tcW w:w="700" w:type="dxa"/>
            <w:vAlign w:val="bottom"/>
          </w:tcPr>
          <w:p>
            <w:pPr>
              <w:jc w:val="center"/>
              <w:ind w:left="59"/>
              <w:spacing w:after="0"/>
              <w:rPr>
                <w:sz w:val="20"/>
                <w:szCs w:val="20"/>
                <w:color w:val="auto"/>
              </w:rPr>
            </w:pPr>
            <w:r>
              <w:rPr>
                <w:rFonts w:ascii="Arial" w:cs="Arial" w:eastAsia="Arial" w:hAnsi="Arial"/>
                <w:sz w:val="16"/>
                <w:szCs w:val="16"/>
                <w:color w:val="auto"/>
                <w:w w:val="89"/>
              </w:rPr>
              <w:t>10.32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Amended and Restated Credit Agreement, dated as of May 29, 2015, by and among the Registrant, the lenders from time to time party thereto and</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7"/>
              </w:rPr>
              <w:t xml:space="preserve">Citibank, N.A. as agent </w:t>
            </w:r>
            <w:r>
              <w:rPr>
                <w:rFonts w:ascii="Arial" w:cs="Arial" w:eastAsia="Arial" w:hAnsi="Arial"/>
                <w:sz w:val="16"/>
                <w:szCs w:val="16"/>
                <w:i w:val="1"/>
                <w:iCs w:val="1"/>
                <w:color w:val="auto"/>
                <w:w w:val="97"/>
              </w:rPr>
              <w:t>(incorporated by reference to Exhibit 10.1 filed with the Registrant's Current Report on Form 8-K filed on May 29, 2015)</w:t>
            </w:r>
          </w:p>
        </w:tc>
      </w:tr>
      <w:tr>
        <w:trPr>
          <w:trHeight w:val="374"/>
        </w:trPr>
        <w:tc>
          <w:tcPr>
            <w:tcW w:w="700" w:type="dxa"/>
            <w:vAlign w:val="bottom"/>
          </w:tcPr>
          <w:p>
            <w:pPr>
              <w:ind w:left="180"/>
              <w:spacing w:after="0"/>
              <w:rPr>
                <w:sz w:val="20"/>
                <w:szCs w:val="20"/>
                <w:color w:val="auto"/>
              </w:rPr>
            </w:pPr>
            <w:r>
              <w:rPr>
                <w:rFonts w:ascii="Arial" w:cs="Arial" w:eastAsia="Arial" w:hAnsi="Arial"/>
                <w:sz w:val="16"/>
                <w:szCs w:val="16"/>
                <w:color w:val="auto"/>
              </w:rPr>
              <w:t>10.33</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1"/>
              </w:rPr>
              <w:t>Letter Waiver, dated as of January 18, 2017, to the Amended and Restated Credit Agreement, dated as of May 29, 2015, by and among the Registrant,</w:t>
            </w:r>
          </w:p>
        </w:tc>
      </w:tr>
      <w:tr>
        <w:trPr>
          <w:trHeight w:val="203"/>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4"/>
              </w:rPr>
              <w:t>the lenders from time to time party thereto and Citibank, N.A. as agent (</w:t>
            </w:r>
            <w:r>
              <w:rPr>
                <w:rFonts w:ascii="Arial" w:cs="Arial" w:eastAsia="Arial" w:hAnsi="Arial"/>
                <w:sz w:val="16"/>
                <w:szCs w:val="16"/>
                <w:i w:val="1"/>
                <w:iCs w:val="1"/>
                <w:color w:val="auto"/>
                <w:w w:val="94"/>
              </w:rPr>
              <w:t>incorporated by reference to Exhibit 10.1 filed with the Registrant's Current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Report on Form 8-K filed on January 19, 2017)</w:t>
            </w:r>
          </w:p>
        </w:tc>
      </w:tr>
      <w:tr>
        <w:trPr>
          <w:trHeight w:val="374"/>
        </w:trPr>
        <w:tc>
          <w:tcPr>
            <w:tcW w:w="700" w:type="dxa"/>
            <w:vAlign w:val="bottom"/>
          </w:tcPr>
          <w:p>
            <w:pPr>
              <w:ind w:left="180"/>
              <w:spacing w:after="0"/>
              <w:rPr>
                <w:sz w:val="20"/>
                <w:szCs w:val="20"/>
                <w:color w:val="auto"/>
              </w:rPr>
            </w:pPr>
            <w:r>
              <w:rPr>
                <w:rFonts w:ascii="Arial" w:cs="Arial" w:eastAsia="Arial" w:hAnsi="Arial"/>
                <w:sz w:val="16"/>
                <w:szCs w:val="16"/>
                <w:color w:val="auto"/>
              </w:rPr>
              <w:t>10.34</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1"/>
              </w:rPr>
              <w:t>Agreement, dated March 10, 2016, by and among the Registrant, Sachem Head Capital Management LP, Uncas GP LLC, and Sachem Head GP LLC.</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incorporated by reference to Exhibit 99.1 filed with the Registrant’s Current Report on Form 8-K filed on March 11, 2016</w:t>
            </w:r>
            <w:r>
              <w:rPr>
                <w:rFonts w:ascii="Arial" w:cs="Arial" w:eastAsia="Arial" w:hAnsi="Arial"/>
                <w:sz w:val="16"/>
                <w:szCs w:val="16"/>
                <w:color w:val="auto"/>
              </w:rPr>
              <w:t>)</w:t>
            </w:r>
          </w:p>
        </w:tc>
      </w:tr>
      <w:tr>
        <w:trPr>
          <w:trHeight w:val="374"/>
        </w:trPr>
        <w:tc>
          <w:tcPr>
            <w:tcW w:w="700" w:type="dxa"/>
            <w:vAlign w:val="bottom"/>
          </w:tcPr>
          <w:p>
            <w:pPr>
              <w:ind w:left="180"/>
              <w:spacing w:after="0"/>
              <w:rPr>
                <w:sz w:val="20"/>
                <w:szCs w:val="20"/>
                <w:color w:val="auto"/>
              </w:rPr>
            </w:pPr>
            <w:r>
              <w:rPr>
                <w:rFonts w:ascii="Arial" w:cs="Arial" w:eastAsia="Arial" w:hAnsi="Arial"/>
                <w:sz w:val="16"/>
                <w:szCs w:val="16"/>
                <w:color w:val="auto"/>
              </w:rPr>
              <w:t>10.35</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Agreement, dated March 10, 2016, by and among the Registrant, Eminence Capital, LP, and Eminence GP, LLC. (</w:t>
            </w:r>
            <w:r>
              <w:rPr>
                <w:rFonts w:ascii="Arial" w:cs="Arial" w:eastAsia="Arial" w:hAnsi="Arial"/>
                <w:sz w:val="16"/>
                <w:szCs w:val="16"/>
                <w:i w:val="1"/>
                <w:iCs w:val="1"/>
                <w:color w:val="auto"/>
                <w:w w:val="92"/>
              </w:rPr>
              <w:t>incorporated by reference to Exhibit</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99.2 filed with the Registrant’s Current Report on Form 8-K filed on March 11, 2016</w:t>
            </w:r>
            <w:r>
              <w:rPr>
                <w:rFonts w:ascii="Arial" w:cs="Arial" w:eastAsia="Arial" w:hAnsi="Arial"/>
                <w:sz w:val="16"/>
                <w:szCs w:val="16"/>
                <w:color w:val="auto"/>
              </w:rPr>
              <w:t>)</w:t>
            </w:r>
          </w:p>
        </w:tc>
      </w:tr>
      <w:tr>
        <w:trPr>
          <w:trHeight w:val="428"/>
        </w:trPr>
        <w:tc>
          <w:tcPr>
            <w:tcW w:w="700" w:type="dxa"/>
            <w:vAlign w:val="bottom"/>
          </w:tcPr>
          <w:p>
            <w:pPr>
              <w:ind w:left="180"/>
              <w:spacing w:after="0"/>
              <w:rPr>
                <w:sz w:val="20"/>
                <w:szCs w:val="20"/>
                <w:color w:val="auto"/>
              </w:rPr>
            </w:pPr>
            <w:r>
              <w:rPr>
                <w:rFonts w:ascii="Arial" w:cs="Arial" w:eastAsia="Arial" w:hAnsi="Arial"/>
                <w:sz w:val="16"/>
                <w:szCs w:val="16"/>
                <w:color w:val="auto"/>
              </w:rPr>
              <w:t>10.36</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0"/>
              </w:rPr>
              <w:t>Agreement, dated February 6, 2017, by and among the Registrant, Sachem Head Capital Management LP, Uncas GP LLC, and Sachem Head GP LLC.</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(incorporated by reference to Exhibit 99.1 filed with the Registrant’s Current Report on Form 8-K filed on February 7, 2017)</w:t>
            </w:r>
          </w:p>
        </w:tc>
      </w:tr>
      <w:tr>
        <w:trPr>
          <w:trHeight w:val="469"/>
        </w:trPr>
        <w:tc>
          <w:tcPr>
            <w:tcW w:w="700" w:type="dxa"/>
            <w:vAlign w:val="bottom"/>
          </w:tcPr>
          <w:p>
            <w:pPr>
              <w:ind w:left="140"/>
              <w:spacing w:after="0"/>
              <w:rPr>
                <w:sz w:val="20"/>
                <w:szCs w:val="20"/>
                <w:color w:val="auto"/>
              </w:rPr>
            </w:pPr>
            <w:r>
              <w:rPr>
                <w:rFonts w:ascii="Arial" w:cs="Arial" w:eastAsia="Arial" w:hAnsi="Arial"/>
                <w:sz w:val="16"/>
                <w:szCs w:val="16"/>
                <w:color w:val="auto"/>
              </w:rPr>
              <w:t>10.37*</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1"/>
              </w:rPr>
              <w:t xml:space="preserve">Transition and Separation Agreement, dated February 6, 2017, by and between the Company and Carl Bass </w:t>
            </w:r>
            <w:r>
              <w:rPr>
                <w:rFonts w:ascii="Arial" w:cs="Arial" w:eastAsia="Arial" w:hAnsi="Arial"/>
                <w:sz w:val="16"/>
                <w:szCs w:val="16"/>
                <w:i w:val="1"/>
                <w:iCs w:val="1"/>
                <w:color w:val="auto"/>
                <w:w w:val="91"/>
              </w:rPr>
              <w:t>(incorporated by reference to Exhibit 10.1</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with the Registrant’s Current Report on Form 8-K filed on February 7, 2017)</w:t>
            </w:r>
          </w:p>
        </w:tc>
      </w:tr>
      <w:tr>
        <w:trPr>
          <w:trHeight w:val="378"/>
        </w:trPr>
        <w:tc>
          <w:tcPr>
            <w:tcW w:w="700" w:type="dxa"/>
            <w:vAlign w:val="bottom"/>
          </w:tcPr>
          <w:p>
            <w:pPr>
              <w:jc w:val="center"/>
              <w:ind w:left="59"/>
              <w:spacing w:after="0"/>
              <w:rPr>
                <w:sz w:val="20"/>
                <w:szCs w:val="20"/>
                <w:color w:val="auto"/>
              </w:rPr>
            </w:pPr>
            <w:r>
              <w:rPr>
                <w:rFonts w:ascii="Arial" w:cs="Arial" w:eastAsia="Arial" w:hAnsi="Arial"/>
                <w:sz w:val="16"/>
                <w:szCs w:val="16"/>
                <w:color w:val="auto"/>
                <w:w w:val="89"/>
              </w:rPr>
              <w:t>21.1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List of Subsidiaries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59"/>
              <w:spacing w:after="0"/>
              <w:rPr>
                <w:sz w:val="20"/>
                <w:szCs w:val="20"/>
                <w:color w:val="auto"/>
              </w:rPr>
            </w:pPr>
            <w:r>
              <w:rPr>
                <w:rFonts w:ascii="Arial" w:cs="Arial" w:eastAsia="Arial" w:hAnsi="Arial"/>
                <w:sz w:val="16"/>
                <w:szCs w:val="16"/>
                <w:color w:val="auto"/>
                <w:w w:val="89"/>
              </w:rPr>
              <w:t>23.1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Consent of Independent Registered Public Accounting Firm (Ernst &amp; Young LLP) </w:t>
            </w:r>
            <w:r>
              <w:rPr>
                <w:rFonts w:ascii="Arial" w:cs="Arial" w:eastAsia="Arial" w:hAnsi="Arial"/>
                <w:sz w:val="16"/>
                <w:szCs w:val="16"/>
                <w:i w:val="1"/>
                <w:iCs w:val="1"/>
                <w:color w:val="auto"/>
              </w:rPr>
              <w:t>(filed herewith)</w:t>
            </w:r>
          </w:p>
        </w:tc>
      </w:tr>
      <w:tr>
        <w:trPr>
          <w:trHeight w:val="378"/>
        </w:trPr>
        <w:tc>
          <w:tcPr>
            <w:tcW w:w="700" w:type="dxa"/>
            <w:vAlign w:val="bottom"/>
          </w:tcPr>
          <w:p>
            <w:pPr>
              <w:jc w:val="center"/>
              <w:ind w:left="59"/>
              <w:spacing w:after="0"/>
              <w:rPr>
                <w:sz w:val="20"/>
                <w:szCs w:val="20"/>
                <w:color w:val="auto"/>
              </w:rPr>
            </w:pPr>
            <w:r>
              <w:rPr>
                <w:rFonts w:ascii="Arial" w:cs="Arial" w:eastAsia="Arial" w:hAnsi="Arial"/>
                <w:sz w:val="16"/>
                <w:szCs w:val="16"/>
                <w:color w:val="auto"/>
                <w:w w:val="89"/>
              </w:rPr>
              <w:t>24.1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Power of Attorney (contained in the signature page to this Annual Report)</w:t>
            </w:r>
          </w:p>
        </w:tc>
      </w:tr>
      <w:tr>
        <w:trPr>
          <w:trHeight w:val="378"/>
        </w:trPr>
        <w:tc>
          <w:tcPr>
            <w:tcW w:w="700" w:type="dxa"/>
            <w:vAlign w:val="bottom"/>
          </w:tcPr>
          <w:p>
            <w:pPr>
              <w:jc w:val="center"/>
              <w:ind w:left="59"/>
              <w:spacing w:after="0"/>
              <w:rPr>
                <w:sz w:val="20"/>
                <w:szCs w:val="20"/>
                <w:color w:val="auto"/>
              </w:rPr>
            </w:pPr>
            <w:r>
              <w:rPr>
                <w:rFonts w:ascii="Arial" w:cs="Arial" w:eastAsia="Arial" w:hAnsi="Arial"/>
                <w:sz w:val="16"/>
                <w:szCs w:val="16"/>
                <w:color w:val="auto"/>
                <w:w w:val="89"/>
              </w:rPr>
              <w:t>31.1</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Certification of Co-Chief Executive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92"/>
        </w:trPr>
        <w:tc>
          <w:tcPr>
            <w:tcW w:w="700" w:type="dxa"/>
            <w:vAlign w:val="bottom"/>
          </w:tcPr>
          <w:p>
            <w:pPr>
              <w:jc w:val="center"/>
              <w:ind w:left="59"/>
              <w:spacing w:after="0"/>
              <w:rPr>
                <w:sz w:val="20"/>
                <w:szCs w:val="20"/>
                <w:color w:val="auto"/>
              </w:rPr>
            </w:pPr>
            <w:r>
              <w:rPr>
                <w:rFonts w:ascii="Arial" w:cs="Arial" w:eastAsia="Arial" w:hAnsi="Arial"/>
                <w:sz w:val="16"/>
                <w:szCs w:val="16"/>
                <w:color w:val="auto"/>
                <w:w w:val="89"/>
              </w:rPr>
              <w:t>31.2</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Certification of Co-Chief Executive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419"/>
        </w:trPr>
        <w:tc>
          <w:tcPr>
            <w:tcW w:w="700" w:type="dxa"/>
            <w:vAlign w:val="bottom"/>
          </w:tcPr>
          <w:p>
            <w:pPr>
              <w:jc w:val="center"/>
              <w:ind w:left="59"/>
              <w:spacing w:after="0"/>
              <w:rPr>
                <w:sz w:val="20"/>
                <w:szCs w:val="20"/>
                <w:color w:val="auto"/>
              </w:rPr>
            </w:pPr>
            <w:r>
              <w:rPr>
                <w:rFonts w:ascii="Arial" w:cs="Arial" w:eastAsia="Arial" w:hAnsi="Arial"/>
                <w:sz w:val="16"/>
                <w:szCs w:val="16"/>
                <w:color w:val="auto"/>
                <w:w w:val="89"/>
              </w:rPr>
              <w:t>31.3</w:t>
            </w:r>
          </w:p>
        </w:tc>
        <w:tc>
          <w:tcPr>
            <w:tcW w:w="26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 (</w:t>
            </w:r>
            <w:r>
              <w:rPr>
                <w:rFonts w:ascii="Arial" w:cs="Arial" w:eastAsia="Arial" w:hAnsi="Arial"/>
                <w:sz w:val="16"/>
                <w:szCs w:val="16"/>
                <w:i w:val="1"/>
                <w:iCs w:val="1"/>
                <w:color w:val="auto"/>
              </w:rPr>
              <w:t>filed herewith</w:t>
            </w:r>
            <w:r>
              <w:rPr>
                <w:rFonts w:ascii="Arial" w:cs="Arial" w:eastAsia="Arial" w:hAnsi="Arial"/>
                <w:sz w:val="16"/>
                <w:szCs w:val="16"/>
                <w:color w:val="auto"/>
              </w:rPr>
              <w:t>)</w:t>
            </w:r>
          </w:p>
        </w:tc>
      </w:tr>
      <w:tr>
        <w:trPr>
          <w:trHeight w:val="374"/>
        </w:trPr>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32.1†</w:t>
            </w: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w w:val="92"/>
              </w:rPr>
              <w:t>Certification of Co-Chief Executive Officers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3"/>
          </w:tcPr>
          <w:p>
            <w:pPr>
              <w:ind w:left="240"/>
              <w:spacing w:after="0"/>
              <w:rPr>
                <w:sz w:val="20"/>
                <w:szCs w:val="20"/>
                <w:color w:val="auto"/>
              </w:rPr>
            </w:pPr>
            <w:r>
              <w:rPr>
                <w:rFonts w:ascii="Arial" w:cs="Arial" w:eastAsia="Arial" w:hAnsi="Arial"/>
                <w:sz w:val="16"/>
                <w:szCs w:val="16"/>
                <w:color w:val="auto"/>
              </w:rPr>
              <w:t xml:space="preserve">Sarbanes-Oxley Act of 2002 </w:t>
            </w:r>
            <w:r>
              <w:rPr>
                <w:rFonts w:ascii="Arial" w:cs="Arial" w:eastAsia="Arial" w:hAnsi="Arial"/>
                <w:sz w:val="16"/>
                <w:szCs w:val="16"/>
                <w:i w:val="1"/>
                <w:iCs w:val="1"/>
                <w:color w:val="auto"/>
              </w:rPr>
              <w:t>(filed herewith)</w:t>
            </w:r>
          </w:p>
        </w:tc>
      </w:tr>
    </w:tbl>
    <w:p>
      <w:pPr>
        <w:spacing w:after="0" w:line="172"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6"/>
          <w:szCs w:val="16"/>
          <w:color w:val="auto"/>
        </w:rPr>
        <w:t>101.INS ††</w:t>
      </w:r>
      <w:r>
        <w:rPr>
          <w:sz w:val="20"/>
          <w:szCs w:val="20"/>
          <w:color w:val="auto"/>
        </w:rPr>
        <w:tab/>
      </w:r>
      <w:r>
        <w:rPr>
          <w:rFonts w:ascii="Arial" w:cs="Arial" w:eastAsia="Arial" w:hAnsi="Arial"/>
          <w:sz w:val="14"/>
          <w:szCs w:val="14"/>
          <w:color w:val="auto"/>
        </w:rPr>
        <w:t>XBRL Instance Document</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4"/>
          <w:szCs w:val="14"/>
          <w:color w:val="auto"/>
        </w:rPr>
        <w:t>XBRL Taxonomy Extension Schema</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4"/>
          <w:szCs w:val="14"/>
          <w:color w:val="auto"/>
        </w:rPr>
        <w:t>XBRL Taxonomy Extension Calculation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XBRL Taxonomy Extension Definition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XBRL Taxonomy Extension Label Linkbase</w:t>
      </w:r>
    </w:p>
    <w:p>
      <w:pPr>
        <w:spacing w:after="0" w:line="1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4"/>
          <w:szCs w:val="14"/>
          <w:color w:val="auto"/>
        </w:rPr>
        <w:t>XBRL Taxonomy Extension Presentation Linkbase</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97790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2017 Form 10-K 116</w:t>
      </w:r>
    </w:p>
    <w:p>
      <w:pPr>
        <w:sectPr>
          <w:pgSz w:w="11900" w:h="16838" w:orient="portrait"/>
          <w:cols w:equalWidth="0" w:num="1">
            <w:col w:w="11360"/>
          </w:cols>
          <w:pgMar w:left="240" w:top="125" w:right="29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420" w:right="20" w:hanging="412"/>
        <w:spacing w:after="0" w:line="292" w:lineRule="auto"/>
        <w:tabs>
          <w:tab w:leader="none" w:pos="4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Autodesk, Inc. under the Securities Act of 1933, as amended, or the Securities Exchange Act of 1934, as amended,</w:t>
      </w:r>
    </w:p>
    <w:p>
      <w:pPr>
        <w:ind w:left="420"/>
        <w:spacing w:after="0"/>
        <w:rPr>
          <w:sz w:val="20"/>
          <w:szCs w:val="20"/>
          <w:color w:val="auto"/>
        </w:rPr>
      </w:pPr>
      <w:r>
        <w:rPr>
          <w:rFonts w:ascii="Arial" w:cs="Arial" w:eastAsia="Arial" w:hAnsi="Arial"/>
          <w:sz w:val="16"/>
          <w:szCs w:val="16"/>
          <w:color w:val="auto"/>
        </w:rPr>
        <w:t>whether made before or after the date of this Form 10-K, irrespective of any general incorporation language contained in such filing.</w:t>
      </w:r>
    </w:p>
    <w:p>
      <w:pPr>
        <w:spacing w:after="0" w:line="5" w:lineRule="exact"/>
        <w:rPr>
          <w:sz w:val="20"/>
          <w:szCs w:val="20"/>
          <w:color w:val="auto"/>
        </w:rPr>
      </w:pPr>
    </w:p>
    <w:p>
      <w:pPr>
        <w:ind w:left="420" w:hanging="412"/>
        <w:spacing w:after="0"/>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429260</wp:posOffset>
            </wp:positionV>
            <wp:extent cx="97790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779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2017 Form 10-K 117</w:t>
      </w:r>
    </w:p>
    <w:p>
      <w:pPr>
        <w:sectPr>
          <w:pgSz w:w="11900" w:h="16838" w:orient="portrait"/>
          <w:cols w:equalWidth="0" w:num="1">
            <w:col w:w="11420"/>
          </w:cols>
          <w:pgMar w:left="240" w:top="125" w:right="239" w:bottom="1440" w:gutter="0" w:footer="0" w:header="0"/>
        </w:sectPr>
      </w:pPr>
    </w:p>
    <w:bookmarkStart w:id="120" w:name="page121"/>
    <w:bookmarkEnd w:id="120"/>
    <w:p>
      <w:pPr>
        <w:ind w:left="10400"/>
        <w:spacing w:after="0"/>
        <w:rPr>
          <w:sz w:val="20"/>
          <w:szCs w:val="20"/>
          <w:color w:val="auto"/>
        </w:rPr>
      </w:pPr>
      <w:r>
        <w:rPr>
          <w:rFonts w:ascii="Arial" w:cs="Arial" w:eastAsia="Arial" w:hAnsi="Arial"/>
          <w:sz w:val="16"/>
          <w:szCs w:val="16"/>
          <w:b w:val="1"/>
          <w:bCs w:val="1"/>
          <w:color w:val="auto"/>
        </w:rPr>
        <w:t>Exhibit 10.18</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OUTSIDE DIRECTORS’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14, 2017)*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56"/>
        <w:spacing w:after="0" w:line="311" w:lineRule="auto"/>
        <w:tabs>
          <w:tab w:leader="none" w:pos="143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2012 Outside Directors’ Stock Plan are to attract and retain highly skilled individuals as Directors of the Company, to provide additional incentive to the Outside Directors of the Company to serve as Directors, and to encourage their continued service on the Board.</w:t>
      </w:r>
    </w:p>
    <w:p>
      <w:pPr>
        <w:spacing w:after="0" w:line="154"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in accordance with Section 4 of the Plan.</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754"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 compensation plans under U.S. state corporate laws, U.S. federal and state securities laws, the Code, any stock exchange or quotation system on which the Shares are listed or quoted and the applicable laws of any other country or jurisdiction where Awards are granted under the Plan.</w:t>
      </w:r>
    </w:p>
    <w:p>
      <w:pPr>
        <w:spacing w:after="0" w:line="181" w:lineRule="exact"/>
        <w:rPr>
          <w:rFonts w:ascii="Arial" w:cs="Arial" w:eastAsia="Arial" w:hAnsi="Arial"/>
          <w:sz w:val="18"/>
          <w:szCs w:val="18"/>
          <w:color w:val="auto"/>
        </w:rPr>
      </w:pPr>
    </w:p>
    <w:p>
      <w:pPr>
        <w:ind w:left="1680" w:hanging="375"/>
        <w:spacing w:after="0"/>
        <w:tabs>
          <w:tab w:leader="none" w:pos="16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Restricted Stock or Restricted Stock Units.</w:t>
      </w:r>
    </w:p>
    <w:p>
      <w:pPr>
        <w:spacing w:after="0" w:line="22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the written or electronic agreement setting forth the terms and conditions applicable to each Award granted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1680" w:hanging="375"/>
        <w:spacing w:after="0"/>
        <w:tabs>
          <w:tab w:leader="none" w:pos="16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 in one or a series of related transactions:</w:t>
      </w:r>
    </w:p>
    <w:p>
      <w:pPr>
        <w:spacing w:after="0" w:line="225" w:lineRule="exact"/>
        <w:rPr>
          <w:rFonts w:ascii="Arial" w:cs="Arial" w:eastAsia="Arial" w:hAnsi="Arial"/>
          <w:sz w:val="18"/>
          <w:szCs w:val="18"/>
          <w:color w:val="auto"/>
        </w:rPr>
      </w:pPr>
    </w:p>
    <w:p>
      <w:pPr>
        <w:jc w:val="both"/>
        <w:ind w:left="1300" w:firstLine="3246"/>
        <w:spacing w:after="0" w:line="257" w:lineRule="auto"/>
        <w:tabs>
          <w:tab w:leader="none" w:pos="4902" w:val="left"/>
        </w:tabs>
        <w:numPr>
          <w:ilvl w:val="3"/>
          <w:numId w:val="80"/>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the Company, a subsidiary of the Company or a Company employee benefit plan, including any trustee of such plan acting as trustee, is or becomes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or</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left="1300" w:firstLine="1949"/>
        <w:spacing w:after="0" w:line="257" w:lineRule="auto"/>
        <w:tabs>
          <w:tab w:leader="none" w:pos="3704"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merger or consolidation of the Company or any direct or indirect subsidiary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 or</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3700" w:hanging="451"/>
        <w:spacing w:after="0"/>
        <w:tabs>
          <w:tab w:leader="none" w:pos="370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sale or disposition by the Company of all or substantially all the Company’s assets;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firstLine="1949"/>
        <w:spacing w:after="0" w:line="277" w:lineRule="auto"/>
        <w:tabs>
          <w:tab w:leader="none" w:pos="3725"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“Incumbent Directors” shall mean Directors</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right="420"/>
        <w:spacing w:after="0" w:line="277" w:lineRule="auto"/>
        <w:rPr>
          <w:rFonts w:ascii="Arial" w:cs="Arial" w:eastAsia="Arial" w:hAnsi="Arial"/>
          <w:sz w:val="18"/>
          <w:szCs w:val="18"/>
          <w:color w:val="auto"/>
        </w:rPr>
      </w:pPr>
      <w:r>
        <w:rPr>
          <w:rFonts w:ascii="Arial" w:cs="Arial" w:eastAsia="Arial" w:hAnsi="Arial"/>
          <w:sz w:val="18"/>
          <w:szCs w:val="18"/>
          <w:color w:val="auto"/>
        </w:rPr>
        <w:t>* The Plan was originally adopted by the Board on November 7, 2011 and approved by the stockholders on January 6, 2012. The Plan was amended and restated via Board approvals on March 12, 2015 and March 14, 2017.</w:t>
      </w:r>
    </w:p>
    <w:p>
      <w:pPr>
        <w:sectPr>
          <w:pgSz w:w="11900" w:h="16838" w:orient="portrait"/>
          <w:cols w:equalWidth="0" w:num="1">
            <w:col w:w="11420"/>
          </w:cols>
          <w:pgMar w:left="240" w:top="580" w:right="239" w:bottom="1440" w:gutter="0" w:footer="0" w:header="0"/>
        </w:sectPr>
      </w:pPr>
    </w:p>
    <w:bookmarkStart w:id="121" w:name="page122"/>
    <w:bookmarkEnd w:id="121"/>
    <w:p>
      <w:pPr>
        <w:jc w:val="both"/>
        <w:ind w:left="1300"/>
        <w:spacing w:after="0" w:line="259" w:lineRule="auto"/>
        <w:rPr>
          <w:sz w:val="20"/>
          <w:szCs w:val="20"/>
          <w:color w:val="auto"/>
        </w:rPr>
      </w:pPr>
      <w:r>
        <w:rPr>
          <w:rFonts w:ascii="Arial" w:cs="Arial" w:eastAsia="Arial" w:hAnsi="Arial"/>
          <w:sz w:val="18"/>
          <w:szCs w:val="18"/>
          <w:color w:val="auto"/>
        </w:rPr>
        <w:t>who either (A) are Directors as of the date this Plan is approved by the Board, or (B) are elected, or nominated for election, to the Board with the affirmative votes of at least a majority of the Directors and whose election or nomination was not in connection with any transaction described in (i) or (ii) above or in connection with an actual or threatened proxy contest relating to the election of directors of the Company.</w:t>
      </w:r>
    </w:p>
    <w:p>
      <w:pPr>
        <w:spacing w:after="0" w:line="200" w:lineRule="exact"/>
        <w:rPr>
          <w:sz w:val="20"/>
          <w:szCs w:val="20"/>
          <w:color w:val="auto"/>
        </w:rPr>
      </w:pPr>
    </w:p>
    <w:p>
      <w:pPr>
        <w:spacing w:after="0" w:line="203" w:lineRule="exact"/>
        <w:rPr>
          <w:sz w:val="20"/>
          <w:szCs w:val="20"/>
          <w:color w:val="auto"/>
        </w:rPr>
      </w:pPr>
    </w:p>
    <w:p>
      <w:pPr>
        <w:ind w:right="220" w:firstLine="1305"/>
        <w:spacing w:after="0" w:line="264" w:lineRule="auto"/>
        <w:tabs>
          <w:tab w:leader="none" w:pos="16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Autodesk, Inc., a Delaware corporation, or any successor thereto.</w:t>
      </w:r>
    </w:p>
    <w:p>
      <w:pPr>
        <w:spacing w:after="0" w:line="225" w:lineRule="exact"/>
        <w:rPr>
          <w:rFonts w:ascii="Arial" w:cs="Arial" w:eastAsia="Arial" w:hAnsi="Arial"/>
          <w:sz w:val="18"/>
          <w:szCs w:val="18"/>
          <w:color w:val="auto"/>
        </w:rPr>
      </w:pPr>
    </w:p>
    <w:p>
      <w:pPr>
        <w:ind w:right="640" w:firstLine="1305"/>
        <w:spacing w:after="0" w:line="277" w:lineRule="auto"/>
        <w:tabs>
          <w:tab w:leader="none" w:pos="16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with respect to an Award, the date that the Award is granted and its exercise price is set (if applicable)</w:t>
      </w:r>
      <w:r>
        <w:rPr>
          <w:rFonts w:ascii="Arial" w:cs="Arial" w:eastAsia="Arial" w:hAnsi="Arial"/>
          <w:sz w:val="18"/>
          <w:szCs w:val="18"/>
          <w:color w:val="000080"/>
        </w:rPr>
        <w:t>,</w:t>
      </w:r>
      <w:r>
        <w:rPr>
          <w:rFonts w:ascii="Arial" w:cs="Arial" w:eastAsia="Arial" w:hAnsi="Arial"/>
          <w:sz w:val="18"/>
          <w:szCs w:val="18"/>
          <w:color w:val="auto"/>
        </w:rPr>
        <w:t xml:space="preserve"> consistent with Applicable Laws and applicable financial accounting rules.</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January 6, 2012.</w:t>
      </w:r>
    </w:p>
    <w:p>
      <w:pPr>
        <w:spacing w:after="0" w:line="225" w:lineRule="exact"/>
        <w:rPr>
          <w:rFonts w:ascii="Arial" w:cs="Arial" w:eastAsia="Arial" w:hAnsi="Arial"/>
          <w:sz w:val="18"/>
          <w:szCs w:val="18"/>
          <w:color w:val="auto"/>
        </w:rPr>
      </w:pPr>
    </w:p>
    <w:p>
      <w:pPr>
        <w:jc w:val="both"/>
        <w:ind w:right="120" w:firstLine="1305"/>
        <w:spacing w:after="0" w:line="259" w:lineRule="auto"/>
        <w:tabs>
          <w:tab w:leader="none" w:pos="16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The payment of a Director’s fee or consulting fee by the Company shall not be sufficient in and of itself to constitute “employment” by the Company unless the Director and the Company agree that, as a result of payment of such fees in connection with services rendered, such Director should not be considered an Outside Director.</w:t>
      </w:r>
    </w:p>
    <w:p>
      <w:pPr>
        <w:spacing w:after="0" w:line="186" w:lineRule="exact"/>
        <w:rPr>
          <w:rFonts w:ascii="Arial" w:cs="Arial" w:eastAsia="Arial" w:hAnsi="Arial"/>
          <w:sz w:val="18"/>
          <w:szCs w:val="18"/>
          <w:color w:val="auto"/>
        </w:rPr>
      </w:pPr>
    </w:p>
    <w:p>
      <w:pPr>
        <w:jc w:val="both"/>
        <w:ind w:right="380" w:firstLine="1305"/>
        <w:spacing w:after="0" w:line="264" w:lineRule="auto"/>
        <w:tabs>
          <w:tab w:leader="none" w:pos="16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Reference to a specific section of the Exchange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jc w:val="both"/>
        <w:ind w:firstLine="2601"/>
        <w:spacing w:after="0" w:line="259" w:lineRule="auto"/>
        <w:tabs>
          <w:tab w:leader="none" w:pos="3015" w:val="left"/>
        </w:tabs>
        <w:numPr>
          <w:ilvl w:val="2"/>
          <w:numId w:val="81"/>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Nasdaq National Market of the National Association of Securities Dealers, Inc. Automated Quotation (“Nasdaq”) System, the Fair Market Value of a Share of Common Stock shall be the closing sales price for such stock (or the closing bid, if no sales were reported) as quoted on such system or exchange (or the exchange with the greatest volume of trading in Common Stock) on the day of determination; or</w:t>
      </w:r>
    </w:p>
    <w:p>
      <w:pPr>
        <w:spacing w:after="0" w:line="186" w:lineRule="exact"/>
        <w:rPr>
          <w:rFonts w:ascii="Arial" w:cs="Arial" w:eastAsia="Arial" w:hAnsi="Arial"/>
          <w:sz w:val="18"/>
          <w:szCs w:val="18"/>
          <w:color w:val="auto"/>
        </w:rPr>
      </w:pPr>
    </w:p>
    <w:p>
      <w:pPr>
        <w:ind w:left="3040" w:hanging="439"/>
        <w:spacing w:after="0"/>
        <w:tabs>
          <w:tab w:leader="none" w:pos="3040" w:val="left"/>
        </w:tabs>
        <w:numPr>
          <w:ilvl w:val="2"/>
          <w:numId w:val="81"/>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 by the Administrator.</w:t>
      </w:r>
    </w:p>
    <w:p>
      <w:pPr>
        <w:spacing w:after="0" w:line="210" w:lineRule="exact"/>
        <w:rPr>
          <w:rFonts w:ascii="Arial" w:cs="Arial" w:eastAsia="Arial" w:hAnsi="Arial"/>
          <w:sz w:val="16"/>
          <w:szCs w:val="16"/>
          <w:color w:val="auto"/>
        </w:rPr>
      </w:pPr>
    </w:p>
    <w:p>
      <w:pPr>
        <w:ind w:right="60" w:firstLine="1953"/>
        <w:spacing w:after="0" w:line="277" w:lineRule="auto"/>
        <w:tabs>
          <w:tab w:leader="none" w:pos="23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Fair Market Value is to be determined as of a date which is not a date on which the Common Stock is traded, then the Fair Market Value on such date shall be the Fair Market Value on the next subsequent trading date.</w:t>
      </w:r>
    </w:p>
    <w:p>
      <w:pPr>
        <w:spacing w:after="0" w:line="170" w:lineRule="exact"/>
        <w:rPr>
          <w:rFonts w:ascii="Arial" w:cs="Arial" w:eastAsia="Arial" w:hAnsi="Arial"/>
          <w:sz w:val="18"/>
          <w:szCs w:val="18"/>
          <w:color w:val="auto"/>
        </w:rPr>
      </w:pPr>
    </w:p>
    <w:p>
      <w:pPr>
        <w:ind w:right="200" w:firstLine="1305"/>
        <w:spacing w:after="0" w:line="277" w:lineRule="auto"/>
        <w:tabs>
          <w:tab w:leader="none" w:pos="16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122" w:name="page123"/>
    <w:bookmarkEnd w:id="122"/>
    <w:p>
      <w:pPr>
        <w:ind w:right="140" w:firstLine="1305"/>
        <w:spacing w:after="0" w:line="277" w:lineRule="auto"/>
        <w:tabs>
          <w:tab w:leader="none" w:pos="16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Grant</w:t>
      </w:r>
      <w:r>
        <w:rPr>
          <w:rFonts w:ascii="Arial" w:cs="Arial" w:eastAsia="Arial" w:hAnsi="Arial"/>
          <w:sz w:val="18"/>
          <w:szCs w:val="18"/>
          <w:color w:val="auto"/>
        </w:rPr>
        <w:t>” means a written or electronic notice evidencing certain terms and conditions of an individual Award. The Notice of Grant is part of the Award Agreement.</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 nonqualified stock option granted pursuant to the Plan which is not intended to qualify as an Incentive Stock Option.</w:t>
      </w:r>
    </w:p>
    <w:p>
      <w:pPr>
        <w:spacing w:after="0" w:line="248" w:lineRule="exact"/>
        <w:rPr>
          <w:rFonts w:ascii="Arial" w:cs="Arial" w:eastAsia="Arial" w:hAnsi="Arial"/>
          <w:sz w:val="16"/>
          <w:szCs w:val="16"/>
          <w:color w:val="auto"/>
        </w:rPr>
      </w:pPr>
    </w:p>
    <w:p>
      <w:pPr>
        <w:ind w:left="1660" w:hanging="355"/>
        <w:spacing w:after="0"/>
        <w:tabs>
          <w:tab w:leader="none" w:pos="1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 granted under the Plan.</w:t>
      </w:r>
    </w:p>
    <w:p>
      <w:pPr>
        <w:spacing w:after="0" w:line="225" w:lineRule="exact"/>
        <w:rPr>
          <w:rFonts w:ascii="Arial" w:cs="Arial" w:eastAsia="Arial" w:hAnsi="Arial"/>
          <w:sz w:val="18"/>
          <w:szCs w:val="18"/>
          <w:color w:val="auto"/>
        </w:rPr>
      </w:pPr>
    </w:p>
    <w:p>
      <w:pPr>
        <w:ind w:right="600" w:firstLine="1305"/>
        <w:spacing w:after="0" w:line="277" w:lineRule="auto"/>
        <w:tabs>
          <w:tab w:leader="none" w:pos="172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2012 Outside Directors’ Stock Plan, as set forth in this instrument and as hereafter amended from time to time.</w:t>
      </w:r>
    </w:p>
    <w:p>
      <w:pPr>
        <w:spacing w:after="0" w:line="236" w:lineRule="exact"/>
        <w:rPr>
          <w:rFonts w:ascii="Arial" w:cs="Arial" w:eastAsia="Arial" w:hAnsi="Arial"/>
          <w:sz w:val="17"/>
          <w:szCs w:val="17"/>
          <w:color w:val="auto"/>
        </w:rPr>
      </w:pPr>
    </w:p>
    <w:p>
      <w:pPr>
        <w:ind w:right="320" w:firstLine="1305"/>
        <w:spacing w:after="0" w:line="277" w:lineRule="auto"/>
        <w:tabs>
          <w:tab w:leader="none" w:pos="168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Retirement</w:t>
      </w:r>
      <w:r>
        <w:rPr>
          <w:rFonts w:ascii="Arial" w:cs="Arial" w:eastAsia="Arial" w:hAnsi="Arial"/>
          <w:sz w:val="18"/>
          <w:szCs w:val="18"/>
          <w:color w:val="auto"/>
        </w:rPr>
        <w:t>” means a retirement from the Board after the retiring Director either (i) has attained 62 years of age and has served on the Board for at least five (5) years, or (ii) has served on the Board for at least ten (10) years.</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an Award granted to a Participant pursuant to Section 9.</w:t>
      </w:r>
    </w:p>
    <w:p>
      <w:pPr>
        <w:spacing w:after="0" w:line="225" w:lineRule="exact"/>
        <w:rPr>
          <w:sz w:val="20"/>
          <w:szCs w:val="20"/>
          <w:color w:val="auto"/>
        </w:rPr>
      </w:pPr>
    </w:p>
    <w:p>
      <w:pPr>
        <w:ind w:left="1760" w:hanging="455"/>
        <w:spacing w:after="0"/>
        <w:tabs>
          <w:tab w:leader="none" w:pos="1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pursuant to Section 10.</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of the Exchange Act or any successor to Rule 16b-3, as in effect when discretion is being exercised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respect to the Plan.</w:t>
      </w:r>
    </w:p>
    <w:p>
      <w:pPr>
        <w:spacing w:after="0" w:line="210" w:lineRule="exact"/>
        <w:rPr>
          <w:rFonts w:ascii="Arial" w:cs="Arial" w:eastAsia="Arial" w:hAnsi="Arial"/>
          <w:sz w:val="16"/>
          <w:szCs w:val="16"/>
          <w:color w:val="auto"/>
        </w:rPr>
      </w:pPr>
    </w:p>
    <w:p>
      <w:pPr>
        <w:ind w:left="1760" w:hanging="455"/>
        <w:spacing w:after="0"/>
        <w:tabs>
          <w:tab w:leader="none" w:pos="17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1"/>
          <w:numId w:val="8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1953"/>
        <w:spacing w:after="0" w:line="342" w:lineRule="auto"/>
        <w:tabs>
          <w:tab w:leader="none" w:pos="2325" w:val="left"/>
        </w:tabs>
        <w:numPr>
          <w:ilvl w:val="2"/>
          <w:numId w:val="84"/>
        </w:numPr>
        <w:rPr>
          <w:rFonts w:ascii="Arial" w:cs="Arial" w:eastAsia="Arial" w:hAnsi="Arial"/>
          <w:sz w:val="16"/>
          <w:szCs w:val="16"/>
          <w:color w:val="auto"/>
        </w:rPr>
      </w:pPr>
      <w:r>
        <w:rPr>
          <w:rFonts w:ascii="Arial" w:cs="Arial" w:eastAsia="Arial" w:hAnsi="Arial"/>
          <w:sz w:val="16"/>
          <w:szCs w:val="16"/>
          <w:color w:val="auto"/>
        </w:rPr>
        <w:t>Subject to the provisions of Section 13 of the Plan, the maximum aggregate number of Shares which may be issued under the Plan is equal to 1,750,000 Shares, which Shares were, as of January 6, 2012, available for issuance under the Company’s 2010 Outside Directors’ Stock Plan.</w:t>
      </w:r>
    </w:p>
    <w:p>
      <w:pPr>
        <w:spacing w:after="0" w:line="123" w:lineRule="exact"/>
        <w:rPr>
          <w:rFonts w:ascii="Arial" w:cs="Arial" w:eastAsia="Arial" w:hAnsi="Arial"/>
          <w:sz w:val="16"/>
          <w:szCs w:val="16"/>
          <w:color w:val="auto"/>
        </w:rPr>
      </w:pPr>
    </w:p>
    <w:p>
      <w:pPr>
        <w:jc w:val="both"/>
        <w:ind w:firstLine="1953"/>
        <w:spacing w:after="0" w:line="253" w:lineRule="auto"/>
        <w:tabs>
          <w:tab w:leader="none" w:pos="2614"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Shares may be authorized, but unissued, or reacquired Common Stock. Subject to Section 3(c) hereof, if an Award expires or becomes unexercisable without having been exercised in full, or with respect to Restricted Stock or Restricted Stock Units, is forfeited to or repurchased by the Company, the unpurchased Shares (or for Awards other than Options, the forfeited or repurchased Shares) which were subject thereto will become available for future grant or sale under the Plan (unless the Plan has terminated). Shares that have actually been issued under the Plan under any Award will not be returned to the Plan and will not become available for future distribution under the Plan; provided, however, that if unvested Shares of Restricted Stock or Restricted Stock Units are repurchased by the Company or are forfeited to the Company, such Shares will become available for future grant under the Plan. Shares used to pay the exercise price of an Award will not become available for future grant or sale under the Plan. To the extent an Award under the Plan is paid out in cash rather than Shares, such cash payment will not result in reducing the number of Shares available for issuance under the Plan.</w:t>
      </w:r>
    </w:p>
    <w:p>
      <w:pPr>
        <w:spacing w:after="0" w:line="25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23" w:name="page124"/>
    <w:bookmarkEnd w:id="123"/>
    <w:p>
      <w:pPr>
        <w:ind w:left="-656" w:right="20" w:firstLine="1305"/>
        <w:spacing w:after="0" w:line="257" w:lineRule="auto"/>
        <w:tabs>
          <w:tab w:leader="none" w:pos="10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Notwithstanding anything to the contrary, each Share subject to an Option shall be counted against the Shares authorized for issuance under the Plan as one Share. Each Share subject to an Award of Restricted Stock or Restricted Stock Units shall be counted against the Shares authorized for issuance under the Plan as 2.11 Shares. Each Share which is subject to an Award of Restricted Stock or Restricted Stock Units granted under the Plan which is forfeited to or repurchased by the Company pursuant to Section 3(b) hereof shall count as having returned 2.11 Shares to the total of number of Shares which are available for future grant or sale under the Plan.</w:t>
      </w:r>
    </w:p>
    <w:p>
      <w:pPr>
        <w:spacing w:after="0" w:line="188" w:lineRule="exact"/>
        <w:rPr>
          <w:rFonts w:ascii="Arial" w:cs="Arial" w:eastAsia="Arial" w:hAnsi="Arial"/>
          <w:sz w:val="18"/>
          <w:szCs w:val="18"/>
          <w:color w:val="auto"/>
        </w:rPr>
      </w:pPr>
    </w:p>
    <w:p>
      <w:pPr>
        <w:ind w:left="324" w:hanging="324"/>
        <w:spacing w:after="0"/>
        <w:tabs>
          <w:tab w:leader="none" w:pos="32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25" w:lineRule="exact"/>
        <w:rPr>
          <w:sz w:val="20"/>
          <w:szCs w:val="20"/>
          <w:color w:val="auto"/>
        </w:rPr>
      </w:pPr>
    </w:p>
    <w:p>
      <w:pPr>
        <w:ind w:left="-656" w:firstLine="656"/>
        <w:spacing w:after="0" w:line="277" w:lineRule="auto"/>
        <w:tabs>
          <w:tab w:leader="none" w:pos="43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shall be structured to satisfy the requirements for exemption under Rule 16b-3.</w:t>
      </w:r>
    </w:p>
    <w:p>
      <w:pPr>
        <w:spacing w:after="0" w:line="170" w:lineRule="exact"/>
        <w:rPr>
          <w:rFonts w:ascii="Arial" w:cs="Arial" w:eastAsia="Arial" w:hAnsi="Arial"/>
          <w:sz w:val="18"/>
          <w:szCs w:val="18"/>
          <w:color w:val="auto"/>
        </w:rPr>
      </w:pPr>
    </w:p>
    <w:p>
      <w:pPr>
        <w:ind w:left="-656" w:right="20" w:firstLine="656"/>
        <w:spacing w:after="0" w:line="277" w:lineRule="auto"/>
        <w:tabs>
          <w:tab w:leader="none" w:pos="42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The Board shall be the Administrator of the Plan. Subject to the provisions of the Plan, the Administrator shall have the authority, in its discretion:</w:t>
      </w:r>
    </w:p>
    <w:p>
      <w:pPr>
        <w:spacing w:after="0" w:line="170" w:lineRule="exact"/>
        <w:rPr>
          <w:sz w:val="20"/>
          <w:szCs w:val="20"/>
          <w:color w:val="auto"/>
        </w:rPr>
      </w:pPr>
    </w:p>
    <w:p>
      <w:pPr>
        <w:ind w:left="344" w:hanging="344"/>
        <w:spacing w:after="0"/>
        <w:tabs>
          <w:tab w:leader="none" w:pos="3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2(p) of the Plan;</w:t>
      </w:r>
    </w:p>
    <w:p>
      <w:pPr>
        <w:spacing w:after="0" w:line="225" w:lineRule="exact"/>
        <w:rPr>
          <w:rFonts w:ascii="Arial" w:cs="Arial" w:eastAsia="Arial" w:hAnsi="Arial"/>
          <w:sz w:val="18"/>
          <w:szCs w:val="18"/>
          <w:color w:val="auto"/>
        </w:rPr>
      </w:pPr>
    </w:p>
    <w:p>
      <w:pPr>
        <w:ind w:left="404" w:hanging="404"/>
        <w:spacing w:after="0"/>
        <w:tabs>
          <w:tab w:leader="none" w:pos="4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select the individuals to whom Awards may be granted hereunder;</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granted hereunder;</w:t>
      </w:r>
    </w:p>
    <w:p>
      <w:pPr>
        <w:spacing w:after="0" w:line="225" w:lineRule="exact"/>
        <w:rPr>
          <w:rFonts w:ascii="Arial" w:cs="Arial" w:eastAsia="Arial" w:hAnsi="Arial"/>
          <w:sz w:val="18"/>
          <w:szCs w:val="18"/>
          <w:color w:val="auto"/>
        </w:rPr>
      </w:pPr>
    </w:p>
    <w:p>
      <w:pPr>
        <w:ind w:left="444" w:hanging="444"/>
        <w:spacing w:after="0"/>
        <w:tabs>
          <w:tab w:leader="none" w:pos="4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384" w:hanging="384"/>
        <w:spacing w:after="0"/>
        <w:tabs>
          <w:tab w:leader="none" w:pos="38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pacing w:after="0" w:line="225" w:lineRule="exact"/>
        <w:rPr>
          <w:rFonts w:ascii="Arial" w:cs="Arial" w:eastAsia="Arial" w:hAnsi="Arial"/>
          <w:sz w:val="18"/>
          <w:szCs w:val="18"/>
          <w:color w:val="auto"/>
        </w:rPr>
      </w:pPr>
    </w:p>
    <w:p>
      <w:pPr>
        <w:jc w:val="both"/>
        <w:ind w:left="-656" w:right="20" w:firstLine="656"/>
        <w:spacing w:after="0" w:line="264" w:lineRule="auto"/>
        <w:tabs>
          <w:tab w:leader="none" w:pos="4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With respect to Options, such terms and conditions include, but are not limited to, the exercise price, the time or times when Options may be exercised, based in each case on such factors as the Administrator, in its sole discretion, shall determine;</w:t>
      </w:r>
    </w:p>
    <w:p>
      <w:pPr>
        <w:spacing w:after="0" w:line="181" w:lineRule="exact"/>
        <w:rPr>
          <w:rFonts w:ascii="Arial" w:cs="Arial" w:eastAsia="Arial" w:hAnsi="Arial"/>
          <w:sz w:val="18"/>
          <w:szCs w:val="18"/>
          <w:color w:val="auto"/>
        </w:rPr>
      </w:pPr>
    </w:p>
    <w:p>
      <w:pPr>
        <w:ind w:left="484" w:hanging="484"/>
        <w:spacing w:after="0"/>
        <w:tabs>
          <w:tab w:leader="none" w:pos="48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hereunder;</w:t>
      </w:r>
    </w:p>
    <w:p>
      <w:pPr>
        <w:spacing w:after="0" w:line="225" w:lineRule="exact"/>
        <w:rPr>
          <w:rFonts w:ascii="Arial" w:cs="Arial" w:eastAsia="Arial" w:hAnsi="Arial"/>
          <w:sz w:val="18"/>
          <w:szCs w:val="18"/>
          <w:color w:val="auto"/>
        </w:rPr>
      </w:pPr>
    </w:p>
    <w:p>
      <w:pPr>
        <w:ind w:left="-656" w:firstLine="656"/>
        <w:spacing w:after="0" w:line="277" w:lineRule="auto"/>
        <w:tabs>
          <w:tab w:leader="none" w:pos="54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70" w:lineRule="exact"/>
        <w:rPr>
          <w:rFonts w:ascii="Arial" w:cs="Arial" w:eastAsia="Arial" w:hAnsi="Arial"/>
          <w:sz w:val="18"/>
          <w:szCs w:val="18"/>
          <w:color w:val="auto"/>
        </w:rPr>
      </w:pPr>
    </w:p>
    <w:p>
      <w:pPr>
        <w:ind w:left="-656" w:right="20" w:firstLine="656"/>
        <w:spacing w:after="0" w:line="277" w:lineRule="auto"/>
        <w:tabs>
          <w:tab w:leader="none" w:pos="5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modify or amend each Award (not inconsistent with the terms of the Plan), including the discretionary authority to extend the post-termination exercisability period of Options longer than is otherwise provided for in the Plan;</w:t>
      </w:r>
    </w:p>
    <w:p>
      <w:pPr>
        <w:spacing w:after="0" w:line="170" w:lineRule="exact"/>
        <w:rPr>
          <w:rFonts w:ascii="Arial" w:cs="Arial" w:eastAsia="Arial" w:hAnsi="Arial"/>
          <w:sz w:val="18"/>
          <w:szCs w:val="18"/>
          <w:color w:val="auto"/>
        </w:rPr>
      </w:pPr>
    </w:p>
    <w:p>
      <w:pPr>
        <w:ind w:left="-656" w:firstLine="656"/>
        <w:spacing w:after="0" w:line="277" w:lineRule="auto"/>
        <w:tabs>
          <w:tab w:leader="none" w:pos="3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70" w:lineRule="exact"/>
        <w:rPr>
          <w:rFonts w:ascii="Arial" w:cs="Arial" w:eastAsia="Arial" w:hAnsi="Arial"/>
          <w:sz w:val="18"/>
          <w:szCs w:val="18"/>
          <w:color w:val="auto"/>
        </w:rPr>
      </w:pPr>
    </w:p>
    <w:p>
      <w:pPr>
        <w:ind w:left="444" w:hanging="444"/>
        <w:spacing w:after="0"/>
        <w:tabs>
          <w:tab w:leader="none" w:pos="4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Awards; and</w:t>
      </w:r>
    </w:p>
    <w:p>
      <w:pPr>
        <w:spacing w:after="0" w:line="225" w:lineRule="exact"/>
        <w:rPr>
          <w:rFonts w:ascii="Arial" w:cs="Arial" w:eastAsia="Arial" w:hAnsi="Arial"/>
          <w:sz w:val="18"/>
          <w:szCs w:val="18"/>
          <w:color w:val="auto"/>
        </w:rPr>
      </w:pPr>
    </w:p>
    <w:p>
      <w:pPr>
        <w:ind w:left="484" w:hanging="484"/>
        <w:spacing w:after="0"/>
        <w:tabs>
          <w:tab w:leader="none" w:pos="48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225" w:lineRule="exact"/>
        <w:rPr>
          <w:sz w:val="20"/>
          <w:szCs w:val="20"/>
          <w:color w:val="auto"/>
        </w:rPr>
      </w:pPr>
    </w:p>
    <w:p>
      <w:pPr>
        <w:ind w:left="-656" w:firstLine="656"/>
        <w:spacing w:after="0" w:line="277"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shall be final and binding on all Participants and any other holders of Awards and shall be given the maximum deference permitted by law.</w:t>
      </w:r>
    </w:p>
    <w:p>
      <w:pPr>
        <w:spacing w:after="0" w:line="170" w:lineRule="exact"/>
        <w:rPr>
          <w:sz w:val="20"/>
          <w:szCs w:val="20"/>
          <w:color w:val="auto"/>
        </w:rPr>
      </w:pPr>
    </w:p>
    <w:p>
      <w:pPr>
        <w:ind w:left="324" w:hanging="324"/>
        <w:spacing w:after="0"/>
        <w:tabs>
          <w:tab w:leader="none" w:pos="32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may be granted only to Outside Directors.</w:t>
      </w:r>
    </w:p>
    <w:p>
      <w:pPr>
        <w:spacing w:after="0" w:line="225" w:lineRule="exact"/>
        <w:rPr>
          <w:rFonts w:ascii="Arial" w:cs="Arial" w:eastAsia="Arial" w:hAnsi="Arial"/>
          <w:sz w:val="18"/>
          <w:szCs w:val="18"/>
          <w:color w:val="auto"/>
        </w:rPr>
      </w:pPr>
    </w:p>
    <w:p>
      <w:pPr>
        <w:ind w:left="-656" w:firstLine="656"/>
        <w:spacing w:after="0" w:line="277"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Service Rights</w:t>
      </w:r>
      <w:r>
        <w:rPr>
          <w:rFonts w:ascii="Arial" w:cs="Arial" w:eastAsia="Arial" w:hAnsi="Arial"/>
          <w:sz w:val="18"/>
          <w:szCs w:val="18"/>
          <w:color w:val="auto"/>
        </w:rPr>
        <w:t>. Neither the Plan nor any Award shall confer upon a Participant any right with respect to continuing the Participant’s service with the Company or its Subsidiaries.</w:t>
      </w:r>
    </w:p>
    <w:p>
      <w:pPr>
        <w:spacing w:after="0" w:line="224" w:lineRule="exact"/>
        <w:rPr>
          <w:sz w:val="20"/>
          <w:szCs w:val="20"/>
          <w:color w:val="auto"/>
        </w:rPr>
      </w:pPr>
    </w:p>
    <w:p>
      <w:pPr>
        <w:ind w:left="388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584" w:right="239" w:bottom="1440" w:gutter="0" w:footer="0" w:header="0"/>
        </w:sectPr>
      </w:pPr>
    </w:p>
    <w:bookmarkStart w:id="124" w:name="page125"/>
    <w:bookmarkEnd w:id="124"/>
    <w:p>
      <w:pPr>
        <w:ind w:left="324" w:hanging="324"/>
        <w:spacing w:after="0"/>
        <w:tabs>
          <w:tab w:leader="none" w:pos="324"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The Plan shall become effective on January 6, 2012 and continue in effect, unless terminated earlier, until June 30, 2022.</w:t>
      </w:r>
    </w:p>
    <w:p>
      <w:pPr>
        <w:spacing w:after="0" w:line="236" w:lineRule="exact"/>
        <w:rPr>
          <w:rFonts w:ascii="Arial" w:cs="Arial" w:eastAsia="Arial" w:hAnsi="Arial"/>
          <w:sz w:val="17"/>
          <w:szCs w:val="17"/>
          <w:color w:val="auto"/>
        </w:rPr>
      </w:pPr>
    </w:p>
    <w:p>
      <w:pPr>
        <w:ind w:left="324" w:hanging="324"/>
        <w:spacing w:after="0"/>
        <w:tabs>
          <w:tab w:leader="none" w:pos="32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sz w:val="20"/>
          <w:szCs w:val="20"/>
          <w:color w:val="auto"/>
        </w:rPr>
      </w:pPr>
    </w:p>
    <w:p>
      <w:pPr>
        <w:ind w:left="-656" w:firstLine="656"/>
        <w:spacing w:after="0" w:line="277" w:lineRule="auto"/>
        <w:tabs>
          <w:tab w:leader="none" w:pos="41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Options may be granted to Outside Directors at any time and from time to time as determined by the Administrator in its sole discretion.</w:t>
      </w:r>
    </w:p>
    <w:p>
      <w:pPr>
        <w:spacing w:after="0" w:line="170" w:lineRule="exact"/>
        <w:rPr>
          <w:rFonts w:ascii="Arial" w:cs="Arial" w:eastAsia="Arial" w:hAnsi="Arial"/>
          <w:sz w:val="18"/>
          <w:szCs w:val="18"/>
          <w:color w:val="auto"/>
        </w:rPr>
      </w:pPr>
    </w:p>
    <w:p>
      <w:pPr>
        <w:jc w:val="both"/>
        <w:ind w:left="-656" w:firstLine="656"/>
        <w:spacing w:after="0" w:line="259" w:lineRule="auto"/>
        <w:tabs>
          <w:tab w:leader="none" w:pos="39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each Option shall be stated in the Notice of Grant;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shall be no longer than seven (7) years from the Date of Grant. Subject to the limit set forth in the preceding sentence, the Administrator may, after an Option is granted, extend the maximum term of the Option. Unless otherwise determined by the Administrator, any extension of the term of an Option pursuant to this Section 8(b) shall comply with Code Section 409A.</w:t>
      </w:r>
    </w:p>
    <w:p>
      <w:pPr>
        <w:spacing w:after="0" w:line="186" w:lineRule="exact"/>
        <w:rPr>
          <w:rFonts w:ascii="Arial" w:cs="Arial" w:eastAsia="Arial" w:hAnsi="Arial"/>
          <w:sz w:val="18"/>
          <w:szCs w:val="18"/>
          <w:color w:val="auto"/>
        </w:rPr>
      </w:pPr>
    </w:p>
    <w:p>
      <w:pPr>
        <w:ind w:left="-656" w:firstLine="656"/>
        <w:spacing w:after="0" w:line="277" w:lineRule="auto"/>
        <w:tabs>
          <w:tab w:leader="none" w:pos="41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per share exercise price for the Shares to be issued pursuant to exercise of an Option shall be determined by the Administrator and shall be no less than 100% of the Fair Market Value per share on the Date of Grant</w:t>
      </w:r>
    </w:p>
    <w:p>
      <w:pPr>
        <w:spacing w:after="0" w:line="170" w:lineRule="exact"/>
        <w:rPr>
          <w:rFonts w:ascii="Arial" w:cs="Arial" w:eastAsia="Arial" w:hAnsi="Arial"/>
          <w:sz w:val="18"/>
          <w:szCs w:val="18"/>
          <w:color w:val="auto"/>
        </w:rPr>
      </w:pPr>
    </w:p>
    <w:p>
      <w:pPr>
        <w:jc w:val="both"/>
        <w:ind w:left="-656" w:firstLine="656"/>
        <w:spacing w:after="0" w:line="286" w:lineRule="auto"/>
        <w:tabs>
          <w:tab w:leader="none" w:pos="436"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No Repricing</w:t>
      </w:r>
      <w:r>
        <w:rPr>
          <w:rFonts w:ascii="Arial" w:cs="Arial" w:eastAsia="Arial" w:hAnsi="Arial"/>
          <w:sz w:val="17"/>
          <w:szCs w:val="17"/>
          <w:color w:val="auto"/>
        </w:rPr>
        <w:t>. The exercise price for an Option may not be reduced without the consent of the Company’s stockholders. This shall include, without limitation, a repricing of the Option as well as an Option exchange program whereby the Participant agrees to cancel an existing Option in exchange for (a) Awards with a lower exercise price, (b) a different type of Award, (c) cash, or (d) a combination of (a), (b) and/or (c).</w:t>
      </w:r>
    </w:p>
    <w:p>
      <w:pPr>
        <w:spacing w:after="0" w:line="165" w:lineRule="exact"/>
        <w:rPr>
          <w:rFonts w:ascii="Arial" w:cs="Arial" w:eastAsia="Arial" w:hAnsi="Arial"/>
          <w:sz w:val="17"/>
          <w:szCs w:val="17"/>
          <w:color w:val="auto"/>
        </w:rPr>
      </w:pPr>
    </w:p>
    <w:p>
      <w:pPr>
        <w:jc w:val="both"/>
        <w:ind w:left="-656" w:firstLine="656"/>
        <w:spacing w:after="0" w:line="264" w:lineRule="auto"/>
        <w:tabs>
          <w:tab w:leader="none" w:pos="41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shall fix the period within which the Option may be exercised and shall determine any conditions which must be satisfied before the Option may be exercised. In so doing, the Administrator may specify that an Option may not be exercised until the completion of a service period.</w:t>
      </w:r>
    </w:p>
    <w:p>
      <w:pPr>
        <w:spacing w:after="0" w:line="181" w:lineRule="exact"/>
        <w:rPr>
          <w:rFonts w:ascii="Arial" w:cs="Arial" w:eastAsia="Arial" w:hAnsi="Arial"/>
          <w:sz w:val="18"/>
          <w:szCs w:val="18"/>
          <w:color w:val="auto"/>
        </w:rPr>
      </w:pPr>
    </w:p>
    <w:p>
      <w:pPr>
        <w:ind w:left="-656" w:firstLine="656"/>
        <w:spacing w:after="0" w:line="277" w:lineRule="auto"/>
        <w:tabs>
          <w:tab w:leader="none" w:pos="36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Form of Consideration</w:t>
      </w:r>
      <w:r>
        <w:rPr>
          <w:rFonts w:ascii="Arial" w:cs="Arial" w:eastAsia="Arial" w:hAnsi="Arial"/>
          <w:sz w:val="18"/>
          <w:szCs w:val="18"/>
          <w:color w:val="auto"/>
        </w:rPr>
        <w:t>. The Administrator shall determine the acceptable form of consideration for exercising an Option, including the method of payment. Subject to Applicable Laws, such consideration may consist entirely of:</w:t>
      </w:r>
    </w:p>
    <w:p>
      <w:pPr>
        <w:spacing w:after="0" w:line="170" w:lineRule="exact"/>
        <w:rPr>
          <w:rFonts w:ascii="Arial" w:cs="Arial" w:eastAsia="Arial" w:hAnsi="Arial"/>
          <w:sz w:val="18"/>
          <w:szCs w:val="18"/>
          <w:color w:val="auto"/>
        </w:rPr>
      </w:pPr>
    </w:p>
    <w:p>
      <w:pPr>
        <w:ind w:left="1004" w:hanging="355"/>
        <w:spacing w:after="0"/>
        <w:tabs>
          <w:tab w:leader="none" w:pos="1004" w:val="left"/>
        </w:tabs>
        <w:numPr>
          <w:ilvl w:val="1"/>
          <w:numId w:val="92"/>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044" w:hanging="395"/>
        <w:spacing w:after="0"/>
        <w:tabs>
          <w:tab w:leader="none" w:pos="1044" w:val="left"/>
        </w:tabs>
        <w:numPr>
          <w:ilvl w:val="1"/>
          <w:numId w:val="92"/>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jc w:val="both"/>
        <w:ind w:left="-656" w:firstLine="1305"/>
        <w:spacing w:after="0" w:line="264" w:lineRule="auto"/>
        <w:tabs>
          <w:tab w:leader="none" w:pos="1114" w:val="left"/>
        </w:tabs>
        <w:numPr>
          <w:ilvl w:val="1"/>
          <w:numId w:val="92"/>
        </w:numPr>
        <w:rPr>
          <w:rFonts w:ascii="Arial" w:cs="Arial" w:eastAsia="Arial" w:hAnsi="Arial"/>
          <w:sz w:val="18"/>
          <w:szCs w:val="18"/>
          <w:color w:val="auto"/>
        </w:rPr>
      </w:pPr>
      <w:r>
        <w:rPr>
          <w:rFonts w:ascii="Arial" w:cs="Arial" w:eastAsia="Arial" w:hAnsi="Arial"/>
          <w:sz w:val="18"/>
          <w:szCs w:val="18"/>
          <w:color w:val="auto"/>
        </w:rPr>
        <w:t>other Shares which (A) in the case of Shares acquired upon exercise of an option, have been owned by the Participant for more than six months on the date of surrender, and (B) have a Fair Market Value on the date of surrender equal to the aggregate exercise price of the Shares as to which said Option shall be exercised;</w:t>
      </w:r>
    </w:p>
    <w:p>
      <w:pPr>
        <w:spacing w:after="0" w:line="181" w:lineRule="exact"/>
        <w:rPr>
          <w:rFonts w:ascii="Arial" w:cs="Arial" w:eastAsia="Arial" w:hAnsi="Arial"/>
          <w:sz w:val="18"/>
          <w:szCs w:val="18"/>
          <w:color w:val="auto"/>
        </w:rPr>
      </w:pPr>
    </w:p>
    <w:p>
      <w:pPr>
        <w:ind w:left="-656" w:right="20" w:firstLine="1305"/>
        <w:spacing w:after="0" w:line="308" w:lineRule="auto"/>
        <w:tabs>
          <w:tab w:leader="none" w:pos="1094"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delivery to the Company of (A) a properly executed exercise notice together with such other documentation as the Administrator and the broker, if applicable, shall require to effect an exercise of the Option and (B) the sale proceeds required to pay the exercise price;</w:t>
      </w:r>
    </w:p>
    <w:p>
      <w:pPr>
        <w:spacing w:after="0" w:line="146" w:lineRule="exact"/>
        <w:rPr>
          <w:rFonts w:ascii="Arial" w:cs="Arial" w:eastAsia="Arial" w:hAnsi="Arial"/>
          <w:sz w:val="17"/>
          <w:szCs w:val="17"/>
          <w:color w:val="auto"/>
        </w:rPr>
      </w:pPr>
    </w:p>
    <w:p>
      <w:pPr>
        <w:ind w:left="1044" w:hanging="395"/>
        <w:spacing w:after="0"/>
        <w:tabs>
          <w:tab w:leader="none" w:pos="104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left="-656" w:firstLine="1305"/>
        <w:spacing w:after="0" w:line="277" w:lineRule="auto"/>
        <w:tabs>
          <w:tab w:leader="none" w:pos="1137"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 provided, however, that in no case will loans be permitted as consideration for exercising an Option hereunder.</w:t>
      </w:r>
    </w:p>
    <w:p>
      <w:pPr>
        <w:spacing w:after="0" w:line="170" w:lineRule="exact"/>
        <w:rPr>
          <w:rFonts w:ascii="Arial" w:cs="Arial" w:eastAsia="Arial" w:hAnsi="Arial"/>
          <w:sz w:val="18"/>
          <w:szCs w:val="18"/>
          <w:color w:val="auto"/>
        </w:rPr>
      </w:pPr>
    </w:p>
    <w:p>
      <w:pPr>
        <w:ind w:left="-656" w:firstLine="656"/>
        <w:spacing w:after="0" w:line="277" w:lineRule="auto"/>
        <w:tabs>
          <w:tab w:leader="none" w:pos="395"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Exercise of Option; Rights as a Stockholder</w:t>
      </w:r>
      <w:r>
        <w:rPr>
          <w:rFonts w:ascii="Arial" w:cs="Arial" w:eastAsia="Arial" w:hAnsi="Arial"/>
          <w:sz w:val="18"/>
          <w:szCs w:val="18"/>
          <w:color w:val="auto"/>
        </w:rPr>
        <w:t>. Any Option granted hereunder shall be exercisable according to the terms of the Plan and at such times and under such conditions as determined by the Administrator and set forth in the Award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79" w:lineRule="exact"/>
        <w:rPr>
          <w:sz w:val="20"/>
          <w:szCs w:val="20"/>
          <w:color w:val="auto"/>
        </w:rPr>
      </w:pPr>
    </w:p>
    <w:p>
      <w:pPr>
        <w:ind w:left="388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584" w:right="239" w:bottom="1440" w:gutter="0" w:footer="0" w:header="0"/>
        </w:sectPr>
      </w:pPr>
    </w:p>
    <w:bookmarkStart w:id="125" w:name="page126"/>
    <w:bookmarkEnd w:id="125"/>
    <w:p>
      <w:pPr>
        <w:jc w:val="both"/>
        <w:ind w:firstLine="648"/>
        <w:spacing w:after="0" w:line="254" w:lineRule="auto"/>
        <w:rPr>
          <w:sz w:val="20"/>
          <w:szCs w:val="20"/>
          <w:color w:val="auto"/>
        </w:rPr>
      </w:pPr>
      <w:r>
        <w:rPr>
          <w:rFonts w:ascii="Arial" w:cs="Arial" w:eastAsia="Arial" w:hAnsi="Arial"/>
          <w:sz w:val="18"/>
          <w:szCs w:val="18"/>
          <w:color w:val="auto"/>
        </w:rPr>
        <w:t>An Option shall be deemed exercised when the Company receives: (i) written or electronic notice of exercise (in accordance with the Award Agreement) from the person entitled to exercise the Option, and (ii) full payment for the Shares with respect to which the Option is exercised. Full payment may consist of any consideration and method of payment authorized by the Administrator and permitted by the Award Agreement and the Plan. Shares issued upon exercise of an Option shall be issued in the name of the Participant. Until such Shares are issued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Company shall issue (or cause to be issued) such Share promptly after the Option is exercised. No adjustment will be made for a dividend or other right for which the record date is prior to the date the Share is issued, except as provided in Section 13 of the Plan.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Exercising an Option in any manner shall decrease the number of Shares thereafter available for sale under the Option, by the number of Shares as to which the Option is exercised.</w:t>
      </w:r>
    </w:p>
    <w:p>
      <w:pPr>
        <w:spacing w:after="0" w:line="170" w:lineRule="exact"/>
        <w:rPr>
          <w:sz w:val="20"/>
          <w:szCs w:val="20"/>
          <w:color w:val="auto"/>
        </w:rPr>
      </w:pPr>
    </w:p>
    <w:p>
      <w:pPr>
        <w:jc w:val="both"/>
        <w:ind w:firstLine="656"/>
        <w:spacing w:after="0" w:line="264" w:lineRule="auto"/>
        <w:tabs>
          <w:tab w:leader="none" w:pos="1119"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an Outside Director</w:t>
      </w:r>
      <w:r>
        <w:rPr>
          <w:rFonts w:ascii="Arial" w:cs="Arial" w:eastAsia="Arial" w:hAnsi="Arial"/>
          <w:sz w:val="18"/>
          <w:szCs w:val="18"/>
          <w:color w:val="auto"/>
        </w:rPr>
        <w:t>. If a Participant ceases to serve as an Outside Director other than by reason of death, Disability or Qualified Retirement, the Participant may exercise his or her Option for seven (7) months following the date of such cessation, to the extent that the Participant was entitled to exercise it on such date.</w:t>
      </w:r>
    </w:p>
    <w:p>
      <w:pPr>
        <w:spacing w:after="0" w:line="181" w:lineRule="exact"/>
        <w:rPr>
          <w:rFonts w:ascii="Arial" w:cs="Arial" w:eastAsia="Arial" w:hAnsi="Arial"/>
          <w:sz w:val="18"/>
          <w:szCs w:val="18"/>
          <w:color w:val="auto"/>
        </w:rPr>
      </w:pPr>
    </w:p>
    <w:p>
      <w:pPr>
        <w:ind w:firstLine="656"/>
        <w:spacing w:after="0" w:line="342" w:lineRule="auto"/>
        <w:tabs>
          <w:tab w:leader="none" w:pos="1052"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Qualifying Retirement</w:t>
      </w:r>
      <w:r>
        <w:rPr>
          <w:rFonts w:ascii="Arial" w:cs="Arial" w:eastAsia="Arial" w:hAnsi="Arial"/>
          <w:sz w:val="16"/>
          <w:szCs w:val="16"/>
          <w:color w:val="auto"/>
        </w:rPr>
        <w:t>. If a Participant ceases to serve as an Outside Director by reason of a Qualified Retirement, then the Participant may exercise his or her Option for three (3) years following the date of such cessation, to the extent that the Participant was entitled to exercise it on such date.</w:t>
      </w:r>
    </w:p>
    <w:p>
      <w:pPr>
        <w:spacing w:after="0" w:line="123" w:lineRule="exact"/>
        <w:rPr>
          <w:rFonts w:ascii="Arial" w:cs="Arial" w:eastAsia="Arial" w:hAnsi="Arial"/>
          <w:sz w:val="16"/>
          <w:szCs w:val="16"/>
          <w:color w:val="auto"/>
        </w:rPr>
      </w:pPr>
    </w:p>
    <w:p>
      <w:pPr>
        <w:ind w:right="20" w:firstLine="656"/>
        <w:spacing w:after="0" w:line="277" w:lineRule="auto"/>
        <w:tabs>
          <w:tab w:leader="none" w:pos="10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a Participant ceases to serve as an Outside Director by reason of Disability, the Participant may exercise his or her Option for twelve (12) months following the date of such cessation, to the extent that the Participant was entitled to exercise it on such date.</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038"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ceases to serve as an Outside Director by reason of the Participant’s death, the Option may be exercised for twelve (12) months following Participant’s death, to the extent that the Participant was entitled to exercise it on such date,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w:t>
      </w:r>
    </w:p>
    <w:p>
      <w:pPr>
        <w:spacing w:after="0" w:line="158" w:lineRule="exact"/>
        <w:rPr>
          <w:rFonts w:ascii="Arial" w:cs="Arial" w:eastAsia="Arial" w:hAnsi="Arial"/>
          <w:sz w:val="16"/>
          <w:szCs w:val="16"/>
          <w:color w:val="auto"/>
        </w:rPr>
      </w:pPr>
    </w:p>
    <w:p>
      <w:pPr>
        <w:jc w:val="both"/>
        <w:ind w:firstLine="656"/>
        <w:spacing w:after="0" w:line="257" w:lineRule="auto"/>
        <w:tabs>
          <w:tab w:leader="none" w:pos="106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Notwithstanding the foregoing, in no event may the Option be exercised after its term has expired. If, on the date of cessation of service as an Outside Director, the Participant is not vested as to his or her entire Option, the Shares covered by the unvested portion of the Option shall revert to the Plan. If, after cessation of service as an Outside Director, the Participant (or the Participant’s beneficiary or representative, as the case may be) does not exercise his or her Option within the time specified by the Administrator, the Option shall terminate, and the Shares covered by such Option shall revert to the Plan.</w:t>
      </w:r>
    </w:p>
    <w:p>
      <w:pPr>
        <w:spacing w:after="0" w:line="188" w:lineRule="exact"/>
        <w:rPr>
          <w:sz w:val="20"/>
          <w:szCs w:val="20"/>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25" w:lineRule="exact"/>
        <w:rPr>
          <w:sz w:val="20"/>
          <w:szCs w:val="20"/>
          <w:color w:val="auto"/>
        </w:rPr>
      </w:pPr>
    </w:p>
    <w:p>
      <w:pPr>
        <w:ind w:right="420" w:firstLine="656"/>
        <w:spacing w:after="0" w:line="277" w:lineRule="auto"/>
        <w:tabs>
          <w:tab w:leader="none" w:pos="102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Outside Directors as the Administrator, in its sole discretion, shall determine.</w:t>
      </w:r>
    </w:p>
    <w:p>
      <w:pPr>
        <w:spacing w:after="0" w:line="170" w:lineRule="exact"/>
        <w:rPr>
          <w:rFonts w:ascii="Arial" w:cs="Arial" w:eastAsia="Arial" w:hAnsi="Arial"/>
          <w:sz w:val="18"/>
          <w:szCs w:val="18"/>
          <w:color w:val="auto"/>
        </w:rPr>
      </w:pPr>
    </w:p>
    <w:p>
      <w:pPr>
        <w:ind w:right="460" w:firstLine="656"/>
        <w:spacing w:after="0" w:line="259" w:lineRule="auto"/>
        <w:tabs>
          <w:tab w:leader="none" w:pos="103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such Shares have lapsed.</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126" w:name="page127"/>
    <w:bookmarkEnd w:id="126"/>
    <w:p>
      <w:pPr>
        <w:ind w:right="180" w:firstLine="656"/>
        <w:spacing w:after="0" w:line="277" w:lineRule="auto"/>
        <w:tabs>
          <w:tab w:leader="none" w:pos="102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provided in this Section 9, Shares of Restricted Stock may not be sold, transferred, pledged, assigned, or otherwise alienated or hypothecated until the end of the applicable Period of Restriction.</w:t>
      </w:r>
    </w:p>
    <w:p>
      <w:pPr>
        <w:spacing w:after="0" w:line="170" w:lineRule="exact"/>
        <w:rPr>
          <w:rFonts w:ascii="Arial" w:cs="Arial" w:eastAsia="Arial" w:hAnsi="Arial"/>
          <w:sz w:val="18"/>
          <w:szCs w:val="18"/>
          <w:color w:val="auto"/>
        </w:rPr>
      </w:pPr>
    </w:p>
    <w:p>
      <w:pPr>
        <w:ind w:right="140" w:firstLine="656"/>
        <w:spacing w:after="0" w:line="277" w:lineRule="auto"/>
        <w:tabs>
          <w:tab w:leader="none" w:pos="103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 in accordance with this Section 9(d).</w:t>
      </w:r>
    </w:p>
    <w:p>
      <w:pPr>
        <w:spacing w:after="0" w:line="170" w:lineRule="exact"/>
        <w:rPr>
          <w:rFonts w:ascii="Arial" w:cs="Arial" w:eastAsia="Arial" w:hAnsi="Arial"/>
          <w:sz w:val="18"/>
          <w:szCs w:val="18"/>
          <w:color w:val="auto"/>
        </w:rPr>
      </w:pPr>
    </w:p>
    <w:p>
      <w:pPr>
        <w:ind w:right="640" w:firstLine="1953"/>
        <w:spacing w:after="0" w:line="342" w:lineRule="auto"/>
        <w:tabs>
          <w:tab w:leader="none" w:pos="2295"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General Restrictions</w:t>
      </w:r>
      <w:r>
        <w:rPr>
          <w:rFonts w:ascii="Arial" w:cs="Arial" w:eastAsia="Arial" w:hAnsi="Arial"/>
          <w:sz w:val="16"/>
          <w:szCs w:val="16"/>
          <w:color w:val="auto"/>
        </w:rPr>
        <w:t>. The Administrator may set restrictions based upon continued service with the Company and its affiliates, applicable federal or state securities laws, other Applicable Laws, or any other basis determined by the Administrator in its discretion.</w:t>
      </w:r>
    </w:p>
    <w:p>
      <w:pPr>
        <w:spacing w:after="0" w:line="123" w:lineRule="exact"/>
        <w:rPr>
          <w:rFonts w:ascii="Arial" w:cs="Arial" w:eastAsia="Arial" w:hAnsi="Arial"/>
          <w:sz w:val="16"/>
          <w:szCs w:val="16"/>
          <w:color w:val="auto"/>
        </w:rPr>
      </w:pPr>
    </w:p>
    <w:p>
      <w:pPr>
        <w:ind w:left="2360" w:hanging="407"/>
        <w:spacing w:after="0"/>
        <w:tabs>
          <w:tab w:leader="none" w:pos="236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Legend</w:t>
      </w:r>
      <w:r>
        <w:rPr>
          <w:rFonts w:ascii="Arial" w:cs="Arial" w:eastAsia="Arial" w:hAnsi="Arial"/>
          <w:sz w:val="16"/>
          <w:szCs w:val="16"/>
          <w:color w:val="auto"/>
        </w:rPr>
        <w:t>. The Administrator, in its discretion, may legend the Shares representing Restricted Stock to give appropriate notice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restrictions.</w:t>
      </w:r>
    </w:p>
    <w:p>
      <w:pPr>
        <w:spacing w:after="0" w:line="210" w:lineRule="exact"/>
        <w:rPr>
          <w:rFonts w:ascii="Arial" w:cs="Arial" w:eastAsia="Arial" w:hAnsi="Arial"/>
          <w:sz w:val="16"/>
          <w:szCs w:val="16"/>
          <w:color w:val="auto"/>
        </w:rPr>
      </w:pPr>
    </w:p>
    <w:p>
      <w:pPr>
        <w:ind w:right="140" w:firstLine="656"/>
        <w:spacing w:after="0" w:line="255" w:lineRule="auto"/>
        <w:tabs>
          <w:tab w:leader="none" w:pos="102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9, Shares of Restricted Stock covered by each Restricted Stock grant made under the Plan shall be released from escrow as soon as practicable after the last day of the Period of Restriction. The Administrator, in its discretion, may accelerate the time at which any restrictions shall lapse or be removed. After the restrictions have lapsed, the Participant shall be entitled to have any legend or legends under Section 9(d)(ii) removed from his or her Share, and the Shares shall be freely transferable by the Participant. The Administrator (in its discretion) may establish procedures regarding the release of Shares from escrow and the removal of legends, as necessary or appropriate to minimize administrative burdens on the Company.</w:t>
      </w:r>
    </w:p>
    <w:p>
      <w:pPr>
        <w:spacing w:after="0" w:line="193" w:lineRule="exact"/>
        <w:rPr>
          <w:rFonts w:ascii="Arial" w:cs="Arial" w:eastAsia="Arial" w:hAnsi="Arial"/>
          <w:sz w:val="18"/>
          <w:szCs w:val="18"/>
          <w:color w:val="auto"/>
        </w:rPr>
      </w:pPr>
    </w:p>
    <w:p>
      <w:pPr>
        <w:ind w:right="320" w:firstLine="656"/>
        <w:spacing w:after="0" w:line="277" w:lineRule="auto"/>
        <w:tabs>
          <w:tab w:leader="none" w:pos="100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Participants holding Shares of Restricted Stock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firstLine="656"/>
        <w:spacing w:after="0" w:line="259" w:lineRule="auto"/>
        <w:tabs>
          <w:tab w:leader="none" w:pos="103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Participants holding Shares of Restricted Stock shall be entitled to receive all dividends and other distributions paid with respect to such Shares unless otherwise provided in the Award Agreement. Any such dividends or distribution shall be subject to the same restrictions on transferability and forfeitability as the Shares of Restricted Stock with respect to which they were paid, unless otherwise provided in the Award Agreement.</w:t>
      </w:r>
    </w:p>
    <w:p>
      <w:pPr>
        <w:spacing w:after="0" w:line="186" w:lineRule="exact"/>
        <w:rPr>
          <w:rFonts w:ascii="Arial" w:cs="Arial" w:eastAsia="Arial" w:hAnsi="Arial"/>
          <w:sz w:val="18"/>
          <w:szCs w:val="18"/>
          <w:color w:val="auto"/>
        </w:rPr>
      </w:pPr>
    </w:p>
    <w:p>
      <w:pPr>
        <w:ind w:right="40" w:firstLine="656"/>
        <w:spacing w:after="0" w:line="277" w:lineRule="auto"/>
        <w:tabs>
          <w:tab w:leader="none" w:pos="103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the Company</w:t>
      </w:r>
      <w:r>
        <w:rPr>
          <w:rFonts w:ascii="Arial" w:cs="Arial" w:eastAsia="Arial" w:hAnsi="Arial"/>
          <w:sz w:val="18"/>
          <w:szCs w:val="18"/>
          <w:color w:val="auto"/>
        </w:rPr>
        <w:t>. On the date set forth in the Award Agreement, the Restricted Stock for which restrictions have not lapsed shall revert to the Company and again shall become available for grant under the Plan.</w:t>
      </w:r>
    </w:p>
    <w:p>
      <w:pPr>
        <w:spacing w:after="0" w:line="170" w:lineRule="exact"/>
        <w:rPr>
          <w:sz w:val="20"/>
          <w:szCs w:val="20"/>
          <w:color w:val="auto"/>
        </w:rPr>
      </w:pPr>
    </w:p>
    <w:p>
      <w:pPr>
        <w:ind w:left="1060" w:hanging="40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sz w:val="20"/>
          <w:szCs w:val="20"/>
          <w:color w:val="auto"/>
        </w:rPr>
      </w:pPr>
    </w:p>
    <w:p>
      <w:pPr>
        <w:ind w:left="1040" w:hanging="384"/>
        <w:spacing w:after="0"/>
        <w:tabs>
          <w:tab w:leader="none" w:pos="104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53"/>
        <w:spacing w:after="0" w:line="291" w:lineRule="auto"/>
        <w:tabs>
          <w:tab w:leader="none" w:pos="2295" w:val="left"/>
        </w:tabs>
        <w:numPr>
          <w:ilvl w:val="2"/>
          <w:numId w:val="98"/>
        </w:numPr>
        <w:rPr>
          <w:rFonts w:ascii="Arial" w:cs="Arial" w:eastAsia="Arial" w:hAnsi="Arial"/>
          <w:sz w:val="16"/>
          <w:szCs w:val="16"/>
          <w:color w:val="auto"/>
        </w:rPr>
      </w:pPr>
      <w:r>
        <w:rPr>
          <w:rFonts w:ascii="Arial" w:cs="Arial" w:eastAsia="Arial" w:hAnsi="Arial"/>
          <w:sz w:val="16"/>
          <w:szCs w:val="16"/>
          <w:color w:val="auto"/>
        </w:rPr>
        <w:t>Each Outside Director who first joins the Board shall be automatically granted Restricted Stock Units upon the effective date on which such person first serves as an Outside Director, for that number of Shares as determined by dividing (1) the product of (a) $250,000 multiplied by</w:t>
      </w:r>
    </w:p>
    <w:p>
      <w:pPr>
        <w:ind w:right="20" w:firstLine="8"/>
        <w:spacing w:after="0" w:line="277" w:lineRule="auto"/>
        <w:tabs>
          <w:tab w:leader="none" w:pos="255"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ratio of (i) the number of calendar days from the Date of Grant to the Company's next annual meeting of stockholders ("Annual Meeting"), if scheduled, or the first anniversary of the Company's last Annual Meeting, if the next Annual Meeting is not yet scheduled, divided by (ii) 365; by (2) the Fair Market Value of a Share on the Date of Grant, rounded down to the nearest whole Share (the “Initial Restricted Stock Units”) as illustrated below:</w:t>
      </w: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584" w:right="29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517525</wp:posOffset>
            </wp:positionH>
            <wp:positionV relativeFrom="page">
              <wp:posOffset>380365</wp:posOffset>
            </wp:positionV>
            <wp:extent cx="4682490" cy="128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468249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firstLine="8"/>
        <w:spacing w:after="0" w:line="279" w:lineRule="auto"/>
        <w:tabs>
          <w:tab w:leader="none" w:pos="9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provided, however, that no Restricted Stock Unit shall be settled or paid under the Plan until stockholder approval of the Plan has been obtained in accordance with Section 14(b) hereof; provided further, that the number of Shares subject to a grant of Initial Restricted Stock Units shall be subject to review and revision by the Board on an annual basis; and provided further, however, that if an Outside Director's effective date of first service on the Board falls on the date of an Annual Meeting, such Outside Director shall not receive an award of Initial Restricted Stock Units.</w:t>
      </w:r>
    </w:p>
    <w:p>
      <w:pPr>
        <w:spacing w:after="0" w:line="171" w:lineRule="exact"/>
        <w:rPr>
          <w:rFonts w:ascii="Arial" w:cs="Arial" w:eastAsia="Arial" w:hAnsi="Arial"/>
          <w:sz w:val="17"/>
          <w:szCs w:val="17"/>
          <w:color w:val="auto"/>
        </w:rPr>
      </w:pPr>
    </w:p>
    <w:p>
      <w:pPr>
        <w:jc w:val="both"/>
        <w:ind w:firstLine="1953"/>
        <w:spacing w:after="0" w:line="257" w:lineRule="auto"/>
        <w:tabs>
          <w:tab w:leader="none" w:pos="244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On the date of each Annual Meeting during the term of this Plan, each Outside Director shall automatically receive an additional award of Restricted Stock Units for that number of Shares as determined by dividing $250,000 by the Fair Market Value of a Share on the Date of Grant, rounded down to the nearest whole Share (the “Annual Restricted Stock Units”), provided that the grant of Annual Restricted Stock Units shall be subject to the Outside Director’s continued service; and provided further, that the number of Shares subject to a grant of Annual Restricted Stock Units shall be subject to review and revision by the Board on an annual basis.</w:t>
      </w:r>
    </w:p>
    <w:p>
      <w:pPr>
        <w:spacing w:after="0" w:line="188" w:lineRule="exact"/>
        <w:rPr>
          <w:rFonts w:ascii="Arial" w:cs="Arial" w:eastAsia="Arial" w:hAnsi="Arial"/>
          <w:sz w:val="18"/>
          <w:szCs w:val="18"/>
          <w:color w:val="auto"/>
        </w:rPr>
      </w:pPr>
    </w:p>
    <w:p>
      <w:pPr>
        <w:ind w:firstLine="1953"/>
        <w:spacing w:after="0" w:line="277" w:lineRule="auto"/>
        <w:tabs>
          <w:tab w:leader="none" w:pos="2415" w:val="left"/>
        </w:tabs>
        <w:numPr>
          <w:ilvl w:val="2"/>
          <w:numId w:val="100"/>
        </w:numPr>
        <w:rPr>
          <w:rFonts w:ascii="Arial" w:cs="Arial" w:eastAsia="Arial" w:hAnsi="Arial"/>
          <w:sz w:val="18"/>
          <w:szCs w:val="18"/>
          <w:color w:val="auto"/>
        </w:rPr>
      </w:pPr>
      <w:r>
        <w:rPr>
          <w:rFonts w:ascii="Arial" w:cs="Arial" w:eastAsia="Arial" w:hAnsi="Arial"/>
          <w:sz w:val="18"/>
          <w:szCs w:val="18"/>
          <w:color w:val="auto"/>
        </w:rPr>
        <w:t>Each grant of Initial Restricted Stock Units and Annual Restricted Stock Units shall vest on the date of the Annual Meeting following the Date of Grant, provided that the Participant is an Outside Director on such date.</w:t>
      </w:r>
    </w:p>
    <w:p>
      <w:pPr>
        <w:spacing w:after="0" w:line="170" w:lineRule="exact"/>
        <w:rPr>
          <w:rFonts w:ascii="Arial" w:cs="Arial" w:eastAsia="Arial" w:hAnsi="Arial"/>
          <w:sz w:val="18"/>
          <w:szCs w:val="18"/>
          <w:color w:val="auto"/>
        </w:rPr>
      </w:pPr>
    </w:p>
    <w:p>
      <w:pPr>
        <w:jc w:val="both"/>
        <w:ind w:firstLine="1953"/>
        <w:spacing w:after="0" w:line="284" w:lineRule="auto"/>
        <w:tabs>
          <w:tab w:leader="none" w:pos="2450" w:val="left"/>
        </w:tabs>
        <w:numPr>
          <w:ilvl w:val="2"/>
          <w:numId w:val="100"/>
        </w:numPr>
        <w:rPr>
          <w:rFonts w:ascii="Arial" w:cs="Arial" w:eastAsia="Arial" w:hAnsi="Arial"/>
          <w:sz w:val="16"/>
          <w:szCs w:val="16"/>
          <w:color w:val="auto"/>
        </w:rPr>
      </w:pPr>
      <w:r>
        <w:rPr>
          <w:rFonts w:ascii="Arial" w:cs="Arial" w:eastAsia="Arial" w:hAnsi="Arial"/>
          <w:sz w:val="16"/>
          <w:szCs w:val="16"/>
          <w:color w:val="auto"/>
        </w:rPr>
        <w:t>On or before December 31 of the calendar year prior to each Annual Meeting during the term of this Plan, each Outside Director may make an election (the “Election”) to receive any or all of his or her annual cash retainer that will be earned for services performed as an Outside Director in calendar years after the calendar year in which the election is made in the form of a Restricted Stock Unit Award. The Election must be in writing and delivered to the Secretary of the Company on or prior to December 31 of the calendar year prior to such Annual Meeting. Any such Election made by an Outside Director shall be irrevocable and shall comply with Section 409A of the Code to the extent applicable unless otherwise determined by the Board. Effective as of immediately following the Annual Meeting, the Outside Director shall receive a Restricted Stock Unit Award for that number of Shares determined by dividing (1) the product of (a) the amount of his or her annual retainer as an Outside Director covered by the Election, multiplied by (b) 1.2, by</w:t>
      </w:r>
    </w:p>
    <w:p>
      <w:pPr>
        <w:spacing w:after="0" w:line="2"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(2) the Fair Market Value of a Share on that date, rounded down to the nearest whole Share, provided that on the Date of Grant of any such Restricted Stock Unit Award such person is an Outside Director; and provided further that sufficient Shares are available under the Plan for the grant of such Restricted Stock Unit Award. Such Restricted Stock Unit Award shall vest on the date of the following year’s Annual Meeting of Stockholders of the Company, provided that the Participant is an Outside Director on such date.</w:t>
      </w:r>
    </w:p>
    <w:p>
      <w:pPr>
        <w:spacing w:after="0" w:line="189" w:lineRule="exact"/>
        <w:rPr>
          <w:rFonts w:ascii="Arial" w:cs="Arial" w:eastAsia="Arial" w:hAnsi="Arial"/>
          <w:sz w:val="16"/>
          <w:szCs w:val="16"/>
          <w:color w:val="auto"/>
        </w:rPr>
      </w:pPr>
    </w:p>
    <w:p>
      <w:pPr>
        <w:ind w:left="1040" w:hanging="384"/>
        <w:spacing w:after="0"/>
        <w:tabs>
          <w:tab w:leader="none" w:pos="1040"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Value of Restricted Stock Units</w:t>
      </w:r>
      <w:r>
        <w:rPr>
          <w:rFonts w:ascii="Arial" w:cs="Arial" w:eastAsia="Arial" w:hAnsi="Arial"/>
          <w:sz w:val="16"/>
          <w:szCs w:val="16"/>
          <w:color w:val="auto"/>
        </w:rPr>
        <w:t>. Each Restricted Stock Unit shall have an initial value equal to the Fair Market Value of a Share on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w:t>
      </w:r>
    </w:p>
    <w:p>
      <w:pPr>
        <w:spacing w:after="0" w:line="210" w:lineRule="exact"/>
        <w:rPr>
          <w:rFonts w:ascii="Arial" w:cs="Arial" w:eastAsia="Arial" w:hAnsi="Arial"/>
          <w:sz w:val="16"/>
          <w:szCs w:val="16"/>
          <w:color w:val="auto"/>
        </w:rPr>
      </w:pPr>
    </w:p>
    <w:p>
      <w:pPr>
        <w:ind w:right="460" w:firstLine="656"/>
        <w:spacing w:after="0" w:line="264" w:lineRule="auto"/>
        <w:tabs>
          <w:tab w:leader="none" w:pos="1028"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Restricted Stock Unit Agreement</w:t>
      </w:r>
      <w:r>
        <w:rPr>
          <w:rFonts w:ascii="Arial" w:cs="Arial" w:eastAsia="Arial" w:hAnsi="Arial"/>
          <w:sz w:val="18"/>
          <w:szCs w:val="18"/>
          <w:color w:val="auto"/>
        </w:rPr>
        <w:t>. Each Award of Restricted Stock Units shall be evidenced by an Award Agreement that shall specify the vesting conditions, the number of Restricted Stock Units granted, and such other terms and conditions as the Administrator, in its sole discretion, shall determine.</w:t>
      </w:r>
    </w:p>
    <w:p>
      <w:pPr>
        <w:spacing w:after="0" w:line="181" w:lineRule="exact"/>
        <w:rPr>
          <w:rFonts w:ascii="Arial" w:cs="Arial" w:eastAsia="Arial" w:hAnsi="Arial"/>
          <w:sz w:val="18"/>
          <w:szCs w:val="18"/>
          <w:color w:val="auto"/>
        </w:rPr>
      </w:pPr>
    </w:p>
    <w:p>
      <w:pPr>
        <w:ind w:right="160" w:firstLine="656"/>
        <w:spacing w:after="0" w:line="264" w:lineRule="auto"/>
        <w:tabs>
          <w:tab w:leader="none" w:pos="1038"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 of Restricted Stock Units</w:t>
      </w:r>
      <w:r>
        <w:rPr>
          <w:rFonts w:ascii="Arial" w:cs="Arial" w:eastAsia="Arial" w:hAnsi="Arial"/>
          <w:sz w:val="18"/>
          <w:szCs w:val="18"/>
          <w:color w:val="auto"/>
        </w:rPr>
        <w:t>. Payment of vested Restricted Stock Units shall be made as soon as practicable after vesting (subject to any deferral permitted under Section 18). The Administrator, in its sole discretion, may pay Restricted Stock Units in the form of cash, in Shares or in a combination thereof.</w:t>
      </w:r>
    </w:p>
    <w:p>
      <w:pPr>
        <w:spacing w:after="0" w:line="2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40" w:right="239" w:bottom="1440" w:gutter="0" w:footer="0" w:header="0"/>
        </w:sectPr>
      </w:pPr>
    </w:p>
    <w:bookmarkStart w:id="128" w:name="page129"/>
    <w:bookmarkEnd w:id="128"/>
    <w:p>
      <w:pPr>
        <w:ind w:right="180" w:firstLine="656"/>
        <w:spacing w:after="0" w:line="277" w:lineRule="auto"/>
        <w:tabs>
          <w:tab w:leader="none" w:pos="102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Cancellation of Restricted Stock Units</w:t>
      </w:r>
      <w:r>
        <w:rPr>
          <w:rFonts w:ascii="Arial" w:cs="Arial" w:eastAsia="Arial" w:hAnsi="Arial"/>
          <w:sz w:val="18"/>
          <w:szCs w:val="18"/>
          <w:color w:val="auto"/>
        </w:rPr>
        <w:t>. On the date set forth in the Award Agreement, all unvested Restricted Stock Units shall be forfeited to the Company and, except as otherwise determined by the Administrator, again shall be available for grant under the Plan.</w:t>
      </w:r>
    </w:p>
    <w:p>
      <w:pPr>
        <w:spacing w:after="0" w:line="170" w:lineRule="exact"/>
        <w:rPr>
          <w:sz w:val="20"/>
          <w:szCs w:val="20"/>
          <w:color w:val="auto"/>
        </w:rPr>
      </w:pPr>
    </w:p>
    <w:p>
      <w:pPr>
        <w:ind w:firstLine="656"/>
        <w:spacing w:after="0" w:line="277" w:lineRule="auto"/>
        <w:tabs>
          <w:tab w:leader="none" w:pos="112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Unless the Administrator provides otherwise or except as otherwise required by Applicable Laws, vesting of Awards granted hereunder shall continue during any leave of absence approved by the Administrator.</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256"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Non-Transferability of Awards</w:t>
      </w:r>
      <w:r>
        <w:rPr>
          <w:rFonts w:ascii="Arial" w:cs="Arial" w:eastAsia="Arial" w:hAnsi="Arial"/>
          <w:sz w:val="17"/>
          <w:szCs w:val="17"/>
          <w:color w:val="auto"/>
        </w:rPr>
        <w:t>. Unless determined otherwise by the Administrator, an Award may not be sold, pledged, assigned, hypothecated, transferred, or disposed of in any manner other than by will or by the laws of descent or distribution and may be exercised, during the lifetime of the recipient, only by the recipient. If the Administrator makes an Award transferable, such Award shall contain such additional terms and conditions as the Administrator deems appropriate; provided, however, that such Award shall in no event be transferable for value. Notwithstanding the foregoing, a Participant may, if the Administrator (in its discretion) so permits, transfer an Award to an individual or entity other than the Company. Any such transfer shall be made in accordance with such procedures as the Administrator may specify from time to time.</w:t>
      </w:r>
    </w:p>
    <w:p>
      <w:pPr>
        <w:spacing w:after="0" w:line="178" w:lineRule="exact"/>
        <w:rPr>
          <w:rFonts w:ascii="Arial" w:cs="Arial" w:eastAsia="Arial" w:hAnsi="Arial"/>
          <w:sz w:val="17"/>
          <w:szCs w:val="17"/>
          <w:color w:val="auto"/>
        </w:rPr>
      </w:pPr>
    </w:p>
    <w:p>
      <w:pPr>
        <w:ind w:left="1060" w:hanging="40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106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Subject to any required action by the stockholders of the Company, the number of Shares covered by each outstanding Award, the number of Shares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resulting from a stock split, reverse stock split, stock dividend, combination or reclassification of the Common Stock, or any other increase or decrease in the number of issued Shares effected without receipt of consideration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conversion of any convertible securities of the Company shall not be deemed to have been “effected without receipt of consideration.” Such adjustment shall be made by the Compensation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94" w:lineRule="exact"/>
        <w:rPr>
          <w:rFonts w:ascii="Arial" w:cs="Arial" w:eastAsia="Arial" w:hAnsi="Arial"/>
          <w:sz w:val="18"/>
          <w:szCs w:val="18"/>
          <w:color w:val="auto"/>
        </w:rPr>
      </w:pPr>
    </w:p>
    <w:p>
      <w:pPr>
        <w:jc w:val="both"/>
        <w:ind w:firstLine="656"/>
        <w:spacing w:after="0" w:line="255" w:lineRule="auto"/>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shall notify each Participant as soon as practicable prior to the effective date of such proposed transaction. The Administrator in its discretion may provide for a Participant to have the right to exercise his or her Award until ten (10) days prior to such transaction as to all of the Shares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an Award will terminate immediately prior to the consummation of such proposed action.</w:t>
      </w:r>
    </w:p>
    <w:p>
      <w:pPr>
        <w:spacing w:after="0" w:line="189" w:lineRule="exact"/>
        <w:rPr>
          <w:rFonts w:ascii="Arial" w:cs="Arial" w:eastAsia="Arial" w:hAnsi="Arial"/>
          <w:sz w:val="18"/>
          <w:szCs w:val="18"/>
          <w:color w:val="auto"/>
        </w:rPr>
      </w:pPr>
    </w:p>
    <w:p>
      <w:pPr>
        <w:ind w:firstLine="656"/>
        <w:spacing w:after="0" w:line="277" w:lineRule="auto"/>
        <w:tabs>
          <w:tab w:leader="none" w:pos="106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of a Change of Control, each outstanding Award shall be assumed or an equivalent Award substituted by the successor corporation or a Parent or Subsidiary of the successor corporation.</w:t>
      </w:r>
    </w:p>
    <w:p>
      <w:pPr>
        <w:spacing w:after="0" w:line="170" w:lineRule="exact"/>
        <w:rPr>
          <w:sz w:val="20"/>
          <w:szCs w:val="20"/>
          <w:color w:val="auto"/>
        </w:rPr>
      </w:pPr>
    </w:p>
    <w:p>
      <w:pPr>
        <w:jc w:val="both"/>
        <w:ind w:firstLine="1945"/>
        <w:spacing w:after="0" w:line="297" w:lineRule="auto"/>
        <w:rPr>
          <w:sz w:val="20"/>
          <w:szCs w:val="20"/>
          <w:color w:val="auto"/>
        </w:rPr>
      </w:pPr>
      <w:r>
        <w:rPr>
          <w:rFonts w:ascii="Arial" w:cs="Arial" w:eastAsia="Arial" w:hAnsi="Arial"/>
          <w:sz w:val="16"/>
          <w:szCs w:val="16"/>
          <w:color w:val="auto"/>
        </w:rPr>
        <w:t>In the event that the successor corporation refuses to assume or substitute for the Award, the Participant shall fully vest in and have the right to exercise all of his or her outstanding Options, including Shares as to which such Awards would not otherwise be vested or exercisable, all restrictions on Restricted Stock will lapse and all Restricted Stock Units shall become fully vested. In addition, if an Option is not assumed or substituted in the event of a Change of Control, the Administrator shall notify the Participant in writing or electronically that the Option shall be fully vested and exercisable for a period of fifteen (15) days from the date of such notice, and the Option shall terminate upon the expiration of such period.</w:t>
      </w:r>
    </w:p>
    <w:p>
      <w:pPr>
        <w:spacing w:after="0" w:line="158"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For the purposes of this paragraph, an Award shall be considered assumed if, following the Change of Control, the Award confers the right to purchase or receive, for each Share subject to the Award immediately prior to the Change of Control, the consideration (whether stock, cash, or other securities or property) received in the Change</w:t>
      </w:r>
    </w:p>
    <w:p>
      <w:pPr>
        <w:spacing w:after="0" w:line="2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29" w:name="page130"/>
    <w:bookmarkEnd w:id="129"/>
    <w:p>
      <w:pPr>
        <w:jc w:val="both"/>
        <w:spacing w:after="0" w:line="255" w:lineRule="auto"/>
        <w:rPr>
          <w:sz w:val="20"/>
          <w:szCs w:val="20"/>
          <w:color w:val="auto"/>
        </w:rPr>
      </w:pPr>
      <w:r>
        <w:rPr>
          <w:rFonts w:ascii="Arial" w:cs="Arial" w:eastAsia="Arial" w:hAnsi="Arial"/>
          <w:sz w:val="18"/>
          <w:szCs w:val="18"/>
          <w:color w:val="auto"/>
        </w:rPr>
        <w:t xml:space="preserve">of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consideration received in the Change of Control is not solely common stock of the successor corporation or its Parent, the Administrator may, with the consent of the successor corporation, provide for the consideration to be received upon the exercise of an Option or upon the payout of the Restricted Stock Unit Award, for each Share subject to the Award, to be solely common stock of the successor corporation or its Parent equal in fair market value to the per share consideration received by holders of Common Stock in the Change of Control.</w:t>
      </w:r>
    </w:p>
    <w:p>
      <w:pPr>
        <w:spacing w:after="0" w:line="193" w:lineRule="exact"/>
        <w:rPr>
          <w:sz w:val="20"/>
          <w:szCs w:val="20"/>
          <w:color w:val="auto"/>
        </w:rPr>
      </w:pPr>
    </w:p>
    <w:p>
      <w:pPr>
        <w:ind w:left="1060" w:hanging="404"/>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4" w:lineRule="auto"/>
        <w:tabs>
          <w:tab w:leader="none" w:pos="104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Subject to Section 8(d) hereof, the Board may at any time amend, alter, suspend or terminate the Plan; provided, however, that to the extent necessary and desirable to comply with any Applicable Law, the Company shall obtain stockholder approval of any Plan amendment in such a manner and to such a degree as required.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7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impair the rights of any Participant, unless mutually agreed otherwise between the Participant and the Administrator, which agreement must be in writing (or electronic format) and signed by the Participant and the Company.</w:t>
      </w:r>
    </w:p>
    <w:p>
      <w:pPr>
        <w:spacing w:after="0" w:line="181" w:lineRule="exact"/>
        <w:rPr>
          <w:sz w:val="20"/>
          <w:szCs w:val="20"/>
          <w:color w:val="auto"/>
        </w:rPr>
      </w:pPr>
    </w:p>
    <w:p>
      <w:pPr>
        <w:ind w:left="1060" w:hanging="40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56"/>
        <w:spacing w:after="0" w:line="264" w:lineRule="auto"/>
        <w:tabs>
          <w:tab w:leader="none" w:pos="108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9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or receipt of Shares pursuant to an Award, the Company may require the person exercising or receiving Shares pursuant to an Award to represent and warrant at the time of any such exercise or receipt that the Shares are being purchased only for investment and without any present intention to sell or distribute such Shares if, in the opinion of counsel for the Company, such a representation is required.</w:t>
      </w:r>
    </w:p>
    <w:p>
      <w:pPr>
        <w:spacing w:after="0" w:line="187" w:lineRule="exact"/>
        <w:rPr>
          <w:sz w:val="20"/>
          <w:szCs w:val="20"/>
          <w:color w:val="auto"/>
        </w:rPr>
      </w:pPr>
    </w:p>
    <w:p>
      <w:pPr>
        <w:ind w:left="1060" w:hanging="40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Liability of Company</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4" w:lineRule="auto"/>
        <w:tabs>
          <w:tab w:leader="none" w:pos="1028"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1" w:lineRule="exact"/>
        <w:rPr>
          <w:rFonts w:ascii="Arial" w:cs="Arial" w:eastAsia="Arial" w:hAnsi="Arial"/>
          <w:sz w:val="18"/>
          <w:szCs w:val="18"/>
          <w:color w:val="auto"/>
        </w:rPr>
      </w:pPr>
    </w:p>
    <w:p>
      <w:pPr>
        <w:jc w:val="both"/>
        <w:ind w:firstLine="656"/>
        <w:spacing w:after="0" w:line="312" w:lineRule="auto"/>
        <w:tabs>
          <w:tab w:leader="none" w:pos="109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Grants Exceeding Allotted Shares</w:t>
      </w:r>
      <w:r>
        <w:rPr>
          <w:rFonts w:ascii="Arial" w:cs="Arial" w:eastAsia="Arial" w:hAnsi="Arial"/>
          <w:sz w:val="16"/>
          <w:szCs w:val="16"/>
          <w:color w:val="auto"/>
        </w:rPr>
        <w:t>. If the Shares covered by an Award exceed, as of the Date of Grant, the number of Shares which may be issued under the Plan without additional stockholder approval, such Award shall be void with respect to such excess Shares, unless stockholder approval of an amendment sufficiently increasing the number of Shares subject to the Plan is timely obtained in accordance with Section 14(b) of the Plan.</w:t>
      </w:r>
    </w:p>
    <w:p>
      <w:pPr>
        <w:spacing w:after="0" w:line="147" w:lineRule="exact"/>
        <w:rPr>
          <w:sz w:val="20"/>
          <w:szCs w:val="20"/>
          <w:color w:val="auto"/>
        </w:rPr>
      </w:pPr>
    </w:p>
    <w:p>
      <w:pPr>
        <w:ind w:right="20" w:firstLine="656"/>
        <w:spacing w:after="0" w:line="277" w:lineRule="auto"/>
        <w:tabs>
          <w:tab w:leader="none" w:pos="106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during the term of this Plan, will at all times reserve and keep available such number of Shares as shall be sufficient to satisfy the requirements of the Plan.</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The Administrator,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Administrator in its sole discretion.</w:t>
      </w:r>
    </w:p>
    <w:p>
      <w:pPr>
        <w:spacing w:after="0" w:line="181" w:lineRule="exact"/>
        <w:rPr>
          <w:rFonts w:ascii="Arial" w:cs="Arial" w:eastAsia="Arial" w:hAnsi="Arial"/>
          <w:sz w:val="18"/>
          <w:szCs w:val="18"/>
          <w:color w:val="auto"/>
        </w:rPr>
      </w:pPr>
    </w:p>
    <w:p>
      <w:pPr>
        <w:ind w:firstLine="656"/>
        <w:spacing w:after="0" w:line="277" w:lineRule="auto"/>
        <w:tabs>
          <w:tab w:leader="none" w:pos="109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No Outside Director shall have the right to be selected to receive an Award under this Plan, or, having been so selected, to be selected to receive a future Award.</w:t>
      </w:r>
    </w:p>
    <w:p>
      <w:pPr>
        <w:spacing w:after="0" w:line="170" w:lineRule="exact"/>
        <w:rPr>
          <w:rFonts w:ascii="Arial" w:cs="Arial" w:eastAsia="Arial" w:hAnsi="Arial"/>
          <w:sz w:val="18"/>
          <w:szCs w:val="18"/>
          <w:color w:val="auto"/>
        </w:rPr>
      </w:pPr>
    </w:p>
    <w:p>
      <w:pPr>
        <w:ind w:firstLine="656"/>
        <w:spacing w:after="0" w:line="277" w:lineRule="auto"/>
        <w:tabs>
          <w:tab w:leader="none" w:pos="106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Except to the limited extent provided in Sections 9(f) or 9(g), no Participant (nor any beneficiary) shall have any of the rights or privileges of a stockholder of the Company with respect to any Shares</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30" w:name="page131"/>
    <w:bookmarkEnd w:id="130"/>
    <w:p>
      <w:pPr>
        <w:spacing w:after="0" w:line="277" w:lineRule="auto"/>
        <w:rPr>
          <w:sz w:val="20"/>
          <w:szCs w:val="20"/>
          <w:color w:val="auto"/>
        </w:rPr>
      </w:pPr>
      <w:r>
        <w:rPr>
          <w:rFonts w:ascii="Arial" w:cs="Arial" w:eastAsia="Arial" w:hAnsi="Arial"/>
          <w:sz w:val="18"/>
          <w:szCs w:val="18"/>
          <w:color w:val="auto"/>
        </w:rPr>
        <w:t>issuable pursuant to an Award (or exercise thereof), unless and until such Shares shall have been issued, recorded on the records of the Company or its transfer agents or registrars, and delivered to the Participant (or beneficiary).</w:t>
      </w:r>
    </w:p>
    <w:p>
      <w:pPr>
        <w:spacing w:after="0" w:line="170" w:lineRule="exact"/>
        <w:rPr>
          <w:sz w:val="20"/>
          <w:szCs w:val="20"/>
          <w:color w:val="auto"/>
        </w:rPr>
      </w:pPr>
    </w:p>
    <w:p>
      <w:pPr>
        <w:jc w:val="both"/>
        <w:ind w:firstLine="656"/>
        <w:spacing w:after="0" w:line="287"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or the applicable Award Agreement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72" w:lineRule="exact"/>
        <w:rPr>
          <w:rFonts w:ascii="Arial" w:cs="Arial" w:eastAsia="Arial" w:hAnsi="Arial"/>
          <w:sz w:val="16"/>
          <w:szCs w:val="16"/>
          <w:color w:val="auto"/>
        </w:rPr>
      </w:pPr>
    </w:p>
    <w:p>
      <w:pPr>
        <w:jc w:val="both"/>
        <w:ind w:firstLine="656"/>
        <w:spacing w:after="0" w:line="270" w:lineRule="auto"/>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81" w:lineRule="exact"/>
        <w:rPr>
          <w:rFonts w:ascii="Arial" w:cs="Arial" w:eastAsia="Arial" w:hAnsi="Arial"/>
          <w:sz w:val="17"/>
          <w:szCs w:val="17"/>
          <w:color w:val="auto"/>
        </w:rPr>
      </w:pPr>
    </w:p>
    <w:p>
      <w:pPr>
        <w:jc w:val="both"/>
        <w:ind w:right="20" w:firstLine="656"/>
        <w:spacing w:after="0" w:line="264" w:lineRule="auto"/>
        <w:tabs>
          <w:tab w:leader="none" w:pos="105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81" w:lineRule="exact"/>
        <w:rPr>
          <w:rFonts w:ascii="Arial" w:cs="Arial" w:eastAsia="Arial" w:hAnsi="Arial"/>
          <w:sz w:val="18"/>
          <w:szCs w:val="18"/>
          <w:color w:val="auto"/>
        </w:rPr>
      </w:pPr>
    </w:p>
    <w:p>
      <w:pPr>
        <w:ind w:firstLine="656"/>
        <w:spacing w:after="0" w:line="277" w:lineRule="auto"/>
        <w:tabs>
          <w:tab w:leader="none" w:pos="110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70" w:lineRule="exact"/>
        <w:rPr>
          <w:rFonts w:ascii="Arial" w:cs="Arial" w:eastAsia="Arial" w:hAnsi="Arial"/>
          <w:sz w:val="18"/>
          <w:szCs w:val="18"/>
          <w:color w:val="auto"/>
        </w:rPr>
      </w:pPr>
    </w:p>
    <w:p>
      <w:pPr>
        <w:ind w:firstLine="656"/>
        <w:spacing w:after="0" w:line="277" w:lineRule="auto"/>
        <w:tabs>
          <w:tab w:leader="none" w:pos="106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0" w:lineRule="exact"/>
        <w:rPr>
          <w:rFonts w:ascii="Arial" w:cs="Arial" w:eastAsia="Arial" w:hAnsi="Arial"/>
          <w:sz w:val="18"/>
          <w:szCs w:val="18"/>
          <w:color w:val="auto"/>
        </w:rPr>
      </w:pPr>
    </w:p>
    <w:p>
      <w:pPr>
        <w:ind w:firstLine="656"/>
        <w:spacing w:after="0" w:line="277" w:lineRule="auto"/>
        <w:tabs>
          <w:tab w:leader="none" w:pos="105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 Agreements shall be construed in accordance with and governed by the laws of the State of California (with the exception of its conflict of laws provisions).</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are provided herein for convenience only, and shall not serve as a basis for interpretation or construction of the Plan.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2820"/>
              <w:spacing w:after="0"/>
              <w:rPr>
                <w:sz w:val="20"/>
                <w:szCs w:val="20"/>
                <w:color w:val="auto"/>
              </w:rPr>
            </w:pPr>
            <w:r>
              <w:rPr>
                <w:rFonts w:ascii="Arial" w:cs="Arial" w:eastAsia="Arial" w:hAnsi="Arial"/>
                <w:sz w:val="18"/>
                <w:szCs w:val="18"/>
                <w:b w:val="1"/>
                <w:bCs w:val="1"/>
                <w:color w:val="auto"/>
                <w:w w:val="91"/>
              </w:rPr>
              <w:t>Exhibit 21.1</w:t>
            </w:r>
          </w:p>
        </w:tc>
      </w:tr>
      <w:tr>
        <w:trPr>
          <w:trHeight w:val="729"/>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99"/>
              </w:rPr>
              <w:t>SUBSIDIARIES OF AUTODESK, INC.,</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70"/>
              <w:spacing w:after="0"/>
              <w:rPr>
                <w:sz w:val="20"/>
                <w:szCs w:val="20"/>
                <w:color w:val="auto"/>
              </w:rPr>
            </w:pPr>
            <w:r>
              <w:rPr>
                <w:rFonts w:ascii="Arial" w:cs="Arial" w:eastAsia="Arial" w:hAnsi="Arial"/>
                <w:sz w:val="18"/>
                <w:szCs w:val="18"/>
                <w:b w:val="1"/>
                <w:bCs w:val="1"/>
                <w:color w:val="auto"/>
                <w:w w:val="92"/>
              </w:rPr>
              <w:t>a Delaware Corporation</w:t>
            </w:r>
          </w:p>
        </w:tc>
        <w:tc>
          <w:tcPr>
            <w:tcW w:w="3760" w:type="dxa"/>
            <w:vAlign w:val="bottom"/>
          </w:tcPr>
          <w:p>
            <w:pPr>
              <w:spacing w:after="0"/>
              <w:rPr>
                <w:sz w:val="24"/>
                <w:szCs w:val="24"/>
                <w:color w:val="auto"/>
              </w:rPr>
            </w:pPr>
          </w:p>
        </w:tc>
      </w:tr>
      <w:tr>
        <w:trPr>
          <w:trHeight w:val="378"/>
        </w:trPr>
        <w:tc>
          <w:tcPr>
            <w:tcW w:w="7660" w:type="dxa"/>
            <w:vAlign w:val="bottom"/>
            <w:gridSpan w:val="2"/>
          </w:tcPr>
          <w:p>
            <w:pPr>
              <w:jc w:val="center"/>
              <w:ind w:left="3690"/>
              <w:spacing w:after="0"/>
              <w:rPr>
                <w:sz w:val="20"/>
                <w:szCs w:val="20"/>
                <w:color w:val="auto"/>
              </w:rPr>
            </w:pPr>
            <w:r>
              <w:rPr>
                <w:rFonts w:ascii="Arial" w:cs="Arial" w:eastAsia="Arial" w:hAnsi="Arial"/>
                <w:sz w:val="18"/>
                <w:szCs w:val="18"/>
                <w:b w:val="1"/>
                <w:bCs w:val="1"/>
                <w:color w:val="auto"/>
                <w:w w:val="89"/>
              </w:rPr>
              <w:t>as of January 31, 2017</w:t>
            </w:r>
          </w:p>
        </w:tc>
        <w:tc>
          <w:tcPr>
            <w:tcW w:w="3760" w:type="dxa"/>
            <w:vAlign w:val="bottom"/>
          </w:tcPr>
          <w:p>
            <w:pPr>
              <w:spacing w:after="0"/>
              <w:rPr>
                <w:sz w:val="24"/>
                <w:szCs w:val="24"/>
                <w:color w:val="auto"/>
              </w:rPr>
            </w:pPr>
          </w:p>
        </w:tc>
      </w:tr>
      <w:tr>
        <w:trPr>
          <w:trHeight w:val="675"/>
        </w:trPr>
        <w:tc>
          <w:tcPr>
            <w:tcW w:w="7660" w:type="dxa"/>
            <w:vAlign w:val="bottom"/>
            <w:gridSpan w:val="2"/>
          </w:tcPr>
          <w:p>
            <w:pPr>
              <w:ind w:left="3120"/>
              <w:spacing w:after="0"/>
              <w:rPr>
                <w:sz w:val="20"/>
                <w:szCs w:val="20"/>
                <w:color w:val="auto"/>
              </w:rPr>
            </w:pPr>
            <w:r>
              <w:rPr>
                <w:rFonts w:ascii="Arial" w:cs="Arial" w:eastAsia="Arial" w:hAnsi="Arial"/>
                <w:sz w:val="18"/>
                <w:szCs w:val="18"/>
                <w:b w:val="1"/>
                <w:bCs w:val="1"/>
                <w:color w:val="auto"/>
              </w:rPr>
              <w:t>Subsidiary Name</w:t>
            </w:r>
          </w:p>
        </w:tc>
        <w:tc>
          <w:tcPr>
            <w:tcW w:w="3760" w:type="dxa"/>
            <w:vAlign w:val="bottom"/>
          </w:tcPr>
          <w:p>
            <w:pPr>
              <w:ind w:left="76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Americas LLC</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ADSK Ireland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(China) Software Research and Development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(EMEA) Sàrl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AB</w:t>
            </w:r>
          </w:p>
        </w:tc>
        <w:tc>
          <w:tcPr>
            <w:tcW w:w="3760" w:type="dxa"/>
            <w:vAlign w:val="bottom"/>
          </w:tcPr>
          <w:p>
            <w:pPr>
              <w:ind w:left="40"/>
              <w:spacing w:after="0"/>
              <w:rPr>
                <w:sz w:val="20"/>
                <w:szCs w:val="20"/>
                <w:color w:val="auto"/>
              </w:rPr>
            </w:pPr>
            <w:r>
              <w:rPr>
                <w:rFonts w:ascii="Arial" w:cs="Arial" w:eastAsia="Arial" w:hAnsi="Arial"/>
                <w:sz w:val="18"/>
                <w:szCs w:val="18"/>
                <w:color w:val="auto"/>
              </w:rPr>
              <w:t>Sweden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ApS</w:t>
            </w:r>
          </w:p>
        </w:tc>
        <w:tc>
          <w:tcPr>
            <w:tcW w:w="3760" w:type="dxa"/>
            <w:vAlign w:val="bottom"/>
          </w:tcPr>
          <w:p>
            <w:pPr>
              <w:ind w:left="40"/>
              <w:spacing w:after="0"/>
              <w:rPr>
                <w:sz w:val="20"/>
                <w:szCs w:val="20"/>
                <w:color w:val="auto"/>
              </w:rPr>
            </w:pPr>
            <w:r>
              <w:rPr>
                <w:rFonts w:ascii="Arial" w:cs="Arial" w:eastAsia="Arial" w:hAnsi="Arial"/>
                <w:sz w:val="18"/>
                <w:szCs w:val="18"/>
                <w:color w:val="auto"/>
              </w:rPr>
              <w:t>Denmark</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Asia Pte. Ltd.</w:t>
            </w:r>
          </w:p>
        </w:tc>
        <w:tc>
          <w:tcPr>
            <w:tcW w:w="376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Australia Pty Ltd.</w:t>
            </w:r>
          </w:p>
        </w:tc>
        <w:tc>
          <w:tcPr>
            <w:tcW w:w="376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Canada Co.</w:t>
            </w:r>
          </w:p>
        </w:tc>
        <w:tc>
          <w:tcPr>
            <w:tcW w:w="376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Colombia S.A.S.</w:t>
            </w:r>
          </w:p>
        </w:tc>
        <w:tc>
          <w:tcPr>
            <w:tcW w:w="3760" w:type="dxa"/>
            <w:vAlign w:val="bottom"/>
          </w:tcPr>
          <w:p>
            <w:pPr>
              <w:ind w:left="40"/>
              <w:spacing w:after="0"/>
              <w:rPr>
                <w:sz w:val="20"/>
                <w:szCs w:val="20"/>
                <w:color w:val="auto"/>
              </w:rPr>
            </w:pPr>
            <w:r>
              <w:rPr>
                <w:rFonts w:ascii="Arial" w:cs="Arial" w:eastAsia="Arial" w:hAnsi="Arial"/>
                <w:sz w:val="18"/>
                <w:szCs w:val="18"/>
                <w:color w:val="auto"/>
              </w:rPr>
              <w:t>Colombia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DC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DC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Argentina S.A.</w:t>
            </w:r>
          </w:p>
        </w:tc>
        <w:tc>
          <w:tcPr>
            <w:tcW w:w="3760" w:type="dxa"/>
            <w:vAlign w:val="bottom"/>
          </w:tcPr>
          <w:p>
            <w:pPr>
              <w:ind w:left="40"/>
              <w:spacing w:after="0"/>
              <w:rPr>
                <w:sz w:val="20"/>
                <w:szCs w:val="20"/>
                <w:color w:val="auto"/>
              </w:rPr>
            </w:pPr>
            <w:r>
              <w:rPr>
                <w:rFonts w:ascii="Arial" w:cs="Arial" w:eastAsia="Arial" w:hAnsi="Arial"/>
                <w:sz w:val="18"/>
                <w:szCs w:val="18"/>
                <w:color w:val="auto"/>
              </w:rPr>
              <w:t>Argentina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Mexico, S.A. de C.V.</w:t>
            </w:r>
          </w:p>
        </w:tc>
        <w:tc>
          <w:tcPr>
            <w:tcW w:w="3760" w:type="dxa"/>
            <w:vAlign w:val="bottom"/>
          </w:tcPr>
          <w:p>
            <w:pPr>
              <w:ind w:left="40"/>
              <w:spacing w:after="0"/>
              <w:rPr>
                <w:sz w:val="20"/>
                <w:szCs w:val="20"/>
                <w:color w:val="auto"/>
              </w:rPr>
            </w:pPr>
            <w:r>
              <w:rPr>
                <w:rFonts w:ascii="Arial" w:cs="Arial" w:eastAsia="Arial" w:hAnsi="Arial"/>
                <w:sz w:val="18"/>
                <w:szCs w:val="18"/>
                <w:color w:val="auto"/>
              </w:rPr>
              <w:t>Mexico</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 Venezuela, S.A.</w:t>
            </w:r>
          </w:p>
        </w:tc>
        <w:tc>
          <w:tcPr>
            <w:tcW w:w="3760" w:type="dxa"/>
            <w:vAlign w:val="bottom"/>
          </w:tcPr>
          <w:p>
            <w:pPr>
              <w:ind w:left="40"/>
              <w:spacing w:after="0"/>
              <w:rPr>
                <w:sz w:val="20"/>
                <w:szCs w:val="20"/>
                <w:color w:val="auto"/>
              </w:rPr>
            </w:pPr>
            <w:r>
              <w:rPr>
                <w:rFonts w:ascii="Arial" w:cs="Arial" w:eastAsia="Arial" w:hAnsi="Arial"/>
                <w:sz w:val="18"/>
                <w:szCs w:val="18"/>
                <w:color w:val="auto"/>
              </w:rPr>
              <w:t>Venezuela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B.V.</w:t>
            </w:r>
          </w:p>
        </w:tc>
        <w:tc>
          <w:tcPr>
            <w:tcW w:w="3760" w:type="dxa"/>
            <w:vAlign w:val="bottom"/>
          </w:tcPr>
          <w:p>
            <w:pPr>
              <w:ind w:left="40"/>
              <w:spacing w:after="0"/>
              <w:rPr>
                <w:sz w:val="20"/>
                <w:szCs w:val="20"/>
                <w:color w:val="auto"/>
              </w:rPr>
            </w:pPr>
            <w:r>
              <w:rPr>
                <w:rFonts w:ascii="Arial" w:cs="Arial" w:eastAsia="Arial" w:hAnsi="Arial"/>
                <w:sz w:val="18"/>
                <w:szCs w:val="18"/>
                <w:color w:val="auto"/>
              </w:rPr>
              <w:t>The 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Development S.à r.l.</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Direct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do Brasil Ltda</w:t>
            </w:r>
          </w:p>
        </w:tc>
        <w:tc>
          <w:tcPr>
            <w:tcW w:w="376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ehf.</w:t>
            </w:r>
          </w:p>
        </w:tc>
        <w:tc>
          <w:tcPr>
            <w:tcW w:w="3760" w:type="dxa"/>
            <w:vAlign w:val="bottom"/>
          </w:tcPr>
          <w:p>
            <w:pPr>
              <w:ind w:left="40"/>
              <w:spacing w:after="0"/>
              <w:rPr>
                <w:sz w:val="20"/>
                <w:szCs w:val="20"/>
                <w:color w:val="auto"/>
              </w:rPr>
            </w:pPr>
            <w:r>
              <w:rPr>
                <w:rFonts w:ascii="Arial" w:cs="Arial" w:eastAsia="Arial" w:hAnsi="Arial"/>
                <w:sz w:val="18"/>
                <w:szCs w:val="18"/>
                <w:color w:val="auto"/>
              </w:rPr>
              <w:t>Iceland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Far East Ltd.</w:t>
            </w: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France</w:t>
            </w:r>
          </w:p>
        </w:tc>
        <w:tc>
          <w:tcPr>
            <w:tcW w:w="37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Ges.mbH</w:t>
            </w:r>
          </w:p>
        </w:tc>
        <w:tc>
          <w:tcPr>
            <w:tcW w:w="3760" w:type="dxa"/>
            <w:vAlign w:val="bottom"/>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GmbH</w:t>
            </w:r>
          </w:p>
        </w:tc>
        <w:tc>
          <w:tcPr>
            <w:tcW w:w="37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Holdings LLP</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Hungary Kft</w:t>
            </w:r>
          </w:p>
        </w:tc>
        <w:tc>
          <w:tcPr>
            <w:tcW w:w="3760" w:type="dxa"/>
            <w:vAlign w:val="bottom"/>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India Private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International Holding Co.</w:t>
            </w:r>
          </w:p>
        </w:tc>
        <w:tc>
          <w:tcPr>
            <w:tcW w:w="3760" w:type="dxa"/>
            <w:vAlign w:val="bottom"/>
          </w:tcPr>
          <w:p>
            <w:pPr>
              <w:ind w:left="40"/>
              <w:spacing w:after="0"/>
              <w:rPr>
                <w:sz w:val="20"/>
                <w:szCs w:val="20"/>
                <w:color w:val="auto"/>
              </w:rPr>
            </w:pPr>
            <w:r>
              <w:rPr>
                <w:rFonts w:ascii="Arial" w:cs="Arial" w:eastAsia="Arial" w:hAnsi="Arial"/>
                <w:sz w:val="18"/>
                <w:szCs w:val="18"/>
                <w:color w:val="auto"/>
              </w:rPr>
              <w:t>U.S.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Israel Ltd.</w:t>
            </w:r>
          </w:p>
        </w:tc>
        <w:tc>
          <w:tcPr>
            <w:tcW w:w="3760" w:type="dxa"/>
            <w:vAlign w:val="bottom"/>
          </w:tcPr>
          <w:p>
            <w:pPr>
              <w:ind w:left="40"/>
              <w:spacing w:after="0"/>
              <w:rPr>
                <w:sz w:val="20"/>
                <w:szCs w:val="20"/>
                <w:color w:val="auto"/>
              </w:rPr>
            </w:pPr>
            <w:r>
              <w:rPr>
                <w:rFonts w:ascii="Arial" w:cs="Arial" w:eastAsia="Arial" w:hAnsi="Arial"/>
                <w:sz w:val="18"/>
                <w:szCs w:val="18"/>
                <w:color w:val="auto"/>
              </w:rPr>
              <w:t>Israel</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Korea Ltd.</w:t>
            </w:r>
          </w:p>
        </w:tc>
        <w:tc>
          <w:tcPr>
            <w:tcW w:w="3760" w:type="dxa"/>
            <w:vAlign w:val="bottom"/>
          </w:tcPr>
          <w:p>
            <w:pPr>
              <w:ind w:left="40"/>
              <w:spacing w:after="0"/>
              <w:rPr>
                <w:sz w:val="20"/>
                <w:szCs w:val="20"/>
                <w:color w:val="auto"/>
              </w:rPr>
            </w:pPr>
            <w:r>
              <w:rPr>
                <w:rFonts w:ascii="Arial" w:cs="Arial" w:eastAsia="Arial" w:hAnsi="Arial"/>
                <w:sz w:val="18"/>
                <w:szCs w:val="18"/>
                <w:color w:val="auto"/>
              </w:rPr>
              <w:t>South Korea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60" w:type="dxa"/>
            <w:vAlign w:val="bottom"/>
          </w:tcPr>
          <w:p>
            <w:pPr>
              <w:ind w:left="40"/>
              <w:spacing w:after="0"/>
              <w:rPr>
                <w:sz w:val="20"/>
                <w:szCs w:val="20"/>
                <w:color w:val="auto"/>
              </w:rPr>
            </w:pPr>
            <w:r>
              <w:rPr>
                <w:rFonts w:ascii="Arial" w:cs="Arial" w:eastAsia="Arial" w:hAnsi="Arial"/>
                <w:sz w:val="18"/>
                <w:szCs w:val="18"/>
                <w:color w:val="auto"/>
              </w:rPr>
              <w:t>Saudi Arabia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Ltd. Japan</w:t>
            </w:r>
          </w:p>
        </w:tc>
        <w:tc>
          <w:tcPr>
            <w:tcW w:w="376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Netherlands Holdings, B.V.</w:t>
            </w:r>
          </w:p>
        </w:tc>
        <w:tc>
          <w:tcPr>
            <w:tcW w:w="3760" w:type="dxa"/>
            <w:vAlign w:val="bottom"/>
          </w:tcPr>
          <w:p>
            <w:pPr>
              <w:ind w:left="40"/>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60" w:type="dxa"/>
            <w:vAlign w:val="bottom"/>
          </w:tcPr>
          <w:p>
            <w:pPr>
              <w:ind w:left="40"/>
              <w:spacing w:after="0"/>
              <w:rPr>
                <w:sz w:val="20"/>
                <w:szCs w:val="20"/>
                <w:color w:val="auto"/>
              </w:rPr>
            </w:pPr>
            <w:r>
              <w:rPr>
                <w:rFonts w:ascii="Arial" w:cs="Arial" w:eastAsia="Arial" w:hAnsi="Arial"/>
                <w:sz w:val="18"/>
                <w:szCs w:val="18"/>
                <w:color w:val="auto"/>
              </w:rPr>
              <w:t>Romania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6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Software (China) Co., Ltd.</w:t>
            </w:r>
          </w:p>
        </w:tc>
        <w:tc>
          <w:tcPr>
            <w:tcW w:w="3760" w:type="dxa"/>
            <w:vAlign w:val="bottom"/>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 z.o.o.</w:t>
            </w:r>
          </w:p>
        </w:tc>
        <w:tc>
          <w:tcPr>
            <w:tcW w:w="3760" w:type="dxa"/>
            <w:vAlign w:val="bottom"/>
          </w:tcPr>
          <w:p>
            <w:pPr>
              <w:ind w:left="40"/>
              <w:spacing w:after="0"/>
              <w:rPr>
                <w:sz w:val="20"/>
                <w:szCs w:val="20"/>
                <w:color w:val="auto"/>
              </w:rPr>
            </w:pPr>
            <w:r>
              <w:rPr>
                <w:rFonts w:ascii="Arial" w:cs="Arial" w:eastAsia="Arial" w:hAnsi="Arial"/>
                <w:sz w:val="18"/>
                <w:szCs w:val="18"/>
                <w:color w:val="auto"/>
              </w:rPr>
              <w:t>Poland</w:t>
            </w:r>
          </w:p>
        </w:tc>
      </w:tr>
      <w:tr>
        <w:trPr>
          <w:trHeight w:val="270"/>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Autodesk Spol. S.R.O.</w:t>
            </w:r>
          </w:p>
        </w:tc>
        <w:tc>
          <w:tcPr>
            <w:tcW w:w="3760" w:type="dxa"/>
            <w:vAlign w:val="bottom"/>
          </w:tcPr>
          <w:p>
            <w:pPr>
              <w:ind w:left="40"/>
              <w:spacing w:after="0"/>
              <w:rPr>
                <w:sz w:val="20"/>
                <w:szCs w:val="20"/>
                <w:color w:val="auto"/>
              </w:rPr>
            </w:pPr>
            <w:r>
              <w:rPr>
                <w:rFonts w:ascii="Arial" w:cs="Arial" w:eastAsia="Arial" w:hAnsi="Arial"/>
                <w:sz w:val="18"/>
                <w:szCs w:val="18"/>
                <w:color w:val="auto"/>
              </w:rPr>
              <w:t>Czech Republic</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color w:val="auto"/>
        </w:rPr>
        <w:t>Autodesk Strategies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Autodesk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Autodesk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ectPr>
          <w:pgSz w:w="11900" w:h="16838" w:orient="portrait"/>
          <w:cols w:equalWidth="0" w:num="2">
            <w:col w:w="6940" w:space="720"/>
            <w:col w:w="2519"/>
          </w:cols>
          <w:pgMar w:left="280" w:top="746" w:right="1440" w:bottom="1440" w:gutter="0" w:footer="0" w:header="0"/>
        </w:sectPr>
      </w:pPr>
    </w:p>
    <w:p>
      <w:pPr>
        <w:spacing w:after="0"/>
        <w:rPr>
          <w:sz w:val="20"/>
          <w:szCs w:val="20"/>
          <w:color w:val="auto"/>
        </w:rPr>
      </w:pPr>
      <w:r>
        <w:rPr>
          <w:rFonts w:ascii="Arial" w:cs="Arial" w:eastAsia="Arial" w:hAnsi="Arial"/>
          <w:sz w:val="17"/>
          <w:szCs w:val="17"/>
          <w:color w:val="auto"/>
        </w:rPr>
        <w:t>Autodesk Yazilim Hizmetleri Ticaret Limited Sirketi</w:t>
      </w:r>
    </w:p>
    <w:p>
      <w:pPr>
        <w:sectPr>
          <w:pgSz w:w="11900" w:h="16838" w:orient="portrait"/>
          <w:cols w:equalWidth="0" w:num="1">
            <w:col w:w="10179"/>
          </w:cols>
          <w:pgMar w:left="280" w:top="746" w:right="1440"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(Autodesk Limited Sirketi)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Autodesk,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Beijing Delcam Integrated System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CadSoft Computer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Configure One,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Configure One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Configure One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Creative Market Labs,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Crispin Systems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Australia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Delcam Consulting and Technology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Delcam Danmark ApS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Delcam Engineering Services (Thailand) Co., Ltd.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Delcam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Partmaker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Professional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Software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Delta Soft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Graitec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Graitec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Hanna Strategies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Autodesk (CIS)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Magestic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Moldflow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Moldflow International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Moldflow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Moldflow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netfabb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netfabb,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SeeControl,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SCI Topole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Shotgun Software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Solid Angle,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Solid Angle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Within Technologies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22" w:lineRule="exact"/>
        <w:rPr>
          <w:sz w:val="20"/>
          <w:szCs w:val="20"/>
          <w:color w:val="auto"/>
        </w:rPr>
      </w:pPr>
    </w:p>
    <w:p>
      <w:pPr>
        <w:sectPr>
          <w:pgSz w:w="11900" w:h="16838" w:orient="portrait"/>
          <w:cols w:equalWidth="0" w:num="2">
            <w:col w:w="6940" w:space="720"/>
            <w:col w:w="2519"/>
          </w:cols>
          <w:pgMar w:left="280" w:top="746"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79"/>
          </w:cols>
          <w:pgMar w:left="280" w:top="746" w:right="1440"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333-08693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w w:val="89"/>
              </w:rPr>
              <w:t>Stock Plan, 1990 Directors' Option Plan, 1998 Employee Qualified Stock Purchase Plan and Teleos Research</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333-62655</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333-81207</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333-45928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333-67974</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333-88682</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3"/>
              </w:rPr>
              <w:t>Revit Technology Corporation 1998 Stock Plan, 1996 Stock Plan and 1998 Employee Qualified Stock Purchase</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333-106556</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333-116203</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1996</w:t>
            </w:r>
          </w:p>
        </w:tc>
        <w:tc>
          <w:tcPr>
            <w:tcW w:w="7900" w:type="dxa"/>
            <w:vAlign w:val="bottom"/>
          </w:tcPr>
          <w:p>
            <w:pPr>
              <w:ind w:left="4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333-134560</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6"/>
              </w:rPr>
              <w:t>Autodesk, Inc. 2006 Employee Stock Plan, Autodesk, Inc. 2000 Directors' Option Plan, Autodesk, Inc. 1998</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333-149964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8"/>
              </w:rPr>
              <w:t>Autodesk, Inc. 2008 Employee Stock Plan, 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333-158131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333-165561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2"/>
              </w:rPr>
              <w:t>Autodesk, Inc. 1998 Employee Qualified Stock Purchase Plan and Autodesk, Inc. 2010 Outside Directors' Stock</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99"/>
              </w:rPr>
              <w:t>Plan</w:t>
            </w:r>
          </w:p>
        </w:tc>
        <w:tc>
          <w:tcPr>
            <w:tcW w:w="79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333-169137</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2008 Employee Stock Plan, As Amended and Restated</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333-172936</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333-179514</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4"/>
              </w:rPr>
              <w:t>Autodesk, Inc. 1998 Employee Qualified Stock Purchase Plan, Autodesk, Inc. 2012 Employee Stock Plan and</w:t>
            </w:r>
          </w:p>
        </w:tc>
      </w:tr>
      <w:tr>
        <w:trPr>
          <w:trHeight w:val="230"/>
        </w:trPr>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2012 Outside Directors'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333-185265</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Senior Debt Securities</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333-187338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333-194463</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5"/>
              </w:rPr>
              <w:t>Autodesk, Inc. 1998 Employee Qualified Stock Purchase Plan and Autodesk, Inc. 2012 Employee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333-205038</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w w:val="95"/>
              </w:rPr>
              <w:t>Autodesk, Inc. 1998 Employee Qualified Stock Purchase Plan and Autodesk, Inc. 2012 Employee Stock Plan</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333-213701</w:t>
            </w:r>
          </w:p>
        </w:tc>
        <w:tc>
          <w:tcPr>
            <w:tcW w:w="8580" w:type="dxa"/>
            <w:vAlign w:val="bottom"/>
            <w:gridSpan w:val="2"/>
          </w:tcPr>
          <w:p>
            <w:pPr>
              <w:ind w:left="300"/>
              <w:spacing w:after="0"/>
              <w:rPr>
                <w:sz w:val="20"/>
                <w:szCs w:val="20"/>
                <w:color w:val="auto"/>
              </w:rPr>
            </w:pPr>
            <w:r>
              <w:rPr>
                <w:rFonts w:ascii="Arial" w:cs="Arial" w:eastAsia="Arial" w:hAnsi="Arial"/>
                <w:sz w:val="18"/>
                <w:szCs w:val="18"/>
                <w:color w:val="auto"/>
              </w:rPr>
              <w:t>Autodesk, Inc. 1998 Employee Qualified Stock Purchase Plan</w:t>
            </w:r>
          </w:p>
        </w:tc>
      </w:tr>
    </w:tbl>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of our reports dated March 21, 2017, with respect to the consolidated financial statements and schedule of Autodesk, Inc., and the effectiveness of internal control over financial reporting of Autodesk, Inc., included in this Annual Report (Form 10-K) of Autodesk, Inc. for the year ended January 31, 2017.</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ectPr>
          <w:pgSz w:w="11900" w:h="16838" w:orient="portrait"/>
          <w:cols w:equalWidth="0" w:num="1">
            <w:col w:w="11420"/>
          </w:cols>
          <w:pgMar w:left="240" w:top="5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Co-CEO, Chief Marketing Officer and SVP, BSM</w:t>
      </w:r>
    </w:p>
    <w:p>
      <w:pPr>
        <w:spacing w:after="0" w:line="100"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2017</w:t>
      </w:r>
    </w:p>
    <w:p>
      <w:pPr>
        <w:sectPr>
          <w:pgSz w:w="11900" w:h="16838" w:orient="portrait"/>
          <w:cols w:equalWidth="0" w:num="1">
            <w:col w:w="11420"/>
          </w:cols>
          <w:pgMar w:left="240" w:top="918"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Amar Hanspal, certify that:</w:t>
      </w:r>
    </w:p>
    <w:p>
      <w:pPr>
        <w:spacing w:after="0" w:line="171"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AMAR HANSPAL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Amar Hanspal</w:t>
      </w:r>
    </w:p>
    <w:p>
      <w:pPr>
        <w:spacing w:after="0" w:line="73"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Co-CEO, Chief Product Officer and SVP, PDG</w:t>
      </w:r>
    </w:p>
    <w:p>
      <w:pPr>
        <w:spacing w:after="0" w:line="100"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2017</w:t>
      </w:r>
    </w:p>
    <w:p>
      <w:pPr>
        <w:sectPr>
          <w:pgSz w:w="11900" w:h="16838" w:orient="portrait"/>
          <w:cols w:equalWidth="0" w:num="1">
            <w:col w:w="11420"/>
          </w:cols>
          <w:pgMar w:left="240" w:top="104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R. Scott Herren</w:t>
      </w:r>
    </w:p>
    <w:p>
      <w:pPr>
        <w:spacing w:after="0" w:line="68"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2017</w:t>
      </w:r>
    </w:p>
    <w:p>
      <w:pPr>
        <w:sectPr>
          <w:pgSz w:w="11900" w:h="16838" w:orient="portrait"/>
          <w:cols w:equalWidth="0" w:num="1">
            <w:col w:w="11420"/>
          </w:cols>
          <w:pgMar w:left="240" w:top="91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Annual Report of Autodesk, Inc. on Form 10-K for the annual period ended January 31, 2017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240"/>
        <w:spacing w:after="0"/>
        <w:rPr>
          <w:sz w:val="20"/>
          <w:szCs w:val="20"/>
          <w:color w:val="auto"/>
        </w:rPr>
      </w:pPr>
      <w:r>
        <w:rPr>
          <w:rFonts w:ascii="Arial" w:cs="Arial" w:eastAsia="Arial" w:hAnsi="Arial"/>
          <w:sz w:val="16"/>
          <w:szCs w:val="16"/>
          <w:b w:val="1"/>
          <w:bCs w:val="1"/>
          <w:color w:val="auto"/>
        </w:rPr>
        <w:t>Co-CEO, Chief Marketing Officer and SVP, BSM</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Amar Hanspal, certify, pursuant to 18 U.S.C. Section 1350, as adopted pursuant to Section 906 of the Sarbanes-Oxley Act of 2002, that the Annual Report of Autodesk, Inc. on Form 10-K for the annual period ended January 31, 2017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AMAR HANSPAL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Amar Hanspal</w:t>
      </w:r>
    </w:p>
    <w:p>
      <w:pPr>
        <w:spacing w:after="0" w:line="73"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Co-CEO, Chief Product Officer and SVP, PDG</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Annual Report of Autodesk, Inc. on Form 10-K for the annual period ended January 31, 2017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R. Scott Herren</w:t>
      </w:r>
    </w:p>
    <w:p>
      <w:pPr>
        <w:spacing w:after="0" w:line="68"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x"/>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1)"/>
      <w:numFmt w:val="decimal"/>
      <w:start w:val="1"/>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1)"/>
      <w:numFmt w:val="decimal"/>
      <w:start w:val="1"/>
    </w:lvl>
  </w:abstractNum>
  <w:abstractNum w:abstractNumId="36">
    <w:nsid w:val="42963E5A"/>
    <w:multiLevelType w:val="hybridMultilevel"/>
    <w:lvl w:ilvl="0">
      <w:lvlJc w:val="left"/>
      <w:lvlText w:val="(%1)"/>
      <w:numFmt w:val="decimal"/>
      <w:start w:val="1"/>
    </w:lvl>
  </w:abstractNum>
  <w:abstractNum w:abstractNumId="37">
    <w:nsid w:val="A0382C5"/>
    <w:multiLevelType w:val="hybridMultilevel"/>
    <w:lvl w:ilvl="0">
      <w:lvlJc w:val="left"/>
      <w:lvlText w:val="(%1)"/>
      <w:numFmt w:val="decimal"/>
      <w:start w:val="1"/>
    </w:lvl>
  </w:abstractNum>
  <w:abstractNum w:abstractNumId="38">
    <w:nsid w:val="8F2B15E"/>
    <w:multiLevelType w:val="hybridMultilevel"/>
    <w:lvl w:ilvl="0">
      <w:lvlJc w:val="left"/>
      <w:lvlText w:val="%1."/>
      <w:numFmt w:val="decimal"/>
      <w:start w:val="1"/>
    </w:lvl>
  </w:abstractNum>
  <w:abstractNum w:abstractNumId="39">
    <w:nsid w:val="1A32234B"/>
    <w:multiLevelType w:val="hybridMultilevel"/>
    <w:lvl w:ilvl="0">
      <w:lvlJc w:val="left"/>
      <w:lvlText w:val="(%1)"/>
      <w:numFmt w:val="decimal"/>
      <w:start w:val="1"/>
    </w:lvl>
  </w:abstractNum>
  <w:abstractNum w:abstractNumId="40">
    <w:nsid w:val="3B0FD379"/>
    <w:multiLevelType w:val="hybridMultilevel"/>
    <w:lvl w:ilvl="0">
      <w:lvlJc w:val="left"/>
      <w:lvlText w:val="%1."/>
      <w:numFmt w:val="decimal"/>
      <w:start w:val="2"/>
    </w:lvl>
  </w:abstractNum>
  <w:abstractNum w:abstractNumId="41">
    <w:nsid w:val="68EB2F63"/>
    <w:multiLevelType w:val="hybridMultilevel"/>
    <w:lvl w:ilvl="0">
      <w:lvlJc w:val="left"/>
      <w:lvlText w:val="(%1)"/>
      <w:numFmt w:val="decimal"/>
      <w:start w:val="1"/>
    </w:lvl>
  </w:abstractNum>
  <w:abstractNum w:abstractNumId="42">
    <w:nsid w:val="4962813B"/>
    <w:multiLevelType w:val="hybridMultilevel"/>
    <w:lvl w:ilvl="0">
      <w:lvlJc w:val="left"/>
      <w:lvlText w:val="(%1)"/>
      <w:numFmt w:val="decimal"/>
      <w:start w:val="1"/>
    </w:lvl>
  </w:abstractNum>
  <w:abstractNum w:abstractNumId="43">
    <w:nsid w:val="60B6DF70"/>
    <w:multiLevelType w:val="hybridMultilevel"/>
    <w:lvl w:ilvl="0">
      <w:lvlJc w:val="left"/>
      <w:lvlText w:val="%1."/>
      <w:numFmt w:val="decimal"/>
      <w:start w:val="3"/>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1)"/>
      <w:numFmt w:val="decimal"/>
      <w:start w:val="1"/>
    </w:lvl>
  </w:abstractNum>
  <w:abstractNum w:abstractNumId="46">
    <w:nsid w:val="7FFFCA11"/>
    <w:multiLevelType w:val="hybridMultilevel"/>
    <w:lvl w:ilvl="0">
      <w:lvlJc w:val="left"/>
      <w:lvlText w:val="(%1)"/>
      <w:numFmt w:val="decimal"/>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1)"/>
      <w:numFmt w:val="decimal"/>
      <w:start w:val="1"/>
    </w:lvl>
  </w:abstractNum>
  <w:abstractNum w:abstractNumId="49">
    <w:nsid w:val="100F59DC"/>
    <w:multiLevelType w:val="hybridMultilevel"/>
    <w:lvl w:ilvl="0">
      <w:lvlJc w:val="left"/>
      <w:lvlText w:val="%1."/>
      <w:numFmt w:val="decimal"/>
      <w:start w:val="4"/>
    </w:lvl>
  </w:abstractNum>
  <w:abstractNum w:abstractNumId="50">
    <w:nsid w:val="7FB7E0AA"/>
    <w:multiLevelType w:val="hybridMultilevel"/>
    <w:lvl w:ilvl="0">
      <w:lvlJc w:val="left"/>
      <w:lvlText w:val="%1."/>
      <w:numFmt w:val="decimal"/>
      <w:start w:val="5"/>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1."/>
      <w:numFmt w:val="decimal"/>
      <w:start w:val="6"/>
    </w:lvl>
  </w:abstractNum>
  <w:abstractNum w:abstractNumId="53">
    <w:nsid w:val="94211F2"/>
    <w:multiLevelType w:val="hybridMultilevel"/>
    <w:lvl w:ilvl="0">
      <w:lvlJc w:val="left"/>
      <w:lvlText w:val="%1."/>
      <w:numFmt w:val="decimal"/>
      <w:start w:val="7"/>
    </w:lvl>
  </w:abstractNum>
  <w:abstractNum w:abstractNumId="54">
    <w:nsid w:val="885E1B"/>
    <w:multiLevelType w:val="hybridMultilevel"/>
    <w:lvl w:ilvl="0">
      <w:lvlJc w:val="left"/>
      <w:lvlText w:val="%1."/>
      <w:numFmt w:val="decimal"/>
      <w:start w:val="8"/>
    </w:lvl>
  </w:abstractNum>
  <w:abstractNum w:abstractNumId="55">
    <w:nsid w:val="76272110"/>
    <w:multiLevelType w:val="hybridMultilevel"/>
    <w:lvl w:ilvl="0">
      <w:lvlJc w:val="left"/>
      <w:lvlText w:val="%1."/>
      <w:numFmt w:val="decimal"/>
      <w:start w:val="9"/>
    </w:lvl>
  </w:abstractNum>
  <w:abstractNum w:abstractNumId="56">
    <w:nsid w:val="4C04A8AF"/>
    <w:multiLevelType w:val="hybridMultilevel"/>
    <w:lvl w:ilvl="0">
      <w:lvlJc w:val="left"/>
      <w:lvlText w:val="%1."/>
      <w:numFmt w:val="decimal"/>
      <w:start w:val="11"/>
    </w:lvl>
  </w:abstractNum>
  <w:abstractNum w:abstractNumId="57">
    <w:nsid w:val="1716703B"/>
    <w:multiLevelType w:val="hybridMultilevel"/>
    <w:lvl w:ilvl="0">
      <w:lvlJc w:val="left"/>
      <w:lvlText w:val="%1."/>
      <w:numFmt w:val="decimal"/>
      <w:start w:val="12"/>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1."/>
      <w:numFmt w:val="decimal"/>
      <w:start w:val="13"/>
    </w:lvl>
  </w:abstractNum>
  <w:abstractNum w:abstractNumId="60">
    <w:nsid w:val="74DE0EE3"/>
    <w:multiLevelType w:val="hybridMultilevel"/>
    <w:lvl w:ilvl="0">
      <w:lvlJc w:val="left"/>
      <w:lvlText w:val="(%1)"/>
      <w:numFmt w:val="decimal"/>
      <w:start w:val="1"/>
    </w:lvl>
  </w:abstractNum>
  <w:abstractNum w:abstractNumId="61">
    <w:nsid w:val="68EBC550"/>
    <w:multiLevelType w:val="hybridMultilevel"/>
    <w:lvl w:ilvl="0">
      <w:lvlJc w:val="left"/>
      <w:lvlText w:val="(%1)"/>
      <w:numFmt w:val="decimal"/>
      <w:start w:val="1"/>
    </w:lvl>
  </w:abstractNum>
  <w:abstractNum w:abstractNumId="62">
    <w:nsid w:val="2DF6D648"/>
    <w:multiLevelType w:val="hybridMultilevel"/>
    <w:lvl w:ilvl="0">
      <w:lvlJc w:val="left"/>
      <w:lvlText w:val="%1."/>
      <w:numFmt w:val="decimal"/>
      <w:start w:val="14"/>
    </w:lvl>
  </w:abstractNum>
  <w:abstractNum w:abstractNumId="63">
    <w:nsid w:val="46B7D447"/>
    <w:multiLevelType w:val="hybridMultilevel"/>
    <w:lvl w:ilvl="0">
      <w:lvlJc w:val="left"/>
      <w:lvlText w:val="%1."/>
      <w:numFmt w:val="decimal"/>
      <w:start w:val="15"/>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1)"/>
      <w:numFmt w:val="decimal"/>
      <w:start w:val="1"/>
    </w:lvl>
  </w:abstractNum>
  <w:abstractNum w:abstractNumId="66">
    <w:nsid w:val="57FC4FBB"/>
    <w:multiLevelType w:val="hybridMultilevel"/>
    <w:lvl w:ilvl="0">
      <w:lvlJc w:val="left"/>
      <w:lvlText w:val="%1."/>
      <w:numFmt w:val="decimal"/>
      <w:start w:val="16"/>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lowerRoman"/>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1)"/>
      <w:numFmt w:val="lowerLetter"/>
      <w:start w:val="1"/>
    </w:lvl>
    <w:lvl w:ilvl="1">
      <w:lvlJc w:val="left"/>
      <w:lvlText w:val="%2."/>
      <w:numFmt w:val="decimal"/>
      <w:start w:val="1"/>
    </w:lvl>
  </w:abstractNum>
  <w:abstractNum w:abstractNumId="71">
    <w:nsid w:val="7F01579B"/>
    <w:multiLevelType w:val="hybridMultilevel"/>
    <w:lvl w:ilvl="0">
      <w:lvlJc w:val="left"/>
      <w:lvlText w:val="%1"/>
      <w:numFmt w:val="lowerLetter"/>
      <w:start w:val="1"/>
    </w:lvl>
    <w:lvl w:ilvl="1">
      <w:lvlJc w:val="left"/>
      <w:lvlText w:val="%2."/>
      <w:numFmt w:val="decimal"/>
      <w:start w:val="3"/>
    </w:lvl>
  </w:abstractNum>
  <w:abstractNum w:abstractNumId="72">
    <w:nsid w:val="49DA307D"/>
    <w:multiLevelType w:val="hybridMultilevel"/>
    <w:lvl w:ilvl="0">
      <w:lvlJc w:val="left"/>
      <w:lvlText w:val="(%1)"/>
      <w:numFmt w:val="lowerLetter"/>
      <w:start w:val="2"/>
    </w:lvl>
    <w:lvl w:ilvl="1">
      <w:lvlJc w:val="left"/>
      <w:lvlText w:val="%2"/>
      <w:numFmt w:val="decimal"/>
      <w:start w:val="1"/>
    </w:lvl>
  </w:abstractNum>
  <w:abstractNum w:abstractNumId="73">
    <w:nsid w:val="7055A5F5"/>
    <w:multiLevelType w:val="hybridMultilevel"/>
    <w:lvl w:ilvl="0">
      <w:lvlJc w:val="left"/>
      <w:lvlText w:val="(%1)"/>
      <w:numFmt w:val="lowerLetter"/>
      <w:start w:val="3"/>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1."/>
      <w:numFmt w:val="decimal"/>
      <w:start w:val="1"/>
    </w:lvl>
    <w:lvl w:ilvl="1">
      <w:lvlJc w:val="left"/>
      <w:lvlText w:val="(%2)"/>
      <w:numFmt w:val="lowerLetter"/>
      <w:start w:val="1"/>
    </w:lvl>
  </w:abstractNum>
  <w:abstractNum w:abstractNumId="79">
    <w:nsid w:val="7672BD23"/>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80">
    <w:nsid w:val="6FC75AF8"/>
    <w:multiLevelType w:val="hybridMultilevel"/>
    <w:lvl w:ilvl="0">
      <w:lvlJc w:val="left"/>
      <w:lvlText w:val="(%1)"/>
      <w:numFmt w:val="lowerLetter"/>
      <w:start w:val="7"/>
    </w:lvl>
    <w:lvl w:ilvl="1">
      <w:lvlJc w:val="left"/>
      <w:lvlText w:val="(%2)"/>
      <w:numFmt w:val="lowerRoman"/>
      <w:start w:val="2"/>
    </w:lvl>
    <w:lvl w:ilvl="2">
      <w:lvlJc w:val="left"/>
      <w:lvlText w:val="(%3)"/>
      <w:numFmt w:val="lowerRoman"/>
      <w:start w:val="1"/>
    </w:lvl>
  </w:abstractNum>
  <w:abstractNum w:abstractNumId="81">
    <w:nsid w:val="6A5F7029"/>
    <w:multiLevelType w:val="hybridMultilevel"/>
    <w:lvl w:ilvl="0">
      <w:lvlJc w:val="left"/>
      <w:lvlText w:val="(%1)"/>
      <w:numFmt w:val="lowerLetter"/>
      <w:start w:val="18"/>
    </w:lvl>
  </w:abstractNum>
  <w:abstractNum w:abstractNumId="82">
    <w:nsid w:val="7D5E18F8"/>
    <w:multiLevelType w:val="hybridMultilevel"/>
    <w:lvl w:ilvl="0">
      <w:lvlJc w:val="left"/>
      <w:lvlText w:val="%1"/>
      <w:numFmt w:val="decimal"/>
      <w:start w:val="1"/>
    </w:lvl>
    <w:lvl w:ilvl="1">
      <w:lvlJc w:val="left"/>
      <w:lvlText w:val="(%2)"/>
      <w:numFmt w:val="lowerLetter"/>
      <w:start w:val="27"/>
    </w:lvl>
    <w:lvl w:ilvl="2">
      <w:lvlJc w:val="left"/>
      <w:lvlText w:val="%3"/>
      <w:numFmt w:val="lowerLetter"/>
      <w:start w:val="1"/>
    </w:lvl>
  </w:abstractNum>
  <w:abstractNum w:abstractNumId="83">
    <w:nsid w:val="5F3534A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84">
    <w:nsid w:val="73A1821B"/>
    <w:multiLevelType w:val="hybridMultilevel"/>
    <w:lvl w:ilvl="0">
      <w:lvlJc w:val="left"/>
      <w:lvlText w:val="%1"/>
      <w:numFmt w:val="decimal"/>
      <w:start w:val="1"/>
    </w:lvl>
    <w:lvl w:ilvl="1">
      <w:lvlJc w:val="left"/>
      <w:lvlText w:val="(%2)"/>
      <w:numFmt w:val="lowerLetter"/>
      <w:start w:val="3"/>
    </w:lvl>
  </w:abstractNum>
  <w:abstractNum w:abstractNumId="85">
    <w:nsid w:val="7DE67713"/>
    <w:multiLevelType w:val="hybridMultilevel"/>
    <w:lvl w:ilvl="0">
      <w:lvlJc w:val="left"/>
      <w:lvlText w:val="%1."/>
      <w:numFmt w:val="decimal"/>
      <w:start w:val="4"/>
    </w:lvl>
    <w:lvl w:ilvl="1">
      <w:lvlJc w:val="left"/>
      <w:lvlText w:val="%2"/>
      <w:numFmt w:val="lowerLetter"/>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Roman"/>
      <w:start w:val="1"/>
    </w:lvl>
  </w:abstractNum>
  <w:abstractNum w:abstractNumId="88">
    <w:nsid w:val="14FCE74E"/>
    <w:multiLevelType w:val="hybridMultilevel"/>
    <w:lvl w:ilvl="0">
      <w:lvlJc w:val="left"/>
      <w:lvlText w:val="(%1)"/>
      <w:numFmt w:val="lowerLetter"/>
      <w:start w:val="3"/>
    </w:lvl>
  </w:abstractNum>
  <w:abstractNum w:abstractNumId="89">
    <w:nsid w:val="6A3DD3E8"/>
    <w:multiLevelType w:val="hybridMultilevel"/>
    <w:lvl w:ilvl="0">
      <w:lvlJc w:val="left"/>
      <w:lvlText w:val="%1."/>
      <w:numFmt w:val="decimal"/>
      <w:start w:val="5"/>
    </w:lvl>
  </w:abstractNum>
  <w:abstractNum w:abstractNumId="90">
    <w:nsid w:val="71C91298"/>
    <w:multiLevelType w:val="hybridMultilevel"/>
    <w:lvl w:ilvl="0">
      <w:lvlJc w:val="left"/>
      <w:lvlText w:val="%1."/>
      <w:numFmt w:val="decimal"/>
      <w:start w:val="7"/>
    </w:lvl>
  </w:abstractNum>
  <w:abstractNum w:abstractNumId="91">
    <w:nsid w:val="9DAF632"/>
    <w:multiLevelType w:val="hybridMultilevel"/>
    <w:lvl w:ilvl="0">
      <w:lvlJc w:val="left"/>
      <w:lvlText w:val="(%1)"/>
      <w:numFmt w:val="lowerLetter"/>
      <w:start w:val="1"/>
    </w:lvl>
    <w:lvl w:ilvl="1">
      <w:lvlJc w:val="left"/>
      <w:lvlText w:val="(%2)"/>
      <w:numFmt w:val="lowerRoman"/>
      <w:start w:val="1"/>
    </w:lvl>
  </w:abstractNum>
  <w:abstractNum w:abstractNumId="92">
    <w:nsid w:val="53299938"/>
    <w:multiLevelType w:val="hybridMultilevel"/>
    <w:lvl w:ilvl="0">
      <w:lvlJc w:val="left"/>
      <w:lvlText w:val="(%1)"/>
      <w:numFmt w:val="lowerLetter"/>
      <w:start w:val="8"/>
    </w:lvl>
  </w:abstractNum>
  <w:abstractNum w:abstractNumId="93">
    <w:nsid w:val="1FBFE8E0"/>
    <w:multiLevelType w:val="hybridMultilevel"/>
    <w:lvl w:ilvl="0">
      <w:lvlJc w:val="left"/>
      <w:lvlText w:val="%1."/>
      <w:numFmt w:val="decimal"/>
      <w:start w:val="9"/>
    </w:lvl>
  </w:abstractNum>
  <w:abstractNum w:abstractNumId="94">
    <w:nsid w:val="5092CA79"/>
    <w:multiLevelType w:val="hybridMultilevel"/>
    <w:lvl w:ilvl="0">
      <w:lvlJc w:val="left"/>
      <w:lvlText w:val="(%1)"/>
      <w:numFmt w:val="lowerLetter"/>
      <w:start w:val="1"/>
    </w:lvl>
  </w:abstractNum>
  <w:abstractNum w:abstractNumId="95">
    <w:nsid w:val="1D545C4D"/>
    <w:multiLevelType w:val="hybridMultilevel"/>
    <w:lvl w:ilvl="0">
      <w:lvlJc w:val="left"/>
      <w:lvlText w:val="(%1)"/>
      <w:numFmt w:val="lowerLetter"/>
      <w:start w:val="3"/>
    </w:lvl>
    <w:lvl w:ilvl="1">
      <w:lvlJc w:val="left"/>
      <w:lvlText w:val="(%2)"/>
      <w:numFmt w:val="lowerRoman"/>
      <w:start w:val="1"/>
    </w:lvl>
  </w:abstractNum>
  <w:abstractNum w:abstractNumId="96">
    <w:nsid w:val="59ADEA3D"/>
    <w:multiLevelType w:val="hybridMultilevel"/>
    <w:lvl w:ilvl="0">
      <w:lvlJc w:val="left"/>
      <w:lvlText w:val="%1."/>
      <w:numFmt w:val="decimal"/>
      <w:start w:val="10"/>
    </w:lvl>
  </w:abstractNum>
  <w:abstractNum w:abstractNumId="97">
    <w:nsid w:val="288F1A3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98">
    <w:nsid w:val="2A155DB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99">
    <w:nsid w:val="1D9F6E5F"/>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100">
    <w:nsid w:val="97E1B4E"/>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01">
    <w:nsid w:val="51088277"/>
    <w:multiLevelType w:val="hybridMultilevel"/>
    <w:lvl w:ilvl="0">
      <w:lvlJc w:val="left"/>
      <w:lvlText w:val="(%1)"/>
      <w:numFmt w:val="lowerLetter"/>
      <w:start w:val="5"/>
    </w:lvl>
  </w:abstractNum>
  <w:abstractNum w:abstractNumId="102">
    <w:nsid w:val="1CA0C5FA"/>
    <w:multiLevelType w:val="hybridMultilevel"/>
    <w:lvl w:ilvl="0">
      <w:lvlJc w:val="left"/>
      <w:lvlText w:val="%1."/>
      <w:numFmt w:val="decimal"/>
      <w:start w:val="11"/>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1."/>
      <w:numFmt w:val="decimal"/>
      <w:start w:val="14"/>
    </w:lvl>
  </w:abstractNum>
  <w:abstractNum w:abstractNumId="105">
    <w:nsid w:val="7C58FD05"/>
    <w:multiLevelType w:val="hybridMultilevel"/>
    <w:lvl w:ilvl="0">
      <w:lvlJc w:val="left"/>
      <w:lvlText w:val="(%1)"/>
      <w:numFmt w:val="lowerLetter"/>
      <w:start w:val="1"/>
    </w:lvl>
  </w:abstractNum>
  <w:abstractNum w:abstractNumId="106">
    <w:nsid w:val="23D86AAC"/>
    <w:multiLevelType w:val="hybridMultilevel"/>
    <w:lvl w:ilvl="0">
      <w:lvlJc w:val="left"/>
      <w:lvlText w:val="%1."/>
      <w:numFmt w:val="decimal"/>
      <w:start w:val="15"/>
    </w:lvl>
  </w:abstractNum>
  <w:abstractNum w:abstractNumId="107">
    <w:nsid w:val="45E6D486"/>
    <w:multiLevelType w:val="hybridMultilevel"/>
    <w:lvl w:ilvl="0">
      <w:lvlJc w:val="left"/>
      <w:lvlText w:val="(%1)"/>
      <w:numFmt w:val="lowerLetter"/>
      <w:start w:val="1"/>
    </w:lvl>
  </w:abstractNum>
  <w:abstractNum w:abstractNumId="108">
    <w:nsid w:val="5C10FE21"/>
    <w:multiLevelType w:val="hybridMultilevel"/>
    <w:lvl w:ilvl="0">
      <w:lvlJc w:val="left"/>
      <w:lvlText w:val="%1."/>
      <w:numFmt w:val="decimal"/>
      <w:start w:val="16"/>
    </w:lvl>
  </w:abstractNum>
  <w:abstractNum w:abstractNumId="109">
    <w:nsid w:val="E7FFA2B"/>
    <w:multiLevelType w:val="hybridMultilevel"/>
    <w:lvl w:ilvl="0">
      <w:lvlJc w:val="left"/>
      <w:lvlText w:val="(%1)"/>
      <w:numFmt w:val="lowerLetter"/>
      <w:start w:val="1"/>
    </w:lvl>
  </w:abstractNum>
  <w:abstractNum w:abstractNumId="110">
    <w:nsid w:val="3C5991AA"/>
    <w:multiLevelType w:val="hybridMultilevel"/>
    <w:lvl w:ilvl="0">
      <w:lvlJc w:val="left"/>
      <w:lvlText w:val="%1."/>
      <w:numFmt w:val="decimal"/>
      <w:start w:val="17"/>
    </w:lvl>
  </w:abstractNum>
  <w:abstractNum w:abstractNumId="111">
    <w:nsid w:val="4BD8591A"/>
    <w:multiLevelType w:val="hybridMultilevel"/>
    <w:lvl w:ilvl="0">
      <w:lvlJc w:val="left"/>
      <w:lvlText w:val="%1."/>
      <w:numFmt w:val="decimal"/>
      <w:start w:val="21"/>
    </w:lvl>
  </w:abstractNum>
  <w:abstractNum w:abstractNumId="112">
    <w:nsid w:val="78DF6A55"/>
    <w:multiLevelType w:val="hybridMultilevel"/>
    <w:lvl w:ilvl="0">
      <w:lvlJc w:val="left"/>
      <w:lvlText w:val="%1."/>
      <w:numFmt w:val="decimal"/>
      <w:start w:val="1"/>
    </w:lvl>
    <w:lvl w:ilvl="1">
      <w:lvlJc w:val="left"/>
      <w:lvlText w:val="%2)"/>
      <w:numFmt w:val="lowerLetter"/>
      <w:start w:val="1"/>
    </w:lvl>
  </w:abstractNum>
  <w:abstractNum w:abstractNumId="113">
    <w:nsid w:val="39B7AAA2"/>
    <w:multiLevelType w:val="hybridMultilevel"/>
    <w:lvl w:ilvl="0">
      <w:lvlJc w:val="left"/>
      <w:lvlText w:val="%1."/>
      <w:numFmt w:val="decimal"/>
      <w:start w:val="5"/>
    </w:lvl>
    <w:lvl w:ilvl="1">
      <w:lvlJc w:val="left"/>
      <w:lvlText w:val="%2)"/>
      <w:numFmt w:val="lowerLetter"/>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5"/>
    </w:lvl>
    <w:lvl w:ilvl="1">
      <w:lvlJc w:val="left"/>
      <w:lvlText w:val="%2)"/>
      <w:numFmt w:val="lowerLetter"/>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2019-12-29T08:12:26Z</dcterms:created>
  <dcterms:modified xsi:type="dcterms:W3CDTF">2019-12-29T08:12:26Z</dcterms:modified>
</cp:coreProperties>
</file>