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-224155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6" w:lineRule="exact"/>
        <w:rPr>
          <w:sz w:val="24"/>
          <w:szCs w:val="24"/>
          <w:color w:val="auto"/>
        </w:rPr>
      </w:pPr>
    </w:p>
    <w:p>
      <w:pPr>
        <w:ind w:left="720"/>
        <w:spacing w:after="0"/>
        <w:rPr>
          <w:sz w:val="20"/>
          <w:szCs w:val="20"/>
          <w:color w:val="auto"/>
        </w:rPr>
      </w:pPr>
      <w:r>
        <w:rPr>
          <w:rFonts w:ascii="Arial" w:cs="Arial" w:eastAsia="Arial" w:hAnsi="Arial"/>
          <w:sz w:val="22"/>
          <w:szCs w:val="22"/>
          <w:b w:val="1"/>
          <w:bCs w:val="1"/>
          <w:color w:val="auto"/>
        </w:rPr>
        <w:t>1934</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quarterly period ended July 31, 2015</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720" w:right="100" w:hanging="685"/>
        <w:spacing w:after="0" w:line="249"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402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3"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Commission File Number: 0-14338</w:t>
      </w:r>
    </w:p>
    <w:p>
      <w:pPr>
        <w:spacing w:after="0" w:line="200" w:lineRule="exact"/>
        <w:rPr>
          <w:sz w:val="24"/>
          <w:szCs w:val="24"/>
          <w:color w:val="auto"/>
        </w:rPr>
      </w:pPr>
    </w:p>
    <w:p>
      <w:pPr>
        <w:spacing w:after="0" w:line="265" w:lineRule="exact"/>
        <w:rPr>
          <w:sz w:val="24"/>
          <w:szCs w:val="24"/>
          <w:color w:val="auto"/>
        </w:rPr>
      </w:pPr>
    </w:p>
    <w:tbl>
      <w:tblPr>
        <w:tblLayout w:type="fixed"/>
        <w:tblInd w:w="1620" w:type="dxa"/>
        <w:tblCellMar>
          <w:top w:w="0" w:type="dxa"/>
          <w:left w:w="0" w:type="dxa"/>
          <w:bottom w:w="0" w:type="dxa"/>
          <w:right w:w="0" w:type="dxa"/>
        </w:tblCellMar>
      </w:tblPr>
      <w:tr>
        <w:trPr>
          <w:trHeight w:val="520"/>
        </w:trPr>
        <w:tc>
          <w:tcPr>
            <w:tcW w:w="6120" w:type="dxa"/>
            <w:vAlign w:val="bottom"/>
          </w:tcPr>
          <w:p>
            <w:pPr>
              <w:jc w:val="center"/>
              <w:ind w:left="1966"/>
              <w:spacing w:after="0"/>
              <w:rPr>
                <w:sz w:val="20"/>
                <w:szCs w:val="20"/>
                <w:color w:val="auto"/>
              </w:rPr>
            </w:pPr>
            <w:r>
              <w:rPr>
                <w:rFonts w:ascii="Arial" w:cs="Arial" w:eastAsia="Arial" w:hAnsi="Arial"/>
                <w:sz w:val="43"/>
                <w:szCs w:val="43"/>
                <w:b w:val="1"/>
                <w:bCs w:val="1"/>
                <w:color w:val="auto"/>
              </w:rPr>
              <w:t>AUTODESK, INC.</w:t>
            </w:r>
          </w:p>
        </w:tc>
        <w:tc>
          <w:tcPr>
            <w:tcW w:w="1400" w:type="dxa"/>
            <w:vAlign w:val="bottom"/>
          </w:tcPr>
          <w:p>
            <w:pPr>
              <w:spacing w:after="0"/>
              <w:rPr>
                <w:sz w:val="24"/>
                <w:szCs w:val="24"/>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00" w:type="dxa"/>
            <w:vAlign w:val="bottom"/>
          </w:tcPr>
          <w:p>
            <w:pPr>
              <w:spacing w:after="0"/>
              <w:rPr>
                <w:sz w:val="16"/>
                <w:szCs w:val="16"/>
                <w:color w:val="auto"/>
              </w:rPr>
            </w:pPr>
          </w:p>
        </w:tc>
      </w:tr>
      <w:tr>
        <w:trPr>
          <w:trHeight w:val="377"/>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3"/>
              </w:rPr>
              <w:t>Delaware</w:t>
            </w:r>
          </w:p>
        </w:tc>
        <w:tc>
          <w:tcPr>
            <w:tcW w:w="1400" w:type="dxa"/>
            <w:vAlign w:val="bottom"/>
          </w:tcPr>
          <w:p>
            <w:pPr>
              <w:jc w:val="right"/>
              <w:ind w:right="61"/>
              <w:spacing w:after="0"/>
              <w:rPr>
                <w:sz w:val="20"/>
                <w:szCs w:val="20"/>
                <w:color w:val="auto"/>
              </w:rPr>
            </w:pPr>
            <w:r>
              <w:rPr>
                <w:rFonts w:ascii="Arial" w:cs="Arial" w:eastAsia="Arial" w:hAnsi="Arial"/>
                <w:sz w:val="18"/>
                <w:szCs w:val="18"/>
                <w:b w:val="1"/>
                <w:bCs w:val="1"/>
                <w:color w:val="auto"/>
              </w:rPr>
              <w:t>94-2819853</w:t>
            </w:r>
          </w:p>
        </w:tc>
      </w:tr>
      <w:tr>
        <w:trPr>
          <w:trHeight w:val="180"/>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2"/>
              </w:rPr>
              <w:t>(State or other jurisdiction of</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3"/>
              </w:rPr>
              <w:t>incorporation or organization)</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Identification No.)</w:t>
            </w:r>
          </w:p>
        </w:tc>
      </w:tr>
      <w:tr>
        <w:trPr>
          <w:trHeight w:val="561"/>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111 McInnis Parkway,</w:t>
            </w:r>
          </w:p>
        </w:tc>
        <w:tc>
          <w:tcPr>
            <w:tcW w:w="1400" w:type="dxa"/>
            <w:vAlign w:val="bottom"/>
          </w:tcPr>
          <w:p>
            <w:pPr>
              <w:spacing w:after="0"/>
              <w:rPr>
                <w:sz w:val="24"/>
                <w:szCs w:val="24"/>
                <w:color w:val="auto"/>
              </w:rPr>
            </w:pPr>
          </w:p>
        </w:tc>
      </w:tr>
      <w:tr>
        <w:trPr>
          <w:trHeight w:val="234"/>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San Rafael, California</w:t>
            </w:r>
          </w:p>
        </w:tc>
        <w:tc>
          <w:tcPr>
            <w:tcW w:w="1400" w:type="dxa"/>
            <w:vAlign w:val="bottom"/>
          </w:tcPr>
          <w:p>
            <w:pPr>
              <w:jc w:val="right"/>
              <w:ind w:right="261"/>
              <w:spacing w:after="0"/>
              <w:rPr>
                <w:sz w:val="20"/>
                <w:szCs w:val="20"/>
                <w:color w:val="auto"/>
              </w:rPr>
            </w:pPr>
            <w:r>
              <w:rPr>
                <w:rFonts w:ascii="Arial" w:cs="Arial" w:eastAsia="Arial" w:hAnsi="Arial"/>
                <w:sz w:val="18"/>
                <w:szCs w:val="18"/>
                <w:b w:val="1"/>
                <w:bCs w:val="1"/>
                <w:color w:val="auto"/>
              </w:rPr>
              <w:t>94903</w:t>
            </w:r>
          </w:p>
        </w:tc>
      </w:tr>
      <w:tr>
        <w:trPr>
          <w:trHeight w:val="218"/>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6120" w:type="dxa"/>
            <w:vAlign w:val="bottom"/>
          </w:tcPr>
          <w:p>
            <w:pPr>
              <w:jc w:val="center"/>
              <w:ind w:left="1986"/>
              <w:spacing w:after="0"/>
              <w:rPr>
                <w:sz w:val="20"/>
                <w:szCs w:val="20"/>
                <w:color w:val="auto"/>
              </w:rPr>
            </w:pPr>
            <w:r>
              <w:rPr>
                <w:rFonts w:ascii="Arial" w:cs="Arial" w:eastAsia="Arial" w:hAnsi="Arial"/>
                <w:sz w:val="18"/>
                <w:szCs w:val="18"/>
                <w:b w:val="1"/>
                <w:bCs w:val="1"/>
                <w:color w:val="auto"/>
                <w:w w:val="90"/>
              </w:rPr>
              <w:t>(415) 507-5000</w:t>
            </w:r>
          </w:p>
        </w:tc>
        <w:tc>
          <w:tcPr>
            <w:tcW w:w="1400" w:type="dxa"/>
            <w:vAlign w:val="bottom"/>
          </w:tcPr>
          <w:p>
            <w:pPr>
              <w:spacing w:after="0"/>
              <w:rPr>
                <w:sz w:val="23"/>
                <w:szCs w:val="23"/>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-1844040</wp:posOffset>
            </wp:positionV>
            <wp:extent cx="283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161925</wp:posOffset>
            </wp:positionV>
            <wp:extent cx="2830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61" w:lineRule="exact"/>
        <w:rPr>
          <w:sz w:val="24"/>
          <w:szCs w:val="24"/>
          <w:color w:val="auto"/>
        </w:rPr>
      </w:pPr>
    </w:p>
    <w:p>
      <w:pPr>
        <w:jc w:val="center"/>
        <w:ind w:right="1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Exchange Act during the</w:t>
      </w:r>
    </w:p>
    <w:p>
      <w:pPr>
        <w:spacing w:after="0" w:line="61" w:lineRule="exact"/>
        <w:rPr>
          <w:sz w:val="24"/>
          <w:szCs w:val="24"/>
          <w:color w:val="auto"/>
        </w:rPr>
      </w:pPr>
    </w:p>
    <w:p>
      <w:pPr>
        <w:ind w:right="140"/>
        <w:spacing w:after="0" w:line="260" w:lineRule="exact"/>
        <w:rPr>
          <w:sz w:val="20"/>
          <w:szCs w:val="20"/>
          <w:color w:val="auto"/>
        </w:rPr>
      </w:pPr>
      <w:r>
        <w:rPr>
          <w:rFonts w:ascii="Arial" w:cs="Arial" w:eastAsia="Arial" w:hAnsi="Arial"/>
          <w:sz w:val="18"/>
          <w:szCs w:val="18"/>
          <w:color w:val="auto"/>
        </w:rPr>
        <w:t xml:space="preserve">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w:t>
      </w:r>
    </w:p>
    <w:p>
      <w:pPr>
        <w:spacing w:after="0" w:line="61"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required to be submitted and posted pursuant to Rule 405 of Regulation S-T during the preceding 12 months (or for such shorter period that the registrant was required to submit and post such files).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6"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976" w:right="27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660" w:space="680"/>
            <w:col w:w="6680" w:space="720"/>
            <w:col w:w="1200" w:space="160"/>
            <w:col w:w="280"/>
          </w:cols>
          <w:pgMar w:left="240" w:top="976"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36" w:lineRule="exact"/>
        <w:rPr>
          <w:sz w:val="24"/>
          <w:szCs w:val="24"/>
          <w:color w:val="auto"/>
        </w:rPr>
      </w:pPr>
    </w:p>
    <w:p>
      <w:pPr>
        <w:sectPr>
          <w:pgSz w:w="11900" w:h="16838" w:orient="portrait"/>
          <w:cols w:equalWidth="0" w:num="4">
            <w:col w:w="1620" w:space="720"/>
            <w:col w:w="5920" w:space="720"/>
            <w:col w:w="1960" w:space="160"/>
            <w:col w:w="280"/>
          </w:cols>
          <w:pgMar w:left="240" w:top="976" w:right="279" w:bottom="1440" w:gutter="0" w:footer="0" w:header="0"/>
          <w:type w:val="continuous"/>
        </w:sectPr>
      </w:pPr>
    </w:p>
    <w:p>
      <w:pPr>
        <w:spacing w:after="0" w:line="82" w:lineRule="exact"/>
        <w:rPr>
          <w:sz w:val="24"/>
          <w:szCs w:val="24"/>
          <w:color w:val="auto"/>
        </w:rPr>
      </w:pPr>
    </w:p>
    <w:p>
      <w:pPr>
        <w:ind w:left="440"/>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9"/>
          <w:szCs w:val="19"/>
          <w:color w:val="auto"/>
        </w:rPr>
        <w:t>x</w:t>
      </w:r>
    </w:p>
    <w:p>
      <w:pPr>
        <w:spacing w:after="0" w:line="26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August 26, 2015, registrant had outstanding approximately 226,199,054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AUTODESK, INC. 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80" w:type="dxa"/>
            <w:vAlign w:val="bottom"/>
            <w:tcBorders>
              <w:bottom w:val="single" w:sz="8" w:color="0000FF"/>
            </w:tcBorders>
            <w:gridSpan w:val="6"/>
          </w:tcPr>
          <w:p>
            <w:pPr>
              <w:jc w:val="cente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2960" w:type="dxa"/>
            <w:vAlign w:val="bottom"/>
            <w:gridSpan w:val="5"/>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980" w:type="dxa"/>
            <w:vAlign w:val="bottom"/>
            <w:gridSpan w:val="22"/>
          </w:tcPr>
          <w:p>
            <w:pPr>
              <w:spacing w:after="0"/>
              <w:rPr>
                <w:rFonts w:ascii="Arial" w:cs="Arial" w:eastAsia="Arial" w:hAnsi="Arial"/>
                <w:sz w:val="18"/>
                <w:szCs w:val="18"/>
                <w:b w:val="1"/>
                <w:bCs w:val="1"/>
                <w:color w:val="0000FF"/>
              </w:rPr>
            </w:pPr>
            <w:r>
              <w:rPr>
                <w:rFonts w:ascii="Arial" w:cs="Arial" w:eastAsia="Arial" w:hAnsi="Arial"/>
                <w:sz w:val="18"/>
                <w:szCs w:val="18"/>
                <w:b w:val="1"/>
                <w:bCs w:val="1"/>
                <w:color w:val="0000FF"/>
              </w:rPr>
              <w:t xml:space="preserve">Unaudited </w:t>
            </w:r>
            <w:hyperlink w:anchor="page3">
              <w:r>
                <w:rPr>
                  <w:rFonts w:ascii="Arial" w:cs="Arial" w:eastAsia="Arial" w:hAnsi="Arial"/>
                  <w:sz w:val="18"/>
                  <w:szCs w:val="18"/>
                  <w:b w:val="1"/>
                  <w:bCs w:val="1"/>
                  <w:color w:val="0000FF"/>
                </w:rPr>
                <w:t>Financial Statements:</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06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for the Three and Six Months Ended July 31, 2015 and 2014</w:t>
              </w:r>
            </w:hyperlink>
          </w:p>
        </w:tc>
        <w:tc>
          <w:tcPr>
            <w:tcW w:w="920" w:type="dxa"/>
            <w:vAlign w:val="bottom"/>
            <w:gridSpan w:val="2"/>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878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Comprehensive (Loss) Income for the Three and Six Months Ended July 31, 2015</w:t>
              </w:r>
            </w:hyperlink>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66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
              <w:r>
                <w:rPr>
                  <w:rFonts w:ascii="Arial" w:cs="Arial" w:eastAsia="Arial" w:hAnsi="Arial"/>
                  <w:sz w:val="18"/>
                  <w:szCs w:val="18"/>
                  <w:color w:val="0000EE"/>
                  <w:w w:val="85"/>
                </w:rPr>
                <w:t>and 2014</w:t>
              </w:r>
            </w:hyperlink>
          </w:p>
        </w:tc>
        <w:tc>
          <w:tcPr>
            <w:tcW w:w="8320" w:type="dxa"/>
            <w:vAlign w:val="bottom"/>
            <w:gridSpan w:val="20"/>
          </w:tcPr>
          <w:p>
            <w:pPr>
              <w:spacing w:after="0"/>
              <w:rPr>
                <w:sz w:val="17"/>
                <w:szCs w:val="17"/>
                <w:color w:val="auto"/>
              </w:rPr>
            </w:pPr>
          </w:p>
        </w:tc>
        <w:tc>
          <w:tcPr>
            <w:tcW w:w="13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17"/>
                <w:szCs w:val="17"/>
                <w:color w:val="auto"/>
              </w:rPr>
            </w:pPr>
          </w:p>
        </w:tc>
      </w:tr>
      <w:tr>
        <w:trPr>
          <w:trHeight w:val="372"/>
        </w:trPr>
        <w:tc>
          <w:tcPr>
            <w:tcW w:w="920" w:type="dxa"/>
            <w:vAlign w:val="bottom"/>
          </w:tcPr>
          <w:p>
            <w:pPr>
              <w:spacing w:after="0"/>
              <w:rPr>
                <w:sz w:val="24"/>
                <w:szCs w:val="24"/>
                <w:color w:val="auto"/>
              </w:rPr>
            </w:pPr>
          </w:p>
        </w:tc>
        <w:tc>
          <w:tcPr>
            <w:tcW w:w="898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July 31, 2015 and January 31, 2015</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98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Six Months Ended July 31, 2015 and 2014</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372"/>
        </w:trPr>
        <w:tc>
          <w:tcPr>
            <w:tcW w:w="920" w:type="dxa"/>
            <w:vAlign w:val="bottom"/>
          </w:tcPr>
          <w:p>
            <w:pPr>
              <w:spacing w:after="0"/>
              <w:rPr>
                <w:sz w:val="24"/>
                <w:szCs w:val="24"/>
                <w:color w:val="auto"/>
              </w:rPr>
            </w:pPr>
          </w:p>
        </w:tc>
        <w:tc>
          <w:tcPr>
            <w:tcW w:w="7340" w:type="dxa"/>
            <w:vAlign w:val="bottom"/>
            <w:tcBorders>
              <w:top w:val="single" w:sz="8" w:color="0000EE"/>
            </w:tcBorders>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640" w:type="dxa"/>
            <w:vAlign w:val="bottom"/>
            <w:gridSpan w:val="3"/>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980" w:type="dxa"/>
            <w:vAlign w:val="bottom"/>
            <w:gridSpan w:val="22"/>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27</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18"/>
          </w:tcPr>
          <w:p>
            <w:pPr>
              <w:spacing w:after="0"/>
              <w:rPr>
                <w:rFonts w:ascii="Arial" w:cs="Arial" w:eastAsia="Arial" w:hAnsi="Arial"/>
                <w:sz w:val="18"/>
                <w:szCs w:val="18"/>
                <w:b w:val="1"/>
                <w:bCs w:val="1"/>
                <w:color w:val="0000FF"/>
              </w:rPr>
            </w:pPr>
            <w:hyperlink w:anchor="page47">
              <w:r>
                <w:rPr>
                  <w:rFonts w:ascii="Arial" w:cs="Arial" w:eastAsia="Arial" w:hAnsi="Arial"/>
                  <w:sz w:val="18"/>
                  <w:szCs w:val="18"/>
                  <w:b w:val="1"/>
                  <w:bCs w:val="1"/>
                  <w:color w:val="0000FF"/>
                </w:rPr>
                <w:t>Quantitative and Qualitative Disclosures About Market Risk</w:t>
              </w:r>
            </w:hyperlink>
          </w:p>
        </w:tc>
        <w:tc>
          <w:tcPr>
            <w:tcW w:w="2160" w:type="dxa"/>
            <w:vAlign w:val="bottom"/>
            <w:gridSpan w:val="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5"/>
          </w:tcPr>
          <w:p>
            <w:pPr>
              <w:spacing w:after="0"/>
              <w:rPr>
                <w:rFonts w:ascii="Arial" w:cs="Arial" w:eastAsia="Arial" w:hAnsi="Arial"/>
                <w:sz w:val="18"/>
                <w:szCs w:val="18"/>
                <w:b w:val="1"/>
                <w:bCs w:val="1"/>
                <w:color w:val="0000FF"/>
              </w:rPr>
            </w:pPr>
            <w:hyperlink w:anchor="page48">
              <w:r>
                <w:rPr>
                  <w:rFonts w:ascii="Arial" w:cs="Arial" w:eastAsia="Arial" w:hAnsi="Arial"/>
                  <w:sz w:val="18"/>
                  <w:szCs w:val="18"/>
                  <w:b w:val="1"/>
                  <w:bCs w:val="1"/>
                  <w:color w:val="0000FF"/>
                </w:rPr>
                <w:t>Controls and Procedures</w:t>
              </w:r>
            </w:hyperlink>
          </w:p>
        </w:tc>
        <w:tc>
          <w:tcPr>
            <w:tcW w:w="4320" w:type="dxa"/>
            <w:vAlign w:val="bottom"/>
            <w:gridSpan w:val="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r>
      <w:tr>
        <w:trPr>
          <w:trHeight w:val="372"/>
        </w:trPr>
        <w:tc>
          <w:tcPr>
            <w:tcW w:w="9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40" w:type="dxa"/>
            <w:vAlign w:val="bottom"/>
            <w:gridSpan w:val="11"/>
          </w:tcPr>
          <w:p>
            <w:pPr>
              <w:jc w:val="center"/>
              <w:ind w:right="2960"/>
              <w:spacing w:after="0"/>
              <w:rPr>
                <w:rFonts w:ascii="Arial" w:cs="Arial" w:eastAsia="Arial" w:hAnsi="Arial"/>
                <w:sz w:val="18"/>
                <w:szCs w:val="18"/>
                <w:b w:val="1"/>
                <w:bCs w:val="1"/>
                <w:color w:val="0000FF"/>
              </w:rPr>
            </w:pPr>
            <w:hyperlink w:anchor="page49">
              <w:r>
                <w:rPr>
                  <w:rFonts w:ascii="Arial" w:cs="Arial" w:eastAsia="Arial" w:hAnsi="Arial"/>
                  <w:sz w:val="18"/>
                  <w:szCs w:val="18"/>
                  <w:b w:val="1"/>
                  <w:bCs w:val="1"/>
                  <w:color w:val="0000FF"/>
                </w:rPr>
                <w:t>PART II. OTHER INFORMATION</w:t>
              </w:r>
            </w:hyperlink>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5"/>
          </w:tcPr>
          <w:p>
            <w:pPr>
              <w:spacing w:after="0"/>
              <w:rPr>
                <w:rFonts w:ascii="Arial" w:cs="Arial" w:eastAsia="Arial" w:hAnsi="Arial"/>
                <w:sz w:val="18"/>
                <w:szCs w:val="18"/>
                <w:b w:val="1"/>
                <w:bCs w:val="1"/>
                <w:color w:val="0000FF"/>
                <w:w w:val="86"/>
              </w:rPr>
            </w:pPr>
            <w:hyperlink w:anchor="page49">
              <w:r>
                <w:rPr>
                  <w:rFonts w:ascii="Arial" w:cs="Arial" w:eastAsia="Arial" w:hAnsi="Arial"/>
                  <w:sz w:val="18"/>
                  <w:szCs w:val="18"/>
                  <w:b w:val="1"/>
                  <w:bCs w:val="1"/>
                  <w:color w:val="0000FF"/>
                  <w:w w:val="86"/>
                </w:rPr>
                <w:t>Legal Proceedings</w:t>
              </w:r>
            </w:hyperlink>
          </w:p>
        </w:tc>
        <w:tc>
          <w:tcPr>
            <w:tcW w:w="1700" w:type="dxa"/>
            <w:vAlign w:val="bottom"/>
            <w:gridSpan w:val="7"/>
          </w:tcPr>
          <w:p>
            <w:pPr>
              <w:spacing w:after="0"/>
              <w:rPr>
                <w:sz w:val="24"/>
                <w:szCs w:val="24"/>
                <w:color w:val="auto"/>
              </w:rPr>
            </w:pPr>
          </w:p>
        </w:tc>
        <w:tc>
          <w:tcPr>
            <w:tcW w:w="2820" w:type="dxa"/>
            <w:vAlign w:val="bottom"/>
            <w:tcBorders>
              <w:top w:val="single" w:sz="8" w:color="0000FF"/>
            </w:tcBorders>
            <w:gridSpan w:val="4"/>
          </w:tcPr>
          <w:p>
            <w:pPr>
              <w:spacing w:after="0"/>
              <w:rPr>
                <w:sz w:val="24"/>
                <w:szCs w:val="24"/>
                <w:color w:val="auto"/>
              </w:rPr>
            </w:pPr>
          </w:p>
        </w:tc>
        <w:tc>
          <w:tcPr>
            <w:tcW w:w="3060" w:type="dxa"/>
            <w:vAlign w:val="bottom"/>
            <w:gridSpan w:val="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4420" w:type="dxa"/>
            <w:vAlign w:val="bottom"/>
            <w:gridSpan w:val="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5"/>
          </w:tcPr>
          <w:p>
            <w:pPr>
              <w:spacing w:after="0"/>
              <w:rPr>
                <w:rFonts w:ascii="Arial" w:cs="Arial" w:eastAsia="Arial" w:hAnsi="Arial"/>
                <w:sz w:val="18"/>
                <w:szCs w:val="18"/>
                <w:b w:val="1"/>
                <w:bCs w:val="1"/>
                <w:color w:val="0000FF"/>
              </w:rPr>
            </w:pPr>
            <w:hyperlink w:anchor="page49">
              <w:r>
                <w:rPr>
                  <w:rFonts w:ascii="Arial" w:cs="Arial" w:eastAsia="Arial" w:hAnsi="Arial"/>
                  <w:sz w:val="18"/>
                  <w:szCs w:val="18"/>
                  <w:b w:val="1"/>
                  <w:bCs w:val="1"/>
                  <w:color w:val="0000FF"/>
                </w:rPr>
                <w:t>Risk Factors</w:t>
              </w:r>
            </w:hyperlink>
          </w:p>
        </w:tc>
        <w:tc>
          <w:tcPr>
            <w:tcW w:w="7580" w:type="dxa"/>
            <w:vAlign w:val="bottom"/>
            <w:gridSpan w:val="1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4420" w:type="dxa"/>
            <w:vAlign w:val="bottom"/>
            <w:gridSpan w:val="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980" w:type="dxa"/>
            <w:vAlign w:val="bottom"/>
            <w:gridSpan w:val="22"/>
          </w:tcPr>
          <w:p>
            <w:pPr>
              <w:spacing w:after="0"/>
              <w:rPr>
                <w:rFonts w:ascii="Arial" w:cs="Arial" w:eastAsia="Arial" w:hAnsi="Arial"/>
                <w:sz w:val="18"/>
                <w:szCs w:val="18"/>
                <w:b w:val="1"/>
                <w:bCs w:val="1"/>
                <w:color w:val="0000FF"/>
              </w:rPr>
            </w:pPr>
            <w:hyperlink w:anchor="page64">
              <w:r>
                <w:rPr>
                  <w:rFonts w:ascii="Arial" w:cs="Arial" w:eastAsia="Arial" w:hAnsi="Arial"/>
                  <w:sz w:val="18"/>
                  <w:szCs w:val="18"/>
                  <w:b w:val="1"/>
                  <w:bCs w:val="1"/>
                  <w:color w:val="0000FF"/>
                </w:rPr>
                <w:t>Unregistered Sales of Equity Securities and Use of Proceeds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40" w:type="dxa"/>
            <w:vAlign w:val="bottom"/>
            <w:gridSpan w:val="9"/>
          </w:tcPr>
          <w:p>
            <w:pPr>
              <w:spacing w:after="0"/>
              <w:rPr>
                <w:rFonts w:ascii="Arial" w:cs="Arial" w:eastAsia="Arial" w:hAnsi="Arial"/>
                <w:sz w:val="18"/>
                <w:szCs w:val="18"/>
                <w:b w:val="1"/>
                <w:bCs w:val="1"/>
                <w:color w:val="0000FF"/>
                <w:w w:val="88"/>
              </w:rPr>
            </w:pPr>
            <w:hyperlink w:anchor="page64">
              <w:r>
                <w:rPr>
                  <w:rFonts w:ascii="Arial" w:cs="Arial" w:eastAsia="Arial" w:hAnsi="Arial"/>
                  <w:sz w:val="18"/>
                  <w:szCs w:val="18"/>
                  <w:b w:val="1"/>
                  <w:bCs w:val="1"/>
                  <w:color w:val="0000FF"/>
                  <w:w w:val="88"/>
                </w:rPr>
                <w:t>Defaults Upon Senior Securities</w:t>
              </w:r>
            </w:hyperlink>
          </w:p>
        </w:tc>
        <w:tc>
          <w:tcPr>
            <w:tcW w:w="2120" w:type="dxa"/>
            <w:vAlign w:val="bottom"/>
            <w:gridSpan w:val="5"/>
          </w:tcPr>
          <w:p>
            <w:pPr>
              <w:spacing w:after="0"/>
              <w:rPr>
                <w:sz w:val="24"/>
                <w:szCs w:val="24"/>
                <w:color w:val="auto"/>
              </w:rPr>
            </w:pPr>
          </w:p>
        </w:tc>
        <w:tc>
          <w:tcPr>
            <w:tcW w:w="4420" w:type="dxa"/>
            <w:vAlign w:val="bottom"/>
            <w:gridSpan w:val="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54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440" w:type="dxa"/>
            <w:vAlign w:val="bottom"/>
            <w:gridSpan w:val="9"/>
          </w:tcPr>
          <w:p>
            <w:pPr>
              <w:spacing w:after="0"/>
              <w:rPr>
                <w:rFonts w:ascii="Arial" w:cs="Arial" w:eastAsia="Arial" w:hAnsi="Arial"/>
                <w:sz w:val="18"/>
                <w:szCs w:val="18"/>
                <w:b w:val="1"/>
                <w:bCs w:val="1"/>
                <w:color w:val="0000FF"/>
              </w:rPr>
            </w:pPr>
            <w:hyperlink w:anchor="page64">
              <w:r>
                <w:rPr>
                  <w:rFonts w:ascii="Arial" w:cs="Arial" w:eastAsia="Arial" w:hAnsi="Arial"/>
                  <w:sz w:val="18"/>
                  <w:szCs w:val="18"/>
                  <w:b w:val="1"/>
                  <w:bCs w:val="1"/>
                  <w:color w:val="0000FF"/>
                </w:rPr>
                <w:t>Mine Safety Disclosures</w:t>
              </w:r>
            </w:hyperlink>
          </w:p>
        </w:tc>
        <w:tc>
          <w:tcPr>
            <w:tcW w:w="6540" w:type="dxa"/>
            <w:vAlign w:val="bottom"/>
            <w:gridSpan w:val="1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6"/>
          </w:tcPr>
          <w:p>
            <w:pPr>
              <w:spacing w:after="0"/>
              <w:rPr>
                <w:rFonts w:ascii="Arial" w:cs="Arial" w:eastAsia="Arial" w:hAnsi="Arial"/>
                <w:sz w:val="18"/>
                <w:szCs w:val="18"/>
                <w:b w:val="1"/>
                <w:bCs w:val="1"/>
                <w:color w:val="0000FF"/>
                <w:w w:val="93"/>
              </w:rPr>
            </w:pPr>
            <w:hyperlink w:anchor="page64">
              <w:r>
                <w:rPr>
                  <w:rFonts w:ascii="Arial" w:cs="Arial" w:eastAsia="Arial" w:hAnsi="Arial"/>
                  <w:sz w:val="18"/>
                  <w:szCs w:val="18"/>
                  <w:b w:val="1"/>
                  <w:bCs w:val="1"/>
                  <w:color w:val="0000FF"/>
                  <w:w w:val="93"/>
                </w:rPr>
                <w:t>Other Information</w:t>
              </w:r>
            </w:hyperlink>
          </w:p>
        </w:tc>
        <w:tc>
          <w:tcPr>
            <w:tcW w:w="380" w:type="dxa"/>
            <w:vAlign w:val="bottom"/>
          </w:tcPr>
          <w:p>
            <w:pPr>
              <w:spacing w:after="0"/>
              <w:rPr>
                <w:sz w:val="24"/>
                <w:szCs w:val="24"/>
                <w:color w:val="auto"/>
              </w:rPr>
            </w:pPr>
          </w:p>
        </w:tc>
        <w:tc>
          <w:tcPr>
            <w:tcW w:w="7160" w:type="dxa"/>
            <w:vAlign w:val="bottom"/>
            <w:gridSpan w:val="1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540" w:type="dxa"/>
            <w:vAlign w:val="bottom"/>
            <w:gridSpan w:val="1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FF"/>
                <w:w w:val="88"/>
              </w:rPr>
            </w:pPr>
            <w:hyperlink w:anchor="page64">
              <w:r>
                <w:rPr>
                  <w:rFonts w:ascii="Arial" w:cs="Arial" w:eastAsia="Arial" w:hAnsi="Arial"/>
                  <w:sz w:val="18"/>
                  <w:szCs w:val="18"/>
                  <w:b w:val="1"/>
                  <w:bCs w:val="1"/>
                  <w:color w:val="0000FF"/>
                  <w:w w:val="88"/>
                </w:rPr>
                <w:t>Exhibits</w:t>
              </w:r>
            </w:hyperlink>
          </w:p>
        </w:tc>
        <w:tc>
          <w:tcPr>
            <w:tcW w:w="800" w:type="dxa"/>
            <w:vAlign w:val="bottom"/>
            <w:gridSpan w:val="5"/>
          </w:tcPr>
          <w:p>
            <w:pPr>
              <w:spacing w:after="0"/>
              <w:rPr>
                <w:sz w:val="24"/>
                <w:szCs w:val="24"/>
                <w:color w:val="auto"/>
              </w:rPr>
            </w:pPr>
          </w:p>
        </w:tc>
        <w:tc>
          <w:tcPr>
            <w:tcW w:w="7540" w:type="dxa"/>
            <w:vAlign w:val="bottom"/>
            <w:gridSpan w:val="1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4">
              <w:r>
                <w:rPr>
                  <w:rFonts w:ascii="Arial" w:cs="Arial" w:eastAsia="Arial" w:hAnsi="Arial"/>
                  <w:sz w:val="18"/>
                  <w:szCs w:val="18"/>
                  <w:color w:val="0000FF"/>
                </w:rPr>
                <w:t>65</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160" w:type="dxa"/>
            <w:vAlign w:val="bottom"/>
            <w:gridSpan w:val="1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20" w:type="dxa"/>
            <w:vAlign w:val="bottom"/>
            <w:gridSpan w:val="3"/>
          </w:tcPr>
          <w:p>
            <w:pPr>
              <w:spacing w:after="0"/>
              <w:rPr>
                <w:rFonts w:ascii="Arial" w:cs="Arial" w:eastAsia="Arial" w:hAnsi="Arial"/>
                <w:sz w:val="18"/>
                <w:szCs w:val="18"/>
                <w:b w:val="1"/>
                <w:bCs w:val="1"/>
                <w:color w:val="0000FF"/>
                <w:w w:val="85"/>
              </w:rPr>
            </w:pPr>
            <w:hyperlink w:anchor="page65">
              <w:r>
                <w:rPr>
                  <w:rFonts w:ascii="Arial" w:cs="Arial" w:eastAsia="Arial" w:hAnsi="Arial"/>
                  <w:sz w:val="18"/>
                  <w:szCs w:val="18"/>
                  <w:b w:val="1"/>
                  <w:bCs w:val="1"/>
                  <w:color w:val="0000FF"/>
                  <w:w w:val="85"/>
                </w:rPr>
                <w:t>Signatures</w:t>
              </w:r>
            </w:hyperlink>
          </w:p>
        </w:tc>
        <w:tc>
          <w:tcPr>
            <w:tcW w:w="8160" w:type="dxa"/>
            <w:vAlign w:val="bottom"/>
            <w:gridSpan w:val="19"/>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5">
              <w:r>
                <w:rPr>
                  <w:rFonts w:ascii="Arial" w:cs="Arial" w:eastAsia="Arial" w:hAnsi="Arial"/>
                  <w:sz w:val="18"/>
                  <w:szCs w:val="18"/>
                  <w:color w:val="0000FF"/>
                </w:rPr>
                <w:t>66</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July 31,</w:t>
            </w:r>
          </w:p>
        </w:tc>
        <w:tc>
          <w:tcPr>
            <w:tcW w:w="178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Six Months Ended July 31,</w:t>
            </w: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3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290.5</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350.4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617.2</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666.6</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319.0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563.0</w:t>
            </w:r>
          </w:p>
        </w:tc>
        <w:tc>
          <w:tcPr>
            <w:tcW w:w="0" w:type="dxa"/>
            <w:vAlign w:val="bottom"/>
          </w:tcPr>
          <w:p>
            <w:pPr>
              <w:spacing w:after="0"/>
              <w:rPr>
                <w:sz w:val="1"/>
                <w:szCs w:val="1"/>
                <w:color w:val="auto"/>
              </w:rPr>
            </w:pPr>
          </w:p>
        </w:tc>
      </w:tr>
      <w:tr>
        <w:trPr>
          <w:trHeight w:val="217"/>
        </w:trPr>
        <w:tc>
          <w:tcPr>
            <w:tcW w:w="7320" w:type="dxa"/>
            <w:vAlign w:val="bottom"/>
          </w:tcPr>
          <w:p>
            <w:pPr>
              <w:ind w:left="720"/>
              <w:spacing w:after="0"/>
              <w:rPr>
                <w:sz w:val="20"/>
                <w:szCs w:val="20"/>
                <w:color w:val="auto"/>
              </w:rPr>
            </w:pPr>
            <w:r>
              <w:rPr>
                <w:rFonts w:ascii="Arial" w:cs="Arial" w:eastAsia="Arial" w:hAnsi="Arial"/>
                <w:sz w:val="16"/>
                <w:szCs w:val="16"/>
                <w:color w:val="auto"/>
              </w:rPr>
              <w:t>Total net revenue</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609.5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637.1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7"/>
              </w:rPr>
              <w:t>1,256.0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1,229.6</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Cost of license and other revenue</w:t>
            </w: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102.7</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subscription revenue</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217"/>
        </w:trPr>
        <w:tc>
          <w:tcPr>
            <w:tcW w:w="7320" w:type="dxa"/>
            <w:vAlign w:val="bottom"/>
          </w:tcPr>
          <w:p>
            <w:pPr>
              <w:ind w:left="720"/>
              <w:spacing w:after="0"/>
              <w:rPr>
                <w:sz w:val="20"/>
                <w:szCs w:val="20"/>
                <w:color w:val="auto"/>
              </w:rPr>
            </w:pPr>
            <w:r>
              <w:rPr>
                <w:rFonts w:ascii="Arial" w:cs="Arial" w:eastAsia="Arial" w:hAnsi="Arial"/>
                <w:sz w:val="16"/>
                <w:szCs w:val="16"/>
                <w:color w:val="auto"/>
              </w:rPr>
              <w:t>Total cost of revenue</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184.8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166.6</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516.5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1,071.2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1,063.0</w:t>
            </w:r>
          </w:p>
        </w:tc>
        <w:tc>
          <w:tcPr>
            <w:tcW w:w="0" w:type="dxa"/>
            <w:vAlign w:val="bottom"/>
          </w:tcPr>
          <w:p>
            <w:pPr>
              <w:spacing w:after="0"/>
              <w:rPr>
                <w:sz w:val="1"/>
                <w:szCs w:val="1"/>
                <w:color w:val="auto"/>
              </w:rPr>
            </w:pPr>
          </w:p>
        </w:tc>
      </w:tr>
      <w:tr>
        <w:trPr>
          <w:trHeight w:val="224"/>
        </w:trPr>
        <w:tc>
          <w:tcPr>
            <w:tcW w:w="73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Marketing and sales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463.0</w:t>
            </w: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Research and development</w:t>
            </w: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193.1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387.6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349.8</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134.0</w:t>
            </w: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net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7"/>
        </w:trPr>
        <w:tc>
          <w:tcPr>
            <w:tcW w:w="7320" w:type="dxa"/>
            <w:vAlign w:val="bottom"/>
          </w:tcPr>
          <w:p>
            <w:pPr>
              <w:ind w:left="72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512.2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499.3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7"/>
              </w:rPr>
              <w:t>1,045.4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970.9</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92.1</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Interest and other expense, net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78.5</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(236.4)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Basic net (loss) income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32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0.14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(0.95)</w:t>
            </w:r>
          </w:p>
        </w:tc>
        <w:tc>
          <w:tcPr>
            <w:tcW w:w="1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73"/>
        </w:trPr>
        <w:tc>
          <w:tcPr>
            <w:tcW w:w="73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3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Diluted net (loss) income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basic net (loss) income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3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227.0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227.3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227.1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227.1</w:t>
            </w:r>
          </w:p>
        </w:tc>
        <w:tc>
          <w:tcPr>
            <w:tcW w:w="0" w:type="dxa"/>
            <w:vAlign w:val="bottom"/>
          </w:tcPr>
          <w:p>
            <w:pPr>
              <w:spacing w:after="0"/>
              <w:rPr>
                <w:sz w:val="1"/>
                <w:szCs w:val="1"/>
                <w:color w:val="auto"/>
              </w:rPr>
            </w:pPr>
          </w:p>
        </w:tc>
      </w:tr>
      <w:tr>
        <w:trPr>
          <w:trHeight w:val="73"/>
        </w:trPr>
        <w:tc>
          <w:tcPr>
            <w:tcW w:w="73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3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diluted net (loss) income per share</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232.4</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840" w:type="dxa"/>
            <w:vAlign w:val="bottom"/>
            <w:gridSpan w:val="7"/>
          </w:tcPr>
          <w:p>
            <w:pPr>
              <w:ind w:left="80"/>
              <w:spacing w:after="0"/>
              <w:rPr>
                <w:sz w:val="20"/>
                <w:szCs w:val="20"/>
                <w:color w:val="auto"/>
              </w:rPr>
            </w:pPr>
            <w:r>
              <w:rPr>
                <w:rFonts w:ascii="Arial" w:cs="Arial" w:eastAsia="Arial" w:hAnsi="Arial"/>
                <w:sz w:val="14"/>
                <w:szCs w:val="14"/>
                <w:b w:val="1"/>
                <w:bCs w:val="1"/>
                <w:color w:val="auto"/>
              </w:rPr>
              <w:t>Three Months Ended July</w:t>
            </w:r>
          </w:p>
        </w:tc>
        <w:tc>
          <w:tcPr>
            <w:tcW w:w="120" w:type="dxa"/>
            <w:vAlign w:val="bottom"/>
          </w:tcPr>
          <w:p>
            <w:pPr>
              <w:spacing w:after="0"/>
              <w:rPr>
                <w:sz w:val="14"/>
                <w:szCs w:val="14"/>
                <w:color w:val="auto"/>
              </w:rPr>
            </w:pPr>
          </w:p>
        </w:tc>
        <w:tc>
          <w:tcPr>
            <w:tcW w:w="156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93"/>
              </w:rPr>
              <w:t>Six Months Ended July</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w w:val="81"/>
              </w:rPr>
              <w:t>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w w:val="81"/>
              </w:rPr>
              <w:t>31,</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3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(235.5)</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(216.4)</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Other comprehensive (loss) income, net of reclassifications: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gain on derivative instruments (net of tax effect of $0.8, ($0.4), ($0.7) and ($1.1),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0"/>
        </w:trPr>
        <w:tc>
          <w:tcPr>
            <w:tcW w:w="7900" w:type="dxa"/>
            <w:vAlign w:val="bottom"/>
          </w:tcPr>
          <w:p>
            <w:pPr>
              <w:ind w:left="280"/>
              <w:spacing w:after="0"/>
              <w:rPr>
                <w:sz w:val="20"/>
                <w:szCs w:val="20"/>
                <w:color w:val="auto"/>
              </w:rPr>
            </w:pPr>
            <w:r>
              <w:rPr>
                <w:rFonts w:ascii="Arial" w:cs="Arial" w:eastAsia="Arial" w:hAnsi="Arial"/>
                <w:sz w:val="16"/>
                <w:szCs w:val="16"/>
                <w:color w:val="auto"/>
              </w:rPr>
              <w:t>Change in net unrealized loss on available-for-sale securities (net of tax effect of $0.3, $0.4, $0.2 and $0.0,</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900" w:type="dxa"/>
            <w:vAlign w:val="bottom"/>
          </w:tcPr>
          <w:p>
            <w:pPr>
              <w:ind w:left="600"/>
              <w:spacing w:after="0"/>
              <w:rPr>
                <w:sz w:val="20"/>
                <w:szCs w:val="20"/>
                <w:color w:val="auto"/>
              </w:rPr>
            </w:pPr>
            <w:r>
              <w:rPr>
                <w:rFonts w:ascii="Arial" w:cs="Arial" w:eastAsia="Arial" w:hAnsi="Arial"/>
                <w:sz w:val="16"/>
                <w:szCs w:val="16"/>
                <w:color w:val="auto"/>
              </w:rPr>
              <w:t>respectively)</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defined benefit pension items (1)</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900" w:type="dxa"/>
            <w:vAlign w:val="bottom"/>
          </w:tcPr>
          <w:p>
            <w:pPr>
              <w:ind w:left="280"/>
              <w:spacing w:after="0"/>
              <w:rPr>
                <w:sz w:val="20"/>
                <w:szCs w:val="20"/>
                <w:color w:val="auto"/>
              </w:rPr>
            </w:pPr>
            <w:r>
              <w:rPr>
                <w:rFonts w:ascii="Arial" w:cs="Arial" w:eastAsia="Arial" w:hAnsi="Arial"/>
                <w:sz w:val="16"/>
                <w:szCs w:val="16"/>
                <w:color w:val="auto"/>
                <w:w w:val="95"/>
              </w:rPr>
              <w:t>Net change in cumulative foreign currency translation (loss) gain (net of tax effect of $0.7, $0.9, $4.5, and ($0.4),</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900" w:type="dxa"/>
            <w:vAlign w:val="bottom"/>
          </w:tcPr>
          <w:p>
            <w:pPr>
              <w:ind w:left="600"/>
              <w:spacing w:after="0"/>
              <w:rPr>
                <w:sz w:val="20"/>
                <w:szCs w:val="20"/>
                <w:color w:val="auto"/>
              </w:rPr>
            </w:pPr>
            <w:r>
              <w:rPr>
                <w:rFonts w:ascii="Arial" w:cs="Arial" w:eastAsia="Arial" w:hAnsi="Arial"/>
                <w:sz w:val="16"/>
                <w:szCs w:val="16"/>
                <w:color w:val="auto"/>
              </w:rPr>
              <w:t>respectively)</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(loss) income</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44"/>
        </w:trPr>
        <w:tc>
          <w:tcPr>
            <w:tcW w:w="7900" w:type="dxa"/>
            <w:vAlign w:val="bottom"/>
          </w:tcPr>
          <w:p>
            <w:pPr>
              <w:ind w:left="40"/>
              <w:spacing w:after="0"/>
              <w:rPr>
                <w:sz w:val="20"/>
                <w:szCs w:val="20"/>
                <w:color w:val="auto"/>
              </w:rPr>
            </w:pPr>
            <w:r>
              <w:rPr>
                <w:rFonts w:ascii="Arial" w:cs="Arial" w:eastAsia="Arial" w:hAnsi="Arial"/>
                <w:sz w:val="16"/>
                <w:szCs w:val="16"/>
                <w:color w:val="auto"/>
              </w:rPr>
              <w:t>Total comprehensive (loss) income</w:t>
            </w: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(249.8)</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(233.4)</w:t>
            </w: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9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900" w:type="dxa"/>
            <w:vAlign w:val="bottom"/>
          </w:tcPr>
          <w:p>
            <w:pPr>
              <w:spacing w:after="0"/>
              <w:rPr>
                <w:sz w:val="20"/>
                <w:szCs w:val="20"/>
                <w:color w:val="auto"/>
              </w:rPr>
            </w:pPr>
            <w:r>
              <w:rPr>
                <w:rFonts w:ascii="Arial" w:cs="Arial" w:eastAsia="Arial" w:hAnsi="Arial"/>
                <w:sz w:val="16"/>
                <w:szCs w:val="16"/>
                <w:color w:val="auto"/>
              </w:rPr>
              <w:t>(1)   Tax effects related to defined benefit pension items were immaterial for each of the periods presented.</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31, 2015</w:t>
            </w:r>
          </w:p>
        </w:tc>
        <w:tc>
          <w:tcPr>
            <w:tcW w:w="180" w:type="dxa"/>
            <w:vAlign w:val="bottom"/>
          </w:tcPr>
          <w:p>
            <w:pPr>
              <w:spacing w:after="0"/>
              <w:rPr>
                <w:sz w:val="16"/>
                <w:szCs w:val="16"/>
                <w:color w:val="auto"/>
              </w:rPr>
            </w:pPr>
          </w:p>
        </w:tc>
        <w:tc>
          <w:tcPr>
            <w:tcW w:w="1400" w:type="dxa"/>
            <w:vAlign w:val="bottom"/>
          </w:tcPr>
          <w:p>
            <w:pPr>
              <w:jc w:val="right"/>
              <w:ind w:right="179"/>
              <w:spacing w:after="0"/>
              <w:rPr>
                <w:sz w:val="20"/>
                <w:szCs w:val="20"/>
                <w:color w:val="auto"/>
              </w:rPr>
            </w:pPr>
            <w:r>
              <w:rPr>
                <w:rFonts w:ascii="Arial" w:cs="Arial" w:eastAsia="Arial" w:hAnsi="Arial"/>
                <w:sz w:val="14"/>
                <w:szCs w:val="14"/>
                <w:b w:val="1"/>
                <w:bCs w:val="1"/>
                <w:color w:val="auto"/>
                <w:w w:val="99"/>
              </w:rPr>
              <w:t>January 31, 2015</w:t>
            </w:r>
          </w:p>
        </w:tc>
        <w:tc>
          <w:tcPr>
            <w:tcW w:w="0" w:type="dxa"/>
            <w:vAlign w:val="bottom"/>
          </w:tcPr>
          <w:p>
            <w:pPr>
              <w:spacing w:after="0"/>
              <w:rPr>
                <w:sz w:val="1"/>
                <w:szCs w:val="1"/>
                <w:color w:val="auto"/>
              </w:rPr>
            </w:pPr>
          </w:p>
        </w:tc>
      </w:tr>
      <w:tr>
        <w:trPr>
          <w:trHeight w:val="210"/>
        </w:trPr>
        <w:tc>
          <w:tcPr>
            <w:tcW w:w="8120" w:type="dxa"/>
            <w:vAlign w:val="bottom"/>
            <w:tcBorders>
              <w:top w:val="single" w:sz="8" w:color="CCEEFF"/>
            </w:tcBorders>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1,410.6</w:t>
            </w:r>
          </w:p>
        </w:tc>
        <w:tc>
          <w:tcPr>
            <w:tcW w:w="0" w:type="dxa"/>
            <w:vAlign w:val="bottom"/>
          </w:tcPr>
          <w:p>
            <w:pPr>
              <w:spacing w:after="0"/>
              <w:rPr>
                <w:sz w:val="1"/>
                <w:szCs w:val="1"/>
                <w:color w:val="auto"/>
              </w:rPr>
            </w:pP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Marketable securities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916.8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615.8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458.9</w:t>
            </w:r>
          </w:p>
        </w:tc>
        <w:tc>
          <w:tcPr>
            <w:tcW w:w="0" w:type="dxa"/>
            <w:vAlign w:val="bottom"/>
          </w:tcPr>
          <w:p>
            <w:pPr>
              <w:spacing w:after="0"/>
              <w:rPr>
                <w:sz w:val="1"/>
                <w:szCs w:val="1"/>
                <w:color w:val="auto"/>
              </w:rPr>
            </w:pP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Deferred income taxes, net</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217"/>
        </w:trPr>
        <w:tc>
          <w:tcPr>
            <w:tcW w:w="8120" w:type="dxa"/>
            <w:vAlign w:val="bottom"/>
          </w:tcPr>
          <w:p>
            <w:pPr>
              <w:ind w:left="6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2,899.8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2,671.3</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273.0</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159.2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1,473.8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1,456.2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170.1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163.5</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5,341.8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4,909.7</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30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253.3</w:t>
            </w:r>
          </w:p>
        </w:tc>
        <w:tc>
          <w:tcPr>
            <w:tcW w:w="0" w:type="dxa"/>
            <w:vAlign w:val="bottom"/>
          </w:tcPr>
          <w:p>
            <w:pPr>
              <w:spacing w:after="0"/>
              <w:rPr>
                <w:sz w:val="1"/>
                <w:szCs w:val="1"/>
                <w:color w:val="auto"/>
              </w:rPr>
            </w:pP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900.8</w:t>
            </w:r>
          </w:p>
        </w:tc>
        <w:tc>
          <w:tcPr>
            <w:tcW w:w="0" w:type="dxa"/>
            <w:vAlign w:val="bottom"/>
          </w:tcPr>
          <w:p>
            <w:pPr>
              <w:spacing w:after="0"/>
              <w:rPr>
                <w:sz w:val="1"/>
                <w:szCs w:val="1"/>
                <w:color w:val="auto"/>
              </w:rPr>
            </w:pP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Other accrued liabilities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117.3</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1,400.1</w:t>
            </w: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354.7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256.3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 term income taxes payable</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Long term deferred income taxes</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 term notes payable, net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743.1</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132.2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Preferred stock</w:t>
            </w:r>
          </w:p>
        </w:tc>
        <w:tc>
          <w:tcPr>
            <w:tcW w:w="24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Common stock and additional paid-in capital</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1,773.1</w:t>
            </w:r>
          </w:p>
        </w:tc>
        <w:tc>
          <w:tcPr>
            <w:tcW w:w="0" w:type="dxa"/>
            <w:vAlign w:val="bottom"/>
          </w:tcPr>
          <w:p>
            <w:pPr>
              <w:spacing w:after="0"/>
              <w:rPr>
                <w:sz w:val="1"/>
                <w:szCs w:val="1"/>
                <w:color w:val="auto"/>
              </w:rPr>
            </w:pP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499.4</w:t>
            </w: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1,902.1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2,219.2</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5,341.8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4,909.7</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0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Six Months Ended July 31,</w:t>
            </w: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2014</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(216.4)</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59.6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30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73.3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73.4</w:t>
            </w: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197.9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net</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Other operating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operating assets and liabilities, net of business combinations: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64.4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76.3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68.9</w:t>
            </w: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314.9</w:t>
            </w:r>
          </w:p>
        </w:tc>
      </w:tr>
      <w:tr>
        <w:trPr>
          <w:trHeight w:val="204"/>
        </w:trPr>
        <w:tc>
          <w:tcPr>
            <w:tcW w:w="880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47"/>
        </w:trPr>
        <w:tc>
          <w:tcPr>
            <w:tcW w:w="8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marketable securities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(1,314.2)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(684.2)</w:t>
            </w: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Sales of marketable securities</w:t>
            </w:r>
          </w:p>
        </w:tc>
        <w:tc>
          <w:tcPr>
            <w:tcW w:w="30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187.0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127.3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Maturities of marketable securities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541.0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407.1</w:t>
            </w: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 net of cash acquired</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(548.3)</w:t>
            </w: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Other investing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(730.4)</w:t>
            </w:r>
          </w:p>
        </w:tc>
      </w:tr>
      <w:tr>
        <w:trPr>
          <w:trHeight w:val="204"/>
        </w:trPr>
        <w:tc>
          <w:tcPr>
            <w:tcW w:w="880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47"/>
        </w:trPr>
        <w:tc>
          <w:tcPr>
            <w:tcW w:w="8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91.3</w:t>
            </w: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Repurchase and retirement of common shares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(204.3)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debt, net of discount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748.3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Other financing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(114.7)</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0.3</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(529.9)</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fiscal year</w:t>
            </w:r>
          </w:p>
        </w:tc>
        <w:tc>
          <w:tcPr>
            <w:tcW w:w="30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1,410.6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1,853.0</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1,323.1</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Basis of Presentation</w:t>
      </w:r>
    </w:p>
    <w:p>
      <w:pPr>
        <w:spacing w:after="0" w:line="225"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The accompanying unaudited Condensed Consolidated Financial Statements of Autodesk, Inc. (“Autodesk,” “we,” “us,” “our,” or the “Company”) as of July 31, 2015, and for the three and six months ended July 31, 2015 and 2014, have been prepared in accordance with U.S. generally accepted accounting principles ("GAAP") for interim financial information along with the instructions to Form 10-Q and Article 10 of Securities and Exchange Commission (“SEC”) Regulation S-X. Accordingly, they do not include all of the information and notes required by GAAP for annual financial statements. In management’s opinion, Autodesk made all adjustments (consisting of normal, recurring and non-recurring adjustments) during the quarter that were considered necessary for the fair presentation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and six months ended July 31, 2015 are not necessarily indicative of the results for the entire fiscal year ending January 31, 2016, or for any other period. There have been no material changes to Autodesk's significant accounting policies as compared to the significant accounting policies disclosed in the Annual Report on Form 10-K for the fiscal year ended January 31, 2015.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2015, filed on March 18, 2015.</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Prior Period Adjustments</w:t>
      </w:r>
    </w:p>
    <w:p>
      <w:pPr>
        <w:spacing w:after="0" w:line="225"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During the quarter ended April 30, 2015, Autodesk determined that it had not correctly accounted for certain liabilities primarily related to employee benefits and unclaimed property. Accordingly, during the six months ended July 31, 2015, we recorded $5.7 million of additional operating expenses related to prior periods.</w:t>
      </w:r>
    </w:p>
    <w:p>
      <w:pPr>
        <w:spacing w:after="0" w:line="181" w:lineRule="exact"/>
        <w:rPr>
          <w:sz w:val="20"/>
          <w:szCs w:val="20"/>
          <w:color w:val="auto"/>
        </w:rPr>
      </w:pPr>
    </w:p>
    <w:p>
      <w:pPr>
        <w:ind w:right="280" w:firstLine="405"/>
        <w:spacing w:after="0" w:line="302" w:lineRule="auto"/>
        <w:rPr>
          <w:sz w:val="20"/>
          <w:szCs w:val="20"/>
          <w:color w:val="auto"/>
        </w:rPr>
      </w:pPr>
      <w:r>
        <w:rPr>
          <w:rFonts w:ascii="Arial" w:cs="Arial" w:eastAsia="Arial" w:hAnsi="Arial"/>
          <w:sz w:val="16"/>
          <w:szCs w:val="16"/>
          <w:color w:val="auto"/>
        </w:rPr>
        <w:t xml:space="preserve">As these adjustments were related to the correction of errors, Autodesk performed the analysis required by Staff Accounting Bulletin 99, Materiality, and Staff Accounting Bulletin 108, </w:t>
      </w:r>
      <w:r>
        <w:rPr>
          <w:rFonts w:ascii="Arial" w:cs="Arial" w:eastAsia="Arial" w:hAnsi="Arial"/>
          <w:sz w:val="16"/>
          <w:szCs w:val="16"/>
          <w:i w:val="1"/>
          <w:iCs w:val="1"/>
          <w:color w:val="auto"/>
        </w:rPr>
        <w:t>Considering the Effects of Prior Year Misstatements When Quantifying Misstatements in Current Year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w:t>
      </w:r>
      <w:r>
        <w:rPr>
          <w:rFonts w:ascii="Arial" w:cs="Arial" w:eastAsia="Arial" w:hAnsi="Arial"/>
          <w:sz w:val="16"/>
          <w:szCs w:val="16"/>
          <w:color w:val="auto"/>
        </w:rPr>
        <w:t>. Based on this analysis, Autodesk concluded that the effect of the errors was not material to the financial position, results of operations or cash</w:t>
      </w:r>
      <w:r>
        <w:rPr>
          <w:rFonts w:ascii="Arial" w:cs="Arial" w:eastAsia="Arial" w:hAnsi="Arial"/>
          <w:sz w:val="16"/>
          <w:szCs w:val="16"/>
          <w:i w:val="1"/>
          <w:iCs w:val="1"/>
          <w:color w:val="auto"/>
        </w:rPr>
        <w:t xml:space="preserve"> </w:t>
      </w:r>
      <w:r>
        <w:rPr>
          <w:rFonts w:ascii="Arial" w:cs="Arial" w:eastAsia="Arial" w:hAnsi="Arial"/>
          <w:sz w:val="16"/>
          <w:szCs w:val="16"/>
          <w:color w:val="auto"/>
        </w:rPr>
        <w:t>flows of any prior fiscal year from both a quantitative and qualitative perspective and is not anticipated to be material to the full fiscal year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Recently Issued Accounting Standards</w:t>
      </w:r>
    </w:p>
    <w:p>
      <w:pPr>
        <w:spacing w:after="0" w:line="225"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With the exception of those discussed below, there have been no recent changes in accounting pronouncements issued by the Financial Accounting Standards Board (“FASB”) or adopted by the Company during the six months ended July 31, 2015, that are of significance, or potential significance, to the Company.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Standards Adopted</w:t>
      </w:r>
    </w:p>
    <w:p>
      <w:pPr>
        <w:spacing w:after="0" w:line="225"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Effective in the second quarter of fiscal 2016, Autodesk elected to early adopt FASB's Accounting Standards Update 2015-03 (“ASU 2015-03”) regarding Subtopic 835-30 “Interest - Imputation of Interest: Simplifying the Presentation of Debt Issuance Costs.” The amendments in ASU 2015-03 require that debt issuance costs related to a recognized debt liability be presented in the balance sheet as a direct deduction from the carrying amount of that debt liability, consistent with debt discounts. The standard requires retrospective application and represents a change in accounting principle. The adoption of this ASU resulted in a $4.1 million retrospective reduction of both our other assets and long term notes payable, net, as of January 31, 2015.</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In May 2015, the FASB issued Accounting Standards Update No. 2015-07 ("ASU 2015-07") regarding ASC Topic 820 "Fair Value Measurement: Disclosures for Investments in Certain Entities That Calculate Net Asset Value per Share (or Its Equivalent)." The amendments in ASU 2015-07 remove the requirement to categorize within the fair value hierarchy all investments for which fair value is measured using the net asset value per share practical expedient. The amendments also limit certain disclosures to investments for which the entity has elected to measure at fair value using the net asset value per share practical expedient. The amendments in ASU 2015-07 are effective for annual and interim periods beginning after December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ind w:right="120"/>
        <w:spacing w:after="0" w:line="264" w:lineRule="auto"/>
        <w:rPr>
          <w:sz w:val="20"/>
          <w:szCs w:val="20"/>
          <w:color w:val="auto"/>
        </w:rPr>
      </w:pPr>
      <w:r>
        <w:rPr>
          <w:rFonts w:ascii="Arial" w:cs="Arial" w:eastAsia="Arial" w:hAnsi="Arial"/>
          <w:sz w:val="18"/>
          <w:szCs w:val="18"/>
          <w:color w:val="auto"/>
        </w:rPr>
        <w:t>15, 2015. Early adoption is permitted. The amendments should be applied retrospectively by removing from the fair value hierarchy any investments for which fair value is measured using the net asset value per share practical expedient. Autodesk does not expect ASU 2015-07 to have a material impact on its consolidated financial statements.</w:t>
      </w:r>
    </w:p>
    <w:p>
      <w:pPr>
        <w:spacing w:after="0" w:line="18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April 2015, the FASB issued Accounting Standards Update No. 2015-05 ("ASU 2015-05") regarding Subtopic 350-40, “Intangibles - Goodwill and Other - Internal-Use Software: Customer's Accounting for Fees Paid in a Cloud Computing Arrangement.” The amendments in this ASU provide guidance about whether a cloud computing arrangement includes a software license. If a cloud computing arrangement includes a software license, the customer should account for the software license element of the arrangement consistent with other software licenses. If a cloud computing arrangement does not include a software license, the customer should account for the arrangement as a service contract. The amendments in ASU 2015-05 are effective for annual and interim periods beginning after December 15, 2015. Early adoption is permitted. The amendments in ASU 2015-05 may be applied either prospectively to all arrangements entered into or materially modified after the effective date or retrospectively. Autodesk does not expect ASU 2015-05 to have a material impact on its consolidated financial statements.</w:t>
      </w:r>
    </w:p>
    <w:p>
      <w:pPr>
        <w:spacing w:after="0" w:line="192"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In May 2014, the FASB issued Accounting Standards Update 2014-09 ("ASU 2014-09") regarding ASC Topic 606 “Revenue from Contracts with Customers.” ASU 2014-09 provides principles for recognizing revenue to depict the transfer of promised goods or services to customers in an amount that reflects the consideration to which the entity expects to be entitled in exchange for those goods or services. On July 7, 2015, the FASB amended ASU 2014-09 to defer the effective date by one year with early adoption permitted as of the original effective date. ASU 2014-09 will be effective for Autodesk’s fiscal year beginning February 1, 2018 unless we elect the earlier date of February 1, 2017. Autodesk is currently evaluating the accounting, transition and disclosure requirements of the standard and cannot currently estimate the financial statement impact of adoption, nor the effective date election.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Concentration of Credit Risk</w:t>
      </w:r>
    </w:p>
    <w:p>
      <w:pPr>
        <w:spacing w:after="0" w:line="225" w:lineRule="exact"/>
        <w:rPr>
          <w:sz w:val="20"/>
          <w:szCs w:val="20"/>
          <w:color w:val="auto"/>
        </w:rPr>
      </w:pPr>
    </w:p>
    <w:p>
      <w:pPr>
        <w:ind w:right="400" w:firstLine="405"/>
        <w:spacing w:after="0" w:line="259"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$400.0 million line of credit facility.</w:t>
      </w:r>
    </w:p>
    <w:p>
      <w:pPr>
        <w:spacing w:after="0" w:line="187"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Total sales to the distributor Tech Data Corporation and its global affiliates (“Tech Data”) accounted for 23% and 25% of Autodesk’s total net revenue for the three and six months ended July 31, 2015, respectively, and 26% for both the three and six months ended July 31, 2014. The majority of the net revenue from sales to Tech Data relates to Autodesk’s Platform Solutions and Emerging Business (“PSEB”) segment and is for sales made outside of the United States. In addition, Tech Data accounted for 25% and 22% of trade accounts receivable at July 31, 2015 and January 31, 2015, respectively.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4</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Financial Instruments</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July 31, 2015 and January 31, 2015:</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July 31, 2015</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2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7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7"/>
              </w:rPr>
              <w:t>losses</w:t>
            </w: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6"/>
                <w:szCs w:val="16"/>
                <w:color w:val="auto"/>
              </w:rPr>
              <w:t>Certificates of deposit</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277.3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277.3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277.3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Custody cash deposit</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6"/>
                <w:szCs w:val="16"/>
                <w:color w:val="auto"/>
              </w:rPr>
              <w:t>Commercial paper</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251.5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251.5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251.5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Corporate bonds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6"/>
                <w:szCs w:val="16"/>
                <w:color w:val="auto"/>
              </w:rPr>
              <w:t>Money market funds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402.8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402.8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402.8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Municipal bonds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available-for-sale</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620"/>
              <w:spacing w:after="0"/>
              <w:rPr>
                <w:sz w:val="20"/>
                <w:szCs w:val="20"/>
                <w:color w:val="auto"/>
              </w:rPr>
            </w:pPr>
            <w:r>
              <w:rPr>
                <w:rFonts w:ascii="Arial" w:cs="Arial" w:eastAsia="Arial" w:hAnsi="Arial"/>
                <w:sz w:val="16"/>
                <w:szCs w:val="16"/>
                <w:color w:val="auto"/>
              </w:rPr>
              <w:t>U.S. government agency bonds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Certificate of deposit</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620"/>
              <w:spacing w:after="0"/>
              <w:rPr>
                <w:sz w:val="20"/>
                <w:szCs w:val="20"/>
                <w:color w:val="auto"/>
              </w:rPr>
            </w:pPr>
            <w:r>
              <w:rPr>
                <w:rFonts w:ascii="Arial" w:cs="Arial" w:eastAsia="Arial" w:hAnsi="Arial"/>
                <w:sz w:val="16"/>
                <w:szCs w:val="16"/>
                <w:color w:val="auto"/>
              </w:rPr>
              <w:t>Commercial paper</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233.8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233.8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233.8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Corporate bonds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620"/>
              <w:spacing w:after="0"/>
              <w:rPr>
                <w:sz w:val="20"/>
                <w:szCs w:val="20"/>
                <w:color w:val="auto"/>
              </w:rPr>
            </w:pPr>
            <w:r>
              <w:rPr>
                <w:rFonts w:ascii="Arial" w:cs="Arial" w:eastAsia="Arial" w:hAnsi="Arial"/>
                <w:sz w:val="16"/>
                <w:szCs w:val="16"/>
                <w:color w:val="auto"/>
              </w:rPr>
              <w:t>Sovereign debt</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U.S. treasury bills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620"/>
              <w:spacing w:after="0"/>
              <w:rPr>
                <w:sz w:val="20"/>
                <w:szCs w:val="20"/>
                <w:color w:val="auto"/>
              </w:rPr>
            </w:pPr>
            <w:r>
              <w:rPr>
                <w:rFonts w:ascii="Arial" w:cs="Arial" w:eastAsia="Arial" w:hAnsi="Arial"/>
                <w:sz w:val="16"/>
                <w:szCs w:val="16"/>
                <w:color w:val="auto"/>
              </w:rPr>
              <w:t>Municipal bonds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trading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620"/>
              <w:spacing w:after="0"/>
              <w:rPr>
                <w:sz w:val="20"/>
                <w:szCs w:val="20"/>
                <w:color w:val="auto"/>
              </w:rPr>
            </w:pPr>
            <w:r>
              <w:rPr>
                <w:rFonts w:ascii="Arial" w:cs="Arial" w:eastAsia="Arial" w:hAnsi="Arial"/>
                <w:sz w:val="16"/>
                <w:szCs w:val="16"/>
                <w:color w:val="auto"/>
              </w:rPr>
              <w:t>Mutual funds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available-for-sale</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620"/>
              <w:spacing w:after="0"/>
              <w:rPr>
                <w:sz w:val="20"/>
                <w:szCs w:val="20"/>
                <w:color w:val="auto"/>
              </w:rPr>
            </w:pPr>
            <w:r>
              <w:rPr>
                <w:rFonts w:ascii="Arial" w:cs="Arial" w:eastAsia="Arial" w:hAnsi="Arial"/>
                <w:sz w:val="16"/>
                <w:szCs w:val="16"/>
                <w:color w:val="auto"/>
              </w:rPr>
              <w:t>Agency bond</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Corporate bonds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620"/>
              <w:spacing w:after="0"/>
              <w:rPr>
                <w:sz w:val="20"/>
                <w:szCs w:val="20"/>
                <w:color w:val="auto"/>
              </w:rPr>
            </w:pPr>
            <w:r>
              <w:rPr>
                <w:rFonts w:ascii="Arial" w:cs="Arial" w:eastAsia="Arial" w:hAnsi="Arial"/>
                <w:sz w:val="16"/>
                <w:szCs w:val="16"/>
                <w:color w:val="auto"/>
              </w:rPr>
              <w:t>Municipal bonds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U.S. government agency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620"/>
              <w:spacing w:after="0"/>
              <w:rPr>
                <w:sz w:val="20"/>
                <w:szCs w:val="20"/>
                <w:color w:val="auto"/>
              </w:rPr>
            </w:pPr>
            <w:r>
              <w:rPr>
                <w:rFonts w:ascii="Arial" w:cs="Arial" w:eastAsia="Arial" w:hAnsi="Arial"/>
                <w:sz w:val="16"/>
                <w:szCs w:val="16"/>
                <w:color w:val="auto"/>
              </w:rPr>
              <w:t>Sovereign debt</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Asset 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Convertible debt securities (2)</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contracts (3)</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44"/>
        </w:trPr>
        <w:tc>
          <w:tcPr>
            <w:tcW w:w="3900" w:type="dxa"/>
            <w:vAlign w:val="bottom"/>
          </w:tcPr>
          <w:p>
            <w:pPr>
              <w:ind w:left="62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2,449.5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2,453.9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1,499.7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949.5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Considered “available-for-sale” and 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Included in “Prepaid expenses and other current assets,” “Other assets,” or “Other accrued liabilities” in the accompanying Condensed Consolidated Balance Sheets.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84"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January 31, 2015</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3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2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Gross unrealized</w:t>
            </w:r>
          </w:p>
        </w:tc>
        <w:tc>
          <w:tcPr>
            <w:tcW w:w="12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Gross unrealized</w:t>
            </w:r>
          </w:p>
        </w:tc>
        <w:tc>
          <w:tcPr>
            <w:tcW w:w="120" w:type="dxa"/>
            <w:vAlign w:val="bottom"/>
          </w:tcPr>
          <w:p>
            <w:pPr>
              <w:spacing w:after="0"/>
              <w:rPr>
                <w:sz w:val="13"/>
                <w:szCs w:val="13"/>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3"/>
                <w:szCs w:val="13"/>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3"/>
                <w:szCs w:val="13"/>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3"/>
                <w:szCs w:val="13"/>
                <w:color w:val="auto"/>
              </w:rPr>
            </w:pPr>
          </w:p>
        </w:tc>
        <w:tc>
          <w:tcPr>
            <w:tcW w:w="7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gains</w:t>
            </w:r>
          </w:p>
        </w:tc>
        <w:tc>
          <w:tcPr>
            <w:tcW w:w="260" w:type="dxa"/>
            <w:vAlign w:val="bottom"/>
          </w:tcPr>
          <w:p>
            <w:pPr>
              <w:spacing w:after="0"/>
              <w:rPr>
                <w:sz w:val="16"/>
                <w:szCs w:val="16"/>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77"/>
              </w:rPr>
              <w:t>losses</w:t>
            </w: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Certificates of deposit</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258.6</w:t>
            </w:r>
          </w:p>
        </w:tc>
        <w:tc>
          <w:tcPr>
            <w:tcW w:w="140" w:type="dxa"/>
            <w:vAlign w:val="bottom"/>
          </w:tcPr>
          <w:p>
            <w:pPr>
              <w:spacing w:after="0"/>
              <w:rPr>
                <w:sz w:val="20"/>
                <w:szCs w:val="20"/>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258.6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258.6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Custody cash deposit</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Commercial paper</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161.0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161.0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Corporate bond</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Money market funds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127.3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127.3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Short-term available-for-sale</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Agency bond</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6"/>
                <w:szCs w:val="16"/>
                <w:color w:val="auto"/>
              </w:rPr>
              <w:t>Corporate debt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148.0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148.0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Municipal bonds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6"/>
                <w:szCs w:val="16"/>
                <w:color w:val="auto"/>
              </w:rPr>
              <w:t>Certificates of deposit</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101.9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paper</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Short-term trading securities</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Mutual funds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Long-term available-for-sale</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Agency bond</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6"/>
                <w:szCs w:val="16"/>
                <w:color w:val="auto"/>
              </w:rPr>
              <w:t>Corporate debt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199.4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199.8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199.8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Municipal bonds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6"/>
                <w:szCs w:val="16"/>
                <w:color w:val="auto"/>
              </w:rPr>
              <w:t>U.S. government agency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Convertible debt securities (2)</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Derivative contracts (3)</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1,592.6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1,609.8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Considered “available-for-sale” and 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Included in “Prepaid expenses and other current assets,” “Other assets,” or “Other accrued liabilities” in the accompanying Condensed Consolidated Balance Sheets.</w:t>
      </w:r>
    </w:p>
    <w:p>
      <w:pPr>
        <w:spacing w:after="0" w:line="214"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Marketable securities with remaining maturities of up to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60"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Autodesk applies fair value accounting for certain financial assets and liabilities, which consist of cash equivalents, marketable securities and other financial instruments,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There have been no transfers between fair value measurement levels during the three and six months ended July 31, 2015.</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022" w:right="259" w:bottom="1440" w:gutter="0" w:footer="0" w:header="0"/>
        </w:sectPr>
      </w:pPr>
    </w:p>
    <w:bookmarkStart w:id="10" w:name="page11"/>
    <w:bookmarkEnd w:id="10"/>
    <w:p>
      <w:pPr>
        <w:ind w:firstLine="405"/>
        <w:spacing w:after="0" w:line="255" w:lineRule="auto"/>
        <w:rPr>
          <w:sz w:val="20"/>
          <w:szCs w:val="20"/>
          <w:color w:val="auto"/>
        </w:rPr>
      </w:pPr>
      <w:r>
        <w:rPr>
          <w:rFonts w:ascii="Arial" w:cs="Arial" w:eastAsia="Arial" w:hAnsi="Arial"/>
          <w:sz w:val="18"/>
          <w:szCs w:val="18"/>
          <w:color w:val="auto"/>
        </w:rPr>
        <w:t>Autodesk's cash equivalents, marketable securities and financial instruments are primarily classified within Level 1 or Level 2 of the fair value hierarchy. Autodesk values its available-for-sale securities on pricing from pricing vendors, who may use quoted prices in active markets for identical assets (Level 1) or inputs other than quoted prices that are observable either directly or indirectly in determining fair value (Level 2). Autodesk's Level 2 securities are valued primarily using observable inputs other than quoted prices in active markets for identical assets and liabilities. Autodesk's Level 3 securities consist of investments held in convertible debt securities and derivative contracts which are valued using probability weighted discounted cash flow models as some of the inputs to the models are unobservable in the market.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change in Autodesk’s Level 3 items for the six months ended July 31, 2015 was as follows:</w:t>
      </w:r>
    </w:p>
    <w:p>
      <w:pPr>
        <w:spacing w:after="0" w:line="379"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13335</wp:posOffset>
            </wp:positionV>
            <wp:extent cx="25984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9"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23495</wp:posOffset>
            </wp:positionV>
            <wp:extent cx="25984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Derivative</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Convertible Debt</w:t>
            </w:r>
          </w:p>
        </w:tc>
        <w:tc>
          <w:tcPr>
            <w:tcW w:w="280" w:type="dxa"/>
            <w:vAlign w:val="bottom"/>
          </w:tcPr>
          <w:p>
            <w:pPr>
              <w:spacing w:after="0"/>
              <w:rPr>
                <w:sz w:val="14"/>
                <w:szCs w:val="14"/>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Contracts</w:t>
            </w: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31, 2015</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Purchases</w:t>
            </w:r>
          </w:p>
        </w:tc>
        <w:tc>
          <w:tcPr>
            <w:tcW w:w="20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Settlements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Gains included in earnings</w:t>
            </w:r>
          </w:p>
        </w:tc>
        <w:tc>
          <w:tcPr>
            <w:tcW w:w="20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Gains included in OCI</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44"/>
        </w:trPr>
        <w:tc>
          <w:tcPr>
            <w:tcW w:w="7440" w:type="dxa"/>
            <w:vAlign w:val="bottom"/>
          </w:tcPr>
          <w:p>
            <w:pPr>
              <w:ind w:left="40"/>
              <w:spacing w:after="0"/>
              <w:rPr>
                <w:sz w:val="20"/>
                <w:szCs w:val="20"/>
                <w:color w:val="auto"/>
              </w:rPr>
            </w:pPr>
            <w:r>
              <w:rPr>
                <w:rFonts w:ascii="Arial" w:cs="Arial" w:eastAsia="Arial" w:hAnsi="Arial"/>
                <w:sz w:val="16"/>
                <w:szCs w:val="16"/>
                <w:color w:val="auto"/>
              </w:rPr>
              <w:t>Balance at July 31, 2015</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 summarizes the estimated fair value of Autodesk's “available-for-sale securities” classified by the contractual maturity date of the security: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 2015</w:t>
            </w:r>
          </w:p>
        </w:tc>
        <w:tc>
          <w:tcPr>
            <w:tcW w:w="10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w w:val="98"/>
              </w:rPr>
              <w:t>Fair Value</w:t>
            </w: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within 1 year</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872.3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872.1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Due in 1 year through 5 years</w:t>
            </w:r>
          </w:p>
        </w:tc>
        <w:tc>
          <w:tcPr>
            <w:tcW w:w="900" w:type="dxa"/>
            <w:vAlign w:val="bottom"/>
          </w:tcPr>
          <w:p>
            <w:pPr>
              <w:spacing w:after="0"/>
              <w:rPr>
                <w:sz w:val="20"/>
                <w:szCs w:val="20"/>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565.8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566.5</w:t>
            </w:r>
          </w:p>
        </w:tc>
      </w:tr>
      <w:tr>
        <w:trPr>
          <w:trHeight w:val="33"/>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6"/>
              </w:rPr>
              <w:t>1,438.1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1,438.6</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July 31, 2015 and January 31, 2015, Autodesk did not have any securities in a continuous unrealized loss position for greater than twelve months.</w:t>
      </w:r>
    </w:p>
    <w:p>
      <w:pPr>
        <w:spacing w:after="0" w:line="24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As of July 31, 2015 and January 31, 2015, Autodesk had $71.7 million and $52.6 million, respectively, in direct investments in privately held companies accounted for under the cost method, which are periodically assessed for other-than-temporary impairment. If Autodesk determines that an other-than-temporary impairment has occurred, Autodesk writes down the investment to its fair value. Autodesk estimates fair value of its cost method investments considering available information such as pricing in recent rounds of financing, current cash positions, earnings and cash flow forecasts, recent operational performance and any other readily available market data. During the six months ended July 31, 2015, Autodesk recorded $0.2 million in other-than-temporary impairment on its privately held equity investments. During the six months ended July 31, 2014, Autodesk recorded a $3.2 million other-than-temporary impairment on its privately held equity investments.</w:t>
      </w:r>
    </w:p>
    <w:p>
      <w:pPr>
        <w:spacing w:after="0" w:line="270"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The sales or redemptions of “available-for-sale securities” during the six months ended July 31, 2015 and 2014 resulted in a loss of $0.3 million and a gain of $0.6 million, respectively. Gains and losses resulting from the sale or redemption of "available-for-sale securities" are recorded in “Interest and other expense, net” on the Company's Condensed Consolidated Statements of Operations.</w:t>
      </w:r>
    </w:p>
    <w:p>
      <w:pPr>
        <w:spacing w:after="0" w:line="181" w:lineRule="exact"/>
        <w:rPr>
          <w:sz w:val="20"/>
          <w:szCs w:val="20"/>
          <w:color w:val="auto"/>
        </w:rPr>
      </w:pPr>
    </w:p>
    <w:p>
      <w:pPr>
        <w:jc w:val="both"/>
        <w:ind w:right="140" w:firstLine="405"/>
        <w:spacing w:after="0" w:line="277" w:lineRule="auto"/>
        <w:rPr>
          <w:sz w:val="20"/>
          <w:szCs w:val="20"/>
          <w:color w:val="auto"/>
        </w:rPr>
      </w:pPr>
      <w:r>
        <w:rPr>
          <w:rFonts w:ascii="Arial" w:cs="Arial" w:eastAsia="Arial" w:hAnsi="Arial"/>
          <w:sz w:val="18"/>
          <w:szCs w:val="18"/>
          <w:color w:val="auto"/>
        </w:rPr>
        <w:t>Proceeds from the sale and maturity of marketable securities for the six months ended July 31, 2015 and 2014 were $728.0 million and $534.4 million,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Under its risk management strategy, Autodesk uses derivative instruments to manage its short-term exposures to fluctuations in foreign currency exchange rates which exist as part of ongoing business operations. Autodesk's general practice is to hedge a portion of transaction exposures denominated in euros, Japanese yen, Swiss francs, British pounds, Canadian dollars and Australian dollars. These instruments have maturities between one and twelve months in the future. Autodesk does not enter into derivative instrument transactions for trading or speculative purposes.</w:t>
      </w:r>
    </w:p>
    <w:p>
      <w:pPr>
        <w:spacing w:after="0" w:line="171"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Foreign currency contracts designated as cash flow hedges</w:t>
      </w:r>
    </w:p>
    <w:p>
      <w:pPr>
        <w:spacing w:after="0" w:line="229"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Autodesk uses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loss” to “Interest and other expense, net” in the Company's Condensed Consolidated Financial Statements at that time.</w:t>
      </w:r>
    </w:p>
    <w:p>
      <w:pPr>
        <w:spacing w:after="0" w:line="179"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net notional amounts of these contracts are presented net settled and were $373.6 million at July 31, 2015 and $336.6 million at January 31, 2015. Outstanding contracts are recognized as either assets or liabilities on the balance sheet at fair value. The majority of the net gain of $32.7 million remaining in “Accumulated other comprehensive loss” as of July 31, 2015 is expected to be recognized into earnings within the next twelve months.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29"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Autodesk uses foreign currency contracts that are not designated as hedging instruments to reduce the exchange rate risk associated primarily with foreign currency denominated receivables and payables. These forward contracts are marked-to-market at the end of each fiscal quarter with gains and losses recognized as “Interest and other expense,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net notional amounts of these foreign currency contracts are presented net settled and were $1.6 million at July 31, 2015 and $44.6 million at January 31, 2015.</w:t>
      </w:r>
    </w:p>
    <w:p>
      <w:pPr>
        <w:spacing w:after="0" w:line="178"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“Other assets.” Changes in the fair values of these instruments are recognized in income as “Interest and other expense, net.”</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584" w:right="279" w:bottom="1440" w:gutter="0" w:footer="0" w:header="0"/>
        </w:sectPr>
      </w:pPr>
    </w:p>
    <w:bookmarkStart w:id="12" w:name="page13"/>
    <w:bookmarkEnd w:id="12"/>
    <w:p>
      <w:pPr>
        <w:ind w:left="26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fair values of derivative instruments in Autodesk’s Condensed Consolidated Balance Sheets were as follows as of July 31, 2015 and January 31, 2015:</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264"/>
        </w:trPr>
        <w:tc>
          <w:tcPr>
            <w:tcW w:w="5940" w:type="dxa"/>
            <w:vAlign w:val="bottom"/>
          </w:tcPr>
          <w:p>
            <w:pPr>
              <w:spacing w:after="0"/>
              <w:rPr>
                <w:sz w:val="22"/>
                <w:szCs w:val="22"/>
                <w:color w:val="auto"/>
              </w:rPr>
            </w:pPr>
          </w:p>
        </w:tc>
        <w:tc>
          <w:tcPr>
            <w:tcW w:w="2640" w:type="dxa"/>
            <w:vAlign w:val="bottom"/>
            <w:gridSpan w:val="2"/>
          </w:tcPr>
          <w:p>
            <w:pPr>
              <w:ind w:left="540"/>
              <w:spacing w:after="0"/>
              <w:rPr>
                <w:sz w:val="20"/>
                <w:szCs w:val="20"/>
                <w:color w:val="auto"/>
              </w:rPr>
            </w:pPr>
            <w:r>
              <w:rPr>
                <w:rFonts w:ascii="Arial" w:cs="Arial" w:eastAsia="Arial" w:hAnsi="Arial"/>
                <w:sz w:val="14"/>
                <w:szCs w:val="14"/>
                <w:b w:val="1"/>
                <w:bCs w:val="1"/>
                <w:color w:val="auto"/>
              </w:rPr>
              <w:t>Balance Sheet Location</w:t>
            </w:r>
          </w:p>
        </w:tc>
        <w:tc>
          <w:tcPr>
            <w:tcW w:w="160" w:type="dxa"/>
            <w:vAlign w:val="bottom"/>
          </w:tcPr>
          <w:p>
            <w:pPr>
              <w:spacing w:after="0"/>
              <w:rPr>
                <w:sz w:val="22"/>
                <w:szCs w:val="22"/>
                <w:color w:val="auto"/>
              </w:rPr>
            </w:pPr>
          </w:p>
        </w:tc>
        <w:tc>
          <w:tcPr>
            <w:tcW w:w="1100" w:type="dxa"/>
            <w:vAlign w:val="bottom"/>
          </w:tcPr>
          <w:p>
            <w:pPr>
              <w:jc w:val="right"/>
              <w:ind w:right="161"/>
              <w:spacing w:after="0"/>
              <w:rPr>
                <w:sz w:val="20"/>
                <w:szCs w:val="20"/>
                <w:color w:val="auto"/>
              </w:rPr>
            </w:pPr>
            <w:r>
              <w:rPr>
                <w:rFonts w:ascii="Arial" w:cs="Arial" w:eastAsia="Arial" w:hAnsi="Arial"/>
                <w:sz w:val="14"/>
                <w:szCs w:val="14"/>
                <w:b w:val="1"/>
                <w:bCs w:val="1"/>
                <w:color w:val="auto"/>
                <w:w w:val="97"/>
              </w:rPr>
              <w:t>July 31, 2015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2015</w:t>
            </w:r>
          </w:p>
        </w:tc>
        <w:tc>
          <w:tcPr>
            <w:tcW w:w="0" w:type="dxa"/>
            <w:vAlign w:val="bottom"/>
          </w:tcPr>
          <w:p>
            <w:pPr>
              <w:spacing w:after="0"/>
              <w:rPr>
                <w:sz w:val="1"/>
                <w:szCs w:val="1"/>
                <w:color w:val="auto"/>
              </w:rPr>
            </w:pPr>
          </w:p>
        </w:tc>
      </w:tr>
      <w:tr>
        <w:trPr>
          <w:trHeight w:val="250"/>
        </w:trPr>
        <w:tc>
          <w:tcPr>
            <w:tcW w:w="5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Assets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940" w:type="dxa"/>
            <w:vAlign w:val="bottom"/>
          </w:tcPr>
          <w:p>
            <w:pPr>
              <w:ind w:left="360"/>
              <w:spacing w:after="0"/>
              <w:rPr>
                <w:sz w:val="20"/>
                <w:szCs w:val="20"/>
                <w:color w:val="auto"/>
              </w:rPr>
            </w:pPr>
            <w:r>
              <w:rPr>
                <w:rFonts w:ascii="Arial" w:cs="Arial" w:eastAsia="Arial" w:hAnsi="Arial"/>
                <w:sz w:val="16"/>
                <w:szCs w:val="16"/>
                <w:color w:val="auto"/>
              </w:rPr>
              <w:t>Foreign currency contracts designated as cash flow hedges</w:t>
            </w:r>
          </w:p>
        </w:tc>
        <w:tc>
          <w:tcPr>
            <w:tcW w:w="2640" w:type="dxa"/>
            <w:vAlign w:val="bottom"/>
            <w:gridSpan w:val="2"/>
          </w:tcPr>
          <w:p>
            <w:pPr>
              <w:ind w:left="20"/>
              <w:spacing w:after="0"/>
              <w:rPr>
                <w:sz w:val="20"/>
                <w:szCs w:val="20"/>
                <w:color w:val="auto"/>
              </w:rPr>
            </w:pPr>
            <w:r>
              <w:rPr>
                <w:rFonts w:ascii="Arial" w:cs="Arial" w:eastAsia="Arial" w:hAnsi="Arial"/>
                <w:sz w:val="16"/>
                <w:szCs w:val="16"/>
                <w:color w:val="auto"/>
              </w:rPr>
              <w:t>Prepaid expenses and other current</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940" w:type="dxa"/>
            <w:vAlign w:val="bottom"/>
          </w:tcPr>
          <w:p>
            <w:pPr>
              <w:spacing w:after="0"/>
              <w:rPr>
                <w:sz w:val="17"/>
                <w:szCs w:val="17"/>
                <w:color w:val="auto"/>
              </w:rPr>
            </w:pPr>
          </w:p>
        </w:tc>
        <w:tc>
          <w:tcPr>
            <w:tcW w:w="2640" w:type="dxa"/>
            <w:vAlign w:val="bottom"/>
            <w:gridSpan w:val="2"/>
          </w:tcPr>
          <w:p>
            <w:pPr>
              <w:ind w:left="180"/>
              <w:spacing w:after="0"/>
              <w:rPr>
                <w:sz w:val="20"/>
                <w:szCs w:val="20"/>
                <w:color w:val="auto"/>
              </w:rPr>
            </w:pPr>
            <w:r>
              <w:rPr>
                <w:rFonts w:ascii="Arial" w:cs="Arial" w:eastAsia="Arial" w:hAnsi="Arial"/>
                <w:sz w:val="16"/>
                <w:szCs w:val="16"/>
                <w:color w:val="auto"/>
              </w:rPr>
              <w:t>assets (1)</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5.0</w:t>
            </w:r>
          </w:p>
        </w:tc>
        <w:tc>
          <w:tcPr>
            <w:tcW w:w="26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9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assets and Other assets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84"/>
        </w:trPr>
        <w:tc>
          <w:tcPr>
            <w:tcW w:w="594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derivative assets</w:t>
            </w:r>
          </w:p>
        </w:tc>
        <w:tc>
          <w:tcPr>
            <w:tcW w:w="25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37"/>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Liabilities</w:t>
            </w:r>
          </w:p>
        </w:tc>
        <w:tc>
          <w:tcPr>
            <w:tcW w:w="2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380"/>
              <w:spacing w:after="0"/>
              <w:rPr>
                <w:sz w:val="20"/>
                <w:szCs w:val="20"/>
                <w:color w:val="auto"/>
              </w:rPr>
            </w:pPr>
            <w:r>
              <w:rPr>
                <w:rFonts w:ascii="Arial" w:cs="Arial" w:eastAsia="Arial" w:hAnsi="Arial"/>
                <w:sz w:val="16"/>
                <w:szCs w:val="16"/>
                <w:color w:val="auto"/>
              </w:rPr>
              <w:t>Foreign currency contracts designated as cash flow hedges</w:t>
            </w:r>
          </w:p>
        </w:tc>
        <w:tc>
          <w:tcPr>
            <w:tcW w:w="2640" w:type="dxa"/>
            <w:vAlign w:val="bottom"/>
            <w:gridSpan w:val="2"/>
          </w:tcPr>
          <w:p>
            <w:pPr>
              <w:ind w:left="20"/>
              <w:spacing w:after="0"/>
              <w:rPr>
                <w:sz w:val="20"/>
                <w:szCs w:val="20"/>
                <w:color w:val="auto"/>
              </w:rPr>
            </w:pPr>
            <w:r>
              <w:rPr>
                <w:rFonts w:ascii="Arial" w:cs="Arial" w:eastAsia="Arial" w:hAnsi="Arial"/>
                <w:sz w:val="16"/>
                <w:szCs w:val="16"/>
                <w:color w:val="auto"/>
              </w:rPr>
              <w:t>Other accrued liabilities (2)</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2.9</w:t>
            </w:r>
          </w:p>
        </w:tc>
        <w:tc>
          <w:tcPr>
            <w:tcW w:w="26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5940" w:type="dxa"/>
            <w:vAlign w:val="bottom"/>
          </w:tcPr>
          <w:p>
            <w:pPr>
              <w:ind w:left="720"/>
              <w:spacing w:after="0"/>
              <w:rPr>
                <w:sz w:val="20"/>
                <w:szCs w:val="20"/>
                <w:color w:val="auto"/>
              </w:rPr>
            </w:pPr>
            <w:r>
              <w:rPr>
                <w:rFonts w:ascii="Arial" w:cs="Arial" w:eastAsia="Arial" w:hAnsi="Arial"/>
                <w:sz w:val="16"/>
                <w:szCs w:val="16"/>
                <w:color w:val="auto"/>
              </w:rPr>
              <w:t>Total derivative liabilities</w:t>
            </w:r>
          </w:p>
        </w:tc>
        <w:tc>
          <w:tcPr>
            <w:tcW w:w="2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vMerge w:val="continue"/>
          </w:tcPr>
          <w:p>
            <w:pPr>
              <w:spacing w:after="0"/>
              <w:rPr>
                <w:sz w:val="17"/>
                <w:szCs w:val="17"/>
                <w:color w:val="auto"/>
              </w:rPr>
            </w:pPr>
          </w:p>
        </w:tc>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80" w:hanging="412"/>
        <w:spacing w:after="0" w:line="251"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Considering Autodesk's master netting arrangements, these contracts are presented net settled. The gross balance is $8.8 million and $23.8 million at July 31, 2015 and January 31, 2015, respectively.</w:t>
      </w:r>
    </w:p>
    <w:p>
      <w:pPr>
        <w:ind w:left="420" w:right="260" w:hanging="412"/>
        <w:spacing w:after="0" w:line="276"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6"/>
          <w:szCs w:val="16"/>
          <w:color w:val="auto"/>
        </w:rPr>
        <w:t>Considering Autodesk's master netting arrangements, these contracts are presented net settled. The gross balance is $6.8 million and $8.7 million at July 31, 2015 and January 31, 2015, respectively.</w:t>
      </w:r>
    </w:p>
    <w:p>
      <w:pPr>
        <w:spacing w:after="0" w:line="17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Condensed Consolidated Statements of Operations were as follows for the three and six months ended July 31, 2015 and 2014 (amounts presented include any income tax effects):</w:t>
      </w:r>
    </w:p>
    <w:p>
      <w:pPr>
        <w:spacing w:after="0" w:line="324"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Foreign Currency</w:t>
      </w:r>
    </w:p>
    <w:p>
      <w:pPr>
        <w:spacing w:after="0" w:line="4"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13335</wp:posOffset>
            </wp:positionV>
            <wp:extent cx="22383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86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5"/>
              </w:rPr>
              <w:t>Three Months Ended July</w:t>
            </w:r>
          </w:p>
        </w:tc>
        <w:tc>
          <w:tcPr>
            <w:tcW w:w="120" w:type="dxa"/>
            <w:vAlign w:val="bottom"/>
          </w:tcPr>
          <w:p>
            <w:pPr>
              <w:spacing w:after="0"/>
              <w:rPr>
                <w:sz w:val="14"/>
                <w:szCs w:val="14"/>
                <w:color w:val="auto"/>
              </w:rPr>
            </w:pPr>
          </w:p>
        </w:tc>
        <w:tc>
          <w:tcPr>
            <w:tcW w:w="154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92"/>
              </w:rPr>
              <w:t>Six Months Ended July</w:t>
            </w: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7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2"/>
              </w:rPr>
              <w:t>31,</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2"/>
              </w:rPr>
              <w:t>31,</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60" w:type="dxa"/>
            <w:vAlign w:val="bottom"/>
            <w:tcBorders>
              <w:bottom w:val="single" w:sz="8" w:color="CCEEFF"/>
            </w:tcBorders>
          </w:tcPr>
          <w:p>
            <w:pPr>
              <w:spacing w:after="0"/>
              <w:rPr>
                <w:sz w:val="22"/>
                <w:szCs w:val="22"/>
                <w:color w:val="auto"/>
              </w:rPr>
            </w:pPr>
          </w:p>
        </w:tc>
        <w:tc>
          <w:tcPr>
            <w:tcW w:w="7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5"/>
        </w:trPr>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w w:val="87"/>
                <w:shd w:val="clear" w:color="auto" w:fill="CCEEFF"/>
              </w:rPr>
              <w:t>Amount o</w:t>
            </w:r>
          </w:p>
        </w:tc>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i w:val="1"/>
                <w:iCs w:val="1"/>
                <w:color w:val="auto"/>
              </w:rPr>
              <w:t xml:space="preserve">f gain recognized </w:t>
            </w:r>
            <w:r>
              <w:rPr>
                <w:rFonts w:ascii="Arial" w:cs="Arial" w:eastAsia="Arial" w:hAnsi="Arial"/>
                <w:sz w:val="16"/>
                <w:szCs w:val="16"/>
                <w:i w:val="1"/>
                <w:iCs w:val="1"/>
                <w:color w:val="auto"/>
                <w:shd w:val="clear" w:color="auto" w:fill="CCEEFF"/>
              </w:rPr>
              <w:t>in accumulated other comprehensive income on derivatives (effective portion)</w:t>
            </w: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3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6.7</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i w:val="1"/>
                <w:iCs w:val="1"/>
                <w:color w:val="auto"/>
                <w:w w:val="94"/>
              </w:rPr>
              <w:t>Amount and location of gain (loss) reclassified from accumulated other comprehensive income into income (effective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880" w:type="dxa"/>
            <w:vAlign w:val="bottom"/>
            <w:gridSpan w:val="2"/>
          </w:tcPr>
          <w:p>
            <w:pPr>
              <w:ind w:left="200"/>
              <w:spacing w:after="0"/>
              <w:rPr>
                <w:sz w:val="20"/>
                <w:szCs w:val="20"/>
                <w:color w:val="auto"/>
              </w:rPr>
            </w:pPr>
            <w:r>
              <w:rPr>
                <w:rFonts w:ascii="Arial" w:cs="Arial" w:eastAsia="Arial" w:hAnsi="Arial"/>
                <w:sz w:val="16"/>
                <w:szCs w:val="16"/>
                <w:i w:val="1"/>
                <w:iCs w:val="1"/>
                <w:color w:val="auto"/>
              </w:rPr>
              <w:t>portion)</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Net revenue</w:t>
            </w: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3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22.3</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7"/>
        </w:trPr>
        <w:tc>
          <w:tcPr>
            <w:tcW w:w="7880" w:type="dxa"/>
            <w:vAlign w:val="bottom"/>
            <w:gridSpan w:val="2"/>
          </w:tcPr>
          <w:p>
            <w:pPr>
              <w:ind w:left="38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3"/>
        </w:trPr>
        <w:tc>
          <w:tcPr>
            <w:tcW w:w="660" w:type="dxa"/>
            <w:vAlign w:val="bottom"/>
            <w:tcBorders>
              <w:bottom w:val="single" w:sz="8" w:color="CCEEFF"/>
            </w:tcBorders>
          </w:tcPr>
          <w:p>
            <w:pPr>
              <w:spacing w:after="0"/>
              <w:rPr>
                <w:sz w:val="2"/>
                <w:szCs w:val="2"/>
                <w:color w:val="auto"/>
              </w:rPr>
            </w:pPr>
          </w:p>
        </w:tc>
        <w:tc>
          <w:tcPr>
            <w:tcW w:w="7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shd w:val="clear" w:color="auto" w:fill="CCEEFF"/>
          </w:tcPr>
          <w:p>
            <w:pPr>
              <w:spacing w:after="0"/>
              <w:rPr>
                <w:sz w:val="21"/>
                <w:szCs w:val="21"/>
                <w:color w:val="auto"/>
              </w:rPr>
            </w:pPr>
          </w:p>
        </w:tc>
        <w:tc>
          <w:tcPr>
            <w:tcW w:w="7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3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16.8</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i w:val="1"/>
                <w:iCs w:val="1"/>
                <w:color w:val="auto"/>
                <w:w w:val="94"/>
              </w:rPr>
              <w:t>Amount and location of (loss) gain recognized in income on derivatives (ineffective portion and amount excluded from</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880" w:type="dxa"/>
            <w:vAlign w:val="bottom"/>
            <w:gridSpan w:val="2"/>
          </w:tcPr>
          <w:p>
            <w:pPr>
              <w:ind w:left="200"/>
              <w:spacing w:after="0"/>
              <w:rPr>
                <w:sz w:val="20"/>
                <w:szCs w:val="20"/>
                <w:color w:val="auto"/>
              </w:rPr>
            </w:pPr>
            <w:r>
              <w:rPr>
                <w:rFonts w:ascii="Arial" w:cs="Arial" w:eastAsia="Arial" w:hAnsi="Arial"/>
                <w:sz w:val="16"/>
                <w:szCs w:val="16"/>
                <w:i w:val="1"/>
                <w:iCs w:val="1"/>
                <w:color w:val="auto"/>
              </w:rPr>
              <w:t>effectiveness testing)</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Interest and other expense, net</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3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7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effects of derivatives not designated as hedging instruments on Autodesk’s Condensed Consolidated Statements of Operations were as follows for the three and six months ended July 31, 2015 and 2014 (amounts presented include any income tax effects):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84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7"/>
              </w:rPr>
              <w:t>Three Months Ended July</w:t>
            </w:r>
          </w:p>
        </w:tc>
        <w:tc>
          <w:tcPr>
            <w:tcW w:w="120" w:type="dxa"/>
            <w:vAlign w:val="bottom"/>
          </w:tcPr>
          <w:p>
            <w:pPr>
              <w:spacing w:after="0"/>
              <w:rPr>
                <w:sz w:val="14"/>
                <w:szCs w:val="14"/>
                <w:color w:val="auto"/>
              </w:rPr>
            </w:pPr>
          </w:p>
        </w:tc>
        <w:tc>
          <w:tcPr>
            <w:tcW w:w="15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Six Months Ended July</w:t>
            </w:r>
          </w:p>
        </w:tc>
      </w:t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4"/>
                <w:szCs w:val="14"/>
                <w:b w:val="1"/>
                <w:bCs w:val="1"/>
                <w:color w:val="auto"/>
              </w:rPr>
              <w:t>31,</w:t>
            </w:r>
          </w:p>
        </w:tc>
      </w:tr>
      <w:tr>
        <w:trPr>
          <w:trHeight w:val="264"/>
        </w:trPr>
        <w:tc>
          <w:tcPr>
            <w:tcW w:w="7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ind w:right="103"/>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18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ind w:right="105"/>
              <w:spacing w:after="0"/>
              <w:rPr>
                <w:sz w:val="20"/>
                <w:szCs w:val="20"/>
                <w:color w:val="auto"/>
              </w:rPr>
            </w:pPr>
            <w:r>
              <w:rPr>
                <w:rFonts w:ascii="Arial" w:cs="Arial" w:eastAsia="Arial" w:hAnsi="Arial"/>
                <w:sz w:val="14"/>
                <w:szCs w:val="14"/>
                <w:b w:val="1"/>
                <w:bCs w:val="1"/>
                <w:color w:val="auto"/>
              </w:rPr>
              <w:t>2015</w:t>
            </w:r>
          </w:p>
        </w:tc>
        <w:tc>
          <w:tcPr>
            <w:tcW w:w="9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2014</w:t>
            </w:r>
          </w:p>
        </w:tc>
      </w:tr>
      <w:tr>
        <w:trPr>
          <w:trHeight w:val="250"/>
        </w:trPr>
        <w:tc>
          <w:tcPr>
            <w:tcW w:w="7900" w:type="dxa"/>
            <w:vAlign w:val="bottom"/>
            <w:tcBorders>
              <w:top w:val="single" w:sz="8" w:color="CCEEFF"/>
              <w:bottom w:val="single" w:sz="8" w:color="CCEEFF"/>
            </w:tcBorders>
            <w:shd w:val="clear" w:color="auto" w:fill="CCEEFF"/>
          </w:tcPr>
          <w:p>
            <w:pPr>
              <w:jc w:val="right"/>
              <w:ind w:right="2916"/>
              <w:spacing w:after="0"/>
              <w:rPr>
                <w:sz w:val="20"/>
                <w:szCs w:val="20"/>
                <w:color w:val="auto"/>
              </w:rPr>
            </w:pPr>
            <w:r>
              <w:rPr>
                <w:rFonts w:ascii="Arial" w:cs="Arial" w:eastAsia="Arial" w:hAnsi="Arial"/>
                <w:sz w:val="16"/>
                <w:szCs w:val="16"/>
                <w:i w:val="1"/>
                <w:iCs w:val="1"/>
                <w:color w:val="auto"/>
                <w:w w:val="93"/>
              </w:rPr>
              <w:t>Amount and location of gain (loss) recognized in income on derivatives (1)</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jc w:val="right"/>
              <w:ind w:right="5456"/>
              <w:spacing w:after="0"/>
              <w:rPr>
                <w:sz w:val="20"/>
                <w:szCs w:val="20"/>
                <w:color w:val="auto"/>
              </w:rPr>
            </w:pPr>
            <w:r>
              <w:rPr>
                <w:rFonts w:ascii="Arial" w:cs="Arial" w:eastAsia="Arial" w:hAnsi="Arial"/>
                <w:sz w:val="16"/>
                <w:szCs w:val="16"/>
                <w:color w:val="auto"/>
              </w:rPr>
              <w:t>Interest and other expense, net</w:t>
            </w: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2.1</w:t>
            </w:r>
          </w:p>
        </w:tc>
        <w:tc>
          <w:tcPr>
            <w:tcW w:w="3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0.7</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   (10.6)</w:t>
            </w:r>
          </w:p>
        </w:tc>
      </w:tr>
      <w:tr>
        <w:trPr>
          <w:trHeight w:val="249"/>
        </w:trPr>
        <w:tc>
          <w:tcPr>
            <w:tcW w:w="7900" w:type="dxa"/>
            <w:vAlign w:val="bottom"/>
          </w:tcPr>
          <w:p>
            <w:pPr>
              <w:jc w:val="right"/>
              <w:ind w:right="6016"/>
              <w:spacing w:after="0"/>
              <w:rPr>
                <w:sz w:val="20"/>
                <w:szCs w:val="20"/>
                <w:color w:val="auto"/>
              </w:rPr>
            </w:pPr>
            <w:r>
              <w:rPr>
                <w:rFonts w:ascii="Arial" w:cs="Arial" w:eastAsia="Arial" w:hAnsi="Arial"/>
                <w:sz w:val="18"/>
                <w:szCs w:val="18"/>
                <w:color w:val="auto"/>
                <w:w w:val="88"/>
              </w:rPr>
              <w:t>____________________</w:t>
            </w: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bl>
    <w:p>
      <w:pPr>
        <w:ind w:left="420" w:hanging="412"/>
        <w:spacing w:after="0"/>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Prior period balances have been adjusted to conform to current period presentation.</w:t>
      </w:r>
    </w:p>
    <w:p>
      <w:pPr>
        <w:spacing w:after="0" w:line="233"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3" w:name="page14"/>
    <w:bookmarkEnd w:id="13"/>
    <w:p>
      <w:pPr>
        <w:ind w:left="220" w:right="8560" w:hanging="212"/>
        <w:spacing w:after="0" w:line="501" w:lineRule="auto"/>
        <w:tabs>
          <w:tab w:leader="none" w:pos="184"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Stock-based Compensation Expense </w:t>
      </w:r>
      <w:r>
        <w:rPr>
          <w:rFonts w:ascii="Arial" w:cs="Arial" w:eastAsia="Arial" w:hAnsi="Arial"/>
          <w:sz w:val="18"/>
          <w:szCs w:val="18"/>
          <w:i w:val="1"/>
          <w:iCs w:val="1"/>
          <w:color w:val="auto"/>
        </w:rPr>
        <w:t>Stock Plans</w:t>
      </w:r>
    </w:p>
    <w:p>
      <w:pPr>
        <w:ind w:firstLine="432"/>
        <w:spacing w:after="0" w:line="302" w:lineRule="auto"/>
        <w:rPr>
          <w:sz w:val="20"/>
          <w:szCs w:val="20"/>
          <w:color w:val="auto"/>
        </w:rPr>
      </w:pPr>
      <w:r>
        <w:rPr>
          <w:rFonts w:ascii="Arial" w:cs="Arial" w:eastAsia="Arial" w:hAnsi="Arial"/>
          <w:sz w:val="16"/>
          <w:szCs w:val="16"/>
          <w:color w:val="auto"/>
        </w:rPr>
        <w:t>As of July 31, 2015, Autodesk maintained two active stock plans for the purpose of granting equity awards to employees and to non-employee members of Autodesk’s Board of Directors: the 2012 Employee Stock Plan (“2012 Employee Plan”), which is available only to employees, and the Autodesk 2012 Outside Directors’ Plan (“2012 Directors' Plan”), which is available only to non-employee directors. Additionally, there are two expired or terminated plans with options outstanding. The exercise price of all stock options granted under these plans was equal to the fair market value of the stock on the grant date.</w:t>
      </w:r>
    </w:p>
    <w:p>
      <w:pPr>
        <w:spacing w:after="0" w:line="154"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The 2012 Employee Plan was approved by Autodesk's stockholders and became effective on January 6, 2012. On June 10, 2015, Autodesk's stockholders approved an amendment to the 2012 Employee Plan, which increased the number of shares reserved for issuance under the plan by 12.5 million shares. The 2012 Employee Plan replaced the 2008 Employee Stock Plan, as amended ("2008 Plan"), and no further equity awards may be granted under the 2008 Plan. The 2012 Employee Plan reserves up to 45.1 million shares, which includes 39.1 million shares reserved under the 2012 Employee Plan, as well as up to 6.0 million shares forfeited under certain prior employee stock plans during the life of the 2012 Employee Plan. The 2012 Employee Plan permits the grant of stock options, restricted stock units and restricted stock awards. Each restricted stock unit or restricted stock award granted will be counted against the shares authorized for issuance under the 2012 Employee Plan as 1.79 shares. If a granted option, restricted stock unit or restricted stock award expires or becomes unexercisable for any reason, the unpurchased or forfeited shares that were granted may be returned to the 2012 Employee Plan and may become available for future grant under the 2012 Employee Plan. As of July 31, 2015, 23.9 million shares subject to options or restricted stock unit awards have been granted under the 2012 Employee Plan. Options and restricted stock units that were granted under the 2012 Employee Plan vest over periods ranging from immediately upon grant to over a three-year period and options expire 10 years from the date of grant. The 2012 Employee Plan will expire on June 30, 2022. At July 31, 2015, 23.3 million shares were available for future issuance under the 2012 Employee Plan.</w:t>
      </w:r>
    </w:p>
    <w:p>
      <w:pPr>
        <w:spacing w:after="0" w:line="169"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2012 Directors' Plan was approved by Autodesk's stockholders and became effective on January 6, 2012. The 2012 Directors' Plan replaced the 2010 Outside Directors' Stock Plan, as amended. The 2012 Directors' Plan permits the grant of stock options, restricted stock units and restricted stock awards to non-employee members of Autodesk’s Board of Directors. Each restricted stock unit or restricted stock award granted will be counted against the shares authorized for issuance under the 2012 Directors' Plan as 2.11 shares. As of July 31, 2015, 0.7 million shares subject to restricted stock units have been granted under the 2012 Directors' Plan. Restricted stock units that were granted under the 2012 Directors' Plan vest over one to three years from the date of grant. On March 12, 2015, the Board reduced the number of shares reserved for issuance under the 2012 Directors' Plan by 0.9 million shares, so that 1.7 million shares are now reserved for issuance under the 2012 Directors' Plan. The 2012 Directors' Plan will expire on June 30, 2022. At July 31, 2015, 1.1 million shares were available for future issuance under the 2012 Directors' Plan.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73" w:right="239" w:bottom="1440" w:gutter="0" w:footer="0" w:header="0"/>
        </w:sectPr>
      </w:pPr>
    </w:p>
    <w:bookmarkStart w:id="14" w:name="page15"/>
    <w:bookmarkEnd w:id="14"/>
    <w:p>
      <w:pPr>
        <w:ind w:left="440"/>
        <w:spacing w:after="0"/>
        <w:rPr>
          <w:sz w:val="20"/>
          <w:szCs w:val="20"/>
          <w:color w:val="auto"/>
        </w:rPr>
      </w:pPr>
      <w:r>
        <w:rPr>
          <w:rFonts w:ascii="Arial" w:cs="Arial" w:eastAsia="Arial" w:hAnsi="Arial"/>
          <w:sz w:val="18"/>
          <w:szCs w:val="18"/>
          <w:color w:val="auto"/>
        </w:rPr>
        <w:t>The following sections summarize activity under Autodesk’s stock plans.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stock option activity for the six months ended July 31, 2015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Weighted average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90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average remaining</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6"/>
                <w:szCs w:val="16"/>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exercise price per share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21"/>
                <w:szCs w:val="21"/>
                <w:color w:val="auto"/>
              </w:rPr>
            </w:pPr>
          </w:p>
        </w:tc>
        <w:tc>
          <w:tcPr>
            <w:tcW w:w="900" w:type="dxa"/>
            <w:vAlign w:val="bottom"/>
          </w:tcPr>
          <w:p>
            <w:pPr>
              <w:jc w:val="center"/>
              <w:ind w:right="44"/>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January 31, 2015</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34.46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Granted (1)</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32.53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Canceled/Forfeited</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July 31, 2015</w:t>
            </w:r>
          </w:p>
        </w:tc>
        <w:tc>
          <w:tcPr>
            <w:tcW w:w="10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2.1</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35.07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color w:val="auto"/>
              </w:rPr>
              <w:t>Options vested and exercisable at July 31, 2015</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60" w:type="dxa"/>
            <w:vAlign w:val="bottom"/>
            <w:tcBorders>
              <w:bottom w:val="single" w:sz="8" w:color="CCEEFF"/>
            </w:tcBorders>
            <w:vMerge w:val="continue"/>
          </w:tcPr>
          <w:p>
            <w:pPr>
              <w:spacing w:after="0"/>
              <w:rPr>
                <w:sz w:val="24"/>
                <w:szCs w:val="24"/>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2.1</w:t>
            </w:r>
          </w:p>
        </w:tc>
        <w:tc>
          <w:tcPr>
            <w:tcW w:w="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35.10</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tcPr>
          <w:p>
            <w:pPr>
              <w:jc w:val="right"/>
              <w:ind w:right="24"/>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available for grant at July 31, 2015</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Autodesk did not grant stock options in the six months ended July 31, 2015.</w:t>
      </w:r>
    </w:p>
    <w:p>
      <w:pPr>
        <w:spacing w:after="0" w:line="9" w:lineRule="exact"/>
        <w:rPr>
          <w:rFonts w:ascii="Arial" w:cs="Arial" w:eastAsia="Arial" w:hAnsi="Arial"/>
          <w:sz w:val="16"/>
          <w:szCs w:val="16"/>
          <w:color w:val="auto"/>
        </w:rPr>
      </w:pPr>
    </w:p>
    <w:p>
      <w:pPr>
        <w:ind w:left="420" w:right="380" w:hanging="412"/>
        <w:spacing w:after="0" w:line="257"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$50.58 per share as of July 31, 2015, which would have been received by the option holders had all option holders exercised their options as of that date.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July 31, 2015, compensation cost related to stock options has been fully recognized.</w:t>
      </w:r>
    </w:p>
    <w:p>
      <w:pPr>
        <w:spacing w:after="0" w:line="22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following table summarizes information about the pre-tax intrinsic value of options exercised and the weighted average grant date fair value per share of options granted during the three and six months ended July 31, 2015 and 2014:</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84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3"/>
              </w:rPr>
              <w:t>Three Months Ended July</w:t>
            </w:r>
          </w:p>
        </w:tc>
        <w:tc>
          <w:tcPr>
            <w:tcW w:w="120" w:type="dxa"/>
            <w:vAlign w:val="bottom"/>
          </w:tcPr>
          <w:p>
            <w:pPr>
              <w:spacing w:after="0"/>
              <w:rPr>
                <w:sz w:val="14"/>
                <w:szCs w:val="14"/>
                <w:color w:val="auto"/>
              </w:rPr>
            </w:pPr>
          </w:p>
        </w:tc>
        <w:tc>
          <w:tcPr>
            <w:tcW w:w="1560" w:type="dxa"/>
            <w:vAlign w:val="bottom"/>
            <w:gridSpan w:val="5"/>
          </w:tcPr>
          <w:p>
            <w:pPr>
              <w:jc w:val="right"/>
              <w:ind w:right="23"/>
              <w:spacing w:after="0"/>
              <w:rPr>
                <w:sz w:val="20"/>
                <w:szCs w:val="20"/>
                <w:color w:val="auto"/>
              </w:rPr>
            </w:pPr>
            <w:r>
              <w:rPr>
                <w:rFonts w:ascii="Arial" w:cs="Arial" w:eastAsia="Arial" w:hAnsi="Arial"/>
                <w:sz w:val="14"/>
                <w:szCs w:val="14"/>
                <w:b w:val="1"/>
                <w:bCs w:val="1"/>
                <w:color w:val="auto"/>
                <w:w w:val="93"/>
              </w:rPr>
              <w:t>Six Months Ended July</w:t>
            </w:r>
          </w:p>
        </w:tc>
      </w:t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31,</w:t>
            </w:r>
          </w:p>
        </w:tc>
        <w:tc>
          <w:tcPr>
            <w:tcW w:w="60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2014</w:t>
            </w:r>
          </w:p>
        </w:tc>
      </w:tr>
      <w:tr>
        <w:trPr>
          <w:trHeight w:val="23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Pre-tax intrinsic value of options exercised (1)</w:t>
            </w: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44.2</w:t>
            </w:r>
          </w:p>
        </w:tc>
      </w:tr>
      <w:tr>
        <w:trPr>
          <w:trHeight w:val="220"/>
        </w:trPr>
        <w:tc>
          <w:tcPr>
            <w:tcW w:w="790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r>
    </w:tbl>
    <w:p>
      <w:pPr>
        <w:ind w:left="420" w:hanging="4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intrinsic value of options exercised is calculated as the difference between the exercise price of the option and the market value of the stock on the date of exercise.</w:t>
      </w:r>
    </w:p>
    <w:p>
      <w:pPr>
        <w:spacing w:after="0" w:line="225"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8"/>
          <w:szCs w:val="18"/>
          <w:color w:val="auto"/>
        </w:rPr>
        <w:t>The following table summarizes information about options outstanding and exercisable at July 31, 2015:</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Options Vested and Exercisable</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3"/>
                <w:szCs w:val="13"/>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3"/>
                <w:szCs w:val="13"/>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3"/>
                <w:szCs w:val="13"/>
                <w:color w:val="auto"/>
              </w:rPr>
            </w:pPr>
          </w:p>
        </w:tc>
        <w:tc>
          <w:tcPr>
            <w:tcW w:w="980" w:type="dxa"/>
            <w:vAlign w:val="bottom"/>
            <w:vMerge w:val="restart"/>
          </w:tcPr>
          <w:p>
            <w:pPr>
              <w:jc w:val="center"/>
              <w:ind w:right="66"/>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8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life</w:t>
            </w: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exercise</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value (1)</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life</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exercise</w:t>
            </w:r>
          </w:p>
        </w:tc>
        <w:tc>
          <w:tcPr>
            <w:tcW w:w="140" w:type="dxa"/>
            <w:vAlign w:val="bottom"/>
          </w:tcPr>
          <w:p>
            <w:pPr>
              <w:spacing w:after="0"/>
              <w:rPr>
                <w:sz w:val="12"/>
                <w:szCs w:val="12"/>
                <w:color w:val="auto"/>
              </w:rPr>
            </w:pPr>
          </w:p>
        </w:tc>
        <w:tc>
          <w:tcPr>
            <w:tcW w:w="98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91"/>
              </w:rPr>
              <w:t>value (1)</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price</w:t>
            </w:r>
          </w:p>
        </w:tc>
        <w:tc>
          <w:tcPr>
            <w:tcW w:w="14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price</w:t>
            </w:r>
          </w:p>
        </w:tc>
        <w:tc>
          <w:tcPr>
            <w:tcW w:w="140" w:type="dxa"/>
            <w:vAlign w:val="bottom"/>
          </w:tcPr>
          <w:p>
            <w:pPr>
              <w:spacing w:after="0"/>
              <w:rPr>
                <w:sz w:val="16"/>
                <w:szCs w:val="16"/>
                <w:color w:val="auto"/>
              </w:rPr>
            </w:pPr>
          </w:p>
        </w:tc>
        <w:tc>
          <w:tcPr>
            <w:tcW w:w="980" w:type="dxa"/>
            <w:vAlign w:val="bottom"/>
          </w:tcPr>
          <w:p>
            <w:pPr>
              <w:jc w:val="center"/>
              <w:ind w:right="86"/>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06"/>
        </w:trPr>
        <w:tc>
          <w:tcPr>
            <w:tcW w:w="1840" w:type="dxa"/>
            <w:vAlign w:val="bottom"/>
            <w:tcBorders>
              <w:top w:val="single" w:sz="8" w:color="CCEEFF"/>
            </w:tcBorders>
            <w:shd w:val="clear" w:color="auto" w:fill="CCEEFF"/>
          </w:tcPr>
          <w:p>
            <w:pPr>
              <w:jc w:val="right"/>
              <w:ind w:right="497"/>
              <w:spacing w:after="0"/>
              <w:rPr>
                <w:sz w:val="20"/>
                <w:szCs w:val="20"/>
                <w:color w:val="auto"/>
              </w:rPr>
            </w:pPr>
            <w:r>
              <w:rPr>
                <w:rFonts w:ascii="Arial" w:cs="Arial" w:eastAsia="Arial" w:hAnsi="Arial"/>
                <w:sz w:val="16"/>
                <w:szCs w:val="16"/>
                <w:color w:val="auto"/>
                <w:w w:val="89"/>
              </w:rPr>
              <w:t>Range of per-share</w:t>
            </w: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40" w:type="dxa"/>
            <w:vAlign w:val="bottom"/>
            <w:tcBorders>
              <w:bottom w:val="single" w:sz="8" w:color="CCEEFF"/>
            </w:tcBorders>
            <w:shd w:val="clear" w:color="auto" w:fill="CCEEFF"/>
          </w:tcPr>
          <w:p>
            <w:pPr>
              <w:jc w:val="right"/>
              <w:ind w:right="557"/>
              <w:spacing w:after="0"/>
              <w:rPr>
                <w:sz w:val="20"/>
                <w:szCs w:val="20"/>
                <w:color w:val="auto"/>
              </w:rPr>
            </w:pPr>
            <w:r>
              <w:rPr>
                <w:rFonts w:ascii="Arial" w:cs="Arial" w:eastAsia="Arial" w:hAnsi="Arial"/>
                <w:sz w:val="16"/>
                <w:szCs w:val="16"/>
                <w:color w:val="auto"/>
              </w:rPr>
              <w:t>exercise prices:</w:t>
            </w: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40" w:type="dxa"/>
            <w:vAlign w:val="bottom"/>
          </w:tcPr>
          <w:p>
            <w:pPr>
              <w:jc w:val="right"/>
              <w:ind w:right="337"/>
              <w:spacing w:after="0"/>
              <w:rPr>
                <w:sz w:val="20"/>
                <w:szCs w:val="20"/>
                <w:color w:val="auto"/>
              </w:rPr>
            </w:pPr>
            <w:r>
              <w:rPr>
                <w:rFonts w:ascii="Arial" w:cs="Arial" w:eastAsia="Arial" w:hAnsi="Arial"/>
                <w:sz w:val="16"/>
                <w:szCs w:val="16"/>
                <w:color w:val="auto"/>
              </w:rPr>
              <w:t>$12.31 - $29.49</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24.05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24.10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6"/>
                <w:szCs w:val="16"/>
                <w:color w:val="auto"/>
              </w:rPr>
              <w:t>$29.50 - $41.62</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39.68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39.67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40" w:type="dxa"/>
            <w:vAlign w:val="bottom"/>
          </w:tcPr>
          <w:p>
            <w:pPr>
              <w:jc w:val="right"/>
              <w:ind w:right="337"/>
              <w:spacing w:after="0"/>
              <w:rPr>
                <w:sz w:val="20"/>
                <w:szCs w:val="20"/>
                <w:color w:val="auto"/>
              </w:rPr>
            </w:pPr>
            <w:r>
              <w:rPr>
                <w:rFonts w:ascii="Arial" w:cs="Arial" w:eastAsia="Arial" w:hAnsi="Arial"/>
                <w:sz w:val="16"/>
                <w:szCs w:val="16"/>
                <w:color w:val="auto"/>
              </w:rPr>
              <w:t>$42.39 - $43.81</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43.80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43.80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35.10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35.07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0"/>
        </w:trPr>
        <w:tc>
          <w:tcPr>
            <w:tcW w:w="1840" w:type="dxa"/>
            <w:vAlign w:val="bottom"/>
            <w:vMerge w:val="restart"/>
          </w:tcPr>
          <w:p>
            <w:pPr>
              <w:jc w:val="right"/>
              <w:ind w:right="357"/>
              <w:spacing w:after="0"/>
              <w:rPr>
                <w:sz w:val="20"/>
                <w:szCs w:val="20"/>
                <w:color w:val="auto"/>
              </w:rPr>
            </w:pPr>
            <w:r>
              <w:rPr>
                <w:rFonts w:ascii="Arial" w:cs="Arial" w:eastAsia="Arial" w:hAnsi="Arial"/>
                <w:sz w:val="18"/>
                <w:szCs w:val="18"/>
                <w:color w:val="auto"/>
                <w:w w:val="91"/>
              </w:rPr>
              <w:t>_______________</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4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380" w:hanging="412"/>
        <w:spacing w:after="0" w:line="263" w:lineRule="auto"/>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$50.58 per share as of July 31, 2015, which would have been received by the option holders had all option holders exercised their options as of that date.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options will expire if not exercised at specific dates ranging through September 2022.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summary of restricted stock unit activity for the six months ended July 31, 2015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818515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January 31, 2015</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Canceled/Forfeited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Performance Adjustment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July 31,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Unvested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2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5"/>
              </w:rPr>
              <w:t>date fair value</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Units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44"/>
        </w:trPr>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7,801.3</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48.46</w:t>
            </w:r>
          </w:p>
        </w:tc>
        <w:tc>
          <w:tcPr>
            <w:tcW w:w="0" w:type="dxa"/>
            <w:vAlign w:val="bottom"/>
          </w:tcPr>
          <w:p>
            <w:pPr>
              <w:spacing w:after="0"/>
              <w:rPr>
                <w:sz w:val="1"/>
                <w:szCs w:val="1"/>
                <w:color w:val="auto"/>
              </w:rPr>
            </w:pPr>
          </w:p>
        </w:tc>
      </w:tr>
      <w:tr>
        <w:trPr>
          <w:trHeight w:val="270"/>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1,118.5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59.47</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(1,584.4)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41.98</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(224.4)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48.47</w:t>
            </w:r>
          </w:p>
        </w:tc>
        <w:tc>
          <w:tcPr>
            <w:tcW w:w="0" w:type="dxa"/>
            <w:vAlign w:val="bottom"/>
          </w:tcPr>
          <w:p>
            <w:pPr>
              <w:spacing w:after="0"/>
              <w:rPr>
                <w:sz w:val="1"/>
                <w:szCs w:val="1"/>
                <w:color w:val="auto"/>
              </w:rPr>
            </w:pPr>
          </w:p>
        </w:tc>
      </w:tr>
      <w:tr>
        <w:trPr>
          <w:trHeight w:val="270"/>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54.92</w:t>
            </w:r>
          </w:p>
        </w:tc>
        <w:tc>
          <w:tcPr>
            <w:tcW w:w="0" w:type="dxa"/>
            <w:vAlign w:val="bottom"/>
          </w:tcPr>
          <w:p>
            <w:pPr>
              <w:spacing w:after="0"/>
              <w:rPr>
                <w:sz w:val="1"/>
                <w:szCs w:val="1"/>
                <w:color w:val="auto"/>
              </w:rPr>
            </w:pP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7,145.6</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51.24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951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7620" w:space="720"/>
            <w:col w:w="3080"/>
          </w:cols>
          <w:pgMar w:left="240" w:top="584" w:right="239" w:bottom="1440" w:gutter="0" w:footer="0" w:header="0"/>
        </w:sectPr>
      </w:pPr>
    </w:p>
    <w:p>
      <w:pPr>
        <w:ind w:left="60"/>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-130175</wp:posOffset>
            </wp:positionV>
            <wp:extent cx="951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 w:lineRule="exact"/>
        <w:rPr>
          <w:sz w:val="20"/>
          <w:szCs w:val="20"/>
          <w:color w:val="auto"/>
        </w:rPr>
      </w:pPr>
    </w:p>
    <w:p>
      <w:pPr>
        <w:ind w:left="420" w:right="100" w:hanging="412"/>
        <w:spacing w:after="0" w:line="254" w:lineRule="auto"/>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Autodesk's financial results for fiscal 2015, 2014 and 2013 performance period. The performance stock units were earned at 113.8%, 65.8%, and 92.3% of the target award, respectively. The vesting of the 2013 performance stock units was subject to the holders satisfying the remaining service condition of the awards, which ended in March 2015.</w:t>
      </w:r>
    </w:p>
    <w:p>
      <w:pPr>
        <w:spacing w:after="0" w:line="185"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For the restricted stock units granted during the six months ended July 31, 2015 and 2014, the weighted average grant date fair value was $59.47 and $50.85, respectively. The fair value of the shares vested during the six months ended July 31, 2015 and 2014 was $93.4 million and $73.4 million, respectively.</w:t>
      </w:r>
    </w:p>
    <w:p>
      <w:pPr>
        <w:spacing w:after="0" w:line="181"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During the six months ended July 31, 2015, Autodesk granted 0.7 million restricted stock units. The restricted stock units vest over periods ranging from immediately upon grant to a pre-determined date that is typically within three years from the date of grant. Restricted stock units are not considered outstanding stock at the time of grant, as the holders of these units are not entitled to any of the rights of a stockholder, including voting rights. The fair value of the restricted stock units is primarily expensed ratably over the vesting period. Autodesk recorded stock-based compensation expense related to restricted stock units of $28.0 million and $65.8 million during the three and six months ended July 31, 2015, respectively. Autodesk recorded stock-based compensation expense related to restricted stock units of $28.0 million and $50.9 million during the three and six months ended July 31, 2014, respectively. As of July 31, 2015, total compensation cost not yet recognized of $198.1 million related to non-vested restricted stock units is expected to be recognized over a weighted average period of 1.6 years. At July 31, 2015, the number of restricted stock units granted but unvested was 6.3 million.</w:t>
      </w:r>
    </w:p>
    <w:p>
      <w:pPr>
        <w:spacing w:after="0" w:line="166"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During the six months ended July 31, 2015, Autodesk granted 0.4 million performance restricted stock units (“PSUs”) for which the ultimate number of shares earned is determined based on the achievement of performance criteria at the end of the stated service and performance period. The performance criteria for these grants are based upon billings and subscriptions goals adopted by the Compensation and Human Resource Committee, as well as total stockholder return compared against the S&amp;P Computer Software Select Index (“Relative TSR”). Each PSU covers a three year period:</w:t>
      </w:r>
    </w:p>
    <w:p>
      <w:pPr>
        <w:spacing w:after="0" w:line="154" w:lineRule="exact"/>
        <w:rPr>
          <w:sz w:val="20"/>
          <w:szCs w:val="20"/>
          <w:color w:val="auto"/>
        </w:rPr>
      </w:pPr>
    </w:p>
    <w:p>
      <w:pPr>
        <w:ind w:left="660" w:right="3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 to one third of the PSUs may vest following year one, depending upon the achievement of the billings and subscriptions goals for year one as well as 1-year Relative TSR (covering year one).</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 to one third of the PSUs may vest following year two, depending upon the achievement of the billings and subscriptions goals for year two as well as 2-year Relative TSR (covering years one and two).</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 to one third of the PSUs may vest following year three, depending upon the achievement of the billings and subscriptions goals for year three as well as 3-year Relative TSR (covering years one, two and three).</w:t>
      </w:r>
    </w:p>
    <w:p>
      <w:pPr>
        <w:spacing w:after="0" w:line="170"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PSUs are not considered outstanding stock at the time of grant, as the holders of these units are not entitled to any of the rights of a stockholder, including voting rights. Autodesk has determined the grant-date fair value for these awards using a Monte Carlo simulation model since the awards are subject to a market condition. The fair value of the PSUs is expensed using the accelerated attribution over the vesting period. Autodesk recorded stock-based compensation expense related to PSUs of $5.9 million and $11.5 million for the three and six months ended July 31, 2015, respectively. Autodesk recorded stock-based compensation expense related to PSUs of $4.8 million and $7.8 million during the three and six months ended July 31, 2014, respectively. As of July 31, 2015, total compensation cost not yet recognized of $15.8 million related to non-vested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type w:val="continuous"/>
        </w:sectPr>
      </w:pPr>
    </w:p>
    <w:bookmarkStart w:id="16" w:name="page17"/>
    <w:bookmarkEnd w:id="16"/>
    <w:p>
      <w:pPr>
        <w:ind w:right="220"/>
        <w:spacing w:after="0" w:line="277" w:lineRule="auto"/>
        <w:rPr>
          <w:sz w:val="20"/>
          <w:szCs w:val="20"/>
          <w:color w:val="auto"/>
        </w:rPr>
      </w:pPr>
      <w:r>
        <w:rPr>
          <w:rFonts w:ascii="Arial" w:cs="Arial" w:eastAsia="Arial" w:hAnsi="Arial"/>
          <w:sz w:val="18"/>
          <w:szCs w:val="18"/>
          <w:color w:val="auto"/>
        </w:rPr>
        <w:t>performance restricted stock units, is expected to be recognized over a weighted average period of 1.3 years. At July 31, 2015, the number of PSUs granted but not vested was 0.8 million.</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1998 Employee Qualified Stock Purchase Plan (“ESPP”)</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Under Autodesk’s ESPP, which was approved by stockholders in 1998, eligible employees may purchase shares of Autodesk’s common stock at their discretion using up to 15% of their eligible compensation subject to certain limitations, at no less than 85% of fair market value as defined in the ESPP. At July 31, 2015, a total of 39.6 million shares were available for future issuance. This amount automatically increases on the first trading day of each fiscal year by an amount equal to the lesser of 10.0 million shares or 2% of the total of (1) outstanding shares plus (2) any shares repurchased by Autodesk during the prior fiscal year. Under the ESPP, the Company issues shares on the first trading day following March 31 and September 30 of each fiscal year. The ESPP expires during fiscal 2018.</w:t>
      </w:r>
    </w:p>
    <w:p>
      <w:pPr>
        <w:spacing w:after="0" w:line="193"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Autodesk issued 1.1 million shares under the ESPP during the six months ended July 31, 2015, with an average price of $36.91 per share. During the six months ended July 31, 2014, Autodesk issued 1.1 million shares under the ESPP, at an average price of $33.66 per share. The weighted average grant date fair value of awards granted under the ESPP was $15.99 during the six months ended July 31, 2015, calculated as of the award grant date using the Black-Scholes Merton (“BSM") option pricing model. The weighted average grant date fair value of awards granted under the ESPP during the six months ended July 31, 2014, calculated as of the award grant date using the BSM option pricing model, was $14.26 per share.</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stock-based compensation expense for the three and six months ended July 31, 2015 and 2014, respectively, as follows: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license and other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Marketing and sales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General and administrative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Stock-based compensation expense related to stock awards and ESPP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Tax benefit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 expense related to stock awards and ESPP purchases,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581660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license and other revenue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Marketing and sales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General and administrative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Stock-based compensation expense related to stock awards and ESPP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Tax benefit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 expense related to stock awards and ESPP purchases, net of tax</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Three Months Ended July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13335</wp:posOffset>
            </wp:positionV>
            <wp:extent cx="10807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87" w:lineRule="exact"/>
        <w:rPr>
          <w:sz w:val="20"/>
          <w:szCs w:val="20"/>
          <w:color w:val="auto"/>
        </w:rPr>
      </w:pPr>
    </w:p>
    <w:p>
      <w:pPr>
        <w:ind w:left="240"/>
        <w:spacing w:after="0"/>
        <w:tabs>
          <w:tab w:leader="none" w:pos="112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68" w:lineRule="exact"/>
        <w:rPr>
          <w:sz w:val="20"/>
          <w:szCs w:val="20"/>
          <w:color w:val="auto"/>
        </w:rPr>
      </w:pPr>
    </w:p>
    <w:p>
      <w:pPr>
        <w:spacing w:after="0"/>
        <w:tabs>
          <w:tab w:leader="none" w:pos="460" w:val="left"/>
          <w:tab w:leader="none" w:pos="900" w:val="left"/>
          <w:tab w:leader="none" w:pos="13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1.2</w:t>
        <w:tab/>
        <w:t>$</w:t>
      </w:r>
      <w:r>
        <w:rPr>
          <w:sz w:val="20"/>
          <w:szCs w:val="20"/>
          <w:color w:val="auto"/>
        </w:rPr>
        <w:tab/>
      </w:r>
      <w:r>
        <w:rPr>
          <w:rFonts w:ascii="Arial" w:cs="Arial" w:eastAsia="Arial" w:hAnsi="Arial"/>
          <w:sz w:val="15"/>
          <w:szCs w:val="15"/>
          <w:color w:val="auto"/>
        </w:rPr>
        <w:t>1.1</w:t>
      </w:r>
    </w:p>
    <w:p>
      <w:pPr>
        <w:spacing w:after="0" w:line="86"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5"/>
          <w:szCs w:val="15"/>
          <w:color w:val="auto"/>
        </w:rPr>
        <w:t>1.0</w:t>
      </w:r>
    </w:p>
    <w:p>
      <w:pPr>
        <w:spacing w:after="0" w:line="86" w:lineRule="exact"/>
        <w:rPr>
          <w:sz w:val="20"/>
          <w:szCs w:val="20"/>
          <w:color w:val="auto"/>
        </w:rPr>
      </w:pPr>
    </w:p>
    <w:p>
      <w:pPr>
        <w:ind w:left="400"/>
        <w:spacing w:after="0"/>
        <w:tabs>
          <w:tab w:leader="none" w:pos="1260" w:val="left"/>
        </w:tabs>
        <w:rPr>
          <w:sz w:val="20"/>
          <w:szCs w:val="20"/>
          <w:color w:val="auto"/>
        </w:rPr>
      </w:pPr>
      <w:r>
        <w:rPr>
          <w:rFonts w:ascii="Arial" w:cs="Arial" w:eastAsia="Arial" w:hAnsi="Arial"/>
          <w:sz w:val="16"/>
          <w:szCs w:val="16"/>
          <w:color w:val="auto"/>
        </w:rPr>
        <w:t>17.3</w:t>
      </w:r>
      <w:r>
        <w:rPr>
          <w:sz w:val="20"/>
          <w:szCs w:val="20"/>
          <w:color w:val="auto"/>
        </w:rPr>
        <w:tab/>
      </w:r>
      <w:r>
        <w:rPr>
          <w:rFonts w:ascii="Arial" w:cs="Arial" w:eastAsia="Arial" w:hAnsi="Arial"/>
          <w:sz w:val="15"/>
          <w:szCs w:val="15"/>
          <w:color w:val="auto"/>
        </w:rPr>
        <w:t>17.6</w:t>
      </w:r>
    </w:p>
    <w:p>
      <w:pPr>
        <w:spacing w:after="0" w:line="86" w:lineRule="exact"/>
        <w:rPr>
          <w:sz w:val="20"/>
          <w:szCs w:val="20"/>
          <w:color w:val="auto"/>
        </w:rPr>
      </w:pPr>
    </w:p>
    <w:p>
      <w:pPr>
        <w:ind w:left="400"/>
        <w:spacing w:after="0"/>
        <w:tabs>
          <w:tab w:leader="none" w:pos="1260" w:val="left"/>
        </w:tabs>
        <w:rPr>
          <w:sz w:val="20"/>
          <w:szCs w:val="20"/>
          <w:color w:val="auto"/>
        </w:rPr>
      </w:pPr>
      <w:r>
        <w:rPr>
          <w:rFonts w:ascii="Arial" w:cs="Arial" w:eastAsia="Arial" w:hAnsi="Arial"/>
          <w:sz w:val="16"/>
          <w:szCs w:val="16"/>
          <w:color w:val="auto"/>
        </w:rPr>
        <w:t>14.8</w:t>
      </w:r>
      <w:r>
        <w:rPr>
          <w:sz w:val="20"/>
          <w:szCs w:val="20"/>
          <w:color w:val="auto"/>
        </w:rPr>
        <w:tab/>
      </w:r>
      <w:r>
        <w:rPr>
          <w:rFonts w:ascii="Arial" w:cs="Arial" w:eastAsia="Arial" w:hAnsi="Arial"/>
          <w:sz w:val="15"/>
          <w:szCs w:val="15"/>
          <w:color w:val="auto"/>
        </w:rPr>
        <w:t>13.7</w:t>
      </w:r>
    </w:p>
    <w:p>
      <w:pPr>
        <w:spacing w:after="0" w:line="86"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34925</wp:posOffset>
            </wp:positionV>
            <wp:extent cx="10807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66" w:lineRule="exact"/>
        <w:rPr>
          <w:sz w:val="20"/>
          <w:szCs w:val="20"/>
          <w:color w:val="auto"/>
        </w:rPr>
      </w:pPr>
    </w:p>
    <w:p>
      <w:pPr>
        <w:ind w:left="400"/>
        <w:spacing w:after="0"/>
        <w:tabs>
          <w:tab w:leader="none" w:pos="1260" w:val="left"/>
        </w:tabs>
        <w:rPr>
          <w:sz w:val="20"/>
          <w:szCs w:val="20"/>
          <w:color w:val="auto"/>
        </w:rPr>
      </w:pPr>
      <w:r>
        <w:rPr>
          <w:rFonts w:ascii="Arial" w:cs="Arial" w:eastAsia="Arial" w:hAnsi="Arial"/>
          <w:sz w:val="16"/>
          <w:szCs w:val="16"/>
          <w:color w:val="auto"/>
        </w:rPr>
        <w:t>40.7</w:t>
      </w:r>
      <w:r>
        <w:rPr>
          <w:sz w:val="20"/>
          <w:szCs w:val="20"/>
          <w:color w:val="auto"/>
        </w:rPr>
        <w:tab/>
      </w:r>
      <w:r>
        <w:rPr>
          <w:rFonts w:ascii="Arial" w:cs="Arial" w:eastAsia="Arial" w:hAnsi="Arial"/>
          <w:sz w:val="15"/>
          <w:szCs w:val="15"/>
          <w:color w:val="auto"/>
        </w:rPr>
        <w:t>39.8</w:t>
      </w:r>
    </w:p>
    <w:p>
      <w:pPr>
        <w:spacing w:after="0" w:line="86" w:lineRule="exact"/>
        <w:rPr>
          <w:sz w:val="20"/>
          <w:szCs w:val="20"/>
          <w:color w:val="auto"/>
        </w:rPr>
      </w:pPr>
    </w:p>
    <w:p>
      <w:pPr>
        <w:ind w:left="340"/>
        <w:spacing w:after="0"/>
        <w:tabs>
          <w:tab w:leader="none" w:pos="1220" w:val="left"/>
        </w:tabs>
        <w:rPr>
          <w:sz w:val="20"/>
          <w:szCs w:val="20"/>
          <w:color w:val="auto"/>
        </w:rPr>
      </w:pPr>
      <w:r>
        <w:rPr>
          <w:rFonts w:ascii="Arial" w:cs="Arial" w:eastAsia="Arial" w:hAnsi="Arial"/>
          <w:sz w:val="16"/>
          <w:szCs w:val="16"/>
          <w:color w:val="auto"/>
        </w:rPr>
        <w:t>(10.5)</w:t>
      </w:r>
      <w:r>
        <w:rPr>
          <w:sz w:val="20"/>
          <w:szCs w:val="20"/>
          <w:color w:val="auto"/>
        </w:rPr>
        <w:tab/>
      </w: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34925</wp:posOffset>
            </wp:positionV>
            <wp:extent cx="10807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66" w:lineRule="exact"/>
        <w:rPr>
          <w:sz w:val="20"/>
          <w:szCs w:val="20"/>
          <w:color w:val="auto"/>
        </w:rPr>
      </w:pPr>
    </w:p>
    <w:p>
      <w:pPr>
        <w:spacing w:after="0"/>
        <w:tabs>
          <w:tab w:leader="none" w:pos="380" w:val="left"/>
          <w:tab w:leader="none" w:pos="900" w:val="left"/>
          <w:tab w:leader="none" w:pos="12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30.2</w:t>
        <w:tab/>
        <w:t>$</w:t>
      </w:r>
      <w:r>
        <w:rPr>
          <w:sz w:val="20"/>
          <w:szCs w:val="20"/>
          <w:color w:val="auto"/>
        </w:rPr>
        <w:tab/>
      </w:r>
      <w:r>
        <w:rPr>
          <w:rFonts w:ascii="Arial" w:cs="Arial" w:eastAsia="Arial" w:hAnsi="Arial"/>
          <w:sz w:val="15"/>
          <w:szCs w:val="15"/>
          <w:color w:val="auto"/>
        </w:rPr>
        <w:t>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34925</wp:posOffset>
            </wp:positionV>
            <wp:extent cx="10807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38100</wp:posOffset>
            </wp:positionV>
            <wp:extent cx="10807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26" w:lineRule="exact"/>
        <w:rPr>
          <w:sz w:val="20"/>
          <w:szCs w:val="20"/>
          <w:color w:val="auto"/>
        </w:rPr>
      </w:pPr>
    </w:p>
    <w:p>
      <w:pPr>
        <w:ind w:left="240"/>
        <w:spacing w:after="0"/>
        <w:tabs>
          <w:tab w:leader="none" w:pos="112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68" w:lineRule="exact"/>
        <w:rPr>
          <w:sz w:val="20"/>
          <w:szCs w:val="20"/>
          <w:color w:val="auto"/>
        </w:rPr>
      </w:pPr>
    </w:p>
    <w:p>
      <w:pPr>
        <w:spacing w:after="0"/>
        <w:tabs>
          <w:tab w:leader="none" w:pos="460" w:val="left"/>
          <w:tab w:leader="none" w:pos="900" w:val="left"/>
          <w:tab w:leader="none" w:pos="13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2.7</w:t>
        <w:tab/>
        <w:t>$</w:t>
      </w:r>
      <w:r>
        <w:rPr>
          <w:sz w:val="20"/>
          <w:szCs w:val="20"/>
          <w:color w:val="auto"/>
        </w:rPr>
        <w:tab/>
      </w:r>
      <w:r>
        <w:rPr>
          <w:rFonts w:ascii="Arial" w:cs="Arial" w:eastAsia="Arial" w:hAnsi="Arial"/>
          <w:sz w:val="15"/>
          <w:szCs w:val="15"/>
          <w:color w:val="auto"/>
        </w:rPr>
        <w:t>2.0</w:t>
      </w:r>
    </w:p>
    <w:p>
      <w:pPr>
        <w:spacing w:after="0" w:line="86"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15"/>
          <w:szCs w:val="15"/>
          <w:color w:val="auto"/>
        </w:rPr>
        <w:t>1.8</w:t>
      </w:r>
    </w:p>
    <w:p>
      <w:pPr>
        <w:spacing w:after="0" w:line="86" w:lineRule="exact"/>
        <w:rPr>
          <w:sz w:val="20"/>
          <w:szCs w:val="20"/>
          <w:color w:val="auto"/>
        </w:rPr>
      </w:pPr>
    </w:p>
    <w:p>
      <w:pPr>
        <w:ind w:left="400"/>
        <w:spacing w:after="0"/>
        <w:tabs>
          <w:tab w:leader="none" w:pos="1260" w:val="left"/>
        </w:tabs>
        <w:rPr>
          <w:sz w:val="20"/>
          <w:szCs w:val="20"/>
          <w:color w:val="auto"/>
        </w:rPr>
      </w:pPr>
      <w:r>
        <w:rPr>
          <w:rFonts w:ascii="Arial" w:cs="Arial" w:eastAsia="Arial" w:hAnsi="Arial"/>
          <w:sz w:val="16"/>
          <w:szCs w:val="16"/>
          <w:color w:val="auto"/>
        </w:rPr>
        <w:t>39.0</w:t>
      </w:r>
      <w:r>
        <w:rPr>
          <w:sz w:val="20"/>
          <w:szCs w:val="20"/>
          <w:color w:val="auto"/>
        </w:rPr>
        <w:tab/>
      </w:r>
      <w:r>
        <w:rPr>
          <w:rFonts w:ascii="Arial" w:cs="Arial" w:eastAsia="Arial" w:hAnsi="Arial"/>
          <w:sz w:val="15"/>
          <w:szCs w:val="15"/>
          <w:color w:val="auto"/>
        </w:rPr>
        <w:t>31.6</w:t>
      </w:r>
    </w:p>
    <w:p>
      <w:pPr>
        <w:spacing w:after="0" w:line="86" w:lineRule="exact"/>
        <w:rPr>
          <w:sz w:val="20"/>
          <w:szCs w:val="20"/>
          <w:color w:val="auto"/>
        </w:rPr>
      </w:pPr>
    </w:p>
    <w:p>
      <w:pPr>
        <w:ind w:left="400"/>
        <w:spacing w:after="0"/>
        <w:tabs>
          <w:tab w:leader="none" w:pos="1260" w:val="left"/>
        </w:tabs>
        <w:rPr>
          <w:sz w:val="20"/>
          <w:szCs w:val="20"/>
          <w:color w:val="auto"/>
        </w:rPr>
      </w:pPr>
      <w:r>
        <w:rPr>
          <w:rFonts w:ascii="Arial" w:cs="Arial" w:eastAsia="Arial" w:hAnsi="Arial"/>
          <w:sz w:val="16"/>
          <w:szCs w:val="16"/>
          <w:color w:val="auto"/>
        </w:rPr>
        <w:t>32.4</w:t>
      </w:r>
      <w:r>
        <w:rPr>
          <w:sz w:val="20"/>
          <w:szCs w:val="20"/>
          <w:color w:val="auto"/>
        </w:rPr>
        <w:tab/>
      </w:r>
      <w:r>
        <w:rPr>
          <w:rFonts w:ascii="Arial" w:cs="Arial" w:eastAsia="Arial" w:hAnsi="Arial"/>
          <w:sz w:val="15"/>
          <w:szCs w:val="15"/>
          <w:color w:val="auto"/>
        </w:rPr>
        <w:t>24.6</w:t>
      </w:r>
    </w:p>
    <w:p>
      <w:pPr>
        <w:spacing w:after="0" w:line="86" w:lineRule="exact"/>
        <w:rPr>
          <w:sz w:val="20"/>
          <w:szCs w:val="20"/>
          <w:color w:val="auto"/>
        </w:rPr>
      </w:pPr>
    </w:p>
    <w:p>
      <w:pPr>
        <w:ind w:left="400"/>
        <w:spacing w:after="0"/>
        <w:tabs>
          <w:tab w:leader="none" w:pos="1260" w:val="left"/>
        </w:tabs>
        <w:rPr>
          <w:sz w:val="20"/>
          <w:szCs w:val="20"/>
          <w:color w:val="auto"/>
        </w:rPr>
      </w:pPr>
      <w:r>
        <w:rPr>
          <w:rFonts w:ascii="Arial" w:cs="Arial" w:eastAsia="Arial" w:hAnsi="Arial"/>
          <w:sz w:val="16"/>
          <w:szCs w:val="16"/>
          <w:color w:val="auto"/>
        </w:rPr>
        <w:t>14.2</w:t>
      </w:r>
      <w:r>
        <w:rPr>
          <w:sz w:val="20"/>
          <w:szCs w:val="20"/>
          <w:color w:val="auto"/>
        </w:rPr>
        <w:tab/>
      </w: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34925</wp:posOffset>
            </wp:positionV>
            <wp:extent cx="10807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66" w:lineRule="exact"/>
        <w:rPr>
          <w:sz w:val="20"/>
          <w:szCs w:val="20"/>
          <w:color w:val="auto"/>
        </w:rPr>
      </w:pPr>
    </w:p>
    <w:p>
      <w:pPr>
        <w:ind w:left="400"/>
        <w:spacing w:after="0"/>
        <w:tabs>
          <w:tab w:leader="none" w:pos="1260" w:val="left"/>
        </w:tabs>
        <w:rPr>
          <w:sz w:val="20"/>
          <w:szCs w:val="20"/>
          <w:color w:val="auto"/>
        </w:rPr>
      </w:pPr>
      <w:r>
        <w:rPr>
          <w:rFonts w:ascii="Arial" w:cs="Arial" w:eastAsia="Arial" w:hAnsi="Arial"/>
          <w:sz w:val="16"/>
          <w:szCs w:val="16"/>
          <w:color w:val="auto"/>
        </w:rPr>
        <w:t>90.9</w:t>
      </w:r>
      <w:r>
        <w:rPr>
          <w:sz w:val="20"/>
          <w:szCs w:val="20"/>
          <w:color w:val="auto"/>
        </w:rPr>
        <w:tab/>
      </w:r>
      <w:r>
        <w:rPr>
          <w:rFonts w:ascii="Arial" w:cs="Arial" w:eastAsia="Arial" w:hAnsi="Arial"/>
          <w:sz w:val="15"/>
          <w:szCs w:val="15"/>
          <w:color w:val="auto"/>
        </w:rPr>
        <w:t>73.4</w:t>
      </w:r>
    </w:p>
    <w:p>
      <w:pPr>
        <w:spacing w:after="0" w:line="86" w:lineRule="exact"/>
        <w:rPr>
          <w:sz w:val="20"/>
          <w:szCs w:val="20"/>
          <w:color w:val="auto"/>
        </w:rPr>
      </w:pPr>
    </w:p>
    <w:p>
      <w:pPr>
        <w:ind w:left="340"/>
        <w:spacing w:after="0"/>
        <w:tabs>
          <w:tab w:leader="none" w:pos="1220" w:val="left"/>
        </w:tabs>
        <w:rPr>
          <w:sz w:val="20"/>
          <w:szCs w:val="20"/>
          <w:color w:val="auto"/>
        </w:rPr>
      </w:pPr>
      <w:r>
        <w:rPr>
          <w:rFonts w:ascii="Arial" w:cs="Arial" w:eastAsia="Arial" w:hAnsi="Arial"/>
          <w:sz w:val="16"/>
          <w:szCs w:val="16"/>
          <w:color w:val="auto"/>
        </w:rPr>
        <w:t>(24.5)</w:t>
      </w:r>
      <w:r>
        <w:rPr>
          <w:sz w:val="20"/>
          <w:szCs w:val="20"/>
          <w:color w:val="auto"/>
        </w:rPr>
        <w:tab/>
      </w:r>
      <w:r>
        <w:rPr>
          <w:rFonts w:ascii="Arial" w:cs="Arial" w:eastAsia="Arial" w:hAnsi="Arial"/>
          <w:sz w:val="14"/>
          <w:szCs w:val="14"/>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34925</wp:posOffset>
            </wp:positionV>
            <wp:extent cx="10807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66" w:lineRule="exact"/>
        <w:rPr>
          <w:sz w:val="20"/>
          <w:szCs w:val="20"/>
          <w:color w:val="auto"/>
        </w:rPr>
      </w:pPr>
    </w:p>
    <w:p>
      <w:pPr>
        <w:spacing w:after="0"/>
        <w:tabs>
          <w:tab w:leader="none" w:pos="380" w:val="left"/>
          <w:tab w:leader="none" w:pos="900" w:val="left"/>
          <w:tab w:leader="none" w:pos="12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66.4</w:t>
        <w:tab/>
        <w:t>$</w:t>
      </w:r>
      <w:r>
        <w:rPr>
          <w:sz w:val="20"/>
          <w:szCs w:val="20"/>
          <w:color w:val="auto"/>
        </w:rPr>
        <w:tab/>
      </w:r>
      <w:r>
        <w:rPr>
          <w:rFonts w:ascii="Arial" w:cs="Arial" w:eastAsia="Arial" w:hAnsi="Arial"/>
          <w:sz w:val="15"/>
          <w:szCs w:val="15"/>
          <w:color w:val="auto"/>
        </w:rPr>
        <w:t>53.8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34925</wp:posOffset>
            </wp:positionV>
            <wp:extent cx="10807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8077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20" w:space="720"/>
            <w:col w:w="1680"/>
          </w:cols>
          <w:pgMar w:left="240" w:top="584" w:right="239" w:bottom="1440" w:gutter="0" w:footer="0" w:header="0"/>
          <w:type w:val="continuous"/>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584" w:right="239" w:bottom="1440" w:gutter="0" w:footer="0" w:header="0"/>
          <w:type w:val="continuous"/>
        </w:sectPr>
      </w:pPr>
    </w:p>
    <w:bookmarkStart w:id="17" w:name="page18"/>
    <w:bookmarkEnd w:id="17"/>
    <w:p>
      <w:pPr>
        <w:ind w:left="260"/>
        <w:spacing w:after="0"/>
        <w:rPr>
          <w:sz w:val="20"/>
          <w:szCs w:val="20"/>
          <w:color w:val="auto"/>
        </w:rPr>
      </w:pPr>
      <w:r>
        <w:rPr>
          <w:rFonts w:ascii="Arial" w:cs="Arial" w:eastAsia="Arial" w:hAnsi="Arial"/>
          <w:sz w:val="18"/>
          <w:szCs w:val="18"/>
          <w:i w:val="1"/>
          <w:iCs w:val="1"/>
          <w:color w:val="auto"/>
        </w:rPr>
        <w:t>Stock-based Compensation Expense Assumptions</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Autodesk determines the grant-date fair value of its share-based payment awards using a BSM option pricing model or the quoted stock price on the date of grant, unless the awards are subject to market conditions, in which case Autodesk uses a binomial-lattice model (e.g., Monte Carlo simulation model). The Monte Carlo simulation model utilizes multiple input variables to estimate the probability that market conditions will be achieved. Autodesk uses the following assumptions to estimate the fair value of stock-based awards:</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Range of expected volatilities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Range of expected lives (in years)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dividends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Range of risk-free interest rates</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Six Months Ended July 31, 2015</w:t>
            </w:r>
          </w:p>
        </w:tc>
        <w:tc>
          <w:tcPr>
            <w:tcW w:w="120" w:type="dxa"/>
            <w:vAlign w:val="bottom"/>
          </w:tcPr>
          <w:p>
            <w:pPr>
              <w:spacing w:after="0"/>
              <w:rPr>
                <w:sz w:val="16"/>
                <w:szCs w:val="16"/>
                <w:color w:val="auto"/>
              </w:rPr>
            </w:pPr>
          </w:p>
        </w:tc>
        <w:tc>
          <w:tcPr>
            <w:tcW w:w="30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Six Months Ended July 31, 2014</w:t>
            </w:r>
          </w:p>
        </w:tc>
        <w:tc>
          <w:tcPr>
            <w:tcW w:w="0" w:type="dxa"/>
            <w:vAlign w:val="bottom"/>
          </w:tcPr>
          <w:p>
            <w:pPr>
              <w:spacing w:after="0"/>
              <w:rPr>
                <w:sz w:val="1"/>
                <w:szCs w:val="1"/>
                <w:color w:val="auto"/>
              </w:rPr>
            </w:pPr>
          </w:p>
        </w:tc>
      </w:tr>
      <w:tr>
        <w:trPr>
          <w:trHeight w:val="152"/>
        </w:trPr>
        <w:tc>
          <w:tcPr>
            <w:tcW w:w="120" w:type="dxa"/>
            <w:vAlign w:val="bottom"/>
          </w:tcPr>
          <w:p>
            <w:pPr>
              <w:spacing w:after="0"/>
              <w:rPr>
                <w:sz w:val="13"/>
                <w:szCs w:val="13"/>
                <w:color w:val="auto"/>
              </w:rPr>
            </w:pPr>
          </w:p>
        </w:tc>
        <w:tc>
          <w:tcPr>
            <w:tcW w:w="16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60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ESPP</w:t>
            </w:r>
          </w:p>
        </w:tc>
        <w:tc>
          <w:tcPr>
            <w:tcW w:w="15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4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ESPP</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Unit</w:t>
            </w:r>
          </w:p>
        </w:tc>
        <w:tc>
          <w:tcPr>
            <w:tcW w:w="1600" w:type="dxa"/>
            <w:vAlign w:val="bottom"/>
            <w:gridSpan w:val="2"/>
            <w:vMerge w:val="continue"/>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Unit</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27%</w:t>
            </w:r>
          </w:p>
        </w:tc>
        <w:tc>
          <w:tcPr>
            <w:tcW w:w="12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27.7 - 28.2%</w:t>
            </w:r>
          </w:p>
        </w:tc>
        <w:tc>
          <w:tcPr>
            <w:tcW w:w="12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30%</w:t>
            </w:r>
          </w:p>
        </w:tc>
        <w:tc>
          <w:tcPr>
            <w:tcW w:w="10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30 - 33%</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48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20" w:type="dxa"/>
            <w:vAlign w:val="bottom"/>
          </w:tcPr>
          <w:p>
            <w:pPr>
              <w:spacing w:after="0"/>
              <w:rPr>
                <w:sz w:val="23"/>
                <w:szCs w:val="2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48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0.2%</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0.1 - 0.6%</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0.1%</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0.1 - 0.4%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-664210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-321310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720"/>
            <w:col w:w="6380"/>
          </w:cols>
          <w:pgMar w:left="240" w:top="800" w:right="239" w:bottom="1440" w:gutter="0" w:footer="0" w:header="0"/>
          <w:type w:val="continuous"/>
        </w:sectPr>
      </w:pPr>
    </w:p>
    <w:p>
      <w:pPr>
        <w:spacing w:after="0" w:line="3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The first is a measure of historical volatility in the trading market for the Company’s common stock, and the second is the implied volatility of traded forward call options to purchase shares of the Company’s common stock. The expected volatility for PSUs subject to market conditions includes the expected volatility of Autodesk's peer companies within the S&amp;P Computer Software Select Index.</w:t>
      </w:r>
    </w:p>
    <w:p>
      <w:pPr>
        <w:spacing w:after="0" w:line="18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Autodesk estimates the expected life of stock-based awards using both exercise behavior and post-vesting termination behavior as well as consideration of outstanding options.</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Autodesk does not currently pay, and does not anticipate paying in the foreseeable future, any cash dividends. Consequently, an expected dividend yield of zero is used in the BSM option pricing model and the Monte Carlo simulation model.</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17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Autodesk recognizes expense only for the stock-based awards that are ultimately expected to vest. Therefore, Autodesk has developed an estimate of the number of awards expected to cancel prior to vesting (“forfeiture rate”). The forfeiture rate is estimated based on historical pre-vest cancellation experience and is applied to all stock-based awards. The Company estimates forfeitures at the time of grant and revises those estimates in subsequent periods if actual forfeitures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Income Tax</w:t>
      </w:r>
    </w:p>
    <w:p>
      <w:pPr>
        <w:spacing w:after="0" w:line="225"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Autodesk's effective tax rate before discrete items was 25% and 24% during the three and six months ended July 31, 2015, respectively. These rates were lower than the federal statutory tax rate of 35% primarily due to foreign earnings taxed at lower rates. During the three months ended July 31, 2015, Autodesk recorded a valuation allowance against the company's U.S. federal and remaining state deferred tax assets of $213.6 million, of which $205.3 million was recorded as a discrete tax expense.</w:t>
      </w:r>
    </w:p>
    <w:p>
      <w:pPr>
        <w:spacing w:after="0" w:line="187" w:lineRule="exact"/>
        <w:rPr>
          <w:sz w:val="20"/>
          <w:szCs w:val="20"/>
          <w:color w:val="auto"/>
        </w:rPr>
      </w:pPr>
    </w:p>
    <w:p>
      <w:pPr>
        <w:ind w:right="220" w:firstLine="432"/>
        <w:spacing w:after="0" w:line="255" w:lineRule="auto"/>
        <w:rPr>
          <w:sz w:val="20"/>
          <w:szCs w:val="20"/>
          <w:color w:val="auto"/>
        </w:rPr>
      </w:pPr>
      <w:r>
        <w:rPr>
          <w:rFonts w:ascii="Arial" w:cs="Arial" w:eastAsia="Arial" w:hAnsi="Arial"/>
          <w:sz w:val="18"/>
          <w:szCs w:val="18"/>
          <w:color w:val="auto"/>
        </w:rPr>
        <w:t>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more-likely-than-not that some or all of the deferred tax assets will not be realized. In evaluating the need for a valuation allowance, Autodesk considered recent cumulative losses in the United States arising from the Company's business model transition as a significant piece of negative evidence. Therefore, in the three months ended July 31, 2015, Autodesk established a valuation allowance against the Company's U.S. federal and remaining state deferred tax assets of $213.6 million.</w:t>
      </w:r>
    </w:p>
    <w:p>
      <w:pPr>
        <w:spacing w:after="0" w:line="193"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As of July 31, 2015, the Company had $251.1 million of gross unrecognized tax benefits, excluding interest, of which approximately $232.7 million represents the amount of unrecognized tax benefits that would impact the effective tax rate, if recognized. However, this rate impact would be offset to the extent that recognition of unrecognized tax benefits currently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0" w:right="239" w:bottom="1440" w:gutter="0" w:footer="0" w:header="0"/>
          <w:type w:val="continuous"/>
        </w:sectPr>
      </w:pPr>
    </w:p>
    <w:bookmarkStart w:id="18" w:name="page19"/>
    <w:bookmarkEnd w:id="18"/>
    <w:p>
      <w:pPr>
        <w:ind w:right="40"/>
        <w:spacing w:after="0" w:line="277" w:lineRule="auto"/>
        <w:rPr>
          <w:sz w:val="20"/>
          <w:szCs w:val="20"/>
          <w:color w:val="auto"/>
        </w:rPr>
      </w:pPr>
      <w:r>
        <w:rPr>
          <w:rFonts w:ascii="Arial" w:cs="Arial" w:eastAsia="Arial" w:hAnsi="Arial"/>
          <w:sz w:val="18"/>
          <w:szCs w:val="18"/>
          <w:color w:val="auto"/>
        </w:rPr>
        <w:t>presented as a reduction of deferred tax assets would increase the valuation allowance. It is possible that the amount of unrecognized tax benefits will change in the next twelve months; however, an estimate of the range of the possible change cannot be made at this time.</w:t>
      </w:r>
    </w:p>
    <w:p>
      <w:pPr>
        <w:spacing w:after="0" w:line="170"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During the six months ended July 31, 2015, Autodesk completed several business combinations and technology acquisitions for total cash consideration of approximately $37.8 million. These business combinations and technology acquisitions were not material individually or in aggregate to Autodesk’s Condensed Consolidated Statement of Operations.</w:t>
      </w:r>
    </w:p>
    <w:p>
      <w:pPr>
        <w:spacing w:after="0" w:line="18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For acquisitions accounted for as business combinations, 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 The goodwill recorded is primarily attributable to synergies expected to arise after the acquisitions.</w:t>
      </w:r>
    </w:p>
    <w:p>
      <w:pPr>
        <w:spacing w:after="0" w:line="187" w:lineRule="exact"/>
        <w:rPr>
          <w:sz w:val="20"/>
          <w:szCs w:val="20"/>
          <w:color w:val="auto"/>
        </w:rPr>
      </w:pPr>
    </w:p>
    <w:p>
      <w:pPr>
        <w:ind w:right="840" w:firstLine="405"/>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the business combinations and technology acquisitions completed during the six months ended July 31, 2015: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July 31, 2015</w:t>
            </w:r>
          </w:p>
        </w:tc>
      </w:tr>
      <w:tr>
        <w:trPr>
          <w:trHeight w:val="236"/>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w:t>
            </w:r>
          </w:p>
        </w:tc>
        <w:tc>
          <w:tcPr>
            <w:tcW w:w="38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r>
      <w:tr>
        <w:trPr>
          <w:trHeight w:val="237"/>
        </w:trPr>
        <w:tc>
          <w:tcPr>
            <w:tcW w:w="10400" w:type="dxa"/>
            <w:vAlign w:val="bottom"/>
          </w:tcPr>
          <w:p>
            <w:pPr>
              <w:ind w:left="40"/>
              <w:spacing w:after="0"/>
              <w:rPr>
                <w:sz w:val="20"/>
                <w:szCs w:val="20"/>
                <w:color w:val="auto"/>
              </w:rPr>
            </w:pPr>
            <w:r>
              <w:rPr>
                <w:rFonts w:ascii="Arial" w:cs="Arial" w:eastAsia="Arial" w:hAnsi="Arial"/>
                <w:sz w:val="16"/>
                <w:szCs w:val="16"/>
                <w:color w:val="auto"/>
              </w:rPr>
              <w:t>Customer relationships and other non-current intangible assets</w:t>
            </w:r>
          </w:p>
        </w:tc>
        <w:tc>
          <w:tcPr>
            <w:tcW w:w="3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10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37"/>
        </w:trPr>
        <w:tc>
          <w:tcPr>
            <w:tcW w:w="10400" w:type="dxa"/>
            <w:vAlign w:val="bottom"/>
          </w:tcPr>
          <w:p>
            <w:pPr>
              <w:ind w:left="40"/>
              <w:spacing w:after="0"/>
              <w:rPr>
                <w:sz w:val="20"/>
                <w:szCs w:val="20"/>
                <w:color w:val="auto"/>
              </w:rPr>
            </w:pPr>
            <w:r>
              <w:rPr>
                <w:rFonts w:ascii="Arial" w:cs="Arial" w:eastAsia="Arial" w:hAnsi="Arial"/>
                <w:sz w:val="16"/>
                <w:szCs w:val="16"/>
                <w:color w:val="auto"/>
              </w:rPr>
              <w:t>Goodwill</w:t>
            </w:r>
          </w:p>
        </w:tc>
        <w:tc>
          <w:tcPr>
            <w:tcW w:w="3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23.4</w:t>
            </w:r>
          </w:p>
        </w:tc>
      </w:tr>
      <w:tr>
        <w:trPr>
          <w:trHeight w:val="33"/>
        </w:trPr>
        <w:tc>
          <w:tcPr>
            <w:tcW w:w="10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liability</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37"/>
        </w:trPr>
        <w:tc>
          <w:tcPr>
            <w:tcW w:w="10400" w:type="dxa"/>
            <w:vAlign w:val="bottom"/>
          </w:tcPr>
          <w:p>
            <w:pPr>
              <w:ind w:left="40"/>
              <w:spacing w:after="0"/>
              <w:rPr>
                <w:sz w:val="20"/>
                <w:szCs w:val="20"/>
                <w:color w:val="auto"/>
              </w:rPr>
            </w:pPr>
            <w:r>
              <w:rPr>
                <w:rFonts w:ascii="Arial" w:cs="Arial" w:eastAsia="Arial" w:hAnsi="Arial"/>
                <w:sz w:val="16"/>
                <w:szCs w:val="16"/>
                <w:color w:val="auto"/>
              </w:rPr>
              <w:t>Net tangible assets</w:t>
            </w:r>
          </w:p>
        </w:tc>
        <w:tc>
          <w:tcPr>
            <w:tcW w:w="3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0.5</w:t>
            </w:r>
          </w:p>
        </w:tc>
      </w:tr>
      <w:tr>
        <w:trPr>
          <w:trHeight w:val="33"/>
        </w:trPr>
        <w:tc>
          <w:tcPr>
            <w:tcW w:w="10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10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37.8</w:t>
            </w:r>
          </w:p>
        </w:tc>
      </w:tr>
      <w:tr>
        <w:trPr>
          <w:trHeight w:val="20"/>
        </w:trPr>
        <w:tc>
          <w:tcPr>
            <w:tcW w:w="10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For certain business combinations, the allocation of purchase price consideration to certain assets and liabilities is not yet finalized. For the items not yet finalized, Autodesk's estimates and assumptions are subject to change within the measurement period (up to one year from the acquisition date). The primary areas of the preliminary purchase price allocation that are not yet finalized are amounts for tax assets and liabilities, pending finalization of estimates and assumptions in respect of certain tax aspects of the transaction and residual goodwill.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Other Intangible Assets, Net</w:t>
      </w:r>
    </w:p>
    <w:p>
      <w:pPr>
        <w:spacing w:after="0" w:line="225"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Other intangible assets including developed technologies, customer relationships, trade names, patents, user lists and the related accumulated amortization were as follows: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Developed technologies,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Customer relationships, trade names, patents, and user list, at cost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at cost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net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2015</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2015</w:t>
            </w:r>
          </w:p>
        </w:tc>
      </w:tr>
      <w:tr>
        <w:trPr>
          <w:trHeight w:val="223"/>
        </w:trPr>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550.4</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538.4</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349.9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348.9</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900.3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887.3</w:t>
            </w:r>
          </w:p>
        </w:tc>
      </w:tr>
      <w:tr>
        <w:trPr>
          <w:trHeight w:val="270"/>
        </w:trPr>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(757.2)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(715.4)</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143.1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171.9</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7620" w:space="720"/>
            <w:col w:w="3080"/>
          </w:cols>
          <w:pgMar w:left="240" w:top="584" w:right="239" w:bottom="1440" w:gutter="0" w:footer="0" w:header="0"/>
          <w:type w:val="continuous"/>
        </w:sectPr>
      </w:pPr>
    </w:p>
    <w:p>
      <w:pPr>
        <w:ind w:left="420" w:hanging="412"/>
        <w:spacing w:after="0"/>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Included in “Other assets” in the accompanying Condensed Consolidated Balance Sheets.</w:t>
      </w:r>
    </w:p>
    <w:p>
      <w:pPr>
        <w:spacing w:after="0" w:line="32" w:lineRule="exact"/>
        <w:rPr>
          <w:rFonts w:ascii="Arial" w:cs="Arial" w:eastAsia="Arial" w:hAnsi="Arial"/>
          <w:sz w:val="14"/>
          <w:szCs w:val="14"/>
          <w:color w:val="auto"/>
        </w:rPr>
      </w:pPr>
    </w:p>
    <w:p>
      <w:pPr>
        <w:ind w:left="420" w:hanging="412"/>
        <w:spacing w:after="0"/>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the effects of foreign currency translation.</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9</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Goodwill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 in the carrying amount of goodwill by reporting unit during the six months ended July 31, 2015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Platform</w:t>
            </w:r>
          </w:p>
        </w:tc>
        <w:tc>
          <w:tcPr>
            <w:tcW w:w="18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Architecture,</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Solutions and</w:t>
            </w:r>
          </w:p>
        </w:tc>
        <w:tc>
          <w:tcPr>
            <w:tcW w:w="1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Engineering</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Media and</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Emerging</w:t>
            </w:r>
          </w:p>
        </w:tc>
        <w:tc>
          <w:tcPr>
            <w:tcW w:w="1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and</w:t>
            </w: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Manufacturing</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Delcam (1)</w:t>
            </w:r>
          </w:p>
        </w:tc>
        <w:tc>
          <w:tcPr>
            <w:tcW w:w="280" w:type="dxa"/>
            <w:vAlign w:val="bottom"/>
          </w:tcPr>
          <w:p>
            <w:pPr>
              <w:spacing w:after="0"/>
              <w:rPr>
                <w:sz w:val="12"/>
                <w:szCs w:val="12"/>
                <w:color w:val="auto"/>
              </w:rPr>
            </w:pPr>
          </w:p>
        </w:tc>
        <w:tc>
          <w:tcPr>
            <w:tcW w:w="9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Business</w:t>
            </w:r>
          </w:p>
        </w:tc>
        <w:tc>
          <w:tcPr>
            <w:tcW w:w="18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Entertainment</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January 31, 2015</w:t>
            </w: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4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380"/>
              <w:spacing w:after="0"/>
              <w:rPr>
                <w:sz w:val="20"/>
                <w:szCs w:val="20"/>
                <w:color w:val="auto"/>
              </w:rPr>
            </w:pPr>
            <w:r>
              <w:rPr>
                <w:rFonts w:ascii="Arial" w:cs="Arial" w:eastAsia="Arial" w:hAnsi="Arial"/>
                <w:sz w:val="16"/>
                <w:szCs w:val="16"/>
                <w:color w:val="auto"/>
              </w:rPr>
              <w:t>Goodwill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327.5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427.0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422.7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245.2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183.0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1,605.4</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327.5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427.0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422.7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183.0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1,456.2</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 arising from other acquisitions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20"/>
        </w:trPr>
        <w:tc>
          <w:tcPr>
            <w:tcW w:w="3440" w:type="dxa"/>
            <w:vAlign w:val="bottom"/>
          </w:tcPr>
          <w:p>
            <w:pPr>
              <w:ind w:left="380"/>
              <w:spacing w:after="0"/>
              <w:rPr>
                <w:sz w:val="20"/>
                <w:szCs w:val="20"/>
                <w:color w:val="auto"/>
              </w:rPr>
            </w:pPr>
            <w:r>
              <w:rPr>
                <w:rFonts w:ascii="Arial" w:cs="Arial" w:eastAsia="Arial" w:hAnsi="Arial"/>
                <w:sz w:val="16"/>
                <w:szCs w:val="16"/>
                <w:color w:val="auto"/>
              </w:rPr>
              <w:t>Effect of foreign currency translation,</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40" w:type="dxa"/>
            <w:vAlign w:val="bottom"/>
          </w:tcPr>
          <w:p>
            <w:pPr>
              <w:ind w:left="540"/>
              <w:spacing w:after="0"/>
              <w:rPr>
                <w:sz w:val="20"/>
                <w:szCs w:val="20"/>
                <w:color w:val="auto"/>
              </w:rPr>
            </w:pPr>
            <w:r>
              <w:rPr>
                <w:rFonts w:ascii="Arial" w:cs="Arial" w:eastAsia="Arial" w:hAnsi="Arial"/>
                <w:sz w:val="16"/>
                <w:szCs w:val="16"/>
                <w:color w:val="auto"/>
                <w:w w:val="91"/>
              </w:rPr>
              <w:t>purchase accounting adjustments, and other</w:t>
            </w:r>
          </w:p>
        </w:tc>
        <w:tc>
          <w:tcPr>
            <w:tcW w:w="160" w:type="dxa"/>
            <w:vAlign w:val="bottom"/>
          </w:tcPr>
          <w:p>
            <w:pPr>
              <w:spacing w:after="0"/>
              <w:rPr>
                <w:sz w:val="17"/>
                <w:szCs w:val="17"/>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as of July 31, 2015</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4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38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338.4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428.5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421.3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255.7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179.1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1,623.0</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4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338.4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428.5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421.3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106.5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179.1</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1,473.8</w:t>
            </w:r>
          </w:p>
        </w:tc>
        <w:tc>
          <w:tcPr>
            <w:tcW w:w="0" w:type="dxa"/>
            <w:vAlign w:val="bottom"/>
          </w:tcPr>
          <w:p>
            <w:pPr>
              <w:spacing w:after="0"/>
              <w:rPr>
                <w:sz w:val="1"/>
                <w:szCs w:val="1"/>
                <w:color w:val="auto"/>
              </w:rPr>
            </w:pPr>
          </w:p>
        </w:tc>
      </w:tr>
      <w:tr>
        <w:trPr>
          <w:trHeight w:val="33"/>
        </w:trPr>
        <w:tc>
          <w:tcPr>
            <w:tcW w:w="344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Delcam is a separate reporting unit within our Manufacturing ("MFG") operating segment.</w:t>
      </w:r>
    </w:p>
    <w:p>
      <w:pPr>
        <w:spacing w:after="0" w:line="207"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Goodwill consists of the excess of consideration transferred over the fair value of net assets acquired in business combinations. Autodesk assigns goodwill to the reporting unit associated with each business combination, and tests goodwill for impairment annually in its fourth fiscal quarter or more often if circumstances indicate a potential impairment. The company has established reporting units based upon its current reporting structure.</w:t>
      </w:r>
    </w:p>
    <w:p>
      <w:pPr>
        <w:spacing w:after="0" w:line="166"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When goodwill is assessed for impairment, Autodesk has the option to perform an assessment of qualitative factors of impairment (“optional assessment”) prior to necessitating a two-step quantitative impairment test. Should the optional assessment be used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two-step impairment test is unnecessary.</w:t>
      </w:r>
    </w:p>
    <w:p>
      <w:pPr>
        <w:spacing w:after="0" w:line="193"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Therefore, the two-step quantitative impairment test is necessary when either Autodesk does not use the optional assessment or, as a result of the optional assessment, it is not more likely than not that the fair value of the reporting unit is greater than its carrying value. In performing the two-step impairment test, Autodesk uses discounted cash flow models which include assumptions regarding projected cash flows. Variances in these assumptions could have a significant impact on Autodesk's conclusion as to whether goodwill is impaired, or the amount of any impairment charge. Impairment charges, if any, result from instances where the fair values of net assets associated with goodwill are less than their carrying values. As changes in business conditions and assumptions occur, Autodesk may be required to record impairment charges.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significant slowdown in the worldwide economy or the industries Autodesk serves, or (iv) changes in Autodesk’s business strategy or internal financial results forecasts.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10. Deferred Compensation</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At July 31, 2015, Autodesk had marketable securities totaling $1,479.3 million, of which $44.7 million related to investments in debt and equity securities that are held in a rabbi trust under non-qualified deferred compensation plans. The total related deferred compensation liability was $44.7 million at July 31, 2015, of which $5.4 million was classified as current and $39.3 million was classified as non-current liabilities. The total related deferred compensation liability at January 31, 2015 was $40.3 million, of which $5.3 million was classified as current and $35.0 million was classified as non-current liabilities. The securities are recorded in the Condensed Consolidated Balance Sheets under the current portion of "Marketable securities". The current and non-current portions of the liability are recorded in the Condensed Consolidated Balance Sheets under “Accrued compensation” and “Other liabilities,”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Computer Equipment, Software, Furniture and Leasehold Improvements,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Computer equipment, software, furniture, leasehold improvements and the related accumulated depreciation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2015</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2015</w:t>
            </w:r>
          </w:p>
        </w:tc>
      </w:tr>
      <w:tr>
        <w:trPr>
          <w:trHeight w:val="236"/>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hardware, at cost</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Computer software, at cost</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88.0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84.9</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Leasehold improvements, land and buildings, at cost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Furniture and equipment, at cost</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53.0</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528.1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508.2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(349.0)</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software, hardware, leasehold improvements, furniture and equipment,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159.2</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Borrowing Arrangements</w:t>
      </w:r>
    </w:p>
    <w:p>
      <w:pPr>
        <w:spacing w:after="0" w:line="225"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color w:val="auto"/>
        </w:rPr>
        <w:t>In June 2015, Autodesk issued $450.0 million aggregate principal amount of 3.125% notes due June 15, 2020 and $300.0 million aggregate principal amount of 4.375% notes due June 15, 2025 (collectively, the “2015 Notes”). Autodesk received net proceeds of $742.0 million from issuance of the 2015 Notes, net of a discount of $1.7 million and issuance costs of $6.3 million. Both the discount and issuance costs are being amortized to interest expense over the respective terms of the 2015 Notes using the effective interest method. The proceeds of the 2015 Notes are available for general corporate purposes. Autodesk may redeem the 2015 Notes at any time, subject to a make whole premium. In addition, upon the occurrence of certain change of control triggering events, Autodesk may be required to repurchase the 2015 Notes at a price equal to 101% of their principal amount, plus accrued and unpaid interest to the date of repurchase. The 2015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Based on quoted market prices, the fair value of the 2015 Notes was approximately $754.1 million as of July 31, 2015.</w:t>
      </w:r>
    </w:p>
    <w:p>
      <w:pPr>
        <w:spacing w:after="0" w:line="167"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In December 2012, Autodesk issued $400.0 million aggregate principal amount of 1.95% notes due December 15, 2017 and $350.0 million aggregate principal amount of 3.6% notes due December 15, 2022 (collectively, the “2012 Notes”). Autodesk received net proceeds of $739.3 million from issuance of the 2012 Notes, net of a discount of $4.5 million and issuance costs of $6.1 million. Both the discount and issuance costs are being amortized to interest expense over the respective terms of the 2012 Notes using the effective interest method. The proceeds of the 2012 Notes are available for general corporate purposes. Autodesk may redeem the 2012 Notes at any time, subject to a make whole premium. In addition, upon the occurrence of certain change of control triggering events, Autodesk may be required to repurchase the 2012 Notes at a price equal to 101% of their principal amount, plus accrued and unpaid interest to the date of repurchase. The 2012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Based on quoted market prices, the fair value of the 2012 Notes was approximately $747.3 million as of July 31, 2015.</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ind w:right="120" w:firstLine="405"/>
        <w:spacing w:after="0" w:line="254" w:lineRule="auto"/>
        <w:rPr>
          <w:sz w:val="20"/>
          <w:szCs w:val="20"/>
          <w:color w:val="auto"/>
        </w:rPr>
      </w:pPr>
      <w:r>
        <w:rPr>
          <w:rFonts w:ascii="Arial" w:cs="Arial" w:eastAsia="Arial" w:hAnsi="Arial"/>
          <w:sz w:val="18"/>
          <w:szCs w:val="18"/>
          <w:color w:val="auto"/>
        </w:rPr>
        <w:t>Autodesk’s line of credit facility permits unsecured short-term borrowings of up to $400.0 million, with an option to request an increase in the amount of the credit facility by up to an additional $100.0 million, and is available for working capital or other business needs. This credit agreement contains customary covenants that could restrict the imposition of liens on Autodesk’s assets, and restrict the Company’s ability to incur additional indebtedness or make dispositions of assets if Autodesk fails to maintain the financial covenants. The financial covenants consist of a leverage ratio, and an interest coverage ratio. The line of credit is syndicated with various financial institutions, including Citibank, N.A., an affiliate of Citigroup, which is one of the lead lenders and an agent. In May 2015, Autodesk amended and restated the credit agreement to extend the facility's maturity date from May 2018 to May 2020 and to amend the financial covenants. At July 31, 2015, Autodesk was in compliance with the credit facility's covenants and had no outstanding borrowings on this line of credit.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Restructuring</w:t>
      </w:r>
    </w:p>
    <w:p>
      <w:pPr>
        <w:spacing w:after="0" w:line="22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During fiscal 2014, the Board of Directors approved a world-wide restructuring plan in order to re-balance staffing levels to better align them with the evolving needs of the business. The restructuring plan included a reduction of approximately 85 positions and the consolidation of four leased facilities, with a total cost of approximately $15.0 million ("Fiscal 2014 Plan"). By July 31, 2014, the personnel and facilities related actions included in this restructuring plan were substantially complete.</w:t>
      </w:r>
    </w:p>
    <w:p>
      <w:pPr>
        <w:spacing w:after="0" w:line="187"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Autodesk did not record restructuring charges during the six months ended July 31, 2015. The following table sets forth the restructuring activities during the six months ended July 31, 2015:</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Balance at January 31,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4"/>
                <w:szCs w:val="14"/>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Payments</w:t>
            </w:r>
          </w:p>
        </w:tc>
        <w:tc>
          <w:tcPr>
            <w:tcW w:w="160" w:type="dxa"/>
            <w:vAlign w:val="bottom"/>
          </w:tcPr>
          <w:p>
            <w:pPr>
              <w:spacing w:after="0"/>
              <w:rPr>
                <w:sz w:val="14"/>
                <w:szCs w:val="14"/>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Adjustments (1)</w:t>
            </w:r>
          </w:p>
        </w:tc>
        <w:tc>
          <w:tcPr>
            <w:tcW w:w="140" w:type="dxa"/>
            <w:vAlign w:val="bottom"/>
          </w:tcPr>
          <w:p>
            <w:pPr>
              <w:spacing w:after="0"/>
              <w:rPr>
                <w:sz w:val="14"/>
                <w:szCs w:val="14"/>
                <w:color w:val="auto"/>
              </w:rPr>
            </w:pPr>
          </w:p>
        </w:tc>
        <w:tc>
          <w:tcPr>
            <w:tcW w:w="1320" w:type="dxa"/>
            <w:vAlign w:val="bottom"/>
          </w:tcPr>
          <w:p>
            <w:pPr>
              <w:jc w:val="right"/>
              <w:ind w:right="61"/>
              <w:spacing w:after="0"/>
              <w:rPr>
                <w:sz w:val="20"/>
                <w:szCs w:val="20"/>
                <w:color w:val="auto"/>
              </w:rPr>
            </w:pPr>
            <w:r>
              <w:rPr>
                <w:rFonts w:ascii="Arial" w:cs="Arial" w:eastAsia="Arial" w:hAnsi="Arial"/>
                <w:sz w:val="14"/>
                <w:szCs w:val="14"/>
                <w:b w:val="1"/>
                <w:bCs w:val="1"/>
                <w:color w:val="auto"/>
                <w:w w:val="92"/>
              </w:rPr>
              <w:t>Balance at July 31,</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50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Fiscal 2014 Plan</w:t>
            </w: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Employee termination costs</w:t>
            </w:r>
          </w:p>
        </w:tc>
        <w:tc>
          <w:tcPr>
            <w:tcW w:w="36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termination and asset costs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3540" w:type="dxa"/>
            <w:vAlign w:val="bottom"/>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73"/>
        </w:trPr>
        <w:tc>
          <w:tcPr>
            <w:tcW w:w="35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35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Current portion (2)</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Non-current portion (2)</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Adjustments include the impact of foreign currency translation.</w:t>
      </w:r>
    </w:p>
    <w:p>
      <w:pPr>
        <w:spacing w:after="0" w:line="9" w:lineRule="exact"/>
        <w:rPr>
          <w:rFonts w:ascii="Arial" w:cs="Arial" w:eastAsia="Arial" w:hAnsi="Arial"/>
          <w:sz w:val="16"/>
          <w:szCs w:val="16"/>
          <w:color w:val="auto"/>
        </w:rPr>
      </w:pPr>
    </w:p>
    <w:p>
      <w:pPr>
        <w:ind w:left="420" w:right="100" w:hanging="412"/>
        <w:spacing w:after="0" w:line="257"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current and non-current portions of the reserve are recorded in the Condensed Consolidated Balance Sheets under “Other accrued liabilities” and “Other liabilities,”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Commitments and Contingencies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7"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ind w:left="22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Autodesk is involved in a variety of claims, suits, investigations and proceedings in the normal course of business activities including claims of alleged infringement of intellectual property rights, commercial, employment, piracy prosecution, business practices and other matters.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Common Stock Repurchase Program</w:t>
      </w:r>
    </w:p>
    <w:p>
      <w:pPr>
        <w:spacing w:after="0" w:line="225"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Autodesk has a stock repurchase program that is used to offset dilution from the issuance of stock under the Company’s employee stock plans and for such other purposes as may be in the interests of Autodesk and its stockholders. Stock repurchases have the effect of returning excess cash generated from the Company’s business to stockholders. During the three and six months ended July 31, 2015, Autodesk repurchased and retired 2.1 million and 3.7 million shares at an average repurchase price of $52.87 and $56.19 per share, respectively. Common stock and additional paid-in capital and retained earnings were reduced by $48.0 million and $64.3 million, respectively, during the three months ended July 31, 2015. Common stock and additional paid-in capital and retained earnings were reduced by $89.1 million and $118.6 million, respectively, during the six months ended July 31, 2015.</w:t>
      </w:r>
    </w:p>
    <w:p>
      <w:pPr>
        <w:spacing w:after="0" w:line="165"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At July 31, 2015, 11.1 million shares remained available for repurchase under the repurchase program approved by the Board of Directors. During the six months ended July 31, 2015, Autodesk repurchased its common stock through open market purchases. The number of shares acquired and the timing of the purchases are based on several factors, including general market and economic conditions, the number of employee stock option exercises and stock issuances, the trading price of Autodesk common stock, cash on hand and available in the United States, cash requirements for acquisitions, and Company defined trading windows.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Accumulated Other Comprehensive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loss, net of taxes, consisted of the following at July 31, 2015:</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Defined Benefit</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Gains (Losses) on</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Gains (Losses) on</w:t>
            </w: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Currency</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Available-for-Sale</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2"/>
                <w:szCs w:val="12"/>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Components</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2015</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Other comprehensive income (loss) before reclassifications</w:t>
            </w:r>
          </w:p>
        </w:tc>
        <w:tc>
          <w:tcPr>
            <w:tcW w:w="1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Pre-tax (gains) losses reclassified from accumulated other comprehensive</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Tax effects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current period other comprehensive (loss) income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Balances, July 31, 2015</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18"/>
                <w:szCs w:val="18"/>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(70.3)</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Reclassifications related to gains and losses on available-for-sale securities are included in Interest and other expense, net. Refer to "Note 4: Financial Instruments" for the amount and location of reclassifications related to derivative instruments. Reclassifications of the defined benefit pension components are included in the computation of net periodic benefit cost. For further information, see the "Retirement Benefit Plans" note in Part II, Item 8 of our Annual Report on Form 10-K for the year ended January 31, 2015.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17</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Net (Loss) Income Per Share</w:t>
      </w:r>
    </w:p>
    <w:p>
      <w:pPr>
        <w:spacing w:after="0" w:line="22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Basic net (loss) income per share is computed using the weighted average number of shares of common stock outstanding for the period, excluding stock options and restricted stock units. Diluted net (loss) income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(loss) income per share amounts: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96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w w:val="99"/>
              </w:rPr>
              <w:t>Three Months Ended July 31,</w:t>
            </w:r>
          </w:p>
        </w:tc>
        <w:tc>
          <w:tcPr>
            <w:tcW w:w="1560" w:type="dxa"/>
            <w:vAlign w:val="bottom"/>
            <w:gridSpan w:val="5"/>
          </w:tcPr>
          <w:p>
            <w:pPr>
              <w:jc w:val="right"/>
              <w:spacing w:after="0"/>
              <w:rPr>
                <w:sz w:val="20"/>
                <w:szCs w:val="20"/>
                <w:color w:val="auto"/>
              </w:rPr>
            </w:pPr>
            <w:r>
              <w:rPr>
                <w:rFonts w:ascii="Arial" w:cs="Arial" w:eastAsia="Arial" w:hAnsi="Arial"/>
                <w:sz w:val="14"/>
                <w:szCs w:val="14"/>
                <w:b w:val="1"/>
                <w:bCs w:val="1"/>
                <w:color w:val="auto"/>
                <w:w w:val="97"/>
              </w:rPr>
              <w:t>Six Months Ended July</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96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31,</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9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380"/>
              <w:spacing w:after="0"/>
              <w:rPr>
                <w:sz w:val="20"/>
                <w:szCs w:val="20"/>
                <w:color w:val="auto"/>
              </w:rPr>
            </w:pPr>
            <w:r>
              <w:rPr>
                <w:rFonts w:ascii="Arial" w:cs="Arial" w:eastAsia="Arial" w:hAnsi="Arial"/>
                <w:sz w:val="16"/>
                <w:szCs w:val="16"/>
                <w:color w:val="auto"/>
              </w:rPr>
              <w:t>Net (loss) income</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(235.5)</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4"/>
              </w:rPr>
              <w:t>(216.4)</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73"/>
        </w:trPr>
        <w:tc>
          <w:tcPr>
            <w:tcW w:w="79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Denominator:</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Denominator for basic net (loss) income per share—weighted average shares</w:t>
            </w: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227.0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227.3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227.1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227.1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 (1)</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7"/>
        </w:trPr>
        <w:tc>
          <w:tcPr>
            <w:tcW w:w="7900" w:type="dxa"/>
            <w:vAlign w:val="bottom"/>
          </w:tcPr>
          <w:p>
            <w:pPr>
              <w:ind w:left="380"/>
              <w:spacing w:after="0"/>
              <w:rPr>
                <w:sz w:val="20"/>
                <w:szCs w:val="20"/>
                <w:color w:val="auto"/>
              </w:rPr>
            </w:pPr>
            <w:r>
              <w:rPr>
                <w:rFonts w:ascii="Arial" w:cs="Arial" w:eastAsia="Arial" w:hAnsi="Arial"/>
                <w:sz w:val="16"/>
                <w:szCs w:val="16"/>
                <w:color w:val="auto"/>
              </w:rPr>
              <w:t>Denominator for dilutive net (loss) income per share</w:t>
            </w: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227.0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232.4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227.1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232.4</w:t>
            </w:r>
          </w:p>
        </w:tc>
        <w:tc>
          <w:tcPr>
            <w:tcW w:w="0" w:type="dxa"/>
            <w:vAlign w:val="bottom"/>
          </w:tcPr>
          <w:p>
            <w:pPr>
              <w:spacing w:after="0"/>
              <w:rPr>
                <w:sz w:val="1"/>
                <w:szCs w:val="1"/>
                <w:color w:val="auto"/>
              </w:rPr>
            </w:pPr>
          </w:p>
        </w:tc>
      </w:tr>
      <w:tr>
        <w:trPr>
          <w:trHeight w:val="73"/>
        </w:trPr>
        <w:tc>
          <w:tcPr>
            <w:tcW w:w="79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9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(loss) income per share</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(loss) income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00" w:type="dxa"/>
            <w:vAlign w:val="bottom"/>
            <w:vMerge w:val="continue"/>
          </w:tcPr>
          <w:p>
            <w:pPr>
              <w:spacing w:after="0"/>
              <w:rPr>
                <w:sz w:val="17"/>
                <w:szCs w:val="17"/>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(0.95)</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33"/>
        </w:trPr>
        <w:tc>
          <w:tcPr>
            <w:tcW w:w="790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580" w:hanging="412"/>
        <w:spacing w:after="0" w:line="296" w:lineRule="auto"/>
        <w:tabs>
          <w:tab w:leader="none" w:pos="4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effect of dilutive securities of 4.1 million and 4.5 million shares for the three and six months ended July 31, 2015, respectively, have been excluded from the calculation of diluted net (loss) income per share as those shares would have been anti-dilutive due to the net (loss) incurred during those periods.</w:t>
      </w:r>
    </w:p>
    <w:p>
      <w:pPr>
        <w:spacing w:after="0" w:line="154"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The computation of diluted net (loss) income per share does not include shares that are anti-dilutive under the treasury stock method because their exercise prices are higher than the average market value of Autodesk’s stock during the period. For the three and six months ended July 31, 2015, 0.6 million and 0.1 million potentially anti-dilutive shares, respectively, were excluded from the computation of diluted net (loss) income per share. For both the three and six months ended July 31, 2014, no potentially anti-dilutive shares were excluded from the computation of diluted net income per share.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Segments</w:t>
      </w:r>
    </w:p>
    <w:p>
      <w:pPr>
        <w:spacing w:after="0" w:line="225"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Autodesk reports segment information based on the “management” approach. The management approach designates the internal reporting used by management for making decisions and assessing performance as the source of the Company’s reportable segments. Autodesk has four reportable segments: Architecture, Engineering and Construction ("AEC"), MFG, PSEB, and Media and Entertainment ("M&amp;E"). Autodesk has no material inter-segment revenue.</w:t>
      </w:r>
    </w:p>
    <w:p>
      <w:pPr>
        <w:spacing w:after="0" w:line="14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AEC, MFG, and PSEB segments derive revenue from the sale of licenses for software products and services to customers who design, build, manage or own building, manufacturing and infrastructure projects. Autodesk's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87"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AEC software products help to improve the way building, civil infrastructure, process plant and construction projects are designed, built and managed. A broad portfolio of solutions enables greater efficiency, accuracy and sustainability across the entire project lifecycle. Autodesk AEC solutions include advanced technology for BIM, AutoCAD-based design and documentation productivity software, sustainable design analysis applications, and collaborative project management solutions. BIM, an integrated process for building and infrastructure design, analysis, documentation and construction, uses consistent, coordination information to improve communication and collaboration between the extended project team. AEC provides a comprehensive portfolio of BIM solutions that help customers deliver projects faster and more economically, while minimizing environmental impact. AEC’s revenue primarily includes revenue from the sales of licenses of Autodesk Building Design Suites, Autodesk Infrastructure Design Suites, AutoCAD Civil 3D, AutoCAD Architecture, and AutoCAD Map 3D.</w:t>
      </w:r>
    </w:p>
    <w:p>
      <w:pPr>
        <w:spacing w:after="0" w:line="19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MFG provides the manufacturers in automotive and transportation, industrial machinery, consumer products and building products with comprehensive digital prototyping solutions that bring together design data from all phases of the product development process to develop a single digital model created in Autodesk Inventor software. Autodesk’s solutions for digital prototyping enable a broad group of manufacturers to realize benefits with minimal disruption to existing workflows. MFG’s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ind w:right="320"/>
        <w:spacing w:after="0" w:line="277" w:lineRule="auto"/>
        <w:rPr>
          <w:sz w:val="20"/>
          <w:szCs w:val="20"/>
          <w:color w:val="auto"/>
        </w:rPr>
      </w:pPr>
      <w:r>
        <w:rPr>
          <w:rFonts w:ascii="Arial" w:cs="Arial" w:eastAsia="Arial" w:hAnsi="Arial"/>
          <w:sz w:val="18"/>
          <w:szCs w:val="18"/>
          <w:color w:val="auto"/>
        </w:rPr>
        <w:t>revenue primarily includes revenue from the sales of licenses of Autodesk Product Design Suites, AutoCAD Mechanical, Autodesk Delcam products, and Autodesk Moldflow products.</w:t>
      </w:r>
    </w:p>
    <w:p>
      <w:pPr>
        <w:spacing w:after="0" w:line="170" w:lineRule="exact"/>
        <w:rPr>
          <w:sz w:val="20"/>
          <w:szCs w:val="20"/>
          <w:color w:val="auto"/>
        </w:rPr>
      </w:pPr>
    </w:p>
    <w:p>
      <w:pPr>
        <w:ind w:right="600" w:firstLine="405"/>
        <w:spacing w:after="0" w:line="291" w:lineRule="auto"/>
        <w:rPr>
          <w:sz w:val="20"/>
          <w:szCs w:val="20"/>
          <w:color w:val="auto"/>
        </w:rPr>
      </w:pPr>
      <w:r>
        <w:rPr>
          <w:rFonts w:ascii="Arial" w:cs="Arial" w:eastAsia="Arial" w:hAnsi="Arial"/>
          <w:sz w:val="16"/>
          <w:szCs w:val="16"/>
          <w:color w:val="auto"/>
        </w:rPr>
        <w:t>PSEB includes Autodesk’s design product, AutoCAD. Autodesk’s AutoCAD product is a platform product that underpins the Company’s design product offerings for the industries it serves. For example, AEC and MFG offer tailored versions of AutoCAD software for the industries they</w:t>
      </w:r>
    </w:p>
    <w:p>
      <w:pPr>
        <w:ind w:right="160"/>
        <w:spacing w:after="0" w:line="277" w:lineRule="auto"/>
        <w:rPr>
          <w:sz w:val="20"/>
          <w:szCs w:val="20"/>
          <w:color w:val="auto"/>
        </w:rPr>
      </w:pPr>
      <w:r>
        <w:rPr>
          <w:rFonts w:ascii="Arial" w:cs="Arial" w:eastAsia="Arial" w:hAnsi="Arial"/>
          <w:sz w:val="17"/>
          <w:szCs w:val="17"/>
          <w:color w:val="auto"/>
        </w:rPr>
        <w:t>serve. Autodesk’s AutoCAD product also provides a platform for Autodesk’s developer partners to build custom solutions for a range of diverse design-oriented markets. PSEB's revenue primarily includes revenue from sales of AutoCAD and AutoCAD LT, the AutoCAD Design Suite and many other design products, including consumer design products, as well as from sales of licenses of other Autodesk's design products.</w:t>
      </w:r>
    </w:p>
    <w:p>
      <w:pPr>
        <w:spacing w:after="0" w:line="173"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M&amp;E consists of two product groups: Animation, including design visualization, and Creative Finishing. Animation products, such as Autodesk Maya, Autodesk 3ds Max, and the Autodesk Entertainment Creation Suites, provide tools for digital sculpting, modeling, animation, effects, rendering and compositing, for design visualization, visual effects and games production. M&amp;E products are also included in a number of PSEB, AEC, and MFG focused suites. Creative Finishing products, such as Autodesk Flame, Autodesk Smoke, and Autodesk Lustre, provide editing, finishing and visual effects design and color grading.</w:t>
      </w:r>
    </w:p>
    <w:p>
      <w:pPr>
        <w:spacing w:after="0" w:line="188"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All of Autodesk’s reportable segments distribute their respective products primarily through authorized resellers and distributors and, to a lesser extent, through direct sales to end-users.</w:t>
      </w:r>
    </w:p>
    <w:p>
      <w:pPr>
        <w:spacing w:after="0" w:line="170"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accounting policies of the reportable segments are the same as those described in Note 1, “Business and Summary of Significant Accounting Policies” of Autodesk's Annual Report on Form 10-K for the fiscal year ended January 31, 2015. Autodesk evaluates each segment’s performance on the basis of gross profit. Autodesk currently does not separately accumulate and report asset information by segment, except for goodwill, which is disclosed in Note 9, “Goodwill.”</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concerning the operations of Autodesk’s reportable segments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60" w:type="dxa"/>
            <w:vAlign w:val="bottom"/>
            <w:gridSpan w:val="7"/>
          </w:tcPr>
          <w:p>
            <w:pPr>
              <w:ind w:left="100"/>
              <w:spacing w:after="0"/>
              <w:rPr>
                <w:sz w:val="20"/>
                <w:szCs w:val="20"/>
                <w:color w:val="auto"/>
              </w:rPr>
            </w:pPr>
            <w:r>
              <w:rPr>
                <w:rFonts w:ascii="Arial" w:cs="Arial" w:eastAsia="Arial" w:hAnsi="Arial"/>
                <w:sz w:val="14"/>
                <w:szCs w:val="14"/>
                <w:b w:val="1"/>
                <w:bCs w:val="1"/>
                <w:color w:val="auto"/>
              </w:rPr>
              <w:t>Three Months Ended July</w:t>
            </w:r>
          </w:p>
        </w:tc>
        <w:tc>
          <w:tcPr>
            <w:tcW w:w="120" w:type="dxa"/>
            <w:vAlign w:val="bottom"/>
          </w:tcPr>
          <w:p>
            <w:pPr>
              <w:spacing w:after="0"/>
              <w:rPr>
                <w:sz w:val="14"/>
                <w:szCs w:val="14"/>
                <w:color w:val="auto"/>
              </w:rPr>
            </w:pPr>
          </w:p>
        </w:tc>
        <w:tc>
          <w:tcPr>
            <w:tcW w:w="178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w w:val="93"/>
              </w:rPr>
              <w:t>Six Months Ended July 31,</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w w:val="92"/>
              </w:rPr>
              <w:t>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233.4</w:t>
            </w:r>
          </w:p>
        </w:tc>
        <w:tc>
          <w:tcPr>
            <w:tcW w:w="3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217.9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470.1</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413.4</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Manufacturing</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171.2</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315.5</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Platform Solutions and Emerging Business</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164.1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207.5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349.4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419.4</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w:t>
            </w: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2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609.5</w:t>
            </w: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637.1</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1,256.0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1,229.6</w:t>
            </w:r>
          </w:p>
        </w:tc>
        <w:tc>
          <w:tcPr>
            <w:tcW w:w="0" w:type="dxa"/>
            <w:vAlign w:val="bottom"/>
          </w:tcPr>
          <w:p>
            <w:pPr>
              <w:spacing w:after="0"/>
              <w:rPr>
                <w:sz w:val="1"/>
                <w:szCs w:val="1"/>
                <w:color w:val="auto"/>
              </w:rPr>
            </w:pPr>
          </w:p>
        </w:tc>
      </w:tr>
      <w:tr>
        <w:trPr>
          <w:trHeight w:val="73"/>
        </w:trPr>
        <w:tc>
          <w:tcPr>
            <w:tcW w:w="766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6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6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209.5</w:t>
            </w:r>
          </w:p>
        </w:tc>
        <w:tc>
          <w:tcPr>
            <w:tcW w:w="3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196.1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426.5</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371.7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Manufacturing</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151.2</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284.2</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Platform Solutions and Emerging Business</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138.5</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185.3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376.3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Unallocated (1)</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516.5</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1,063.0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500" w:hanging="412"/>
        <w:spacing w:after="0" w:line="263"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Unallocated amounts primarily relate to corporate expenses and other costs and expenses that are managed outside the reportable segments, including stock-based compensation expense.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ind w:left="440"/>
        <w:spacing w:after="0"/>
        <w:rPr>
          <w:sz w:val="20"/>
          <w:szCs w:val="20"/>
          <w:color w:val="auto"/>
        </w:rPr>
      </w:pPr>
      <w:r>
        <w:rPr>
          <w:rFonts w:ascii="Arial" w:cs="Arial" w:eastAsia="Arial" w:hAnsi="Arial"/>
          <w:sz w:val="18"/>
          <w:szCs w:val="18"/>
          <w:color w:val="auto"/>
        </w:rPr>
        <w:t>Information regarding Autodesk’s operations by geographic area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60" w:type="dxa"/>
            <w:vAlign w:val="bottom"/>
            <w:gridSpan w:val="7"/>
          </w:tcPr>
          <w:p>
            <w:pPr>
              <w:ind w:left="100"/>
              <w:spacing w:after="0"/>
              <w:rPr>
                <w:sz w:val="20"/>
                <w:szCs w:val="20"/>
                <w:color w:val="auto"/>
              </w:rPr>
            </w:pPr>
            <w:r>
              <w:rPr>
                <w:rFonts w:ascii="Arial" w:cs="Arial" w:eastAsia="Arial" w:hAnsi="Arial"/>
                <w:sz w:val="14"/>
                <w:szCs w:val="14"/>
                <w:b w:val="1"/>
                <w:bCs w:val="1"/>
                <w:color w:val="auto"/>
              </w:rPr>
              <w:t>Three Months Ended July</w:t>
            </w:r>
          </w:p>
        </w:tc>
        <w:tc>
          <w:tcPr>
            <w:tcW w:w="120" w:type="dxa"/>
            <w:vAlign w:val="bottom"/>
          </w:tcPr>
          <w:p>
            <w:pPr>
              <w:spacing w:after="0"/>
              <w:rPr>
                <w:sz w:val="14"/>
                <w:szCs w:val="14"/>
                <w:color w:val="auto"/>
              </w:rPr>
            </w:pPr>
          </w:p>
        </w:tc>
        <w:tc>
          <w:tcPr>
            <w:tcW w:w="178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w w:val="93"/>
              </w:rPr>
              <w:t>Six Months Ended July 31,</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380"/>
              <w:spacing w:after="0"/>
              <w:rPr>
                <w:sz w:val="20"/>
                <w:szCs w:val="20"/>
                <w:color w:val="auto"/>
              </w:rPr>
            </w:pPr>
            <w:r>
              <w:rPr>
                <w:rFonts w:ascii="Arial" w:cs="Arial" w:eastAsia="Arial" w:hAnsi="Arial"/>
                <w:sz w:val="16"/>
                <w:szCs w:val="16"/>
                <w:color w:val="auto"/>
              </w:rPr>
              <w:t>Americas</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w:t>
            </w: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194.5</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354.1</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Other Americas</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85.6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74.9</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235.7</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429.0</w:t>
            </w:r>
          </w:p>
        </w:tc>
        <w:tc>
          <w:tcPr>
            <w:tcW w:w="0" w:type="dxa"/>
            <w:vAlign w:val="bottom"/>
          </w:tcPr>
          <w:p>
            <w:pPr>
              <w:spacing w:after="0"/>
              <w:rPr>
                <w:sz w:val="1"/>
                <w:szCs w:val="1"/>
                <w:color w:val="auto"/>
              </w:rPr>
            </w:pPr>
          </w:p>
        </w:tc>
      </w:tr>
      <w:tr>
        <w:trPr>
          <w:trHeight w:val="217"/>
        </w:trPr>
        <w:tc>
          <w:tcPr>
            <w:tcW w:w="766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225.7</w:t>
            </w:r>
          </w:p>
        </w:tc>
        <w:tc>
          <w:tcPr>
            <w:tcW w:w="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243.5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471.1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469.0</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Japan</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50.7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70.5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115.8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157.1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Asia Pacific</w:t>
            </w: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174.5</w:t>
            </w:r>
          </w:p>
        </w:tc>
        <w:tc>
          <w:tcPr>
            <w:tcW w:w="0" w:type="dxa"/>
            <w:vAlign w:val="bottom"/>
          </w:tcPr>
          <w:p>
            <w:pPr>
              <w:spacing w:after="0"/>
              <w:rPr>
                <w:sz w:val="1"/>
                <w:szCs w:val="1"/>
                <w:color w:val="auto"/>
              </w:rPr>
            </w:pPr>
          </w:p>
        </w:tc>
      </w:tr>
      <w:tr>
        <w:trPr>
          <w:trHeight w:val="217"/>
        </w:trPr>
        <w:tc>
          <w:tcPr>
            <w:tcW w:w="7660" w:type="dxa"/>
            <w:vAlign w:val="bottom"/>
          </w:tcPr>
          <w:p>
            <w:pPr>
              <w:ind w:left="380"/>
              <w:spacing w:after="0"/>
              <w:rPr>
                <w:sz w:val="20"/>
                <w:szCs w:val="20"/>
                <w:color w:val="auto"/>
              </w:rPr>
            </w:pPr>
            <w:r>
              <w:rPr>
                <w:rFonts w:ascii="Arial" w:cs="Arial" w:eastAsia="Arial" w:hAnsi="Arial"/>
                <w:sz w:val="16"/>
                <w:szCs w:val="16"/>
                <w:color w:val="auto"/>
              </w:rPr>
              <w:t>Total Asia Pacific</w:t>
            </w: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148.1</w:t>
            </w:r>
          </w:p>
        </w:tc>
        <w:tc>
          <w:tcPr>
            <w:tcW w:w="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170.3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305.2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331.6</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609.5</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1,256.0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1,229.6</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i w:val="1"/>
          <w:iCs w:val="1"/>
          <w:color w:val="auto"/>
        </w:rPr>
        <w:t>The discussion in our MD&amp;A and elsewhere in this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and “Overview of the Three and Six Months Ended July 31, 2015” and “Business Outlook” below, anticipated future net revenue, future GAAP and non-GAAP (loss) income per share, operating margin, operating expenses, billings, other future financial results (by product type and geography) and subscriptions, the effectiveness of our efforts to successfully manage transitions to new business models and markets, our expectations regarding the continued transition of our business model, our ability to increase our subscription base, expected market trends, including the growth of cloud, mobile and social computing, the effect of unemployment and availability of credit, the effects of mixed global economic conditions, the effects of revenue recognition, our backlog, expected trends in certain financial metrics, including expenses, the impact of acquisitions and investment activities, expectations regarding our cash needs, the effects of fluctuations in exchange rates and our hedging activities on our financial results, our ability to successfully expand adoption of our products, our ability to gain market acceptance of new businesses and sales initiatives, our ability to successfully increase sales of product suites as part of our overall sales strategy, and the impact of economic volatility and geopolitical activities in certain countries, particularly emerging economy countries, the effects of potential non-cash charges on our financial results; and the resulting effect on our financial results. In addition, forward-looking statements also consist of statements involving expectations regarding product capability and acceptance, continuation of our stock repurchase program,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Form 10-Q and are subject to business and economic risks. As such, our actual results could differ materially from those set forth in the forward-looking statements as a result of the factors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10-Q appears at the end of this 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Autodesk’s vision is to help people imagine, design, and create a better world. We do this by developing software and services for the world’s designers, architects, engineers, digital artists, professionals, and non-professionals alike—the people who imagine, design, and create the world's products, buildings, infrastructure, films, and games. Autodesk serves professional customers in three primary markets: architecture, engineering, and construction; manufacturing; and digital media and entertainment.</w:t>
      </w:r>
    </w:p>
    <w:p>
      <w:pPr>
        <w:spacing w:after="0" w:line="18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goal is to provide our customers with the world’s most innovative, and engaging design software and services. Our product and services portfolio allows our customers to digitally visualize, simulate, and analyze their projects, helping them to better understand the consequences of their design decisions; save time, money, and resources; and become more innovative.</w:t>
      </w:r>
    </w:p>
    <w:p>
      <w:pPr>
        <w:spacing w:after="0" w:line="18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Autodesk was founded during the platform transition from mainframes and engineering workstations to personal computers. We developed and sustained a compelling value proposition based upon desktop software for the personal computer. Just as the transition from mainframes to personal computers transformed the industry over 30 years ago, we believe our industry is undergoing a similar transition from the personal computer to cloud, social, and mobile computing. To address this transition we have accelerated our move to the cloud and mobile devices and are offering more flexible licensing. For example, Autodesk BIM 360, PLM 360, Fusion 360, and AutoCAD360 Pro, some of our cloud based offerings, provide tools, including social and mobile capabilities, to help streamline design, collaboration, and data management processes. We believe that customer adoption of these new offerings will continue to grow as customers across a range of industries begin to take advantage of the scalable computing power and flexibility provided through these new services.</w:t>
      </w:r>
    </w:p>
    <w:p>
      <w:pPr>
        <w:spacing w:after="0" w:line="192"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Our strategy is to lead our customers and the industries they serve to the new cloud and mobile platforms. This entails both a technological shift and a business model shift. We now have term-based license offerings, including term-based desktop subscriptions, for certain products. These offerings are designed to give our customers even more flexibility with how they use our products and service offerings and to address new types of customers such as project-based users and small businesses. As part of this transition, we discontinued upgrades effective March 6, 2015. On February 4, 2015, we announced that new</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0" w:right="259" w:bottom="1440" w:gutter="0" w:footer="0" w:header="0"/>
        </w:sectPr>
      </w:pPr>
    </w:p>
    <w:bookmarkStart w:id="27" w:name="page28"/>
    <w:bookmarkEnd w:id="27"/>
    <w:p>
      <w:pPr>
        <w:ind w:right="200"/>
        <w:spacing w:after="0" w:line="277" w:lineRule="auto"/>
        <w:rPr>
          <w:sz w:val="20"/>
          <w:szCs w:val="20"/>
          <w:color w:val="auto"/>
        </w:rPr>
      </w:pPr>
      <w:r>
        <w:rPr>
          <w:rFonts w:ascii="Arial" w:cs="Arial" w:eastAsia="Arial" w:hAnsi="Arial"/>
          <w:sz w:val="18"/>
          <w:szCs w:val="18"/>
          <w:color w:val="auto"/>
        </w:rPr>
        <w:t>commercial seats of most standalone software products will be available only by desktop subscription beginning February 1, 2016. Additionally, we plan to discontinue selling new perpetual licenses for suites during fiscal 2017.</w:t>
      </w:r>
    </w:p>
    <w:p>
      <w:pPr>
        <w:spacing w:after="0" w:line="170" w:lineRule="exact"/>
        <w:rPr>
          <w:sz w:val="20"/>
          <w:szCs w:val="20"/>
          <w:color w:val="auto"/>
        </w:rPr>
      </w:pPr>
    </w:p>
    <w:p>
      <w:pPr>
        <w:ind w:right="260" w:firstLine="405"/>
        <w:spacing w:after="0" w:line="286" w:lineRule="auto"/>
        <w:rPr>
          <w:sz w:val="20"/>
          <w:szCs w:val="20"/>
          <w:color w:val="auto"/>
        </w:rPr>
      </w:pPr>
      <w:r>
        <w:rPr>
          <w:rFonts w:ascii="Arial" w:cs="Arial" w:eastAsia="Arial" w:hAnsi="Arial"/>
          <w:sz w:val="17"/>
          <w:szCs w:val="17"/>
          <w:color w:val="auto"/>
        </w:rPr>
        <w:t>As a result of business model transition, we expect to increase our subscription base and customer value, which we believe will help drive billings growth. During the transition, billings, revenue, gross margin, operating margin, EPS, deferred revenue, and cash flow from operations will be impacted as more revenue is recognized ratably rather than up front and as new offerings bring a wider variety of price points.</w:t>
      </w:r>
    </w:p>
    <w:p>
      <w:pPr>
        <w:spacing w:after="0" w:line="166"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For the past three years, suites have been an important area to our overall strategy. As our customers in all industries adopt our design suites, we believe they will experience an increase in their productivity and the value of their design data. As a percentage of revenue, suites consisted of 37% of our net revenue for both the three and six months ended July 31, 2015 as compared to 36% of our net revenue for both the three and six months ended July 31, 2014.</w:t>
      </w:r>
    </w:p>
    <w:p>
      <w:pPr>
        <w:spacing w:after="0" w:line="147"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Another key element of our growth strategy is increasing our global penetration. Much of the growth in the world’s construction and manufacturing is happening in emerging economies. Emerging economies face many of the challenges that our design technology can help address, including infrastructure build-out and innovative design and manufacturing. However, conducting business in these countries presents significant challenges, including economic volatility, geopolitical risk, local competition, limited intellectual property protection, poorly developed business infrastructure, scarcity of talent, software piracy, and different purchase patterns as compared to the developed world. Revenue from emerging countries decreased 7% and increased 4% during the three and six months ended July 31, 2015, respectively, as compared to the same periods in the prior fiscal year. Revenue from emerging economies represented 15% of our total revenue for both the three and six months ended July 31, 2015 and represented 15% and 14% for the three and six months ended July 31, 2014, respectively.</w:t>
      </w:r>
    </w:p>
    <w:p>
      <w:pPr>
        <w:spacing w:after="0" w:line="192"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Today, complex challenges such as globalization, urbanization, and sustainable design are driving our customers to new levels of performance and competitiveness, and we are committed to helping them address those challenges and take advantage of new opportunities. To achieve these goals, we are capitalizing on two of our strongest competitive advantages: our ability to bring advanced technology to mainstream markets, and the breadth and depth of our product portfolio.</w:t>
      </w:r>
    </w:p>
    <w:p>
      <w:pPr>
        <w:spacing w:after="0" w:line="18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bring powerful new design capabilities to volume markets. Our products are designed to be easy-to-learn and use, and to provide customers with a low cost of deployment, a low total cost of access to our software offerings, and a rapid return on investment. In addition, our software architecture allows for extensibility and integration with other products. The breadth of our technology and product line gives us a unique competitive advantage, because it allows our customers to address a wide variety of problems in ways that transcend industry and disciplinary boundaries. This is particularly important in helping our customers address the complex challenges mentioned above. We also believe that our technological leadership and global brand recognition have positioned us well for long-term growth and industry leadership.</w:t>
      </w:r>
    </w:p>
    <w:p>
      <w:pPr>
        <w:spacing w:after="0" w:line="193"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In addition to the competitive advantages afforded by our technology, our large global network of distributors, resellers, third-party developers, customers, educational institutions, educators, and students is a key competitive advantage. This network of partners and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our products and extend them for a variety of specialized applications.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Autodesk is committed to helping fuel a lifelong passion for design in students of all ages. We offer free educational licenses of Autodesk</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software worldwide to students, educators, and educational institutions. In fiscal 2016, we initiated Project Ignite, a free and open learning platform delivering a unique package of technology, learning content, and services created specifically to bring the Maker Movement into the classroom. The Project Ignite learning platform additionally offers classroom bundles, which include hardware such as 3D printers and electronics kits along with professional development and training services to help educators. Targeting both the secondary and postsecondary school markets, we collaborate with educators, institutions and partners that encourage design learning and further Science, Technology, Engineering, Digital Arts, and Math (STEAM) education initiatives. Through Autodesk Design Academy, we provide hundreds of standards-aligned class projects to support design-based disciplines in STEAM while using Autodesk's professional-grade 3D design, engineering and entertainment software used in industry. Beginning in the second quarter of the current fiscal year, we have also made Autodesk Design Academy curricula available on iTunes U. Our intention is to make Autodesk software the ubiquitous design software of choice for those poised to become the next generation of professional users.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ind w:right="340" w:firstLine="432"/>
        <w:spacing w:after="0" w:line="257"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continue to acquire products, technology, and businesses as compelling opportunities become available.</w:t>
      </w:r>
    </w:p>
    <w:p>
      <w:pPr>
        <w:spacing w:after="0" w:line="188"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Our strategy depends upon a number of assumptions to successfully make the transition toward new cloud and mobile platforms, including the related technology and business model shifts; making our technology available to mainstream markets; leveraging our large global network of distributors, resellers, third-party developers, customers, educational institutions, and students; improving the performance and functionality of our products;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in our Form 10-K for the fiscal year ended January 31, 2015. In addition, we highlighted those policies that involve a higher degree of judgment and complexity with further discussion in Item 7, “Management’s Discussion and Analysis of Financial Condition and Results of Operations” in our Form 10-K. We believe these policies are the most critical to aid in fully understanding and evaluating our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Three and Six Months Ended July 31, 2015 and 2014</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Three Months Ended July</w:t>
            </w:r>
          </w:p>
        </w:tc>
        <w:tc>
          <w:tcPr>
            <w:tcW w:w="100" w:type="dxa"/>
            <w:vAlign w:val="bottom"/>
          </w:tcPr>
          <w:p>
            <w:pPr>
              <w:spacing w:after="0"/>
              <w:rPr>
                <w:sz w:val="14"/>
                <w:szCs w:val="14"/>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As a % of Net</w:t>
            </w: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Three Months Ended July</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As a % of Net</w:t>
            </w:r>
          </w:p>
        </w:tc>
      </w:tr>
      <w:tr>
        <w:trPr>
          <w:trHeight w:val="192"/>
        </w:trPr>
        <w:tc>
          <w:tcPr>
            <w:tcW w:w="42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31, 2015</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31, 2014</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r>
      <w:tr>
        <w:trPr>
          <w:trHeight w:val="236"/>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609.5</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637.1</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420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120" w:type="dxa"/>
            <w:vAlign w:val="bottom"/>
          </w:tcPr>
          <w:p>
            <w:pPr>
              <w:spacing w:after="0"/>
              <w:rPr>
                <w:sz w:val="20"/>
                <w:szCs w:val="20"/>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93.0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87.9</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3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516.5</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549.2</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37"/>
        </w:trPr>
        <w:tc>
          <w:tcPr>
            <w:tcW w:w="420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20"/>
                <w:szCs w:val="20"/>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512.2</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499.3</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78%</w:t>
            </w:r>
          </w:p>
        </w:tc>
      </w:tr>
      <w:tr>
        <w:trPr>
          <w:trHeight w:val="33"/>
        </w:trPr>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4.3</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49.9</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84"/>
        </w:trPr>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53"/>
        </w:trPr>
        <w:tc>
          <w:tcPr>
            <w:tcW w:w="4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80" w:type="dxa"/>
            <w:vAlign w:val="bottom"/>
            <w:shd w:val="clear" w:color="auto" w:fill="CCEEFF"/>
          </w:tcPr>
          <w:p>
            <w:pPr>
              <w:jc w:val="right"/>
              <w:ind w:right="41"/>
              <w:spacing w:after="0" w:line="153" w:lineRule="exact"/>
              <w:rPr>
                <w:sz w:val="20"/>
                <w:szCs w:val="20"/>
                <w:color w:val="auto"/>
              </w:rPr>
            </w:pPr>
            <w:r>
              <w:rPr>
                <w:rFonts w:ascii="Arial" w:cs="Arial" w:eastAsia="Arial" w:hAnsi="Arial"/>
                <w:sz w:val="14"/>
                <w:szCs w:val="14"/>
                <w:b w:val="1"/>
                <w:bCs w:val="1"/>
                <w:color w:val="auto"/>
                <w:w w:val="93"/>
              </w:rPr>
              <w:t>Six Months Ended July</w:t>
            </w:r>
          </w:p>
        </w:tc>
        <w:tc>
          <w:tcPr>
            <w:tcW w:w="10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As a % of Net</w:t>
            </w:r>
          </w:p>
        </w:tc>
        <w:tc>
          <w:tcPr>
            <w:tcW w:w="120" w:type="dxa"/>
            <w:vAlign w:val="bottom"/>
            <w:shd w:val="clear" w:color="auto" w:fill="CCEEFF"/>
          </w:tcPr>
          <w:p>
            <w:pPr>
              <w:spacing w:after="0"/>
              <w:rPr>
                <w:sz w:val="13"/>
                <w:szCs w:val="13"/>
                <w:color w:val="auto"/>
              </w:rPr>
            </w:pPr>
          </w:p>
        </w:tc>
        <w:tc>
          <w:tcPr>
            <w:tcW w:w="1580" w:type="dxa"/>
            <w:vAlign w:val="bottom"/>
            <w:shd w:val="clear" w:color="auto" w:fill="CCEEFF"/>
          </w:tcPr>
          <w:p>
            <w:pPr>
              <w:jc w:val="right"/>
              <w:ind w:right="41"/>
              <w:spacing w:after="0" w:line="153" w:lineRule="exact"/>
              <w:rPr>
                <w:sz w:val="20"/>
                <w:szCs w:val="20"/>
                <w:color w:val="auto"/>
              </w:rPr>
            </w:pPr>
            <w:r>
              <w:rPr>
                <w:rFonts w:ascii="Arial" w:cs="Arial" w:eastAsia="Arial" w:hAnsi="Arial"/>
                <w:sz w:val="14"/>
                <w:szCs w:val="14"/>
                <w:b w:val="1"/>
                <w:bCs w:val="1"/>
                <w:color w:val="auto"/>
                <w:w w:val="93"/>
              </w:rPr>
              <w:t>Six Months Ended July</w:t>
            </w: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b w:val="1"/>
                <w:bCs w:val="1"/>
                <w:color w:val="auto"/>
                <w:w w:val="93"/>
              </w:rPr>
              <w:t>As a % of Net</w:t>
            </w:r>
          </w:p>
        </w:tc>
      </w:tr>
      <w:tr>
        <w:trPr>
          <w:trHeight w:val="198"/>
        </w:trPr>
        <w:tc>
          <w:tcPr>
            <w:tcW w:w="42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521"/>
              <w:spacing w:after="0"/>
              <w:rPr>
                <w:sz w:val="20"/>
                <w:szCs w:val="20"/>
                <w:color w:val="auto"/>
              </w:rPr>
            </w:pPr>
            <w:r>
              <w:rPr>
                <w:rFonts w:ascii="Arial" w:cs="Arial" w:eastAsia="Arial" w:hAnsi="Arial"/>
                <w:sz w:val="14"/>
                <w:szCs w:val="14"/>
                <w:b w:val="1"/>
                <w:bCs w:val="1"/>
                <w:color w:val="auto"/>
              </w:rPr>
              <w:t>31, 2015</w:t>
            </w:r>
          </w:p>
        </w:tc>
        <w:tc>
          <w:tcPr>
            <w:tcW w:w="100" w:type="dxa"/>
            <w:vAlign w:val="bottom"/>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521"/>
              <w:spacing w:after="0"/>
              <w:rPr>
                <w:sz w:val="20"/>
                <w:szCs w:val="20"/>
                <w:color w:val="auto"/>
              </w:rPr>
            </w:pPr>
            <w:r>
              <w:rPr>
                <w:rFonts w:ascii="Arial" w:cs="Arial" w:eastAsia="Arial" w:hAnsi="Arial"/>
                <w:sz w:val="14"/>
                <w:szCs w:val="14"/>
                <w:b w:val="1"/>
                <w:bCs w:val="1"/>
                <w:color w:val="auto"/>
              </w:rPr>
              <w:t>31, 2014</w:t>
            </w:r>
          </w:p>
        </w:tc>
        <w:tc>
          <w:tcPr>
            <w:tcW w:w="100" w:type="dxa"/>
            <w:vAlign w:val="bottom"/>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Revenue</w:t>
            </w:r>
          </w:p>
        </w:tc>
      </w:tr>
      <w:tr>
        <w:trPr>
          <w:trHeight w:val="217"/>
        </w:trPr>
        <w:tc>
          <w:tcPr>
            <w:tcW w:w="4200" w:type="dxa"/>
            <w:vAlign w:val="bottom"/>
          </w:tcPr>
          <w:p>
            <w:pPr>
              <w:ind w:left="40"/>
              <w:spacing w:after="0"/>
              <w:rPr>
                <w:sz w:val="20"/>
                <w:szCs w:val="20"/>
                <w:color w:val="auto"/>
              </w:rPr>
            </w:pPr>
            <w:r>
              <w:rPr>
                <w:rFonts w:ascii="Arial" w:cs="Arial" w:eastAsia="Arial" w:hAnsi="Arial"/>
                <w:sz w:val="16"/>
                <w:szCs w:val="16"/>
                <w:color w:val="auto"/>
              </w:rPr>
              <w:t>Net Revenue</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1,256.0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1,229.6</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33"/>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revenue</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184.8</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166.6</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7"/>
        </w:trPr>
        <w:tc>
          <w:tcPr>
            <w:tcW w:w="42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1,071.2</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1,063.0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86%</w:t>
            </w:r>
          </w:p>
        </w:tc>
      </w:tr>
      <w:tr>
        <w:trPr>
          <w:trHeight w:val="33"/>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expenses</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1,045.4</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970.9</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44"/>
        </w:trPr>
        <w:tc>
          <w:tcPr>
            <w:tcW w:w="420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25.8</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92.1</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20"/>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During the three months ended July 31, 2015, as compared to the same period in the prior fiscal year, net revenue, gross profit and income from operations decreased 4%, 6% and 91%, respectively. During the six months ended July 31, 2015, as compared to the same period in the prior fiscal year, net revenue increased 2% and gross profit increased 1%, while income from operations decreased 72%.</w:t>
      </w:r>
    </w:p>
    <w:p>
      <w:pPr>
        <w:spacing w:after="0" w:line="18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Our business experienced mixed results year-over-year as license and other revenue decreased and subscription revenue increased year-over-year during both the three and six months ended July 31, 2015. Areas of growth year-over-year included increases in our Architecture, Engineering, and Construction ("AEC"), and Manufacturing ("MFG") segments, a few of our major products, particularly our enterprise flexible license agreements and Building Design Suite, and the Americas geographic area. Additionally, our results benefited from the inclusion of six months of Delcam operating results during the six months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jc w:val="both"/>
        <w:ind w:right="60"/>
        <w:spacing w:after="0" w:line="264" w:lineRule="auto"/>
        <w:rPr>
          <w:sz w:val="20"/>
          <w:szCs w:val="20"/>
          <w:color w:val="auto"/>
        </w:rPr>
      </w:pPr>
      <w:r>
        <w:rPr>
          <w:rFonts w:ascii="Arial" w:cs="Arial" w:eastAsia="Arial" w:hAnsi="Arial"/>
          <w:sz w:val="18"/>
          <w:szCs w:val="18"/>
          <w:color w:val="auto"/>
        </w:rPr>
        <w:t>ended July 31, 2015, compared to four months of Delcam operating results during the six months ended July 31, 2014. Offsetting these areas of growth were year-over-year declines in our Platform Solutions and Emerging Business (“PSEB”) segment, many of our major products, particularly AutoCAD LT, and the Asia Pacific ("APAC") geographic area.</w:t>
      </w:r>
    </w:p>
    <w:p>
      <w:pPr>
        <w:spacing w:after="0" w:line="181"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Income from operations during the three and six months ended July 31, 2015 was negatively impacted by increased spend primarily from higher employee-related and cloud-related costs.</w:t>
      </w:r>
    </w:p>
    <w:p>
      <w:pPr>
        <w:spacing w:after="0" w:line="170" w:lineRule="exact"/>
        <w:rPr>
          <w:sz w:val="20"/>
          <w:szCs w:val="20"/>
          <w:color w:val="auto"/>
        </w:rPr>
      </w:pPr>
    </w:p>
    <w:p>
      <w:pPr>
        <w:jc w:val="both"/>
        <w:ind w:right="440" w:firstLine="405"/>
        <w:spacing w:after="0" w:line="286" w:lineRule="auto"/>
        <w:rPr>
          <w:sz w:val="20"/>
          <w:szCs w:val="20"/>
          <w:color w:val="auto"/>
        </w:rPr>
      </w:pPr>
      <w:r>
        <w:rPr>
          <w:rFonts w:ascii="Arial" w:cs="Arial" w:eastAsia="Arial" w:hAnsi="Arial"/>
          <w:sz w:val="17"/>
          <w:szCs w:val="17"/>
          <w:color w:val="auto"/>
        </w:rPr>
        <w:t>At July 31, 2015 and 2014, our total subscriptions were 2.39 million and 2.01 million, respectively. Year-over-year subscription growth was led by maintenance and desktop license subscriptions. Recurring revenue during the three and six months ended July 31, 2015 was 55% and 53%, respectively. Recurring revenue during the three and six months ended July 31, 2014 was 44% and 45%, respectively.</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drivers of these results are discussed below under the heading “Results from Operations.”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Analysis</w:t>
      </w:r>
    </w:p>
    <w:p>
      <w:pPr>
        <w:spacing w:after="0" w:line="225"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Revenue from flagship products was 45% of net revenue during both the three and six months ended July 31, 2015. Revenue from flagship products decreased 11% and 6% during the three and six months ended July 31, 2015, respectively, as compared to the same periods in the prior fiscal year. Revenue from suites was 37% of net revenue for both the three and six months ended July 31, 2015. Revenue from suites decreased 3% and increased 5% for the three and six months ended July 31, 2015, respectively, as compared to the same periods in the prior fiscal year. Revenue from new and adjacent products was 18% and 17% of net revenue for the three and six months ended July 31, 2015, respectively. Revenue from new and adjacent products increased 13% and 21% for the three and six months ended July 31, 2015, respectively, as compared to the same periods in the prior fiscal year.</w:t>
      </w:r>
    </w:p>
    <w:p>
      <w:pPr>
        <w:spacing w:after="0" w:line="165"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We rely significantly upon major distributors and resellers in both the U.S. and international regions, including Tech Data Corporation and its global affiliates (collectively, “Tech Data”). Tech Data accounted for 23% and 25% of Autodesk’s total net revenue for the three and six months ended July 31, 2015, as compared to 26% for both the three and six months ended July 31, 2014. Our customers through Tech Data are the resellers and end users who purchase our software licenses and services. Should any of the agreements between Tech Data and us be terminated for any reason, we believe the resellers and end users who currently purchase our products through Tech Data would be able to continue to do so under substantially the same terms from one of our many other distributors without substantial disruption to our revenue. Consequently, we believe our business is not substantially dependent on Tech Data.</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Margin Analysis</w:t>
      </w:r>
    </w:p>
    <w:p>
      <w:pPr>
        <w:spacing w:after="0" w:line="22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Income from operations decreased 91% in the three months ended July 31, 2015 due to a $12.9 million or 3% increase in our operating expenses and a $5.1 million or 6% increase in cost of revenue, as compared to the same period in the prior fiscal year. Contributing to the decrease in our income from operations was a $27.6 million or 4% decrease in net revenue, as compared to the same period in the prior fiscal year. Our operating margin decreased to 1% for the three months ended July 31, 2015 from 8% for the three months ended July 31, 2014.</w:t>
      </w:r>
    </w:p>
    <w:p>
      <w:pPr>
        <w:spacing w:after="0" w:line="18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Income from operations decreased 72% in the six months ended July 31, 2015 due to a $74.5 million or 8% increase in our operating expenses and an $18.2 million or 11% increase in cost of revenue, as compared to the same period in the prior fiscal year. Partially offsetting the increase in our spend was a $26.4 million or 2% increase in net revenue, as compared to the same period in the prior fiscal year. Our operating margin decreased to 2% for the six months ended July 31, 2015 from 7% for the six months ended July 31, 2014.</w:t>
      </w:r>
    </w:p>
    <w:p>
      <w:pPr>
        <w:spacing w:after="0" w:line="18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increase in operating expenses and the corresponding decrease in operating margin during the three and six months ended July 31, 2015 were driven by an increase in employee-related costs resulting from an increase in headcount as a result of our continued support of the business model transition. Additionally, expenses increased on the inclusion of six months of Delcam operating results during the six months ended July 31, 2015, compared to four months of Delcam operating results during the six months ended July 31, 2014.</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Further discussion regarding the cost of goods sold and operating expense activities are discussed below under the heading “Results of Operations.”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ind w:left="220"/>
        <w:spacing w:after="0"/>
        <w:rPr>
          <w:sz w:val="20"/>
          <w:szCs w:val="20"/>
          <w:color w:val="auto"/>
        </w:rPr>
      </w:pPr>
      <w:r>
        <w:rPr>
          <w:rFonts w:ascii="Arial" w:cs="Arial" w:eastAsia="Arial" w:hAnsi="Arial"/>
          <w:sz w:val="18"/>
          <w:szCs w:val="18"/>
          <w:i w:val="1"/>
          <w:iCs w:val="1"/>
          <w:color w:val="auto"/>
        </w:rPr>
        <w:t>Foreign Currency Analysis</w:t>
      </w:r>
    </w:p>
    <w:p>
      <w:pPr>
        <w:spacing w:after="0" w:line="225"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We generate a significant amount of our revenue in the U.S., Japan, Germany, France, and the United Kingdom. Our revenue was negatively impacted by foreign exchange rate changes during the three and six months ended July 31, 2015 as compared to the same periods in the prior fiscal year. Had applicable exchange rates from the three and six months ended July 31, 2014 been in effect during the three and six months ended July 31, 2015 and had we excluded foreign exchange hedge gains and losses from the three and six months ended July 31, 2015, net revenue would have remained flat and increased 6% on a constant currency basis during the three and six months ended July 31, 2015, respectively, as compared to the same periods in the prior fiscal year.</w:t>
      </w:r>
    </w:p>
    <w:p>
      <w:pPr>
        <w:spacing w:after="0" w:line="158"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Our total spend, defined as cost of revenue plus operating expenses, during the three and six months ended July 31, 2015 increased 3% and 8%, respectively, on an as reported basis as compared to the same periods in the prior fiscal year. Had applicable exchange rates from the three and six months ended July 31, 2014 been in effect during the three and six months ended July 31, 2015 and had we excluded foreign exchange hedge gains and losses from the three and six months ended July 31, 2015, total spend would have increased 7% and 12%, respectively, on a constant currency basis compared to the same periods in the prior fiscal year.</w:t>
      </w:r>
    </w:p>
    <w:p>
      <w:pPr>
        <w:spacing w:after="0" w:line="188"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Changes in the value of the U.S. dollar may have a significant effect on net revenue, total spend, and income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Balance Sheet and Cash Flow Items</w:t>
      </w:r>
    </w:p>
    <w:p>
      <w:pPr>
        <w:spacing w:after="0" w:line="225"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At July 31, 2015, we had $3.0 billion in cash and marketable securities. This amount includes the aggregate net proceeds of $742.0 million, after deducting the underwriting discounts and related offering expenses, from our June 2015 registered underwritten public offering of $450.0 million aggregate principal amount of 3.125% notes due June 15, 2020 and $300.0 million aggregate principal amount of 4.375% notes due June 15, 2025. We completed the six months ended July 31, 2015 with lower accounts receivable and higher deferred revenue balances as compared to the fiscal year ended January 31, 2015. Our deferred revenue balance at July 31, 2015 was $1.2 billion and included $1.0 billion of deferred subscription revenue primarily related to customer maintenance contracts, which will be recognized as revenue ratably over the life of the contracts. The term of our maintenance contracts is typically between one and three years. Our cash flow from operations decreased 48% to $163.7 million as of July 31, 2015 from $314.9 million at July 31, 2014. We repurchased 2.1 million shares of our common stock for $112.3 million during the three months ended July 31, 2015. Comparatively, we repurchased 1.9 million shares of our common stock for $101.8 million during the three months ended July 31, 2014. We repurchased 3.7 million shares of our common stock for $207.7 million during the six months ended July 31, 2015. Comparatively, we repurchased 3.9 million shares of our common stock for $204.3 million during the six months ended July 31, 2014. Further discussion regarding the balance sheet and cash flow activities are discussed below under the heading “Liquidity and Capital Resources.”</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Business Outlook</w:t>
      </w:r>
    </w:p>
    <w:p>
      <w:pPr>
        <w:spacing w:after="0" w:line="225"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Autodesk's business model is evolving. We continue to assess current business offerings including introducing more flexible license and service offerings that have ratable revenue streams. The accounting impact of these offerings and other business decisions are expected to result in an increase in the percentage of our ratable revenue, making for a more predictable business over time, while correspondingly reducing our upfront perpetual revenue stream. Over time, we expect our business model transition to expand our customer base by eliminating higher up-front licensing costs and providing more flexibility in how customers gain access to and pay for our products. We also expect our traditional perpetual license revenue to decline without a corresponding decrease in expenses over the next 12 to 24 months. In the future, we expect this business model transition will increase our long-term revenue growth rate by increasing total subscriptions and customer value over time.</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Q3 FY16 Guidance Metrics</w:t>
            </w:r>
          </w:p>
        </w:tc>
        <w:tc>
          <w:tcPr>
            <w:tcW w:w="6120" w:type="dxa"/>
            <w:vAlign w:val="bottom"/>
            <w:gridSpan w:val="2"/>
          </w:tcPr>
          <w:p>
            <w:pPr>
              <w:ind w:left="3560"/>
              <w:spacing w:after="0"/>
              <w:rPr>
                <w:sz w:val="20"/>
                <w:szCs w:val="20"/>
                <w:color w:val="auto"/>
              </w:rPr>
            </w:pPr>
            <w:r>
              <w:rPr>
                <w:rFonts w:ascii="Arial" w:cs="Arial" w:eastAsia="Arial" w:hAnsi="Arial"/>
                <w:sz w:val="14"/>
                <w:szCs w:val="14"/>
                <w:b w:val="1"/>
                <w:bCs w:val="1"/>
                <w:color w:val="auto"/>
                <w:w w:val="98"/>
              </w:rPr>
              <w:t>Three months ending October 31, 2015</w:t>
            </w:r>
          </w:p>
        </w:tc>
      </w:tr>
      <w:tr>
        <w:trPr>
          <w:trHeight w:val="24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(in millions)</w:t>
            </w:r>
          </w:p>
        </w:tc>
        <w:tc>
          <w:tcPr>
            <w:tcW w:w="4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$600</w:t>
            </w:r>
          </w:p>
        </w:tc>
      </w:tr>
      <w:tr>
        <w:trPr>
          <w:trHeight w:val="224"/>
        </w:trPr>
        <w:tc>
          <w:tcPr>
            <w:tcW w:w="2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6"/>
                <w:szCs w:val="16"/>
                <w:color w:val="auto"/>
              </w:rPr>
              <w:t>EPS GAAP</w:t>
            </w:r>
          </w:p>
        </w:tc>
        <w:tc>
          <w:tcPr>
            <w:tcW w:w="4700" w:type="dxa"/>
            <w:vAlign w:val="bottom"/>
          </w:tcPr>
          <w:p>
            <w:pPr>
              <w:jc w:val="right"/>
              <w:spacing w:after="0"/>
              <w:rPr>
                <w:sz w:val="20"/>
                <w:szCs w:val="20"/>
                <w:color w:val="auto"/>
              </w:rPr>
            </w:pPr>
            <w:r>
              <w:rPr>
                <w:rFonts w:ascii="Arial" w:cs="Arial" w:eastAsia="Arial" w:hAnsi="Arial"/>
                <w:sz w:val="16"/>
                <w:szCs w:val="16"/>
                <w:color w:val="auto"/>
              </w:rPr>
              <w:t>($0.23)</w:t>
            </w:r>
          </w:p>
        </w:tc>
        <w:tc>
          <w:tcPr>
            <w:tcW w:w="1420" w:type="dxa"/>
            <w:vAlign w:val="bottom"/>
          </w:tcPr>
          <w:p>
            <w:pPr>
              <w:ind w:left="20"/>
              <w:spacing w:after="0"/>
              <w:rPr>
                <w:sz w:val="20"/>
                <w:szCs w:val="20"/>
                <w:color w:val="auto"/>
              </w:rPr>
            </w:pPr>
            <w:r>
              <w:rPr>
                <w:rFonts w:ascii="Arial" w:cs="Arial" w:eastAsia="Arial" w:hAnsi="Arial"/>
                <w:sz w:val="16"/>
                <w:szCs w:val="16"/>
                <w:color w:val="auto"/>
              </w:rPr>
              <w:t>- ($0.18)</w:t>
            </w:r>
          </w:p>
        </w:tc>
      </w:tr>
      <w:tr>
        <w:trPr>
          <w:trHeight w:val="33"/>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EPS Non-GAAP (1)</w:t>
            </w:r>
          </w:p>
        </w:tc>
        <w:tc>
          <w:tcPr>
            <w:tcW w:w="4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$0.10</w:t>
            </w:r>
          </w:p>
        </w:tc>
      </w:tr>
      <w:tr>
        <w:trPr>
          <w:trHeight w:val="220"/>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_______________</w:t>
            </w:r>
          </w:p>
        </w:tc>
        <w:tc>
          <w:tcPr>
            <w:tcW w:w="470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ind w:right="160" w:firstLine="8"/>
        <w:spacing w:after="0" w:line="257" w:lineRule="auto"/>
        <w:tabs>
          <w:tab w:leader="none" w:pos="229"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Non-GAAP earnings per diluted share exclude $0.21 related to stock-based compensation expense and $0.07 for the amortization of acquisition related intangibles, net of tax.</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FY16 Guidance Metrics</w:t>
            </w:r>
          </w:p>
        </w:tc>
        <w:tc>
          <w:tcPr>
            <w:tcW w:w="5840" w:type="dxa"/>
            <w:vAlign w:val="bottom"/>
            <w:gridSpan w:val="2"/>
          </w:tcPr>
          <w:p>
            <w:pPr>
              <w:jc w:val="center"/>
              <w:ind w:left="3480"/>
              <w:spacing w:after="0"/>
              <w:rPr>
                <w:sz w:val="20"/>
                <w:szCs w:val="20"/>
                <w:color w:val="auto"/>
              </w:rPr>
            </w:pPr>
            <w:r>
              <w:rPr>
                <w:rFonts w:ascii="Arial" w:cs="Arial" w:eastAsia="Arial" w:hAnsi="Arial"/>
                <w:sz w:val="14"/>
                <w:szCs w:val="14"/>
                <w:b w:val="1"/>
                <w:bCs w:val="1"/>
                <w:color w:val="auto"/>
                <w:w w:val="92"/>
              </w:rPr>
              <w:t>Fiscal year ended January 31, 2016</w:t>
            </w:r>
          </w:p>
        </w:tc>
      </w:tr>
      <w:tr>
        <w:trPr>
          <w:trHeight w:val="243"/>
        </w:trPr>
        <w:tc>
          <w:tcPr>
            <w:tcW w:w="20" w:type="dxa"/>
            <w:vAlign w:val="bottom"/>
          </w:tcPr>
          <w:p>
            <w:pPr>
              <w:spacing w:after="0"/>
              <w:rPr>
                <w:sz w:val="21"/>
                <w:szCs w:val="21"/>
                <w:color w:val="auto"/>
              </w:rPr>
            </w:pPr>
          </w:p>
        </w:tc>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Billings growth (1)</w:t>
            </w:r>
          </w:p>
        </w:tc>
        <w:tc>
          <w:tcPr>
            <w:tcW w:w="4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- 4%</w:t>
            </w:r>
          </w:p>
        </w:tc>
      </w:tr>
      <w:tr>
        <w:trPr>
          <w:trHeight w:val="224"/>
        </w:trPr>
        <w:tc>
          <w:tcPr>
            <w:tcW w:w="2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auto"/>
              </w:rPr>
              <w:t>Revenue (in millions) (2)</w:t>
            </w:r>
          </w:p>
        </w:tc>
        <w:tc>
          <w:tcPr>
            <w:tcW w:w="4660" w:type="dxa"/>
            <w:vAlign w:val="bottom"/>
          </w:tcPr>
          <w:p>
            <w:pPr>
              <w:jc w:val="right"/>
              <w:spacing w:after="0"/>
              <w:rPr>
                <w:sz w:val="20"/>
                <w:szCs w:val="20"/>
                <w:color w:val="auto"/>
              </w:rPr>
            </w:pPr>
            <w:r>
              <w:rPr>
                <w:rFonts w:ascii="Arial" w:cs="Arial" w:eastAsia="Arial" w:hAnsi="Arial"/>
                <w:sz w:val="16"/>
                <w:szCs w:val="16"/>
                <w:color w:val="auto"/>
              </w:rPr>
              <w:t>$2,465</w:t>
            </w:r>
          </w:p>
        </w:tc>
        <w:tc>
          <w:tcPr>
            <w:tcW w:w="1180" w:type="dxa"/>
            <w:vAlign w:val="bottom"/>
          </w:tcPr>
          <w:p>
            <w:pPr>
              <w:ind w:left="20"/>
              <w:spacing w:after="0"/>
              <w:rPr>
                <w:sz w:val="20"/>
                <w:szCs w:val="20"/>
                <w:color w:val="auto"/>
              </w:rPr>
            </w:pPr>
            <w:r>
              <w:rPr>
                <w:rFonts w:ascii="Arial" w:cs="Arial" w:eastAsia="Arial" w:hAnsi="Arial"/>
                <w:sz w:val="16"/>
                <w:szCs w:val="16"/>
                <w:color w:val="auto"/>
              </w:rPr>
              <w:t>- $2,505</w:t>
            </w:r>
          </w:p>
        </w:tc>
      </w:tr>
      <w:tr>
        <w:trPr>
          <w:trHeight w:val="33"/>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GAAP operating margin</w:t>
            </w:r>
          </w:p>
        </w:tc>
        <w:tc>
          <w:tcPr>
            <w:tcW w:w="4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(1)%</w:t>
            </w:r>
          </w:p>
        </w:tc>
      </w:tr>
      <w:tr>
        <w:trPr>
          <w:trHeight w:val="224"/>
        </w:trPr>
        <w:tc>
          <w:tcPr>
            <w:tcW w:w="2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auto"/>
              </w:rPr>
              <w:t>Non-GAAP operating margin</w:t>
            </w:r>
          </w:p>
        </w:tc>
        <w:tc>
          <w:tcPr>
            <w:tcW w:w="5840" w:type="dxa"/>
            <w:vAlign w:val="bottom"/>
            <w:gridSpan w:val="2"/>
          </w:tcPr>
          <w:p>
            <w:pPr>
              <w:jc w:val="right"/>
              <w:ind w:right="739"/>
              <w:spacing w:after="0"/>
              <w:rPr>
                <w:sz w:val="20"/>
                <w:szCs w:val="20"/>
                <w:color w:val="auto"/>
              </w:rPr>
            </w:pPr>
            <w:r>
              <w:rPr>
                <w:rFonts w:ascii="Arial" w:cs="Arial" w:eastAsia="Arial" w:hAnsi="Arial"/>
                <w:sz w:val="16"/>
                <w:szCs w:val="16"/>
                <w:color w:val="auto"/>
              </w:rPr>
              <w:t>9% - 10%</w:t>
            </w:r>
          </w:p>
        </w:tc>
      </w:tr>
      <w:tr>
        <w:trPr>
          <w:trHeight w:val="33"/>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EPS GAAP (3)</w:t>
            </w:r>
          </w:p>
        </w:tc>
        <w:tc>
          <w:tcPr>
            <w:tcW w:w="4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($1.27)</w:t>
            </w:r>
          </w:p>
        </w:tc>
      </w:tr>
      <w:tr>
        <w:trPr>
          <w:trHeight w:val="224"/>
        </w:trPr>
        <w:tc>
          <w:tcPr>
            <w:tcW w:w="2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auto"/>
              </w:rPr>
              <w:t>EPS Non-GAAP (4)</w:t>
            </w:r>
          </w:p>
        </w:tc>
        <w:tc>
          <w:tcPr>
            <w:tcW w:w="4660" w:type="dxa"/>
            <w:vAlign w:val="bottom"/>
          </w:tcPr>
          <w:p>
            <w:pPr>
              <w:jc w:val="right"/>
              <w:spacing w:after="0"/>
              <w:rPr>
                <w:sz w:val="20"/>
                <w:szCs w:val="20"/>
                <w:color w:val="auto"/>
              </w:rPr>
            </w:pPr>
            <w:r>
              <w:rPr>
                <w:rFonts w:ascii="Arial" w:cs="Arial" w:eastAsia="Arial" w:hAnsi="Arial"/>
                <w:sz w:val="16"/>
                <w:szCs w:val="16"/>
                <w:color w:val="auto"/>
              </w:rPr>
              <w:t>$0.60</w:t>
            </w:r>
          </w:p>
        </w:tc>
        <w:tc>
          <w:tcPr>
            <w:tcW w:w="1180" w:type="dxa"/>
            <w:vAlign w:val="bottom"/>
          </w:tcPr>
          <w:p>
            <w:pPr>
              <w:ind w:left="20"/>
              <w:spacing w:after="0"/>
              <w:rPr>
                <w:sz w:val="20"/>
                <w:szCs w:val="20"/>
                <w:color w:val="auto"/>
              </w:rPr>
            </w:pPr>
            <w:r>
              <w:rPr>
                <w:rFonts w:ascii="Arial" w:cs="Arial" w:eastAsia="Arial" w:hAnsi="Arial"/>
                <w:sz w:val="16"/>
                <w:szCs w:val="16"/>
                <w:color w:val="auto"/>
              </w:rPr>
              <w:t>- $0.72</w:t>
            </w:r>
          </w:p>
        </w:tc>
      </w:tr>
      <w:tr>
        <w:trPr>
          <w:trHeight w:val="33"/>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subscription additions</w:t>
            </w:r>
          </w:p>
        </w:tc>
        <w:tc>
          <w:tcPr>
            <w:tcW w:w="4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375,000</w:t>
            </w:r>
          </w:p>
        </w:tc>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- 425,000</w:t>
            </w:r>
          </w:p>
        </w:tc>
      </w:tr>
      <w:tr>
        <w:trPr>
          <w:trHeight w:val="220"/>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_______________</w:t>
            </w:r>
          </w:p>
        </w:tc>
        <w:tc>
          <w:tcPr>
            <w:tcW w:w="4660" w:type="dxa"/>
            <w:vAlign w:val="bottom"/>
          </w:tcPr>
          <w:p>
            <w:pPr>
              <w:spacing w:after="0"/>
              <w:rPr>
                <w:sz w:val="19"/>
                <w:szCs w:val="19"/>
                <w:color w:val="auto"/>
              </w:rPr>
            </w:pPr>
          </w:p>
        </w:tc>
        <w:tc>
          <w:tcPr>
            <w:tcW w:w="1180" w:type="dxa"/>
            <w:vAlign w:val="bottom"/>
          </w:tcPr>
          <w:p>
            <w:pPr>
              <w:spacing w:after="0"/>
              <w:rPr>
                <w:sz w:val="19"/>
                <w:szCs w:val="19"/>
                <w:color w:val="auto"/>
              </w:rPr>
            </w:pPr>
          </w:p>
        </w:tc>
      </w:tr>
    </w:tbl>
    <w:p>
      <w:pPr>
        <w:ind w:left="240" w:hanging="232"/>
        <w:spacing w:after="0"/>
        <w:tabs>
          <w:tab w:leader="none" w:pos="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a constant currency basis, billings growth would be 9% - 11%.</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a constant currency basis, revenue growth would be 3% - 5%.</w:t>
      </w:r>
    </w:p>
    <w:p>
      <w:pPr>
        <w:spacing w:after="0" w:line="5" w:lineRule="exact"/>
        <w:rPr>
          <w:rFonts w:ascii="Arial" w:cs="Arial" w:eastAsia="Arial" w:hAnsi="Arial"/>
          <w:sz w:val="16"/>
          <w:szCs w:val="16"/>
          <w:color w:val="auto"/>
        </w:rPr>
      </w:pPr>
    </w:p>
    <w:p>
      <w:pPr>
        <w:ind w:right="540" w:firstLine="8"/>
        <w:spacing w:after="0" w:line="246" w:lineRule="auto"/>
        <w:tabs>
          <w:tab w:leader="none" w:pos="23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GAAP net loss per diluted share includes $0.94 related to the non-cash GAAP tax charge of $214 million to reduce U.S. deferred tax assets. The charge reflects the business model transition and resulting reduction in our pre-tax U.S. GAAP profitability.</w:t>
      </w:r>
    </w:p>
    <w:p>
      <w:pPr>
        <w:ind w:firstLine="8"/>
        <w:spacing w:after="0" w:line="257" w:lineRule="auto"/>
        <w:tabs>
          <w:tab w:leader="none" w:pos="23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Non-GAAP earnings per diluted share exclude $0.94 related to the non-cash GAAP tax charge to reduce U.S. deferred tax assets, $0.75 related to stock-based compensation expense, and $0.31 for the amortization of acquisition related intangibles, offset by $0.01 for gains on strategic investment, net of tax.</w:t>
      </w:r>
    </w:p>
    <w:p>
      <w:pPr>
        <w:spacing w:after="0" w:line="182"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We remain diligent about managing our spend while making essential investments to drive growth. If we are unable to successfully achieve our major business initiatives we may not achieve our financial goals.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Three Months</w:t>
            </w:r>
          </w:p>
        </w:tc>
        <w:tc>
          <w:tcPr>
            <w:tcW w:w="200" w:type="dxa"/>
            <w:vAlign w:val="bottom"/>
          </w:tcPr>
          <w:p>
            <w:pPr>
              <w:spacing w:after="0"/>
              <w:rPr>
                <w:sz w:val="14"/>
                <w:szCs w:val="14"/>
                <w:color w:val="auto"/>
              </w:rPr>
            </w:pPr>
          </w:p>
        </w:tc>
        <w:tc>
          <w:tcPr>
            <w:tcW w:w="17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Increase (Decrease)</w:t>
            </w:r>
          </w:p>
        </w:tc>
        <w:tc>
          <w:tcPr>
            <w:tcW w:w="100" w:type="dxa"/>
            <w:vAlign w:val="bottom"/>
          </w:tcPr>
          <w:p>
            <w:pPr>
              <w:spacing w:after="0"/>
              <w:rPr>
                <w:sz w:val="14"/>
                <w:szCs w:val="14"/>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4"/>
                <w:szCs w:val="14"/>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Six Months</w:t>
            </w:r>
          </w:p>
        </w:tc>
        <w:tc>
          <w:tcPr>
            <w:tcW w:w="220" w:type="dxa"/>
            <w:vAlign w:val="bottom"/>
          </w:tcPr>
          <w:p>
            <w:pPr>
              <w:spacing w:after="0"/>
              <w:rPr>
                <w:sz w:val="14"/>
                <w:szCs w:val="14"/>
                <w:color w:val="auto"/>
              </w:rPr>
            </w:pPr>
          </w:p>
        </w:tc>
        <w:tc>
          <w:tcPr>
            <w:tcW w:w="16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Increase (Decrease)</w:t>
            </w:r>
          </w:p>
        </w:tc>
        <w:tc>
          <w:tcPr>
            <w:tcW w:w="140" w:type="dxa"/>
            <w:vAlign w:val="bottom"/>
          </w:tcPr>
          <w:p>
            <w:pPr>
              <w:spacing w:after="0"/>
              <w:rPr>
                <w:sz w:val="14"/>
                <w:szCs w:val="14"/>
                <w:color w:val="auto"/>
              </w:rPr>
            </w:pPr>
          </w:p>
        </w:tc>
        <w:tc>
          <w:tcPr>
            <w:tcW w:w="98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compared to</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compared to</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3"/>
              </w:rPr>
              <w:t>prior fiscal year</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119"/>
              <w:spacing w:after="0"/>
              <w:rPr>
                <w:sz w:val="20"/>
                <w:szCs w:val="20"/>
                <w:color w:val="auto"/>
              </w:rPr>
            </w:pPr>
            <w:r>
              <w:rPr>
                <w:rFonts w:ascii="Arial" w:cs="Arial" w:eastAsia="Arial" w:hAnsi="Arial"/>
                <w:sz w:val="14"/>
                <w:szCs w:val="14"/>
                <w:b w:val="1"/>
                <w:bCs w:val="1"/>
                <w:color w:val="auto"/>
                <w:w w:val="93"/>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264"/>
        </w:trPr>
        <w:tc>
          <w:tcPr>
            <w:tcW w:w="284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July 31, 2015</w:t>
            </w:r>
          </w:p>
        </w:tc>
        <w:tc>
          <w:tcPr>
            <w:tcW w:w="200" w:type="dxa"/>
            <w:vAlign w:val="bottom"/>
          </w:tcPr>
          <w:p>
            <w:pPr>
              <w:spacing w:after="0"/>
              <w:rPr>
                <w:sz w:val="22"/>
                <w:szCs w:val="22"/>
                <w:color w:val="auto"/>
              </w:rPr>
            </w:pPr>
          </w:p>
        </w:tc>
        <w:tc>
          <w:tcPr>
            <w:tcW w:w="580" w:type="dxa"/>
            <w:vAlign w:val="bottom"/>
          </w:tcPr>
          <w:p>
            <w:pPr>
              <w:jc w:val="right"/>
              <w:ind w:right="341"/>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July 31, 2014</w:t>
            </w:r>
          </w:p>
        </w:tc>
        <w:tc>
          <w:tcPr>
            <w:tcW w:w="140" w:type="dxa"/>
            <w:vAlign w:val="bottom"/>
          </w:tcPr>
          <w:p>
            <w:pPr>
              <w:spacing w:after="0"/>
              <w:rPr>
                <w:sz w:val="22"/>
                <w:szCs w:val="2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July 31, 2015</w:t>
            </w:r>
          </w:p>
        </w:tc>
        <w:tc>
          <w:tcPr>
            <w:tcW w:w="220" w:type="dxa"/>
            <w:vAlign w:val="bottom"/>
          </w:tcPr>
          <w:p>
            <w:pPr>
              <w:spacing w:after="0"/>
              <w:rPr>
                <w:sz w:val="22"/>
                <w:szCs w:val="22"/>
                <w:color w:val="auto"/>
              </w:rPr>
            </w:pPr>
          </w:p>
        </w:tc>
        <w:tc>
          <w:tcPr>
            <w:tcW w:w="580" w:type="dxa"/>
            <w:vAlign w:val="bottom"/>
          </w:tcPr>
          <w:p>
            <w:pPr>
              <w:jc w:val="right"/>
              <w:ind w:right="281"/>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center"/>
              <w:ind w:right="61"/>
              <w:spacing w:after="0"/>
              <w:rPr>
                <w:sz w:val="20"/>
                <w:szCs w:val="20"/>
                <w:color w:val="auto"/>
              </w:rPr>
            </w:pPr>
            <w:r>
              <w:rPr>
                <w:rFonts w:ascii="Arial" w:cs="Arial" w:eastAsia="Arial" w:hAnsi="Arial"/>
                <w:sz w:val="14"/>
                <w:szCs w:val="14"/>
                <w:b w:val="1"/>
                <w:bCs w:val="1"/>
                <w:color w:val="auto"/>
                <w:w w:val="92"/>
              </w:rPr>
              <w:t>July 31, 2014</w:t>
            </w: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84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290.5</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(59.9)</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350.4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617.2</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(49.4)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666.6</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32.3</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11 %</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75.8</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563.0</w:t>
            </w:r>
          </w:p>
        </w:tc>
        <w:tc>
          <w:tcPr>
            <w:tcW w:w="0" w:type="dxa"/>
            <w:vAlign w:val="bottom"/>
          </w:tcPr>
          <w:p>
            <w:pPr>
              <w:spacing w:after="0"/>
              <w:rPr>
                <w:sz w:val="1"/>
                <w:szCs w:val="1"/>
                <w:color w:val="auto"/>
              </w:rPr>
            </w:pPr>
          </w:p>
        </w:tc>
      </w:tr>
      <w:tr>
        <w:trPr>
          <w:trHeight w:val="284"/>
        </w:trPr>
        <w:tc>
          <w:tcPr>
            <w:tcW w:w="284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609.5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100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637.1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1,256.0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26.4</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1,229.6</w:t>
            </w:r>
          </w:p>
        </w:tc>
        <w:tc>
          <w:tcPr>
            <w:tcW w:w="0" w:type="dxa"/>
            <w:vAlign w:val="bottom"/>
          </w:tcPr>
          <w:p>
            <w:pPr>
              <w:spacing w:after="0"/>
              <w:rPr>
                <w:sz w:val="1"/>
                <w:szCs w:val="1"/>
                <w:color w:val="auto"/>
              </w:rPr>
            </w:pPr>
          </w:p>
        </w:tc>
      </w:tr>
      <w:tr>
        <w:trPr>
          <w:trHeight w:val="184"/>
        </w:trPr>
        <w:tc>
          <w:tcPr>
            <w:tcW w:w="2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 by Geographic Area:</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840" w:type="dxa"/>
            <w:vAlign w:val="bottom"/>
          </w:tcPr>
          <w:p>
            <w:pPr>
              <w:ind w:left="380"/>
              <w:spacing w:after="0"/>
              <w:rPr>
                <w:sz w:val="20"/>
                <w:szCs w:val="20"/>
                <w:color w:val="auto"/>
              </w:rPr>
            </w:pPr>
            <w:r>
              <w:rPr>
                <w:rFonts w:ascii="Arial" w:cs="Arial" w:eastAsia="Arial" w:hAnsi="Arial"/>
                <w:sz w:val="16"/>
                <w:szCs w:val="16"/>
                <w:color w:val="auto"/>
              </w:rPr>
              <w:t>Americas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235.7</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12.4</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6 %</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223.3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479.7</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50.7</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429.0</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Europe, Middle East and Africa</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 %</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469.0</w:t>
            </w:r>
          </w:p>
        </w:tc>
        <w:tc>
          <w:tcPr>
            <w:tcW w:w="0" w:type="dxa"/>
            <w:vAlign w:val="bottom"/>
          </w:tcPr>
          <w:p>
            <w:pPr>
              <w:spacing w:after="0"/>
              <w:rPr>
                <w:sz w:val="1"/>
                <w:szCs w:val="1"/>
                <w:color w:val="auto"/>
              </w:rPr>
            </w:pPr>
          </w:p>
        </w:tc>
      </w:tr>
      <w:tr>
        <w:trPr>
          <w:trHeight w:val="237"/>
        </w:trPr>
        <w:tc>
          <w:tcPr>
            <w:tcW w:w="2840" w:type="dxa"/>
            <w:vAlign w:val="bottom"/>
          </w:tcPr>
          <w:p>
            <w:pPr>
              <w:ind w:left="380"/>
              <w:spacing w:after="0"/>
              <w:rPr>
                <w:sz w:val="20"/>
                <w:szCs w:val="20"/>
                <w:color w:val="auto"/>
              </w:rPr>
            </w:pPr>
            <w:r>
              <w:rPr>
                <w:rFonts w:ascii="Arial" w:cs="Arial" w:eastAsia="Arial" w:hAnsi="Arial"/>
                <w:sz w:val="16"/>
                <w:szCs w:val="16"/>
                <w:color w:val="auto"/>
              </w:rPr>
              <w:t>Asia Pacific</w:t>
            </w:r>
          </w:p>
        </w:tc>
        <w:tc>
          <w:tcPr>
            <w:tcW w:w="10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148.1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(22.2)</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170.3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305.2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331.6</w:t>
            </w:r>
          </w:p>
        </w:tc>
        <w:tc>
          <w:tcPr>
            <w:tcW w:w="0" w:type="dxa"/>
            <w:vAlign w:val="bottom"/>
          </w:tcPr>
          <w:p>
            <w:pPr>
              <w:spacing w:after="0"/>
              <w:rPr>
                <w:sz w:val="1"/>
                <w:szCs w:val="1"/>
                <w:color w:val="auto"/>
              </w:rPr>
            </w:pPr>
          </w:p>
        </w:tc>
      </w:tr>
      <w:tr>
        <w:trPr>
          <w:trHeight w:val="33"/>
        </w:trPr>
        <w:tc>
          <w:tcPr>
            <w:tcW w:w="28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609.5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637.1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1,256.0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26.4</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1,229.6</w:t>
            </w:r>
          </w:p>
        </w:tc>
        <w:tc>
          <w:tcPr>
            <w:tcW w:w="0" w:type="dxa"/>
            <w:vAlign w:val="bottom"/>
          </w:tcPr>
          <w:p>
            <w:pPr>
              <w:spacing w:after="0"/>
              <w:rPr>
                <w:sz w:val="1"/>
                <w:szCs w:val="1"/>
                <w:color w:val="auto"/>
              </w:rPr>
            </w:pPr>
          </w:p>
        </w:tc>
      </w:tr>
      <w:tr>
        <w:trPr>
          <w:trHeight w:val="20"/>
        </w:trPr>
        <w:tc>
          <w:tcPr>
            <w:tcW w:w="2840" w:type="dxa"/>
            <w:vAlign w:val="bottom"/>
            <w:vMerge w:val="restart"/>
          </w:tcPr>
          <w:p>
            <w:pPr>
              <w:ind w:left="40"/>
              <w:spacing w:after="0"/>
              <w:rPr>
                <w:sz w:val="20"/>
                <w:szCs w:val="20"/>
                <w:color w:val="auto"/>
              </w:rPr>
            </w:pPr>
            <w:r>
              <w:rPr>
                <w:rFonts w:ascii="Arial" w:cs="Arial" w:eastAsia="Arial" w:hAnsi="Arial"/>
                <w:sz w:val="16"/>
                <w:szCs w:val="16"/>
                <w:color w:val="auto"/>
              </w:rPr>
              <w:t>Net Revenue by Operating Segment:</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8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Architecture, Engineering and</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Construction</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233.4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15.5</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7 %</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217.9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470.1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56.7</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413.4</w:t>
            </w:r>
          </w:p>
        </w:tc>
        <w:tc>
          <w:tcPr>
            <w:tcW w:w="0" w:type="dxa"/>
            <w:vAlign w:val="bottom"/>
          </w:tcPr>
          <w:p>
            <w:pPr>
              <w:spacing w:after="0"/>
              <w:rPr>
                <w:sz w:val="1"/>
                <w:szCs w:val="1"/>
                <w:color w:val="auto"/>
              </w:rPr>
            </w:pPr>
          </w:p>
        </w:tc>
      </w:tr>
      <w:tr>
        <w:trPr>
          <w:trHeight w:val="220"/>
        </w:trPr>
        <w:tc>
          <w:tcPr>
            <w:tcW w:w="2840" w:type="dxa"/>
            <w:vAlign w:val="bottom"/>
          </w:tcPr>
          <w:p>
            <w:pPr>
              <w:ind w:left="380"/>
              <w:spacing w:after="0"/>
              <w:rPr>
                <w:sz w:val="20"/>
                <w:szCs w:val="20"/>
                <w:color w:val="auto"/>
              </w:rPr>
            </w:pPr>
            <w:r>
              <w:rPr>
                <w:rFonts w:ascii="Arial" w:cs="Arial" w:eastAsia="Arial" w:hAnsi="Arial"/>
                <w:sz w:val="16"/>
                <w:szCs w:val="16"/>
                <w:color w:val="auto"/>
              </w:rPr>
              <w:t>Platform Solutions and Emerging</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40" w:type="dxa"/>
            <w:vAlign w:val="bottom"/>
          </w:tcPr>
          <w:p>
            <w:pPr>
              <w:ind w:left="620"/>
              <w:spacing w:after="0"/>
              <w:rPr>
                <w:sz w:val="20"/>
                <w:szCs w:val="20"/>
                <w:color w:val="auto"/>
              </w:rPr>
            </w:pPr>
            <w:r>
              <w:rPr>
                <w:rFonts w:ascii="Arial" w:cs="Arial" w:eastAsia="Arial" w:hAnsi="Arial"/>
                <w:sz w:val="16"/>
                <w:szCs w:val="16"/>
                <w:color w:val="auto"/>
              </w:rPr>
              <w:t>Business</w:t>
            </w:r>
          </w:p>
        </w:tc>
        <w:tc>
          <w:tcPr>
            <w:tcW w:w="100" w:type="dxa"/>
            <w:vAlign w:val="bottom"/>
          </w:tcPr>
          <w:p>
            <w:pPr>
              <w:spacing w:after="0"/>
              <w:rPr>
                <w:sz w:val="17"/>
                <w:szCs w:val="17"/>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164.1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(43.4)</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207.5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349.4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(70.0)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419.4</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Manufacturing</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40.3</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315.5</w:t>
            </w:r>
          </w:p>
        </w:tc>
        <w:tc>
          <w:tcPr>
            <w:tcW w:w="0" w:type="dxa"/>
            <w:vAlign w:val="bottom"/>
          </w:tcPr>
          <w:p>
            <w:pPr>
              <w:spacing w:after="0"/>
              <w:rPr>
                <w:sz w:val="1"/>
                <w:szCs w:val="1"/>
                <w:color w:val="auto"/>
              </w:rPr>
            </w:pPr>
          </w:p>
        </w:tc>
      </w:tr>
      <w:tr>
        <w:trPr>
          <w:trHeight w:val="237"/>
        </w:trPr>
        <w:tc>
          <w:tcPr>
            <w:tcW w:w="2840" w:type="dxa"/>
            <w:vAlign w:val="bottom"/>
          </w:tcPr>
          <w:p>
            <w:pPr>
              <w:ind w:left="380"/>
              <w:spacing w:after="0"/>
              <w:rPr>
                <w:sz w:val="20"/>
                <w:szCs w:val="20"/>
                <w:color w:val="auto"/>
              </w:rPr>
            </w:pPr>
            <w:r>
              <w:rPr>
                <w:rFonts w:ascii="Arial" w:cs="Arial" w:eastAsia="Arial" w:hAnsi="Arial"/>
                <w:sz w:val="16"/>
                <w:szCs w:val="16"/>
                <w:color w:val="auto"/>
              </w:rPr>
              <w:t>Media and Entertainment</w:t>
            </w:r>
          </w:p>
        </w:tc>
        <w:tc>
          <w:tcPr>
            <w:tcW w:w="10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33"/>
        </w:trPr>
        <w:tc>
          <w:tcPr>
            <w:tcW w:w="28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609.5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637.1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1,256.0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26.4</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1,229.6</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License and Other Revenue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954" w:right="239" w:bottom="1440" w:gutter="0" w:footer="0" w:header="0"/>
        </w:sectPr>
      </w:pPr>
    </w:p>
    <w:bookmarkStart w:id="32" w:name="page33"/>
    <w:bookmarkEnd w:id="32"/>
    <w:p>
      <w:pPr>
        <w:jc w:val="both"/>
        <w:ind w:right="20" w:firstLine="405"/>
        <w:spacing w:after="0" w:line="259" w:lineRule="auto"/>
        <w:rPr>
          <w:sz w:val="20"/>
          <w:szCs w:val="20"/>
          <w:color w:val="auto"/>
        </w:rPr>
      </w:pPr>
      <w:r>
        <w:rPr>
          <w:rFonts w:ascii="Arial" w:cs="Arial" w:eastAsia="Arial" w:hAnsi="Arial"/>
          <w:sz w:val="18"/>
          <w:szCs w:val="18"/>
          <w:color w:val="auto"/>
        </w:rPr>
        <w:t>License and other revenue consists of two components: (1) all forms of product license revenue and (2) other revenue. Product license revenue includes software license revenue from the sale of perpetual licenses, term-based licenses from our desktop subscription and enterprise offerings, and product revenue for Creative Finishing. Other revenue includes revenue from consulting, training, and Creative Finishing customer support, and is recognized over time as the services are performed.</w:t>
      </w:r>
    </w:p>
    <w:p>
      <w:pPr>
        <w:spacing w:after="0" w:line="18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License and other revenue decreased 17% during the three months ended July 31, 2015, as compared to the three months ended July 31, 2014. This decrease was primarily due to a 20% decrease in product license revenue as compared to the same period in the prior fiscal year. The decrease in product license revenue was due to a 26% decrease in revenue from our flagship products and a 20% decrease in revenue from our suites products partially offset by a 32% increase in revenue from our new and adjacent products.</w:t>
      </w:r>
    </w:p>
    <w:p>
      <w:pPr>
        <w:spacing w:after="0" w:line="18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During the three months ended July 31, 2015, the 20% decrease in product license revenue was due to a 21% decrease in the average net revenue per seat, offset by a 2% increase in the number of seats sold. The wider price points associated with our current product offerings is contributing to our decrease in our average net revenue per seat. Product license revenue, as a percentage of license and other revenue, was 88% and 90% for the three months ended July 31, 2015 and 2014, respectively.</w:t>
      </w:r>
    </w:p>
    <w:p>
      <w:pPr>
        <w:spacing w:after="0" w:line="187"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During the three months ended July 31, 2015, other revenue represented 12% of license and other revenue, and 6% of total net revenue. Other revenue increased by 6% during the three months ended July 31, 2015, as compared to the three months ended July 31, 2014. The increase is primarily due to a 9% increase in revenue from consulting and a 25% increase in revenue from consumer products, partially offset by a decrease in education revenue as a result of our strategic transition to offer software licenses to students, educators, and institutions for little or no fees.</w:t>
      </w:r>
    </w:p>
    <w:p>
      <w:pPr>
        <w:spacing w:after="0" w:line="17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License and other revenue decreased 7% during the six months ended July 31, 2015, as compared to the six months ended July 31, 2014. This decrease was primarily due to a 9% decrease in product license revenue as compared to the same period in the prior fiscal year. The decrease in product license revenue was due to a 17% decrease in revenue from our flagship products and a 5% decrease in revenue from our suites products partially offset by a 44% increase in revenue from our new and adjacent products.</w:t>
      </w:r>
    </w:p>
    <w:p>
      <w:pPr>
        <w:spacing w:after="0" w:line="18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During the six months ended July 31, 2015, the 9% decrease in product license revenue was due to a 16% decrease in the average net revenue per seat, partially offset by a 7% increase in the number of seats sold. The wider price points associated with our current product offerings is contributing to our decrease in our average net revenue per seat. Product license revenue, as a percentage of license and other revenue, was 89% and 91% for the six months ended July 31, 2015 and 2014, respectively.</w:t>
      </w:r>
    </w:p>
    <w:p>
      <w:pPr>
        <w:spacing w:after="0" w:line="187"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During the six months ended July 31, 2015, other revenue represented 11% of license and other revenue, and 6% of total net revenue. Other revenue increased by 11% during the six months ended July 31, 2015, as compared to the six months ended July 31, 2014. The increase is primarily due to a 12% increase in revenue from consulting, and a 30% increase in revenue from consumer products, partially offset by a decrease in education revenue as a result of our strategic transition to offer software licenses to students, educators, and institutions for little or no fees.</w:t>
      </w:r>
    </w:p>
    <w:p>
      <w:pPr>
        <w:spacing w:after="0" w:line="171"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Backlog related to current software license product orders that had not shipped at the end of the quarter decreased by $39.8 million during the six months ended July 31, 2015 from $40.4 million at January 31, 2015 to $0.6 million at July 31, 2015. Backlog from current software license product orders that we have not yet shipped consists of orders for currently available licensed software products from customers with approved credit status.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Subscription Revenue</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Subscription revenue consists of three components: (1) maintenance revenue from our software products; (2) maintenance revenue from our term-based desktop subscription and enterprise offerings; and (3) revenue from our cloud service offerings. Our maintenance program provides our customers of software products with a cost effective and predictable budgetary option to 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ratably over the term of the maintenance agreement, which is generally between one and three years. Revenue for our cloud service offerings is recognized ratably over the contract term commencing with the date our service is made available to customers and all other revenue recognition criteria have been satisfied.</w:t>
      </w:r>
    </w:p>
    <w:p>
      <w:pPr>
        <w:spacing w:after="0" w:line="178"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Subscription revenue increased 11% during the three months ended July 31, 2015, as compared to the three months ended July 31, 2014, primarily due to an 8% increase in commercial maintenance revenue. The 8% increase in commercial maintenance revenue was due to a 13% increase in commercial enrollment offset by a 5% decrease from net revenue per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84" w:right="259" w:bottom="1440" w:gutter="0" w:footer="0" w:header="0"/>
        </w:sectPr>
      </w:pPr>
    </w:p>
    <w:bookmarkStart w:id="33" w:name="page34"/>
    <w:bookmarkEnd w:id="33"/>
    <w:p>
      <w:pPr>
        <w:ind w:right="200"/>
        <w:spacing w:after="0" w:line="277" w:lineRule="auto"/>
        <w:rPr>
          <w:sz w:val="20"/>
          <w:szCs w:val="20"/>
          <w:color w:val="auto"/>
        </w:rPr>
      </w:pPr>
      <w:r>
        <w:rPr>
          <w:rFonts w:ascii="Arial" w:cs="Arial" w:eastAsia="Arial" w:hAnsi="Arial"/>
          <w:sz w:val="18"/>
          <w:szCs w:val="18"/>
          <w:color w:val="auto"/>
        </w:rPr>
        <w:t>maintenance seat. Commercial maintenance revenue represented 92% and 95% of subscription revenue for the three months ended July 31, 2015 and 2014, respectively.</w:t>
      </w:r>
    </w:p>
    <w:p>
      <w:pPr>
        <w:spacing w:after="0" w:line="170"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Subscription revenue increased 13% during the six months ended July 31, 2015, as compared to the six months ended July 31, 2014, primarily due to a 10% increase in commercial maintenance revenue. The 10% increase in commercial maintenance revenue was due to a 12% increase in commercial enrollment during the corresponding maintenance contract term offset by a 2% decrease from net revenue per maintenance seat. Commercial maintenance revenue represented 93% and 95% of subscription revenue for the six months ended July 31, 2015 and 2014, respectively.</w:t>
      </w:r>
    </w:p>
    <w:p>
      <w:pPr>
        <w:spacing w:after="0" w:line="171" w:lineRule="exact"/>
        <w:rPr>
          <w:sz w:val="20"/>
          <w:szCs w:val="20"/>
          <w:color w:val="auto"/>
        </w:rPr>
      </w:pPr>
    </w:p>
    <w:p>
      <w:pPr>
        <w:ind w:right="240" w:firstLine="432"/>
        <w:spacing w:after="0" w:line="342" w:lineRule="auto"/>
        <w:rPr>
          <w:sz w:val="20"/>
          <w:szCs w:val="20"/>
          <w:color w:val="auto"/>
        </w:rPr>
      </w:pPr>
      <w:r>
        <w:rPr>
          <w:rFonts w:ascii="Arial" w:cs="Arial" w:eastAsia="Arial" w:hAnsi="Arial"/>
          <w:sz w:val="16"/>
          <w:szCs w:val="16"/>
          <w:color w:val="auto"/>
        </w:rPr>
        <w:t>Changes in subscription revenue lag changes in subscription billings. Subscription billings increased 52% and 26% during the three and six months ended July 31, 2015, respectively, as compared to the same period in the prior fiscal year primarily due to an increase in maintenance subscription billings.</w:t>
      </w:r>
    </w:p>
    <w:p>
      <w:pPr>
        <w:spacing w:after="0" w:line="124"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Our deferred subscription revenue balance at July 31, 2015 and January 31, 2015 was $1,004.2 million and $936.8 million, respectively, and primarily related to customer maintenance agreements, which will be recognized as revenue ratably over the term of the maintenance agreement.</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Geographic Area</w:t>
      </w:r>
    </w:p>
    <w:p>
      <w:pPr>
        <w:spacing w:after="0" w:line="225" w:lineRule="exact"/>
        <w:rPr>
          <w:sz w:val="20"/>
          <w:szCs w:val="20"/>
          <w:color w:val="auto"/>
        </w:rPr>
      </w:pPr>
    </w:p>
    <w:p>
      <w:pPr>
        <w:ind w:right="360" w:firstLine="432"/>
        <w:spacing w:after="0" w:line="259" w:lineRule="auto"/>
        <w:rPr>
          <w:sz w:val="20"/>
          <w:szCs w:val="20"/>
          <w:color w:val="auto"/>
        </w:rPr>
      </w:pPr>
      <w:r>
        <w:rPr>
          <w:rFonts w:ascii="Arial" w:cs="Arial" w:eastAsia="Arial" w:hAnsi="Arial"/>
          <w:sz w:val="18"/>
          <w:szCs w:val="18"/>
          <w:color w:val="auto"/>
        </w:rPr>
        <w:t>Net revenue in the Americas geography increased by 6% on an as reported basis and on a constant currency basis during the three months ended July 31, 2015, as compared to the same period in the prior fiscal year. This increase was primarily due to a 17% increase in our new and adjacent product revenue and an 8% increase in our suites revenue in this geography during the three months ended July 31, 2015 as compared to the three months ended July 31, 2014. The increase in our revenue in this geography was led by the U.S.</w:t>
      </w:r>
    </w:p>
    <w:p>
      <w:pPr>
        <w:spacing w:after="0" w:line="18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Net revenue in the Americas geography increased by 12% on an as reported basis and on a constant currency basis during the six months ended July 31, 2015, as compared to the same period in the prior fiscal year. This increase was primarily due to a 14% increase in our suites revenue and a 24% increase in our new and adjacent product revenue in this geography during the six months ended July 31, 2015 as compared to the six months ended July 31, 2014. The increase in our revenue in this geography was led by the U.S.</w:t>
      </w:r>
    </w:p>
    <w:p>
      <w:pPr>
        <w:spacing w:after="0" w:line="187" w:lineRule="exact"/>
        <w:rPr>
          <w:sz w:val="20"/>
          <w:szCs w:val="20"/>
          <w:color w:val="auto"/>
        </w:rPr>
      </w:pPr>
    </w:p>
    <w:p>
      <w:pPr>
        <w:jc w:val="both"/>
        <w:ind w:right="40" w:firstLine="432"/>
        <w:spacing w:after="0" w:line="302" w:lineRule="auto"/>
        <w:rPr>
          <w:sz w:val="20"/>
          <w:szCs w:val="20"/>
          <w:color w:val="auto"/>
        </w:rPr>
      </w:pPr>
      <w:r>
        <w:rPr>
          <w:rFonts w:ascii="Arial" w:cs="Arial" w:eastAsia="Arial" w:hAnsi="Arial"/>
          <w:sz w:val="16"/>
          <w:szCs w:val="16"/>
          <w:color w:val="auto"/>
        </w:rPr>
        <w:t>Net revenue in the EMEA geography decreased by 7% on an as reported basis and was flat on a constant currency basis during the three months ended July 31, 2015 as compared to the same period in the prior fiscal year. This decrease was primarily due to a 14% decrease in our flagship product revenue and a 7% decrease in our suites revenue in this geography during the three months ended July 31, 2015 as compared to the three months ended July 31, 2014. The decrease in our revenue in this geography was led by Germany, partially offset by an increase in revenue from Ireland.</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revenue in the EMEA geography was flat on an as reported basis and increased 7% on a constant currency basis during the six months ended</w:t>
      </w:r>
    </w:p>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July 31, 2015 as compared to the same period in the prior fiscal year. There was a 23% increase in our new and adjacent product revenue and a 3% increase in our suites revenue offset by an 8% decrease in our flagship product revenue in this geography during the six months ended July 31, 2015 as compared to the six months ended July 31, 2014. Growth in the geography was led by revenue from Ireland offset by declines in revenue in Russia.</w:t>
      </w:r>
    </w:p>
    <w:p>
      <w:pPr>
        <w:spacing w:after="0" w:line="173" w:lineRule="exact"/>
        <w:rPr>
          <w:sz w:val="20"/>
          <w:szCs w:val="20"/>
          <w:color w:val="auto"/>
        </w:rPr>
      </w:pPr>
    </w:p>
    <w:p>
      <w:pPr>
        <w:ind w:right="200" w:firstLine="432"/>
        <w:spacing w:after="0" w:line="297" w:lineRule="auto"/>
        <w:rPr>
          <w:sz w:val="20"/>
          <w:szCs w:val="20"/>
          <w:color w:val="auto"/>
        </w:rPr>
      </w:pPr>
      <w:r>
        <w:rPr>
          <w:rFonts w:ascii="Arial" w:cs="Arial" w:eastAsia="Arial" w:hAnsi="Arial"/>
          <w:sz w:val="16"/>
          <w:szCs w:val="16"/>
          <w:color w:val="auto"/>
        </w:rPr>
        <w:t>Net revenue in the APAC geography decreased by 13% on an as reported basis and 9% on a constant currency basis during the three months ended July 31, 2015 as compared to the same period in the prior fiscal year. The decrease was primarily due to an 18% decrease in our flagship products, partially offset by a 5% increase in our new and adjacent product revenue in this geography during the three months ended July 31, 2015 as compared to the three months ended July 31, 2014. The decline in revenue from most countries in this geography, led by a 28% decline in revenue from Japan, was due to unfavorable economic conditions during the three months ended July 31, 2015 as compared to the same period in the prior fiscal year.</w:t>
      </w:r>
    </w:p>
    <w:p>
      <w:pPr>
        <w:spacing w:after="0" w:line="158"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Net revenue in the APAC geography decreased by 8% on an as reported basis and 3% on a constant currency basis during the six months ended July 31, 2015 as compared to the same period in the prior fiscal year. The decrease was primarily due to a 13% decrease in our flagship products, partially offset by an 11% increase in our new and adjacent product revenue in this geography during the six months ended July 31, 2015 as compared to the six months ended July 31, 2014. The decline in revenue from most countries in this geography, led by a 26% decline in revenue from Japan, was due to unfavorable economic conditions during the six months ended July 31, 2015 as compared to the same period in the prior fiscal year.</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84" w:right="259" w:bottom="1440" w:gutter="0" w:footer="0" w:header="0"/>
        </w:sectPr>
      </w:pPr>
    </w:p>
    <w:bookmarkStart w:id="34" w:name="page35"/>
    <w:bookmarkEnd w:id="34"/>
    <w:p>
      <w:pPr>
        <w:ind w:right="240" w:firstLine="432"/>
        <w:spacing w:after="0" w:line="264" w:lineRule="auto"/>
        <w:rPr>
          <w:sz w:val="20"/>
          <w:szCs w:val="20"/>
          <w:color w:val="auto"/>
        </w:rPr>
      </w:pPr>
      <w:r>
        <w:rPr>
          <w:rFonts w:ascii="Arial" w:cs="Arial" w:eastAsia="Arial" w:hAnsi="Arial"/>
          <w:sz w:val="18"/>
          <w:szCs w:val="18"/>
          <w:color w:val="auto"/>
        </w:rPr>
        <w:t>Net revenue in emerging economies decreased by 7% during the three months ended July 31, 2015 as compared to the same period in the prior fiscal year, primarily due to decreases in revenue from Russia, partially offset by an increase in revenue from China. Revenue from emerging economies represented 15% of net revenue for both the three months ended July 31, 2015 and 2014.</w:t>
      </w:r>
    </w:p>
    <w:p>
      <w:pPr>
        <w:spacing w:after="0" w:line="181"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Net revenue in emerging economies increased by 4% during the six months ended July 31, 2015 as compared to the same period in the prior fiscal year, primarily due to increases in revenue from China, partially offset by a decrease in revenue from Russia. Revenue from emerging economies represented 15% and 14% of net revenue for the six months ended July 31, 2015 and 2014, respectively.</w:t>
      </w:r>
    </w:p>
    <w:p>
      <w:pPr>
        <w:spacing w:after="0" w:line="18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International net revenue represented 68% and 69% of our net revenue for the three and six months ended July 31, 2015, respectively. International net revenue represented 71% of our net revenue for both the three and six months ended July 31, 2014, respectively. We believe that international revenue will continue to comprise a majority of our net revenue. Changes in the value of the U.S. dollar relative to other currencies have significantly affected, and could continue to significantly affect, our financial results for a given period even though we hedge a portion of our current and projected revenue. Additionally, weak global economic conditions that have been characterized by restructuring of sovereign debt, high unemployment, and volatility in the financial markets may impact our future financial results.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Operating Segment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four reportable segments: AEC, MFG, PSEB, and Media and Entertainment ("M&amp;E"). We have no material inter-segment revenue.</w:t>
      </w:r>
    </w:p>
    <w:p>
      <w:pPr>
        <w:spacing w:after="0" w:line="237"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During the three months ended July 31, 2015, net revenue for AEC increased by 7% as compared to the same period in the prior fiscal year, primarily due to growth from our AEC flexible enterprise offerings.</w:t>
      </w:r>
    </w:p>
    <w:p>
      <w:pPr>
        <w:spacing w:after="0" w:line="170" w:lineRule="exact"/>
        <w:rPr>
          <w:sz w:val="20"/>
          <w:szCs w:val="20"/>
          <w:color w:val="auto"/>
        </w:rPr>
      </w:pPr>
    </w:p>
    <w:p>
      <w:pPr>
        <w:ind w:right="240" w:firstLine="432"/>
        <w:spacing w:after="0" w:line="342" w:lineRule="auto"/>
        <w:rPr>
          <w:sz w:val="20"/>
          <w:szCs w:val="20"/>
          <w:color w:val="auto"/>
        </w:rPr>
      </w:pPr>
      <w:r>
        <w:rPr>
          <w:rFonts w:ascii="Arial" w:cs="Arial" w:eastAsia="Arial" w:hAnsi="Arial"/>
          <w:sz w:val="16"/>
          <w:szCs w:val="16"/>
          <w:color w:val="auto"/>
        </w:rPr>
        <w:t>During the six months ended July 31, 2015, net revenue for AEC increased by 14% as compared to the same period in the prior fiscal year, primarily due to strong growth from our AEC suites, which was primarily driven by Autodesk Building Design Suite and Autodesk Infrastructure Design Suite.</w:t>
      </w:r>
    </w:p>
    <w:p>
      <w:pPr>
        <w:spacing w:after="0" w:line="12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During the three months ended July 31, 2015, net revenue for MFG increased by 2% as compared to the same period of the prior fiscal year, primarily due to an increase in revenue from our Delcam products partially offset by a decrease in our MFG suites.</w:t>
      </w:r>
    </w:p>
    <w:p>
      <w:pPr>
        <w:spacing w:after="0" w:line="170"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During the six months ended July 31, 2015, net revenue for MFG increased by 13% as compared to the same period of the prior fiscal year, primarily due to the inclusion of six months of Delcam operating results during the six months ended July 31, 2015, compared to four months of Delcam operating results during the six months ended July 31, 2014. Also contributing to the increase in net revenue for MFG was strong growth from our flagship product AutoCAD Mechanical.</w:t>
      </w:r>
    </w:p>
    <w:p>
      <w:pPr>
        <w:spacing w:after="0" w:line="18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During the three months ended July 31, 2015, net revenue for PSEB decreased by 21% as compared to the same period in the prior fiscal year, primarily due to a decrease in revenue from AutoCAD LT.</w:t>
      </w:r>
    </w:p>
    <w:p>
      <w:pPr>
        <w:spacing w:after="0" w:line="17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During the six months ended July 31, 2015, net revenue for PSEB decreased by 17% as compared to the same period in the prior fiscal year, primarily due to a decrease in revenue from AutoCAD LT.</w:t>
      </w:r>
    </w:p>
    <w:p>
      <w:pPr>
        <w:spacing w:after="0" w:line="170"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During the three months ended July 31, 2015, net revenue for M&amp;E decreased by 6% as compared to the same period in the prior fiscal year, primarily due to a decrease in Creative Finishing, which was driven by lower revenue on Creative Finishing hardware products and services.</w:t>
      </w:r>
    </w:p>
    <w:p>
      <w:pPr>
        <w:spacing w:after="0" w:line="147"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color w:val="auto"/>
        </w:rPr>
        <w:t>During the six months ended July 31, 2015, net revenue for M&amp;E decreased by 1% as compared to the same period in the prior fiscal year, primarily due to a decrease in Creative Finishing, which was driven by lower revenue on Creative Finishing hardware products and services partially offset by an increase in revenue from Animation, which was primarily driven by revenue from the acquisition of Shotgun and our flagship product Maya.</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584"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auto"/>
        </w:rPr>
        <w:t>Cost of Revenue and Operating Expenses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2180" w:type="dxa"/>
            <w:vAlign w:val="bottom"/>
            <w:gridSpan w:val="5"/>
          </w:tcPr>
          <w:p>
            <w:pPr>
              <w:ind w:left="60"/>
              <w:spacing w:after="0"/>
              <w:rPr>
                <w:sz w:val="20"/>
                <w:szCs w:val="20"/>
                <w:color w:val="auto"/>
              </w:rPr>
            </w:pPr>
            <w:r>
              <w:rPr>
                <w:rFonts w:ascii="Arial" w:cs="Arial" w:eastAsia="Arial" w:hAnsi="Arial"/>
                <w:sz w:val="14"/>
                <w:szCs w:val="14"/>
                <w:b w:val="1"/>
                <w:bCs w:val="1"/>
                <w:color w:val="auto"/>
                <w:w w:val="97"/>
              </w:rPr>
              <w:t>(Decrease)Increase compared to</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Six Months</w:t>
            </w:r>
          </w:p>
        </w:tc>
        <w:tc>
          <w:tcPr>
            <w:tcW w:w="180" w:type="dxa"/>
            <w:vAlign w:val="bottom"/>
          </w:tcPr>
          <w:p>
            <w:pPr>
              <w:spacing w:after="0"/>
              <w:rPr>
                <w:sz w:val="14"/>
                <w:szCs w:val="14"/>
                <w:color w:val="auto"/>
              </w:rPr>
            </w:pPr>
          </w:p>
        </w:tc>
        <w:tc>
          <w:tcPr>
            <w:tcW w:w="1660" w:type="dxa"/>
            <w:vAlign w:val="bottom"/>
            <w:gridSpan w:val="4"/>
          </w:tcPr>
          <w:p>
            <w:pPr>
              <w:ind w:left="40"/>
              <w:spacing w:after="0"/>
              <w:rPr>
                <w:sz w:val="20"/>
                <w:szCs w:val="20"/>
                <w:color w:val="auto"/>
              </w:rPr>
            </w:pPr>
            <w:r>
              <w:rPr>
                <w:rFonts w:ascii="Arial" w:cs="Arial" w:eastAsia="Arial" w:hAnsi="Arial"/>
                <w:sz w:val="14"/>
                <w:szCs w:val="14"/>
                <w:b w:val="1"/>
                <w:bCs w:val="1"/>
                <w:color w:val="auto"/>
              </w:rPr>
              <w:t>Increase compared to</w:t>
            </w:r>
          </w:p>
        </w:tc>
        <w:tc>
          <w:tcPr>
            <w:tcW w:w="140" w:type="dxa"/>
            <w:vAlign w:val="bottom"/>
          </w:tcPr>
          <w:p>
            <w:pPr>
              <w:spacing w:after="0"/>
              <w:rPr>
                <w:sz w:val="14"/>
                <w:szCs w:val="14"/>
                <w:color w:val="auto"/>
              </w:rPr>
            </w:pPr>
          </w:p>
        </w:tc>
        <w:tc>
          <w:tcPr>
            <w:tcW w:w="1000" w:type="dxa"/>
            <w:vAlign w:val="bottom"/>
          </w:tcPr>
          <w:p>
            <w:pPr>
              <w:jc w:val="center"/>
              <w:ind w:right="63"/>
              <w:spacing w:after="0"/>
              <w:rPr>
                <w:sz w:val="20"/>
                <w:szCs w:val="20"/>
                <w:color w:val="auto"/>
              </w:rPr>
            </w:pPr>
            <w:r>
              <w:rPr>
                <w:rFonts w:ascii="Arial" w:cs="Arial" w:eastAsia="Arial" w:hAnsi="Arial"/>
                <w:sz w:val="14"/>
                <w:szCs w:val="14"/>
                <w:b w:val="1"/>
                <w:bCs w:val="1"/>
                <w:color w:val="auto"/>
                <w:w w:val="93"/>
              </w:rPr>
              <w:t>Six Months</w:t>
            </w:r>
          </w:p>
        </w:tc>
      </w:tr>
      <w:tr>
        <w:trPr>
          <w:trHeight w:val="192"/>
        </w:trPr>
        <w:tc>
          <w:tcPr>
            <w:tcW w:w="2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58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22"/>
                <w:szCs w:val="2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July 31, 2015</w:t>
            </w:r>
          </w:p>
        </w:tc>
        <w:tc>
          <w:tcPr>
            <w:tcW w:w="220" w:type="dxa"/>
            <w:vAlign w:val="bottom"/>
          </w:tcPr>
          <w:p>
            <w:pPr>
              <w:spacing w:after="0"/>
              <w:rPr>
                <w:sz w:val="22"/>
                <w:szCs w:val="22"/>
                <w:color w:val="auto"/>
              </w:rPr>
            </w:pPr>
          </w:p>
        </w:tc>
        <w:tc>
          <w:tcPr>
            <w:tcW w:w="640" w:type="dxa"/>
            <w:vAlign w:val="bottom"/>
          </w:tcPr>
          <w:p>
            <w:pPr>
              <w:jc w:val="right"/>
              <w:ind w:right="383"/>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July 31, 2014</w:t>
            </w:r>
          </w:p>
        </w:tc>
        <w:tc>
          <w:tcPr>
            <w:tcW w:w="140" w:type="dxa"/>
            <w:vAlign w:val="bottom"/>
          </w:tcPr>
          <w:p>
            <w:pPr>
              <w:spacing w:after="0"/>
              <w:rPr>
                <w:sz w:val="22"/>
                <w:szCs w:val="2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July 31, 2015</w:t>
            </w:r>
          </w:p>
        </w:tc>
        <w:tc>
          <w:tcPr>
            <w:tcW w:w="180" w:type="dxa"/>
            <w:vAlign w:val="bottom"/>
          </w:tcPr>
          <w:p>
            <w:pPr>
              <w:spacing w:after="0"/>
              <w:rPr>
                <w:sz w:val="22"/>
                <w:szCs w:val="22"/>
                <w:color w:val="auto"/>
              </w:rPr>
            </w:pPr>
          </w:p>
        </w:tc>
        <w:tc>
          <w:tcPr>
            <w:tcW w:w="620" w:type="dxa"/>
            <w:vAlign w:val="bottom"/>
          </w:tcPr>
          <w:p>
            <w:pPr>
              <w:jc w:val="right"/>
              <w:ind w:right="283"/>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center"/>
              <w:ind w:right="43"/>
              <w:spacing w:after="0"/>
              <w:rPr>
                <w:sz w:val="20"/>
                <w:szCs w:val="20"/>
                <w:color w:val="auto"/>
              </w:rPr>
            </w:pPr>
            <w:r>
              <w:rPr>
                <w:rFonts w:ascii="Arial" w:cs="Arial" w:eastAsia="Arial" w:hAnsi="Arial"/>
                <w:sz w:val="14"/>
                <w:szCs w:val="14"/>
                <w:b w:val="1"/>
                <w:bCs w:val="1"/>
                <w:color w:val="auto"/>
                <w:w w:val="92"/>
              </w:rPr>
              <w:t>July 31, 2014</w:t>
            </w:r>
          </w:p>
        </w:tc>
      </w:tr>
      <w:tr>
        <w:trPr>
          <w:trHeight w:val="210"/>
        </w:trPr>
        <w:tc>
          <w:tcPr>
            <w:tcW w:w="2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60"/>
        </w:trPr>
        <w:tc>
          <w:tcPr>
            <w:tcW w:w="2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258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83"/>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20"/>
                <w:szCs w:val="20"/>
                <w:color w:val="auto"/>
              </w:rPr>
            </w:pP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(0.4)</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83"/>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3"/>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3"/>
              <w:spacing w:after="0"/>
              <w:rPr>
                <w:sz w:val="20"/>
                <w:szCs w:val="20"/>
                <w:color w:val="auto"/>
              </w:rPr>
            </w:pPr>
            <w:r>
              <w:rPr>
                <w:rFonts w:ascii="Arial" w:cs="Arial" w:eastAsia="Arial" w:hAnsi="Arial"/>
                <w:sz w:val="16"/>
                <w:szCs w:val="16"/>
                <w:color w:val="auto"/>
              </w:rPr>
              <w:t>3.4</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3"/>
              <w:spacing w:after="0"/>
              <w:rPr>
                <w:sz w:val="20"/>
                <w:szCs w:val="20"/>
                <w:color w:val="auto"/>
              </w:rPr>
            </w:pPr>
            <w:r>
              <w:rPr>
                <w:rFonts w:ascii="Arial" w:cs="Arial" w:eastAsia="Arial" w:hAnsi="Arial"/>
                <w:sz w:val="16"/>
                <w:szCs w:val="16"/>
                <w:color w:val="auto"/>
              </w:rPr>
              <w:t>102.7</w:t>
            </w:r>
          </w:p>
        </w:tc>
      </w:tr>
      <w:tr>
        <w:trPr>
          <w:trHeight w:val="33"/>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5.5</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16 %</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78.7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14.8</w:t>
            </w: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63.9</w:t>
            </w:r>
          </w:p>
        </w:tc>
      </w:tr>
      <w:tr>
        <w:trPr>
          <w:trHeight w:val="284"/>
        </w:trPr>
        <w:tc>
          <w:tcPr>
            <w:tcW w:w="258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93.0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5.1</w:t>
            </w:r>
          </w:p>
        </w:tc>
        <w:tc>
          <w:tcPr>
            <w:tcW w:w="12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6 %</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87.9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184.8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18.2</w:t>
            </w:r>
          </w:p>
        </w:tc>
        <w:tc>
          <w:tcPr>
            <w:tcW w:w="9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166.6</w:t>
            </w:r>
          </w:p>
        </w:tc>
      </w:tr>
      <w:tr>
        <w:trPr>
          <w:trHeight w:val="224"/>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2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Cost of license and other revenue includes labor costs associated with product setup and fulfillment and costs of consulting and training services contracts and collaborative project management services contracts. Cost of license and other revenue also includes stock-based compensation expense, direct material and overhead charges, amortization of developed technology, professional services fees and royalties. Direct material and overhead charges include the cost of hardware sold (mainly PC-based workstations for Creative Finishing in the M&amp;E segment), and costs associated with electronic and physical fulfillment.</w:t>
      </w:r>
    </w:p>
    <w:p>
      <w:pPr>
        <w:spacing w:after="0" w:line="188"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Cost of license and other revenue decreased 1% for the three months ended July 31, 2015, as compared to the same period in the prior fiscal year, primarily due lower amortization expense as a result of a decreasing portfolio of unamortized developed technology, offset by an increase in division product costs including royalty fees in support of our business growth.</w:t>
      </w:r>
    </w:p>
    <w:p>
      <w:pPr>
        <w:spacing w:after="0" w:line="181"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Cost of license and other revenue increased 3% for the six months ended July 31, 2015, as compared to the same period in the prior fiscal year, primarily due to an increase in Delcam related costs as a product of including six months of Delcam operating results during the six months ended July 31, 2015, compared to four months of Delcam operating results during the six months ended July 31, 2014.</w:t>
      </w:r>
    </w:p>
    <w:p>
      <w:pPr>
        <w:spacing w:after="0" w:line="181"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Cost of subscription revenue includes the labor costs of providing product support to our maintenance and cloud subscription customers, including rent and occupancy, shipping and handling costs, professional services fees related to operating our network and cloud infrastructure, including depreciation expense and operating lease payments associated with computer equipment, data center costs, salaries and related expenses of network operations.</w:t>
      </w:r>
    </w:p>
    <w:p>
      <w:pPr>
        <w:spacing w:after="0" w:line="147"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Cost of subscription revenue increased 16% and 23% during the three and six months ended July 31, 2015, respectively, as compared to the same periods in the prior fiscal year, primarily due to an increase in cloud and hosting related costs as a result of our business model transition and an increase in maintenance costs driven by increased employee headcount.</w:t>
      </w:r>
    </w:p>
    <w:p>
      <w:pPr>
        <w:spacing w:after="0" w:line="18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Cost of revenue, at least over the near term, is affected by the volume and mix of product sales, mix of physical versus electronic fulfillment, fluctuations in consulting costs, amortization of developed technology, new customer support offerings, royalty rates for licensed technology embedded in our products and employee stock-based compensation expense.</w:t>
      </w:r>
    </w:p>
    <w:p>
      <w:pPr>
        <w:spacing w:after="0" w:line="18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We expect cost of revenue to increase in absolute dollars and slightly increase as a percentage of net revenue during the third quarter of fiscal 2016, as compared to the third quarter of fiscal 2015.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ind w:left="220"/>
        <w:spacing w:after="0"/>
        <w:rPr>
          <w:sz w:val="20"/>
          <w:szCs w:val="20"/>
          <w:color w:val="auto"/>
        </w:rPr>
      </w:pPr>
      <w:r>
        <w:rPr>
          <w:rFonts w:ascii="Arial" w:cs="Arial" w:eastAsia="Arial" w:hAnsi="Arial"/>
          <w:sz w:val="18"/>
          <w:szCs w:val="18"/>
          <w:i w:val="1"/>
          <w:iCs w:val="1"/>
          <w:color w:val="auto"/>
        </w:rPr>
        <w:t>Marketing and Sales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80" w:type="dxa"/>
            <w:vAlign w:val="bottom"/>
          </w:tcPr>
          <w:p>
            <w:pPr>
              <w:spacing w:after="0"/>
              <w:rPr>
                <w:sz w:val="14"/>
                <w:szCs w:val="14"/>
                <w:color w:val="auto"/>
              </w:rPr>
            </w:pPr>
          </w:p>
        </w:tc>
        <w:tc>
          <w:tcPr>
            <w:tcW w:w="1860" w:type="dxa"/>
            <w:vAlign w:val="bottom"/>
            <w:gridSpan w:val="5"/>
          </w:tcPr>
          <w:p>
            <w:pPr>
              <w:ind w:left="80"/>
              <w:spacing w:after="0"/>
              <w:rPr>
                <w:sz w:val="20"/>
                <w:szCs w:val="20"/>
                <w:color w:val="auto"/>
              </w:rPr>
            </w:pPr>
            <w:r>
              <w:rPr>
                <w:rFonts w:ascii="Arial" w:cs="Arial" w:eastAsia="Arial" w:hAnsi="Arial"/>
                <w:sz w:val="14"/>
                <w:szCs w:val="14"/>
                <w:b w:val="1"/>
                <w:bCs w:val="1"/>
                <w:color w:val="auto"/>
              </w:rPr>
              <w:t>Increase compared to</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Six Months</w:t>
            </w:r>
          </w:p>
        </w:tc>
        <w:tc>
          <w:tcPr>
            <w:tcW w:w="200" w:type="dxa"/>
            <w:vAlign w:val="bottom"/>
          </w:tcPr>
          <w:p>
            <w:pPr>
              <w:spacing w:after="0"/>
              <w:rPr>
                <w:sz w:val="14"/>
                <w:szCs w:val="14"/>
                <w:color w:val="auto"/>
              </w:rPr>
            </w:pPr>
          </w:p>
        </w:tc>
        <w:tc>
          <w:tcPr>
            <w:tcW w:w="1400" w:type="dxa"/>
            <w:vAlign w:val="bottom"/>
            <w:gridSpan w:val="3"/>
          </w:tcPr>
          <w:p>
            <w:pPr>
              <w:jc w:val="center"/>
              <w:ind w:left="6"/>
              <w:spacing w:after="0"/>
              <w:rPr>
                <w:sz w:val="20"/>
                <w:szCs w:val="20"/>
                <w:color w:val="auto"/>
              </w:rPr>
            </w:pPr>
            <w:r>
              <w:rPr>
                <w:rFonts w:ascii="Arial" w:cs="Arial" w:eastAsia="Arial" w:hAnsi="Arial"/>
                <w:sz w:val="14"/>
                <w:szCs w:val="14"/>
                <w:b w:val="1"/>
                <w:bCs w:val="1"/>
                <w:color w:val="auto"/>
                <w:w w:val="91"/>
              </w:rPr>
              <w:t>Increase compared to</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84"/>
              <w:spacing w:after="0"/>
              <w:rPr>
                <w:sz w:val="20"/>
                <w:szCs w:val="20"/>
                <w:color w:val="auto"/>
              </w:rPr>
            </w:pPr>
            <w:r>
              <w:rPr>
                <w:rFonts w:ascii="Arial" w:cs="Arial" w:eastAsia="Arial" w:hAnsi="Arial"/>
                <w:sz w:val="14"/>
                <w:szCs w:val="14"/>
                <w:b w:val="1"/>
                <w:bCs w:val="1"/>
                <w:color w:val="auto"/>
                <w:w w:val="93"/>
              </w:rPr>
              <w:t>Six Months</w:t>
            </w:r>
          </w:p>
        </w:tc>
      </w:tr>
      <w:tr>
        <w:trPr>
          <w:trHeight w:val="192"/>
        </w:trPr>
        <w:tc>
          <w:tcPr>
            <w:tcW w:w="2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6"/>
              <w:spacing w:after="0"/>
              <w:rPr>
                <w:sz w:val="20"/>
                <w:szCs w:val="20"/>
                <w:color w:val="auto"/>
              </w:rPr>
            </w:pPr>
            <w:r>
              <w:rPr>
                <w:rFonts w:ascii="Arial" w:cs="Arial" w:eastAsia="Arial" w:hAnsi="Arial"/>
                <w:sz w:val="14"/>
                <w:szCs w:val="14"/>
                <w:b w:val="1"/>
                <w:bCs w:val="1"/>
                <w:color w:val="auto"/>
                <w:w w:val="95"/>
              </w:rPr>
              <w:t>prior fiscal year</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5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July 31, 2015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July 31, 2014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4"/>
              </w:rPr>
              <w:t>July 31, 2015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July 31, 2014</w:t>
            </w:r>
          </w:p>
        </w:tc>
      </w:tr>
      <w:tr>
        <w:trPr>
          <w:trHeight w:val="236"/>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240.8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  $</w:t>
            </w:r>
          </w:p>
        </w:tc>
        <w:tc>
          <w:tcPr>
            <w:tcW w:w="10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237.6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494.7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  $</w:t>
            </w:r>
          </w:p>
        </w:tc>
        <w:tc>
          <w:tcPr>
            <w:tcW w:w="10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463.0</w:t>
            </w:r>
          </w:p>
        </w:tc>
      </w:tr>
      <w:tr>
        <w:trPr>
          <w:trHeight w:val="237"/>
        </w:trPr>
        <w:tc>
          <w:tcPr>
            <w:tcW w:w="256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w:t>
            </w:r>
          </w:p>
        </w:tc>
      </w:tr>
    </w:tbl>
    <w:p>
      <w:pPr>
        <w:spacing w:after="0" w:line="235"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Marketing and sales expenses include salaries, bonuses, benefits and stock-based compensation expense for our marketing and sales employees, the expense of travel, entertainment and training for such personnel, the costs of programs aimed at increasing revenue, such as advertising, trade shows and expositions, and various sales and promotional programs. Marketing and sales expenses also include labor costs associated with sales and order processing, sales and dealer commissions, rent and occupancy, payment processing fees and the cost of supplies and equipment.</w:t>
      </w:r>
    </w:p>
    <w:p>
      <w:pPr>
        <w:spacing w:after="0" w:line="154"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Marketing and sales expenses increased 1% and 7% for the three and six months ended July 31, 2015, respectively, as compared to the same periods in the prior fiscal year, primarily due to increased employee-related costs from salaries and fringe benefits, predominately driven by increased headcount.</w:t>
      </w:r>
    </w:p>
    <w:p>
      <w:pPr>
        <w:spacing w:after="0" w:line="124"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For the third quarter of fiscal 2016, as compared to the third quarter of fiscal 2015, we expect marketing and sales expense to remain relatively flat in absolute dollars and as a percentage of net revenue.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and Development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220" w:type="dxa"/>
            <w:vAlign w:val="bottom"/>
          </w:tcPr>
          <w:p>
            <w:pPr>
              <w:spacing w:after="0"/>
              <w:rPr>
                <w:sz w:val="14"/>
                <w:szCs w:val="14"/>
                <w:color w:val="auto"/>
              </w:rPr>
            </w:pPr>
          </w:p>
        </w:tc>
        <w:tc>
          <w:tcPr>
            <w:tcW w:w="1480" w:type="dxa"/>
            <w:vAlign w:val="bottom"/>
            <w:gridSpan w:val="4"/>
          </w:tcPr>
          <w:p>
            <w:pPr>
              <w:ind w:left="120"/>
              <w:spacing w:after="0"/>
              <w:rPr>
                <w:sz w:val="20"/>
                <w:szCs w:val="20"/>
                <w:color w:val="auto"/>
              </w:rPr>
            </w:pPr>
            <w:r>
              <w:rPr>
                <w:rFonts w:ascii="Arial" w:cs="Arial" w:eastAsia="Arial" w:hAnsi="Arial"/>
                <w:sz w:val="14"/>
                <w:szCs w:val="14"/>
                <w:b w:val="1"/>
                <w:bCs w:val="1"/>
                <w:color w:val="auto"/>
                <w:w w:val="92"/>
              </w:rPr>
              <w:t>Increase compared to</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Six Months</w:t>
            </w:r>
          </w:p>
        </w:tc>
        <w:tc>
          <w:tcPr>
            <w:tcW w:w="220" w:type="dxa"/>
            <w:vAlign w:val="bottom"/>
          </w:tcPr>
          <w:p>
            <w:pPr>
              <w:spacing w:after="0"/>
              <w:rPr>
                <w:sz w:val="14"/>
                <w:szCs w:val="14"/>
                <w:color w:val="auto"/>
              </w:rPr>
            </w:pPr>
          </w:p>
        </w:tc>
        <w:tc>
          <w:tcPr>
            <w:tcW w:w="1980" w:type="dxa"/>
            <w:vAlign w:val="bottom"/>
            <w:gridSpan w:val="5"/>
          </w:tcPr>
          <w:p>
            <w:pPr>
              <w:ind w:left="100"/>
              <w:spacing w:after="0"/>
              <w:rPr>
                <w:sz w:val="20"/>
                <w:szCs w:val="20"/>
                <w:color w:val="auto"/>
              </w:rPr>
            </w:pPr>
            <w:r>
              <w:rPr>
                <w:rFonts w:ascii="Arial" w:cs="Arial" w:eastAsia="Arial" w:hAnsi="Arial"/>
                <w:sz w:val="14"/>
                <w:szCs w:val="14"/>
                <w:b w:val="1"/>
                <w:bCs w:val="1"/>
                <w:color w:val="auto"/>
              </w:rPr>
              <w:t>Increase compared to</w:t>
            </w:r>
          </w:p>
        </w:tc>
        <w:tc>
          <w:tcPr>
            <w:tcW w:w="1020" w:type="dxa"/>
            <w:vAlign w:val="bottom"/>
          </w:tcPr>
          <w:p>
            <w:pPr>
              <w:jc w:val="center"/>
              <w:ind w:right="84"/>
              <w:spacing w:after="0"/>
              <w:rPr>
                <w:sz w:val="20"/>
                <w:szCs w:val="20"/>
                <w:color w:val="auto"/>
              </w:rPr>
            </w:pPr>
            <w:r>
              <w:rPr>
                <w:rFonts w:ascii="Arial" w:cs="Arial" w:eastAsia="Arial" w:hAnsi="Arial"/>
                <w:sz w:val="14"/>
                <w:szCs w:val="14"/>
                <w:b w:val="1"/>
                <w:bCs w:val="1"/>
                <w:color w:val="auto"/>
                <w:w w:val="93"/>
              </w:rPr>
              <w:t>Six Months</w:t>
            </w:r>
          </w:p>
        </w:tc>
      </w:tr>
      <w:tr>
        <w:trPr>
          <w:trHeight w:val="192"/>
        </w:trPr>
        <w:tc>
          <w:tcPr>
            <w:tcW w:w="2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prior fiscal year</w:t>
            </w:r>
          </w:p>
        </w:tc>
        <w:tc>
          <w:tcPr>
            <w:tcW w:w="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July 31, 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July 31, 2014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July 31, 2015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July 31, 2014</w:t>
            </w:r>
          </w:p>
        </w:tc>
      </w:tr>
      <w:tr>
        <w:trPr>
          <w:trHeight w:val="236"/>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193.1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  $</w:t>
            </w:r>
          </w:p>
        </w:tc>
        <w:tc>
          <w:tcPr>
            <w:tcW w:w="10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179.3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387.6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37.8</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11%  $</w:t>
            </w:r>
          </w:p>
        </w:tc>
        <w:tc>
          <w:tcPr>
            <w:tcW w:w="10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349.8</w:t>
            </w:r>
          </w:p>
        </w:tc>
      </w:tr>
      <w:tr>
        <w:trPr>
          <w:trHeight w:val="237"/>
        </w:trPr>
        <w:tc>
          <w:tcPr>
            <w:tcW w:w="234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w:t>
            </w:r>
          </w:p>
        </w:tc>
      </w:tr>
    </w:tbl>
    <w:p>
      <w:pPr>
        <w:spacing w:after="0" w:line="235"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rent and occupancy, and professional services such as fees paid to software development firms and independent contractors.</w:t>
      </w:r>
    </w:p>
    <w:p>
      <w:pPr>
        <w:spacing w:after="0" w:line="181" w:lineRule="exact"/>
        <w:rPr>
          <w:sz w:val="20"/>
          <w:szCs w:val="20"/>
          <w:color w:val="auto"/>
        </w:rPr>
      </w:pPr>
    </w:p>
    <w:p>
      <w:pPr>
        <w:ind w:right="240" w:firstLine="432"/>
        <w:spacing w:after="0" w:line="342" w:lineRule="auto"/>
        <w:rPr>
          <w:sz w:val="20"/>
          <w:szCs w:val="20"/>
          <w:color w:val="auto"/>
        </w:rPr>
      </w:pPr>
      <w:r>
        <w:rPr>
          <w:rFonts w:ascii="Arial" w:cs="Arial" w:eastAsia="Arial" w:hAnsi="Arial"/>
          <w:sz w:val="16"/>
          <w:szCs w:val="16"/>
          <w:color w:val="auto"/>
        </w:rPr>
        <w:t>Research and development expenses increased 8% and 11% during the three and six months ended July 31, 2015, as compared to the same periods in the prior fiscal year, primarily due to increased employee-related costs from salaries and fringe benefits predominately driven by increased headcount.</w:t>
      </w:r>
    </w:p>
    <w:p>
      <w:pPr>
        <w:spacing w:after="0" w:line="12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For the third quarter of fiscal 2016, as compared to the third quarter of fiscal 2015, we expect research and development expense to increase in absolute dollars and as a percentage of net revenue.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 and Administrative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220" w:type="dxa"/>
            <w:vAlign w:val="bottom"/>
          </w:tcPr>
          <w:p>
            <w:pPr>
              <w:spacing w:after="0"/>
              <w:rPr>
                <w:sz w:val="14"/>
                <w:szCs w:val="14"/>
                <w:color w:val="auto"/>
              </w:rPr>
            </w:pPr>
          </w:p>
        </w:tc>
        <w:tc>
          <w:tcPr>
            <w:tcW w:w="2020" w:type="dxa"/>
            <w:vAlign w:val="bottom"/>
            <w:gridSpan w:val="5"/>
          </w:tcPr>
          <w:p>
            <w:pPr>
              <w:ind w:left="120"/>
              <w:spacing w:after="0"/>
              <w:rPr>
                <w:sz w:val="20"/>
                <w:szCs w:val="20"/>
                <w:color w:val="auto"/>
              </w:rPr>
            </w:pPr>
            <w:r>
              <w:rPr>
                <w:rFonts w:ascii="Arial" w:cs="Arial" w:eastAsia="Arial" w:hAnsi="Arial"/>
                <w:sz w:val="14"/>
                <w:szCs w:val="14"/>
                <w:b w:val="1"/>
                <w:bCs w:val="1"/>
                <w:color w:val="auto"/>
              </w:rPr>
              <w:t>Decrease compared to</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Six Months</w:t>
            </w:r>
          </w:p>
        </w:tc>
        <w:tc>
          <w:tcPr>
            <w:tcW w:w="22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Increase compared to</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84"/>
              <w:spacing w:after="0"/>
              <w:rPr>
                <w:sz w:val="20"/>
                <w:szCs w:val="20"/>
                <w:color w:val="auto"/>
              </w:rPr>
            </w:pPr>
            <w:r>
              <w:rPr>
                <w:rFonts w:ascii="Arial" w:cs="Arial" w:eastAsia="Arial" w:hAnsi="Arial"/>
                <w:sz w:val="14"/>
                <w:szCs w:val="14"/>
                <w:b w:val="1"/>
                <w:bCs w:val="1"/>
                <w:color w:val="auto"/>
                <w:w w:val="93"/>
              </w:rPr>
              <w:t>Six Months</w:t>
            </w:r>
          </w:p>
        </w:tc>
      </w:tr>
      <w:tr>
        <w:trPr>
          <w:trHeight w:val="192"/>
        </w:trPr>
        <w:tc>
          <w:tcPr>
            <w:tcW w:w="2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prior fiscal year</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3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July 31, 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2"/>
              </w:rPr>
              <w:t>July 31, 2014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4"/>
              </w:rPr>
              <w:t>July 31, 2015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July 31, 2014</w:t>
            </w:r>
          </w:p>
        </w:tc>
      </w:tr>
      <w:tr>
        <w:trPr>
          <w:trHeight w:val="236"/>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70.1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  $</w:t>
            </w:r>
          </w:p>
        </w:tc>
        <w:tc>
          <w:tcPr>
            <w:tcW w:w="10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71.5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146.0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9%  $</w:t>
            </w:r>
          </w:p>
        </w:tc>
        <w:tc>
          <w:tcPr>
            <w:tcW w:w="10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134.0</w:t>
            </w:r>
          </w:p>
        </w:tc>
      </w:tr>
      <w:tr>
        <w:trPr>
          <w:trHeight w:val="237"/>
        </w:trPr>
        <w:tc>
          <w:tcPr>
            <w:tcW w:w="232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r>
    </w:tbl>
    <w:p>
      <w:pPr>
        <w:spacing w:after="0" w:line="23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General and administrative expenses include salaries, bonuses, benefits and stock-based compensation expense for our finance, human resources and legal employees, as well as professional fees for legal and accounting services, certain foreign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ind w:right="80"/>
        <w:spacing w:after="0" w:line="277" w:lineRule="auto"/>
        <w:rPr>
          <w:sz w:val="20"/>
          <w:szCs w:val="20"/>
          <w:color w:val="auto"/>
        </w:rPr>
      </w:pPr>
      <w:r>
        <w:rPr>
          <w:rFonts w:ascii="Arial" w:cs="Arial" w:eastAsia="Arial" w:hAnsi="Arial"/>
          <w:sz w:val="18"/>
          <w:szCs w:val="18"/>
          <w:color w:val="auto"/>
        </w:rPr>
        <w:t>business taxes, gains and losses on our operating expense cash flow hedges, expense of travel, entertainment and training, expense of communication and the cost of supplies and equipment.</w:t>
      </w:r>
    </w:p>
    <w:p>
      <w:pPr>
        <w:spacing w:after="0" w:line="1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General and administrative expenses decreased 2% during the three months ended July 31, 2015, as compared to the same period in the prior fiscal year, primarily due to a decrease in certain foreign business taxes and a decrease in professional fees. Partially offsetting our expense decrease was an increase in employee-related costs from salaries and bonus, predominately driven by increased headcount.</w:t>
      </w:r>
    </w:p>
    <w:p>
      <w:pPr>
        <w:spacing w:after="0" w:line="18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General and administrative expenses increased 9% during the six months ended July 31, 2015, as compared to the same period in the prior fiscal year, primarily due to increased employee-related costs from salaries and bonus, predominately driven by increased headcount.</w:t>
      </w:r>
    </w:p>
    <w:p>
      <w:pPr>
        <w:spacing w:after="0" w:line="170"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For the third quarter of fiscal 2016, as compared to the third quarter of fiscal 2015, we expect general and administrative expenses to increase in absolute dollars and slightly increase as a percentage of net revenue.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Amortization of Purchased Intangibles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220" w:type="dxa"/>
            <w:vAlign w:val="bottom"/>
          </w:tcPr>
          <w:p>
            <w:pPr>
              <w:spacing w:after="0"/>
              <w:rPr>
                <w:sz w:val="14"/>
                <w:szCs w:val="14"/>
                <w:color w:val="auto"/>
              </w:rPr>
            </w:pPr>
          </w:p>
        </w:tc>
        <w:tc>
          <w:tcPr>
            <w:tcW w:w="2000" w:type="dxa"/>
            <w:vAlign w:val="bottom"/>
            <w:gridSpan w:val="5"/>
          </w:tcPr>
          <w:p>
            <w:pPr>
              <w:ind w:left="120"/>
              <w:spacing w:after="0"/>
              <w:rPr>
                <w:sz w:val="20"/>
                <w:szCs w:val="20"/>
                <w:color w:val="auto"/>
              </w:rPr>
            </w:pPr>
            <w:r>
              <w:rPr>
                <w:rFonts w:ascii="Arial" w:cs="Arial" w:eastAsia="Arial" w:hAnsi="Arial"/>
                <w:sz w:val="14"/>
                <w:szCs w:val="14"/>
                <w:b w:val="1"/>
                <w:bCs w:val="1"/>
                <w:color w:val="auto"/>
              </w:rPr>
              <w:t>Decrease compared to</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Six Months</w:t>
            </w:r>
          </w:p>
        </w:tc>
        <w:tc>
          <w:tcPr>
            <w:tcW w:w="220" w:type="dxa"/>
            <w:vAlign w:val="bottom"/>
          </w:tcPr>
          <w:p>
            <w:pPr>
              <w:spacing w:after="0"/>
              <w:rPr>
                <w:sz w:val="14"/>
                <w:szCs w:val="14"/>
                <w:color w:val="auto"/>
              </w:rPr>
            </w:pPr>
          </w:p>
        </w:tc>
        <w:tc>
          <w:tcPr>
            <w:tcW w:w="2040" w:type="dxa"/>
            <w:vAlign w:val="bottom"/>
            <w:gridSpan w:val="5"/>
          </w:tcPr>
          <w:p>
            <w:pPr>
              <w:ind w:left="120"/>
              <w:spacing w:after="0"/>
              <w:rPr>
                <w:sz w:val="20"/>
                <w:szCs w:val="20"/>
                <w:color w:val="auto"/>
              </w:rPr>
            </w:pPr>
            <w:r>
              <w:rPr>
                <w:rFonts w:ascii="Arial" w:cs="Arial" w:eastAsia="Arial" w:hAnsi="Arial"/>
                <w:sz w:val="14"/>
                <w:szCs w:val="14"/>
                <w:b w:val="1"/>
                <w:bCs w:val="1"/>
                <w:color w:val="auto"/>
              </w:rPr>
              <w:t>Decrease compared to</w:t>
            </w:r>
          </w:p>
        </w:tc>
        <w:tc>
          <w:tcPr>
            <w:tcW w:w="1000" w:type="dxa"/>
            <w:vAlign w:val="bottom"/>
          </w:tcPr>
          <w:p>
            <w:pPr>
              <w:jc w:val="center"/>
              <w:ind w:right="64"/>
              <w:spacing w:after="0"/>
              <w:rPr>
                <w:sz w:val="20"/>
                <w:szCs w:val="20"/>
                <w:color w:val="auto"/>
              </w:rPr>
            </w:pPr>
            <w:r>
              <w:rPr>
                <w:rFonts w:ascii="Arial" w:cs="Arial" w:eastAsia="Arial" w:hAnsi="Arial"/>
                <w:sz w:val="14"/>
                <w:szCs w:val="14"/>
                <w:b w:val="1"/>
                <w:bCs w:val="1"/>
                <w:color w:val="auto"/>
                <w:w w:val="93"/>
              </w:rPr>
              <w:t>Six Months</w:t>
            </w:r>
          </w:p>
        </w:tc>
      </w:tr>
      <w:tr>
        <w:trPr>
          <w:trHeight w:val="192"/>
        </w:trPr>
        <w:tc>
          <w:tcPr>
            <w:tcW w:w="2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22"/>
                <w:szCs w:val="2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July 31, 2015</w:t>
            </w:r>
          </w:p>
        </w:tc>
        <w:tc>
          <w:tcPr>
            <w:tcW w:w="220" w:type="dxa"/>
            <w:vAlign w:val="bottom"/>
          </w:tcPr>
          <w:p>
            <w:pPr>
              <w:spacing w:after="0"/>
              <w:rPr>
                <w:sz w:val="22"/>
                <w:szCs w:val="22"/>
                <w:color w:val="auto"/>
              </w:rPr>
            </w:pPr>
          </w:p>
        </w:tc>
        <w:tc>
          <w:tcPr>
            <w:tcW w:w="68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000" w:type="dxa"/>
            <w:vAlign w:val="bottom"/>
          </w:tcPr>
          <w:p>
            <w:pPr>
              <w:jc w:val="right"/>
              <w:ind w:right="42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July 31, 2014</w:t>
            </w:r>
          </w:p>
        </w:tc>
        <w:tc>
          <w:tcPr>
            <w:tcW w:w="140" w:type="dxa"/>
            <w:vAlign w:val="bottom"/>
          </w:tcPr>
          <w:p>
            <w:pPr>
              <w:spacing w:after="0"/>
              <w:rPr>
                <w:sz w:val="22"/>
                <w:szCs w:val="2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July 31, 2015</w:t>
            </w:r>
          </w:p>
        </w:tc>
        <w:tc>
          <w:tcPr>
            <w:tcW w:w="220" w:type="dxa"/>
            <w:vAlign w:val="bottom"/>
          </w:tcPr>
          <w:p>
            <w:pPr>
              <w:spacing w:after="0"/>
              <w:rPr>
                <w:sz w:val="22"/>
                <w:szCs w:val="22"/>
                <w:color w:val="auto"/>
              </w:rPr>
            </w:pPr>
          </w:p>
        </w:tc>
        <w:tc>
          <w:tcPr>
            <w:tcW w:w="660" w:type="dxa"/>
            <w:vAlign w:val="bottom"/>
          </w:tcPr>
          <w:p>
            <w:pPr>
              <w:jc w:val="right"/>
              <w:ind w:right="32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000" w:type="dxa"/>
            <w:vAlign w:val="bottom"/>
          </w:tcPr>
          <w:p>
            <w:pPr>
              <w:jc w:val="right"/>
              <w:ind w:right="42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center"/>
              <w:ind w:right="84"/>
              <w:spacing w:after="0"/>
              <w:rPr>
                <w:sz w:val="20"/>
                <w:szCs w:val="20"/>
                <w:color w:val="auto"/>
              </w:rPr>
            </w:pPr>
            <w:r>
              <w:rPr>
                <w:rFonts w:ascii="Arial" w:cs="Arial" w:eastAsia="Arial" w:hAnsi="Arial"/>
                <w:sz w:val="14"/>
                <w:szCs w:val="14"/>
                <w:b w:val="1"/>
                <w:bCs w:val="1"/>
                <w:color w:val="auto"/>
                <w:w w:val="92"/>
              </w:rPr>
              <w:t>July 31, 2014</w:t>
            </w:r>
          </w:p>
        </w:tc>
      </w:tr>
      <w:tr>
        <w:trPr>
          <w:trHeight w:val="206"/>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purchased</w:t>
            </w: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19"/>
        </w:trPr>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intangibles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(19)%  $</w:t>
            </w:r>
          </w:p>
        </w:tc>
        <w:tc>
          <w:tcPr>
            <w:tcW w:w="100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21.0</w:t>
            </w: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235"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Amortization of purchased intangibles decreased 19% during both the three and six months ended July 31, 2015, as compared to the same periods in the prior fiscal year, primarily related to the accumulated effects associated with amortization expense of intangible assets purchased over time.</w:t>
      </w:r>
    </w:p>
    <w:p>
      <w:pPr>
        <w:spacing w:after="0" w:line="124"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For the third quarter of fiscal 2016, as compared to the third quarter of fiscal 2015, we expect amortization of purchased intangibles to decrease in absolute dollars and remain flat as a percentage of net revenue.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 Charges, Net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220" w:type="dxa"/>
            <w:vAlign w:val="bottom"/>
          </w:tcPr>
          <w:p>
            <w:pPr>
              <w:spacing w:after="0"/>
              <w:rPr>
                <w:sz w:val="14"/>
                <w:szCs w:val="14"/>
                <w:color w:val="auto"/>
              </w:rPr>
            </w:pPr>
          </w:p>
        </w:tc>
        <w:tc>
          <w:tcPr>
            <w:tcW w:w="2000" w:type="dxa"/>
            <w:vAlign w:val="bottom"/>
            <w:gridSpan w:val="5"/>
          </w:tcPr>
          <w:p>
            <w:pPr>
              <w:ind w:left="100"/>
              <w:spacing w:after="0"/>
              <w:rPr>
                <w:sz w:val="20"/>
                <w:szCs w:val="20"/>
                <w:color w:val="auto"/>
              </w:rPr>
            </w:pPr>
            <w:r>
              <w:rPr>
                <w:rFonts w:ascii="Arial" w:cs="Arial" w:eastAsia="Arial" w:hAnsi="Arial"/>
                <w:sz w:val="14"/>
                <w:szCs w:val="14"/>
                <w:b w:val="1"/>
                <w:bCs w:val="1"/>
                <w:color w:val="auto"/>
              </w:rPr>
              <w:t>Decrease compared to</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Six Months</w:t>
            </w:r>
          </w:p>
        </w:tc>
        <w:tc>
          <w:tcPr>
            <w:tcW w:w="220" w:type="dxa"/>
            <w:vAlign w:val="bottom"/>
          </w:tcPr>
          <w:p>
            <w:pPr>
              <w:spacing w:after="0"/>
              <w:rPr>
                <w:sz w:val="14"/>
                <w:szCs w:val="14"/>
                <w:color w:val="auto"/>
              </w:rPr>
            </w:pPr>
          </w:p>
        </w:tc>
        <w:tc>
          <w:tcPr>
            <w:tcW w:w="2040" w:type="dxa"/>
            <w:vAlign w:val="bottom"/>
            <w:gridSpan w:val="5"/>
          </w:tcPr>
          <w:p>
            <w:pPr>
              <w:ind w:left="120"/>
              <w:spacing w:after="0"/>
              <w:rPr>
                <w:sz w:val="20"/>
                <w:szCs w:val="20"/>
                <w:color w:val="auto"/>
              </w:rPr>
            </w:pPr>
            <w:r>
              <w:rPr>
                <w:rFonts w:ascii="Arial" w:cs="Arial" w:eastAsia="Arial" w:hAnsi="Arial"/>
                <w:sz w:val="14"/>
                <w:szCs w:val="14"/>
                <w:b w:val="1"/>
                <w:bCs w:val="1"/>
                <w:color w:val="auto"/>
              </w:rPr>
              <w:t>Decrease compared to</w:t>
            </w:r>
          </w:p>
        </w:tc>
        <w:tc>
          <w:tcPr>
            <w:tcW w:w="1000" w:type="dxa"/>
            <w:vAlign w:val="bottom"/>
          </w:tcPr>
          <w:p>
            <w:pPr>
              <w:jc w:val="center"/>
              <w:ind w:right="64"/>
              <w:spacing w:after="0"/>
              <w:rPr>
                <w:sz w:val="20"/>
                <w:szCs w:val="20"/>
                <w:color w:val="auto"/>
              </w:rPr>
            </w:pPr>
            <w:r>
              <w:rPr>
                <w:rFonts w:ascii="Arial" w:cs="Arial" w:eastAsia="Arial" w:hAnsi="Arial"/>
                <w:sz w:val="14"/>
                <w:szCs w:val="14"/>
                <w:b w:val="1"/>
                <w:bCs w:val="1"/>
                <w:color w:val="auto"/>
                <w:w w:val="93"/>
              </w:rPr>
              <w:t>Six Months</w:t>
            </w:r>
          </w:p>
        </w:tc>
      </w:tr>
      <w:tr>
        <w:trPr>
          <w:trHeight w:val="192"/>
        </w:trPr>
        <w:tc>
          <w:tcPr>
            <w:tcW w:w="2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July 31, 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July 31, 2014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July 31, 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2"/>
              </w:rPr>
              <w:t>July 31, 2014</w:t>
            </w:r>
          </w:p>
        </w:tc>
      </w:tr>
      <w:tr>
        <w:trPr>
          <w:trHeight w:val="236"/>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charges,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(100)%  $</w:t>
            </w:r>
          </w:p>
        </w:tc>
        <w:tc>
          <w:tcPr>
            <w:tcW w:w="10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(100)%  $</w:t>
            </w:r>
          </w:p>
        </w:tc>
        <w:tc>
          <w:tcPr>
            <w:tcW w:w="100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3.1</w:t>
            </w: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14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35" w:lineRule="exact"/>
        <w:rPr>
          <w:sz w:val="20"/>
          <w:szCs w:val="20"/>
          <w:color w:val="auto"/>
        </w:rPr>
      </w:pPr>
    </w:p>
    <w:p>
      <w:pPr>
        <w:jc w:val="both"/>
        <w:ind w:right="240" w:firstLine="405"/>
        <w:spacing w:after="0" w:line="312" w:lineRule="auto"/>
        <w:rPr>
          <w:sz w:val="20"/>
          <w:szCs w:val="20"/>
          <w:color w:val="auto"/>
        </w:rPr>
      </w:pPr>
      <w:r>
        <w:rPr>
          <w:rFonts w:ascii="Arial" w:cs="Arial" w:eastAsia="Arial" w:hAnsi="Arial"/>
          <w:sz w:val="16"/>
          <w:szCs w:val="16"/>
          <w:color w:val="auto"/>
        </w:rPr>
        <w:t>During the third quarter of fiscal 2014, the Board of Directors approved a world-wide restructuring plan in order to re-balance staffing levels to better align them with the evolving needs of the business. The restructuring plan included a reduction of approximately 85 positions and the consolidation of four leased facilities, with a total cost of approximately $15.0 million. We have substantially completed the actions authorized under this plan.</w:t>
      </w:r>
    </w:p>
    <w:p>
      <w:pPr>
        <w:spacing w:after="0" w:line="147"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We recorded no restructuring charges during both the three and six months ended July 31, 2015. See Note 13, “Restructuring,” in the Notes to the Condensed Consolidated Financial Statements for further discussion.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p>
      <w:pPr>
        <w:ind w:left="260"/>
        <w:spacing w:after="0"/>
        <w:rPr>
          <w:sz w:val="20"/>
          <w:szCs w:val="20"/>
          <w:color w:val="auto"/>
        </w:rPr>
      </w:pPr>
      <w:r>
        <w:rPr>
          <w:rFonts w:ascii="Arial" w:cs="Arial" w:eastAsia="Arial" w:hAnsi="Arial"/>
          <w:sz w:val="18"/>
          <w:szCs w:val="18"/>
          <w:i w:val="1"/>
          <w:iCs w:val="1"/>
          <w:color w:val="auto"/>
        </w:rPr>
        <w:t>Interest and Other Expense,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interest and other expense, net: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July 31,</w:t>
            </w:r>
          </w:p>
        </w:tc>
        <w:tc>
          <w:tcPr>
            <w:tcW w:w="220" w:type="dxa"/>
            <w:vAlign w:val="bottom"/>
          </w:tcPr>
          <w:p>
            <w:pPr>
              <w:spacing w:after="0"/>
              <w:rPr>
                <w:sz w:val="16"/>
                <w:szCs w:val="16"/>
                <w:color w:val="auto"/>
              </w:rPr>
            </w:pPr>
          </w:p>
        </w:tc>
        <w:tc>
          <w:tcPr>
            <w:tcW w:w="21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9"/>
              </w:rPr>
              <w:t>Six Months Ended July 31,</w:t>
            </w:r>
          </w:p>
        </w:tc>
      </w:tr>
      <w:tr>
        <w:trPr>
          <w:trHeight w:val="26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2014</w:t>
            </w:r>
          </w:p>
        </w:tc>
      </w:tr>
      <w:tr>
        <w:trPr>
          <w:trHeight w:val="23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investment expense, net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Gain (loss) on foreign currency</w:t>
            </w:r>
          </w:p>
        </w:tc>
        <w:tc>
          <w:tcPr>
            <w:tcW w:w="22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33"/>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(loss) on strategic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22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2.5</w:t>
            </w:r>
          </w:p>
        </w:tc>
      </w:tr>
      <w:tr>
        <w:trPr>
          <w:trHeight w:val="33"/>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expense, net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Interest and other expense, net decreased $3.6 million and $10.5 million during the three and six months ended July 31, 2015, respectively, as compared to the same periods in the prior fiscal year. The decreases in both periods were primarily related to non-recurring gains on certain of our privately-held strategic investments and mark-to-mark gains recognized on the derivative portion on certain of our other privately-held strategic investments during the current fiscal year. Comparatively, we incurred non-recurring impairment losses on certain of our privately-held strategic investments in the same periods in the prior fiscal year. The decreases noted above were partially offset by an increase in interest expense resulting from the issuance of $450.0 million aggregate principal amount of 3.125% notes due June 15, 2020 and $300.0 million aggregate principal amount of 4.375% notes due June 15, 2025.</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expense and investment income fluctuates based on average cash, marketable securities and debt balances, average maturities and interest rates.</w:t>
      </w:r>
    </w:p>
    <w:p>
      <w:pPr>
        <w:spacing w:after="0" w:line="248"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8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effective tax rate before discrete items was 25% and 24% during the three and six months ended July 31, 2015, respectively. These rates were lower than the federal statutory tax rate of 35% primarily due to foreign earnings taxed at lower rates. During the three months ended July 31, 2015, Autodesk recorded a valuation allowance against our U.S. federal and remaining state deferred tax assets of $213.6 million, of which $205.3 million was recorded as a discrete tax expense.</w:t>
      </w:r>
    </w:p>
    <w:p>
      <w:pPr>
        <w:spacing w:after="0" w:line="187"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We regularly assess the need for a valuation allowance against our deferred tax assets. In making that assessment, we consider both positive and negative evidence related to the likelihood of realization of the deferred tax assets to determine, based on the weight of available evidence, whether it is more-likely-than-not that some or all of the deferred tax assets will not be realized. In evaluating the need for a valuation allowance, we considered recent cumulative losses in the United States arising from our business model transition as a significant piece of negative evidence. Therefore, in the three months ended July 31, 2015, we established a valuation allowance against our U.S. federal and remaining state deferred tax assets of $213.6 million.</w:t>
      </w:r>
    </w:p>
    <w:p>
      <w:pPr>
        <w:spacing w:after="0" w:line="15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As of July 31, 2015, we had $251.1 million of gross unrecognized tax benefits, excluding interest, of which approximately $232.7 million represents the amount of unrecognized tax benefits that would impact the effective tax rate, if recognized. However, this rate impact would be offset to the extent that recognition of unrecognized tax benefits currently presented as a reduction of deferred tax assets would increase the valuation allowance. It is possible that the amount of unrecognized tax benefits will change in the next twelve months; however, an estimate of the range of the possible change cannot be made at this time.</w:t>
      </w:r>
    </w:p>
    <w:p>
      <w:pPr>
        <w:spacing w:after="0" w:line="18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accounting for uncertain tax positions, business combinations, U.S.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ind w:right="200"/>
        <w:spacing w:after="0" w:line="257" w:lineRule="auto"/>
        <w:rPr>
          <w:sz w:val="20"/>
          <w:szCs w:val="20"/>
          <w:color w:val="auto"/>
        </w:rPr>
      </w:pPr>
      <w:r>
        <w:rPr>
          <w:rFonts w:ascii="Arial" w:cs="Arial" w:eastAsia="Arial" w:hAnsi="Arial"/>
          <w:sz w:val="18"/>
          <w:szCs w:val="18"/>
          <w:color w:val="auto"/>
        </w:rPr>
        <w:t>Manufacturer's deduction, closure of statute of limitations or settlement of tax audits, changes in valuation allowances and changes in tax laws including possible U.S. tax law changes that, if enacted, could significantly impact how U.S. multinational companies are taxed on foreign subsidiary earnings. A significant amount of our earnings is generated by our Europe and Asia Pacific subsidiaries. Our future effective tax rates may be adversely affected to the extent earnings are lower than anticipated in countries where we have lower statutory tax rates or we repatriate certain foreign earnings on which U.S. taxes have not previously been provided.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addition to our results determined under GAAP discussed above, we believe the following non-GAAP measures are useful to investors in evaluating our operating performance. For the three and six months ended July 31, 2015 and 2014, our gross profit, gross margin, income from operations, operating margin, net income (loss), diluted net income (loss) per share and diluted shares used in per share calculation on a GAAP and non-GAAP basis were as follows (in millions except for year-over-year change in total net revenue and billings, year-over-year change in net subscription revenue and billings, gross margin, operating margin, and per share data):</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 July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4"/>
                <w:szCs w:val="14"/>
                <w:b w:val="1"/>
                <w:bCs w:val="1"/>
                <w:color w:val="auto"/>
              </w:rPr>
              <w:t>Six Months Ended July 31,</w:t>
            </w:r>
          </w:p>
        </w:tc>
      </w:tr>
      <w:tr>
        <w:trPr>
          <w:trHeight w:val="264"/>
        </w:trPr>
        <w:tc>
          <w:tcPr>
            <w:tcW w:w="55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2014</w:t>
            </w:r>
          </w:p>
        </w:tc>
      </w:tr>
      <w:tr>
        <w:trPr>
          <w:trHeight w:val="196"/>
        </w:trPr>
        <w:tc>
          <w:tcPr>
            <w:tcW w:w="5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Year-over-year change in total net revenue</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9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Year-over-year change in total net billings (1)</w:t>
            </w:r>
          </w:p>
        </w:tc>
        <w:tc>
          <w:tcPr>
            <w:tcW w:w="34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7 %</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Year-over-year change in net subscription 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11 %</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Year-over-year change in net subscription billings (1)</w:t>
            </w:r>
          </w:p>
        </w:tc>
        <w:tc>
          <w:tcPr>
            <w:tcW w:w="34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52 %</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516.5</w:t>
            </w:r>
          </w:p>
        </w:tc>
        <w:tc>
          <w:tcPr>
            <w:tcW w:w="90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549.2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1,071.2</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1,063.0</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00"/>
              <w:spacing w:after="0"/>
              <w:rPr>
                <w:sz w:val="20"/>
                <w:szCs w:val="20"/>
                <w:color w:val="auto"/>
              </w:rPr>
            </w:pPr>
            <w:r>
              <w:rPr>
                <w:rFonts w:ascii="Arial" w:cs="Arial" w:eastAsia="Arial" w:hAnsi="Arial"/>
                <w:sz w:val="16"/>
                <w:szCs w:val="16"/>
                <w:color w:val="auto"/>
              </w:rPr>
              <w:t>530.9</w:t>
            </w:r>
          </w:p>
        </w:tc>
        <w:tc>
          <w:tcPr>
            <w:tcW w:w="900" w:type="dxa"/>
            <w:vAlign w:val="bottom"/>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w w:val="89"/>
              </w:rPr>
              <w:t>565.8</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1,102.0</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1,094.3</w:t>
            </w:r>
          </w:p>
        </w:tc>
      </w:tr>
      <w:tr>
        <w:trPr>
          <w:trHeight w:val="33"/>
        </w:trPr>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85 %</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34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87 %</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33"/>
        </w:trPr>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4.3</w:t>
            </w:r>
          </w:p>
        </w:tc>
        <w:tc>
          <w:tcPr>
            <w:tcW w:w="90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25.8</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92.1</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Non-GAAP income from operations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00"/>
              <w:spacing w:after="0"/>
              <w:rPr>
                <w:sz w:val="20"/>
                <w:szCs w:val="20"/>
                <w:color w:val="auto"/>
              </w:rPr>
            </w:pPr>
            <w:r>
              <w:rPr>
                <w:rFonts w:ascii="Arial" w:cs="Arial" w:eastAsia="Arial" w:hAnsi="Arial"/>
                <w:sz w:val="16"/>
                <w:szCs w:val="16"/>
                <w:color w:val="auto"/>
              </w:rPr>
              <w:t>65.2</w:t>
            </w:r>
          </w:p>
        </w:tc>
        <w:tc>
          <w:tcPr>
            <w:tcW w:w="900" w:type="dxa"/>
            <w:vAlign w:val="bottom"/>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w w:val="89"/>
              </w:rPr>
              <w:t>115.1</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159.3</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217.1</w:t>
            </w:r>
          </w:p>
        </w:tc>
      </w:tr>
      <w:tr>
        <w:trPr>
          <w:trHeight w:val="33"/>
        </w:trPr>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1 %</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34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11 %</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(235.5)</w:t>
            </w:r>
          </w:p>
        </w:tc>
        <w:tc>
          <w:tcPr>
            <w:tcW w:w="90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(216.4)</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59.6</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Non-GAAP 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00"/>
              <w:spacing w:after="0"/>
              <w:rPr>
                <w:sz w:val="20"/>
                <w:szCs w:val="20"/>
                <w:color w:val="auto"/>
              </w:rPr>
            </w:pPr>
            <w:r>
              <w:rPr>
                <w:rFonts w:ascii="Arial" w:cs="Arial" w:eastAsia="Arial" w:hAnsi="Arial"/>
                <w:sz w:val="16"/>
                <w:szCs w:val="16"/>
                <w:color w:val="auto"/>
              </w:rPr>
              <w:t>44.0</w:t>
            </w:r>
          </w:p>
        </w:tc>
        <w:tc>
          <w:tcPr>
            <w:tcW w:w="900" w:type="dxa"/>
            <w:vAlign w:val="bottom"/>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113.1</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155.8</w:t>
            </w:r>
          </w:p>
        </w:tc>
      </w:tr>
      <w:tr>
        <w:trPr>
          <w:trHeight w:val="33"/>
        </w:trPr>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net (loss) income per share (2)</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(1.04)</w:t>
            </w:r>
          </w:p>
        </w:tc>
        <w:tc>
          <w:tcPr>
            <w:tcW w:w="90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(0.95)</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0.26</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Non-GAAP diluted net income per share (2)</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00"/>
              <w:spacing w:after="0"/>
              <w:rPr>
                <w:sz w:val="20"/>
                <w:szCs w:val="20"/>
                <w:color w:val="auto"/>
              </w:rPr>
            </w:pPr>
            <w:r>
              <w:rPr>
                <w:rFonts w:ascii="Arial" w:cs="Arial" w:eastAsia="Arial" w:hAnsi="Arial"/>
                <w:sz w:val="16"/>
                <w:szCs w:val="16"/>
                <w:color w:val="auto"/>
              </w:rPr>
              <w:t>0.19</w:t>
            </w:r>
          </w:p>
        </w:tc>
        <w:tc>
          <w:tcPr>
            <w:tcW w:w="900" w:type="dxa"/>
            <w:vAlign w:val="bottom"/>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0.49</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0.67</w:t>
            </w:r>
          </w:p>
        </w:tc>
      </w:tr>
      <w:tr>
        <w:trPr>
          <w:trHeight w:val="33"/>
        </w:trPr>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shares used in per share calculation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227.0</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232.4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227.1</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232.4</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Non-GAAP diluted weighted average shares used in per share calculation</w:t>
            </w:r>
          </w:p>
        </w:tc>
        <w:tc>
          <w:tcPr>
            <w:tcW w:w="340" w:type="dxa"/>
            <w:vAlign w:val="bottom"/>
          </w:tcPr>
          <w:p>
            <w:pPr>
              <w:spacing w:after="0"/>
              <w:rPr>
                <w:sz w:val="20"/>
                <w:szCs w:val="20"/>
                <w:color w:val="auto"/>
              </w:rPr>
            </w:pPr>
          </w:p>
        </w:tc>
        <w:tc>
          <w:tcPr>
            <w:tcW w:w="1160" w:type="dxa"/>
            <w:vAlign w:val="bottom"/>
          </w:tcPr>
          <w:p>
            <w:pPr>
              <w:jc w:val="right"/>
              <w:ind w:right="200"/>
              <w:spacing w:after="0"/>
              <w:rPr>
                <w:sz w:val="20"/>
                <w:szCs w:val="20"/>
                <w:color w:val="auto"/>
              </w:rPr>
            </w:pPr>
            <w:r>
              <w:rPr>
                <w:rFonts w:ascii="Arial" w:cs="Arial" w:eastAsia="Arial" w:hAnsi="Arial"/>
                <w:sz w:val="16"/>
                <w:szCs w:val="16"/>
                <w:color w:val="auto"/>
              </w:rPr>
              <w:t>231.1</w:t>
            </w:r>
          </w:p>
        </w:tc>
        <w:tc>
          <w:tcPr>
            <w:tcW w:w="90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w w:val="89"/>
              </w:rPr>
              <w:t>232.4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231.6</w:t>
            </w:r>
          </w:p>
        </w:tc>
        <w:tc>
          <w:tcPr>
            <w:tcW w:w="3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232.4</w:t>
            </w:r>
          </w:p>
        </w:tc>
      </w:tr>
      <w:tr>
        <w:trPr>
          <w:trHeight w:val="249"/>
        </w:trPr>
        <w:tc>
          <w:tcPr>
            <w:tcW w:w="5580" w:type="dxa"/>
            <w:vAlign w:val="bottom"/>
          </w:tcPr>
          <w:p>
            <w:pPr>
              <w:spacing w:after="0"/>
              <w:rPr>
                <w:sz w:val="20"/>
                <w:szCs w:val="20"/>
                <w:color w:val="auto"/>
              </w:rPr>
            </w:pPr>
            <w:r>
              <w:rPr>
                <w:rFonts w:ascii="Arial" w:cs="Arial" w:eastAsia="Arial" w:hAnsi="Arial"/>
                <w:sz w:val="18"/>
                <w:szCs w:val="18"/>
                <w:color w:val="auto"/>
              </w:rPr>
              <w:t>_______________</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r>
    </w:tbl>
    <w:p>
      <w:pPr>
        <w:ind w:left="420" w:hanging="412"/>
        <w:spacing w:after="0"/>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Prior period was adjusted to conform with current period's presentation to include the effects from hedging on billings.</w:t>
      </w:r>
    </w:p>
    <w:p>
      <w:pPr>
        <w:spacing w:after="0" w:line="9" w:lineRule="exact"/>
        <w:rPr>
          <w:rFonts w:ascii="Arial" w:cs="Arial" w:eastAsia="Arial" w:hAnsi="Arial"/>
          <w:sz w:val="16"/>
          <w:szCs w:val="16"/>
          <w:color w:val="auto"/>
        </w:rPr>
      </w:pPr>
    </w:p>
    <w:p>
      <w:pPr>
        <w:ind w:left="420" w:right="160" w:hanging="412"/>
        <w:spacing w:after="0" w:line="257" w:lineRule="auto"/>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Net (loss) income per share was computed independently for each of the periods presented; therefore the sum of the net (loss) income per share amount for the quarters may not equal the total for the year.</w:t>
      </w:r>
    </w:p>
    <w:p>
      <w:pPr>
        <w:spacing w:after="0" w:line="18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For our internal budgeting and resource allocation process and as a means to evaluate period-to-period comparisons, we use non-GAAP measures to supplement our condensed consolidated financial statements presented on a GAAP basis. These non-GAAP measures do not include certain items that may have a material impact upon our reported financial results. We use non-GAAP measures in making operating decisions because we believe those measures provide meaningful supplemental information regarding our earning potential and performance for management by excluding certain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0" w:name="page41"/>
    <w:bookmarkEnd w:id="40"/>
    <w:p>
      <w:pPr>
        <w:jc w:val="both"/>
        <w:ind w:firstLine="405"/>
        <w:spacing w:after="0" w:line="290"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0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Reconciliation of GAAP Financial Measures to 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millions except for year-over-year changes, gross margin, operating margin, and per share data):</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6300"/>
        <w:spacing w:after="0"/>
        <w:rPr>
          <w:sz w:val="20"/>
          <w:szCs w:val="20"/>
          <w:color w:val="auto"/>
        </w:rPr>
      </w:pPr>
      <w:r>
        <w:rPr>
          <w:rFonts w:ascii="Arial" w:cs="Arial" w:eastAsia="Arial" w:hAnsi="Arial"/>
          <w:sz w:val="13"/>
          <w:szCs w:val="13"/>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31115</wp:posOffset>
            </wp:positionV>
            <wp:extent cx="17494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14" w:lineRule="exact"/>
        <w:rPr>
          <w:sz w:val="20"/>
          <w:szCs w:val="20"/>
          <w:color w:val="auto"/>
        </w:rPr>
      </w:pPr>
    </w:p>
    <w:p>
      <w:pPr>
        <w:ind w:left="6340"/>
        <w:spacing w:after="0"/>
        <w:tabs>
          <w:tab w:leader="none" w:pos="776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23495</wp:posOffset>
            </wp:positionV>
            <wp:extent cx="17494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89"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31115</wp:posOffset>
            </wp:positionV>
            <wp:extent cx="17322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1400" w:val="left"/>
        </w:tabs>
        <w:rPr>
          <w:sz w:val="20"/>
          <w:szCs w:val="20"/>
          <w:color w:val="auto"/>
        </w:rPr>
      </w:pPr>
      <w:r>
        <w:rPr>
          <w:rFonts w:ascii="Arial" w:cs="Arial" w:eastAsia="Arial" w:hAnsi="Arial"/>
          <w:sz w:val="13"/>
          <w:szCs w:val="13"/>
          <w:b w:val="1"/>
          <w:bCs w:val="1"/>
          <w:color w:val="auto"/>
        </w:rPr>
        <w:t>2015</w:t>
      </w:r>
      <w:r>
        <w:rPr>
          <w:sz w:val="20"/>
          <w:szCs w:val="20"/>
          <w:color w:val="auto"/>
        </w:rPr>
        <w:tab/>
      </w:r>
      <w:r>
        <w:rPr>
          <w:rFonts w:ascii="Arial" w:cs="Arial" w:eastAsia="Arial" w:hAnsi="Arial"/>
          <w:sz w:val="13"/>
          <w:szCs w:val="13"/>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31115</wp:posOffset>
            </wp:positionV>
            <wp:extent cx="17322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p>
      <w:pPr>
        <w:sectPr>
          <w:pgSz w:w="11900" w:h="16838" w:orient="portrait"/>
          <w:cols w:equalWidth="0" w:num="2">
            <w:col w:w="8460" w:space="720"/>
            <w:col w:w="224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Year-over-year change in total net revenue</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37"/>
        </w:trPr>
        <w:tc>
          <w:tcPr>
            <w:tcW w:w="5820" w:type="dxa"/>
            <w:vAlign w:val="bottom"/>
          </w:tcPr>
          <w:p>
            <w:pPr>
              <w:ind w:left="360"/>
              <w:spacing w:after="0"/>
              <w:rPr>
                <w:sz w:val="20"/>
                <w:szCs w:val="20"/>
                <w:color w:val="auto"/>
              </w:rPr>
            </w:pPr>
            <w:r>
              <w:rPr>
                <w:rFonts w:ascii="Arial" w:cs="Arial" w:eastAsia="Arial" w:hAnsi="Arial"/>
                <w:sz w:val="16"/>
                <w:szCs w:val="16"/>
                <w:color w:val="auto"/>
              </w:rPr>
              <w:t>Change in deferred revenue</w:t>
            </w: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Change in hedge gain (loss) applicable to billings (1)</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820" w:type="dxa"/>
            <w:vAlign w:val="bottom"/>
          </w:tcPr>
          <w:p>
            <w:pPr>
              <w:ind w:left="360"/>
              <w:spacing w:after="0"/>
              <w:rPr>
                <w:sz w:val="20"/>
                <w:szCs w:val="20"/>
                <w:color w:val="auto"/>
              </w:rPr>
            </w:pPr>
            <w:r>
              <w:rPr>
                <w:rFonts w:ascii="Arial" w:cs="Arial" w:eastAsia="Arial" w:hAnsi="Arial"/>
                <w:sz w:val="16"/>
                <w:szCs w:val="16"/>
                <w:color w:val="auto"/>
              </w:rPr>
              <w:t>Change in acquisition related deferred revenue and other</w:t>
            </w: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8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Year-over-year change in total net billings</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Year-over-year change in net subscription revenue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Change in deferred subscription revenue</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37"/>
        </w:trPr>
        <w:tc>
          <w:tcPr>
            <w:tcW w:w="5820" w:type="dxa"/>
            <w:vAlign w:val="bottom"/>
          </w:tcPr>
          <w:p>
            <w:pPr>
              <w:ind w:left="360"/>
              <w:spacing w:after="0"/>
              <w:rPr>
                <w:sz w:val="20"/>
                <w:szCs w:val="20"/>
                <w:color w:val="auto"/>
              </w:rPr>
            </w:pPr>
            <w:r>
              <w:rPr>
                <w:rFonts w:ascii="Arial" w:cs="Arial" w:eastAsia="Arial" w:hAnsi="Arial"/>
                <w:sz w:val="16"/>
                <w:szCs w:val="16"/>
                <w:color w:val="auto"/>
              </w:rPr>
              <w:t>Change in hedge gain (loss) applicable to subscription billings (1)</w:t>
            </w: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Change in acquisition related deferred subscription revenue and other</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5820" w:type="dxa"/>
            <w:vAlign w:val="bottom"/>
          </w:tcPr>
          <w:p>
            <w:pPr>
              <w:ind w:left="40"/>
              <w:spacing w:after="0"/>
              <w:rPr>
                <w:sz w:val="20"/>
                <w:szCs w:val="20"/>
                <w:color w:val="auto"/>
              </w:rPr>
            </w:pPr>
            <w:r>
              <w:rPr>
                <w:rFonts w:ascii="Arial" w:cs="Arial" w:eastAsia="Arial" w:hAnsi="Arial"/>
                <w:sz w:val="16"/>
                <w:szCs w:val="16"/>
                <w:color w:val="auto"/>
              </w:rPr>
              <w:t>Year-over-year change in net subscription billings (1)</w:t>
            </w: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52 %</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73"/>
        </w:trPr>
        <w:tc>
          <w:tcPr>
            <w:tcW w:w="58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8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Gross profit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516.5</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549.2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1,071.2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1,063.0</w:t>
            </w:r>
          </w:p>
        </w:tc>
        <w:tc>
          <w:tcPr>
            <w:tcW w:w="0" w:type="dxa"/>
            <w:vAlign w:val="bottom"/>
          </w:tcPr>
          <w:p>
            <w:pPr>
              <w:spacing w:after="0"/>
              <w:rPr>
                <w:sz w:val="1"/>
                <w:szCs w:val="1"/>
                <w:color w:val="auto"/>
              </w:rPr>
            </w:pPr>
          </w:p>
        </w:tc>
      </w:tr>
      <w:tr>
        <w:trPr>
          <w:trHeight w:val="237"/>
        </w:trPr>
        <w:tc>
          <w:tcPr>
            <w:tcW w:w="58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400" w:type="dxa"/>
            <w:vAlign w:val="bottom"/>
          </w:tcPr>
          <w:p>
            <w:pPr>
              <w:spacing w:after="0"/>
              <w:rPr>
                <w:sz w:val="20"/>
                <w:szCs w:val="20"/>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17"/>
        </w:trPr>
        <w:tc>
          <w:tcPr>
            <w:tcW w:w="582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530.9</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565.8</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1,102.0</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1,094.3</w:t>
            </w:r>
          </w:p>
        </w:tc>
        <w:tc>
          <w:tcPr>
            <w:tcW w:w="0" w:type="dxa"/>
            <w:vAlign w:val="bottom"/>
          </w:tcPr>
          <w:p>
            <w:pPr>
              <w:spacing w:after="0"/>
              <w:rPr>
                <w:sz w:val="1"/>
                <w:szCs w:val="1"/>
                <w:color w:val="auto"/>
              </w:rPr>
            </w:pPr>
          </w:p>
        </w:tc>
      </w:tr>
      <w:tr>
        <w:trPr>
          <w:trHeight w:val="73"/>
        </w:trPr>
        <w:tc>
          <w:tcPr>
            <w:tcW w:w="58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8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Gross margin</w:t>
            </w:r>
          </w:p>
        </w:tc>
        <w:tc>
          <w:tcPr>
            <w:tcW w:w="4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0" w:type="dxa"/>
            <w:vAlign w:val="bottom"/>
          </w:tcPr>
          <w:p>
            <w:pPr>
              <w:spacing w:after="0"/>
              <w:rPr>
                <w:sz w:val="1"/>
                <w:szCs w:val="1"/>
                <w:color w:val="auto"/>
              </w:rPr>
            </w:pPr>
          </w:p>
        </w:tc>
      </w:tr>
      <w:tr>
        <w:trPr>
          <w:trHeight w:val="237"/>
        </w:trPr>
        <w:tc>
          <w:tcPr>
            <w:tcW w:w="58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400" w:type="dxa"/>
            <w:vAlign w:val="bottom"/>
          </w:tcPr>
          <w:p>
            <w:pPr>
              <w:spacing w:after="0"/>
              <w:rPr>
                <w:sz w:val="20"/>
                <w:szCs w:val="20"/>
                <w:color w:val="auto"/>
              </w:rPr>
            </w:pPr>
          </w:p>
        </w:tc>
        <w:tc>
          <w:tcPr>
            <w:tcW w:w="1040" w:type="dxa"/>
            <w:vAlign w:val="bottom"/>
            <w:gridSpan w:val="2"/>
          </w:tcPr>
          <w:p>
            <w:pPr>
              <w:ind w:left="560"/>
              <w:spacing w:after="0"/>
              <w:rPr>
                <w:sz w:val="20"/>
                <w:szCs w:val="20"/>
                <w:color w:val="auto"/>
              </w:rPr>
            </w:pPr>
            <w:r>
              <w:rPr>
                <w:rFonts w:ascii="Arial" w:cs="Arial" w:eastAsia="Arial" w:hAnsi="Arial"/>
                <w:sz w:val="16"/>
                <w:szCs w:val="16"/>
                <w:color w:val="auto"/>
              </w:rPr>
              <w:t>— %</w:t>
            </w:r>
          </w:p>
        </w:tc>
        <w:tc>
          <w:tcPr>
            <w:tcW w:w="420" w:type="dxa"/>
            <w:vAlign w:val="bottom"/>
          </w:tcPr>
          <w:p>
            <w:pPr>
              <w:spacing w:after="0"/>
              <w:rPr>
                <w:sz w:val="20"/>
                <w:szCs w:val="20"/>
                <w:color w:val="auto"/>
              </w:rPr>
            </w:pPr>
          </w:p>
        </w:tc>
        <w:tc>
          <w:tcPr>
            <w:tcW w:w="1020" w:type="dxa"/>
            <w:vAlign w:val="bottom"/>
            <w:gridSpan w:val="2"/>
          </w:tcPr>
          <w:p>
            <w:pPr>
              <w:ind w:left="520"/>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7"/>
        </w:trPr>
        <w:tc>
          <w:tcPr>
            <w:tcW w:w="582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87 %</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89 %</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73"/>
        </w:trPr>
        <w:tc>
          <w:tcPr>
            <w:tcW w:w="58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8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Income from operations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49.9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92.1</w:t>
            </w:r>
          </w:p>
        </w:tc>
        <w:tc>
          <w:tcPr>
            <w:tcW w:w="0" w:type="dxa"/>
            <w:vAlign w:val="bottom"/>
          </w:tcPr>
          <w:p>
            <w:pPr>
              <w:spacing w:after="0"/>
              <w:rPr>
                <w:sz w:val="1"/>
                <w:szCs w:val="1"/>
                <w:color w:val="auto"/>
              </w:rPr>
            </w:pPr>
          </w:p>
        </w:tc>
      </w:tr>
      <w:tr>
        <w:trPr>
          <w:trHeight w:val="237"/>
        </w:trPr>
        <w:tc>
          <w:tcPr>
            <w:tcW w:w="58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400" w:type="dxa"/>
            <w:vAlign w:val="bottom"/>
          </w:tcPr>
          <w:p>
            <w:pPr>
              <w:spacing w:after="0"/>
              <w:rPr>
                <w:sz w:val="20"/>
                <w:szCs w:val="20"/>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73.4</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37"/>
        </w:trPr>
        <w:tc>
          <w:tcPr>
            <w:tcW w:w="582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400" w:type="dxa"/>
            <w:vAlign w:val="bottom"/>
          </w:tcPr>
          <w:p>
            <w:pPr>
              <w:spacing w:after="0"/>
              <w:rPr>
                <w:sz w:val="20"/>
                <w:szCs w:val="20"/>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7"/>
        </w:trPr>
        <w:tc>
          <w:tcPr>
            <w:tcW w:w="5820" w:type="dxa"/>
            <w:vAlign w:val="bottom"/>
          </w:tcPr>
          <w:p>
            <w:pPr>
              <w:ind w:left="40"/>
              <w:spacing w:after="0"/>
              <w:rPr>
                <w:sz w:val="20"/>
                <w:szCs w:val="20"/>
                <w:color w:val="auto"/>
              </w:rPr>
            </w:pPr>
            <w:r>
              <w:rPr>
                <w:rFonts w:ascii="Arial" w:cs="Arial" w:eastAsia="Arial" w:hAnsi="Arial"/>
                <w:sz w:val="16"/>
                <w:szCs w:val="16"/>
                <w:color w:val="auto"/>
              </w:rPr>
              <w:t>Non-GAAP income from operations</w:t>
            </w: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65.2</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115.1</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159.3</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217.1</w:t>
            </w:r>
          </w:p>
        </w:tc>
        <w:tc>
          <w:tcPr>
            <w:tcW w:w="0" w:type="dxa"/>
            <w:vAlign w:val="bottom"/>
          </w:tcPr>
          <w:p>
            <w:pPr>
              <w:spacing w:after="0"/>
              <w:rPr>
                <w:sz w:val="1"/>
                <w:szCs w:val="1"/>
                <w:color w:val="auto"/>
              </w:rPr>
            </w:pPr>
          </w:p>
        </w:tc>
      </w:tr>
      <w:tr>
        <w:trPr>
          <w:trHeight w:val="73"/>
        </w:trPr>
        <w:tc>
          <w:tcPr>
            <w:tcW w:w="58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8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Operating margin</w:t>
            </w:r>
          </w:p>
        </w:tc>
        <w:tc>
          <w:tcPr>
            <w:tcW w:w="4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37"/>
        </w:trPr>
        <w:tc>
          <w:tcPr>
            <w:tcW w:w="58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37"/>
        </w:trPr>
        <w:tc>
          <w:tcPr>
            <w:tcW w:w="582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 %</w:t>
            </w: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 %</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7"/>
        </w:trPr>
        <w:tc>
          <w:tcPr>
            <w:tcW w:w="582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18 %</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73"/>
        </w:trPr>
        <w:tc>
          <w:tcPr>
            <w:tcW w:w="58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8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Net (loss) income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(235.5)</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237"/>
        </w:trPr>
        <w:tc>
          <w:tcPr>
            <w:tcW w:w="58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400" w:type="dxa"/>
            <w:vAlign w:val="bottom"/>
          </w:tcPr>
          <w:p>
            <w:pPr>
              <w:spacing w:after="0"/>
              <w:rPr>
                <w:sz w:val="20"/>
                <w:szCs w:val="20"/>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73.4</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37"/>
        </w:trPr>
        <w:tc>
          <w:tcPr>
            <w:tcW w:w="582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400" w:type="dxa"/>
            <w:vAlign w:val="bottom"/>
          </w:tcPr>
          <w:p>
            <w:pPr>
              <w:spacing w:after="0"/>
              <w:rPr>
                <w:sz w:val="20"/>
                <w:szCs w:val="20"/>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24"/>
        </w:trPr>
        <w:tc>
          <w:tcPr>
            <w:tcW w:w="5820" w:type="dxa"/>
            <w:vAlign w:val="bottom"/>
          </w:tcPr>
          <w:p>
            <w:pPr>
              <w:ind w:left="380"/>
              <w:spacing w:after="0"/>
              <w:rPr>
                <w:sz w:val="20"/>
                <w:szCs w:val="20"/>
                <w:color w:val="auto"/>
              </w:rPr>
            </w:pPr>
            <w:r>
              <w:rPr>
                <w:rFonts w:ascii="Arial" w:cs="Arial" w:eastAsia="Arial" w:hAnsi="Arial"/>
                <w:sz w:val="16"/>
                <w:szCs w:val="16"/>
                <w:color w:val="auto"/>
              </w:rPr>
              <w:t>(Gain) loss on strategic investments</w:t>
            </w:r>
          </w:p>
        </w:tc>
        <w:tc>
          <w:tcPr>
            <w:tcW w:w="4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Discrete tax benefit (provision) items</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7"/>
        </w:trPr>
        <w:tc>
          <w:tcPr>
            <w:tcW w:w="5820" w:type="dxa"/>
            <w:vAlign w:val="bottom"/>
          </w:tcPr>
          <w:p>
            <w:pPr>
              <w:ind w:left="380"/>
              <w:spacing w:after="0"/>
              <w:rPr>
                <w:sz w:val="20"/>
                <w:szCs w:val="20"/>
                <w:color w:val="auto"/>
              </w:rPr>
            </w:pPr>
            <w:r>
              <w:rPr>
                <w:rFonts w:ascii="Arial" w:cs="Arial" w:eastAsia="Arial" w:hAnsi="Arial"/>
                <w:sz w:val="16"/>
                <w:szCs w:val="16"/>
                <w:color w:val="auto"/>
              </w:rPr>
              <w:t>Establishment of valuation allowance on deferred tax assets</w:t>
            </w:r>
          </w:p>
        </w:tc>
        <w:tc>
          <w:tcPr>
            <w:tcW w:w="400" w:type="dxa"/>
            <w:vAlign w:val="bottom"/>
          </w:tcPr>
          <w:p>
            <w:pPr>
              <w:spacing w:after="0"/>
              <w:rPr>
                <w:sz w:val="20"/>
                <w:szCs w:val="20"/>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213.6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213.6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17"/>
        </w:trPr>
        <w:tc>
          <w:tcPr>
            <w:tcW w:w="5820" w:type="dxa"/>
            <w:vAlign w:val="bottom"/>
          </w:tcPr>
          <w:p>
            <w:pPr>
              <w:ind w:left="40"/>
              <w:spacing w:after="0"/>
              <w:rPr>
                <w:sz w:val="20"/>
                <w:szCs w:val="20"/>
                <w:color w:val="auto"/>
              </w:rPr>
            </w:pPr>
            <w:r>
              <w:rPr>
                <w:rFonts w:ascii="Arial" w:cs="Arial" w:eastAsia="Arial" w:hAnsi="Arial"/>
                <w:sz w:val="16"/>
                <w:szCs w:val="16"/>
                <w:color w:val="auto"/>
              </w:rPr>
              <w:t>Non-GAAP net income</w:t>
            </w: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82.0</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155.8</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580" w:right="239" w:bottom="1440" w:gutter="0" w:footer="0" w:header="0"/>
          <w:type w:val="continuous"/>
        </w:sectPr>
      </w:pPr>
    </w:p>
    <w:bookmarkStart w:id="42" w:name="page43"/>
    <w:bookmarkEnd w:id="42"/>
    <w:p>
      <w:pPr>
        <w:ind w:left="6500"/>
        <w:spacing w:after="0"/>
        <w:rPr>
          <w:sz w:val="20"/>
          <w:szCs w:val="20"/>
          <w:color w:val="auto"/>
        </w:rPr>
      </w:pPr>
      <w:r>
        <w:rPr>
          <w:rFonts w:ascii="Arial" w:cs="Arial" w:eastAsia="Arial" w:hAnsi="Arial"/>
          <w:sz w:val="13"/>
          <w:szCs w:val="13"/>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31115</wp:posOffset>
            </wp:positionV>
            <wp:extent cx="16897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14" w:lineRule="exact"/>
        <w:rPr>
          <w:sz w:val="20"/>
          <w:szCs w:val="20"/>
          <w:color w:val="auto"/>
        </w:rPr>
      </w:pPr>
    </w:p>
    <w:p>
      <w:pPr>
        <w:ind w:left="6560"/>
        <w:spacing w:after="0"/>
        <w:tabs>
          <w:tab w:leader="none" w:pos="792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16897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89" w:lineRule="exact"/>
        <w:rPr>
          <w:sz w:val="20"/>
          <w:szCs w:val="20"/>
          <w:color w:val="auto"/>
        </w:rPr>
      </w:pPr>
    </w:p>
    <w:p>
      <w:pPr>
        <w:ind w:left="704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2"/>
          <w:szCs w:val="12"/>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38100</wp:posOffset>
            </wp:positionV>
            <wp:extent cx="16465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26" w:lineRule="exact"/>
        <w:rPr>
          <w:sz w:val="20"/>
          <w:szCs w:val="20"/>
          <w:color w:val="auto"/>
        </w:rPr>
      </w:pPr>
    </w:p>
    <w:p>
      <w:pPr>
        <w:spacing w:after="0"/>
        <w:tabs>
          <w:tab w:leader="none" w:pos="1340" w:val="left"/>
        </w:tabs>
        <w:rPr>
          <w:sz w:val="20"/>
          <w:szCs w:val="20"/>
          <w:color w:val="auto"/>
        </w:rPr>
      </w:pPr>
      <w:r>
        <w:rPr>
          <w:rFonts w:ascii="Arial" w:cs="Arial" w:eastAsia="Arial" w:hAnsi="Arial"/>
          <w:sz w:val="13"/>
          <w:szCs w:val="13"/>
          <w:b w:val="1"/>
          <w:bCs w:val="1"/>
          <w:color w:val="auto"/>
        </w:rPr>
        <w:t>2015</w:t>
      </w:r>
      <w:r>
        <w:rPr>
          <w:sz w:val="20"/>
          <w:szCs w:val="20"/>
          <w:color w:val="auto"/>
        </w:rPr>
        <w:tab/>
      </w:r>
      <w:r>
        <w:rPr>
          <w:rFonts w:ascii="Arial" w:cs="Arial" w:eastAsia="Arial" w:hAnsi="Arial"/>
          <w:sz w:val="13"/>
          <w:szCs w:val="13"/>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31115</wp:posOffset>
            </wp:positionV>
            <wp:extent cx="16465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p>
      <w:pPr>
        <w:sectPr>
          <w:pgSz w:w="11900" w:h="16838" w:orient="portrait"/>
          <w:cols w:equalWidth="0" w:num="2">
            <w:col w:w="8580" w:space="720"/>
            <w:col w:w="2120"/>
          </w:cols>
          <w:pgMar w:left="240" w:top="806" w:right="239" w:bottom="1440" w:gutter="0" w:footer="0" w:header="0"/>
        </w:sectPr>
      </w:pPr>
    </w:p>
    <w:tbl>
      <w:tblPr>
        <w:tblLayout w:type="fixed"/>
        <w:tblInd w:w="0" w:type="dxa"/>
        <w:tblCellMar>
          <w:top w:w="0" w:type="dxa"/>
          <w:left w:w="0" w:type="dxa"/>
          <w:bottom w:w="0" w:type="dxa"/>
          <w:right w:w="0" w:type="dxa"/>
        </w:tblCellMar>
      </w:tblPr>
      <w:tr>
        <w:trPr>
          <w:trHeight w:val="242"/>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net (loss) income per share (2)</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0.26</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0.39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0.32</w:t>
            </w:r>
          </w:p>
        </w:tc>
      </w:tr>
      <w:tr>
        <w:trPr>
          <w:trHeight w:val="33"/>
        </w:trPr>
        <w:tc>
          <w:tcPr>
            <w:tcW w:w="6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0.12</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0.09</w:t>
            </w:r>
          </w:p>
        </w:tc>
      </w:tr>
      <w:tr>
        <w:trPr>
          <w:trHeight w:val="33"/>
        </w:trPr>
        <w:tc>
          <w:tcPr>
            <w:tcW w:w="6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(Gain) loss on strategic investments</w:t>
            </w: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0.03</w:t>
            </w:r>
          </w:p>
        </w:tc>
      </w:tr>
      <w:tr>
        <w:trPr>
          <w:trHeight w:val="33"/>
        </w:trPr>
        <w:tc>
          <w:tcPr>
            <w:tcW w:w="6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Discrete tax benefit (provision) items</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Establishment of valuation allowance on deferred tax assets</w:t>
            </w: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0.94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0.94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(0.13)</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Non-GAAP diluted net income per share (2)</w:t>
            </w: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0.49</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0.67</w:t>
            </w:r>
          </w:p>
        </w:tc>
      </w:tr>
      <w:tr>
        <w:trPr>
          <w:trHeight w:val="73"/>
        </w:trPr>
        <w:tc>
          <w:tcPr>
            <w:tcW w:w="606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r>
      <w:tr>
        <w:trPr>
          <w:trHeight w:val="278"/>
        </w:trPr>
        <w:tc>
          <w:tcPr>
            <w:tcW w:w="60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GAAP diluted shares used in per share calculation</w:t>
            </w: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227.0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232.4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227.1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232.4</w:t>
            </w:r>
          </w:p>
        </w:tc>
      </w:tr>
      <w:tr>
        <w:trPr>
          <w:trHeight w:val="33"/>
        </w:trPr>
        <w:tc>
          <w:tcPr>
            <w:tcW w:w="6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06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2"/>
              </w:rPr>
              <w:t>Shares included in non-GAAP net income per share, but excluded from GAAP net loss</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9"/>
        </w:trPr>
        <w:tc>
          <w:tcPr>
            <w:tcW w:w="6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per share as they would have been anti-dilutive</w:t>
            </w:r>
          </w:p>
        </w:tc>
        <w:tc>
          <w:tcPr>
            <w:tcW w:w="4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Non-GAAP Diluted weighted average shares used in per share calculation</w:t>
            </w: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231.1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232.4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231.6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232.4</w:t>
            </w:r>
          </w:p>
        </w:tc>
      </w:tr>
      <w:tr>
        <w:trPr>
          <w:trHeight w:val="249"/>
        </w:trPr>
        <w:tc>
          <w:tcPr>
            <w:tcW w:w="6060" w:type="dxa"/>
            <w:vAlign w:val="bottom"/>
          </w:tcPr>
          <w:p>
            <w:pPr>
              <w:spacing w:after="0"/>
              <w:rPr>
                <w:sz w:val="20"/>
                <w:szCs w:val="20"/>
                <w:color w:val="auto"/>
              </w:rPr>
            </w:pPr>
            <w:r>
              <w:rPr>
                <w:rFonts w:ascii="Arial" w:cs="Arial" w:eastAsia="Arial" w:hAnsi="Arial"/>
                <w:sz w:val="18"/>
                <w:szCs w:val="18"/>
                <w:color w:val="auto"/>
              </w:rPr>
              <w:t>____________________</w:t>
            </w: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r>
    </w:tbl>
    <w:p>
      <w:pPr>
        <w:ind w:left="420" w:hanging="412"/>
        <w:spacing w:after="0"/>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Prior period was adjusted to conform with current period's presentation to include the effects from hedging on billings.</w:t>
      </w:r>
    </w:p>
    <w:p>
      <w:pPr>
        <w:spacing w:after="0" w:line="9" w:lineRule="exact"/>
        <w:rPr>
          <w:rFonts w:ascii="Arial" w:cs="Arial" w:eastAsia="Arial" w:hAnsi="Arial"/>
          <w:sz w:val="16"/>
          <w:szCs w:val="16"/>
          <w:color w:val="auto"/>
        </w:rPr>
      </w:pPr>
    </w:p>
    <w:p>
      <w:pPr>
        <w:ind w:left="420" w:right="160" w:hanging="412"/>
        <w:spacing w:after="0" w:line="257" w:lineRule="auto"/>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Net (loss) income per share was computed independently for each of the periods presented; therefore the sum of the net (loss) income per share amount for the quarters may not equal the total for the year.</w:t>
      </w:r>
    </w:p>
    <w:p>
      <w:pPr>
        <w:spacing w:after="0" w:line="181"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Our non-GAAP financial measures may exclude the following:</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Stock-based compensation expenses. </w:t>
      </w:r>
      <w:r>
        <w:rPr>
          <w:rFonts w:ascii="Arial" w:cs="Arial" w:eastAsia="Arial" w:hAnsi="Arial"/>
          <w:sz w:val="17"/>
          <w:szCs w:val="17"/>
          <w:color w:val="auto"/>
        </w:rPr>
        <w:t>We exclude stock-based compensation expenses from non-GAAP measures primarily because they are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7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Amortization of developed technologies and purchased intangibles. </w:t>
      </w:r>
      <w:r>
        <w:rPr>
          <w:rFonts w:ascii="Arial" w:cs="Arial" w:eastAsia="Arial" w:hAnsi="Arial"/>
          <w:sz w:val="17"/>
          <w:szCs w:val="17"/>
          <w:color w:val="auto"/>
        </w:rPr>
        <w:t>We incur amortization of acquisition-related developed technology and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8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 xml:space="preserve">Restructuring charges (benefits), net. </w:t>
      </w:r>
      <w:r>
        <w:rPr>
          <w:rFonts w:ascii="Arial" w:cs="Arial" w:eastAsia="Arial" w:hAnsi="Arial"/>
          <w:sz w:val="17"/>
          <w:szCs w:val="17"/>
          <w:color w:val="auto"/>
        </w:rPr>
        <w:t>These expenses are associated with realigning our business strategies based on current economic conditions.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these restructuring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Loss (gain) on strategic investments. </w:t>
      </w:r>
      <w:r>
        <w:rPr>
          <w:rFonts w:ascii="Arial" w:cs="Arial" w:eastAsia="Arial" w:hAnsi="Arial"/>
          <w:sz w:val="17"/>
          <w:szCs w:val="17"/>
          <w:color w:val="auto"/>
        </w:rPr>
        <w:t>We exclude gains and losses related to our strategic investments from our non-GAAP measures primarily because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finds it useful to exclude these variable gains and losses on these investments in assessing our financial results. Included in these amounts are non-cash unrealized gains and losses on the derivative components, realized gains and losses on the sales or losses on the impairment of these investments. We believe excluding these items is useful to investors because these excluded items do not correlate to the underlying performance of our business and these losses or gains were incurred in connection with strategic investments which do not occur regularly.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06" w:right="239" w:bottom="1440" w:gutter="0" w:footer="0" w:header="0"/>
          <w:type w:val="continuous"/>
        </w:sectPr>
      </w:pPr>
    </w:p>
    <w:bookmarkStart w:id="43" w:name="page44"/>
    <w:bookmarkEnd w:id="43"/>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Establishment of a valuation allowance on certain net deferred tax assets. </w:t>
      </w:r>
      <w:r>
        <w:rPr>
          <w:rFonts w:ascii="Arial" w:cs="Arial" w:eastAsia="Arial" w:hAnsi="Arial"/>
          <w:sz w:val="18"/>
          <w:szCs w:val="18"/>
          <w:color w:val="auto"/>
        </w:rPr>
        <w:t>This is a non-cash charge to record a valuation allowance on certain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tax assets. As explained above, management finds it useful to exclude certain non-cash charges to assess the appropriate level of various cash expenses to assist in budgeting, planning and forecasting future periods.</w:t>
      </w:r>
    </w:p>
    <w:p>
      <w:pPr>
        <w:spacing w:after="0" w:line="18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 xml:space="preserve">Discrete tax items. </w:t>
      </w:r>
      <w:r>
        <w:rPr>
          <w:rFonts w:ascii="Arial" w:cs="Arial" w:eastAsia="Arial" w:hAnsi="Arial"/>
          <w:sz w:val="16"/>
          <w:szCs w:val="16"/>
          <w:color w:val="auto"/>
        </w:rPr>
        <w:t>We exclude the GAAP tax provision, including discrete items, from the non-GAAP measure of income, and include a non-GAAP tax</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 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spacing w:after="0" w:line="16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Income tax effects on the difference between GAAP and non-GAAP costs and expenses. </w:t>
      </w:r>
      <w:r>
        <w:rPr>
          <w:rFonts w:ascii="Arial" w:cs="Arial" w:eastAsia="Arial" w:hAnsi="Arial"/>
          <w:sz w:val="18"/>
          <w:szCs w:val="18"/>
          <w:color w:val="auto"/>
        </w:rPr>
        <w:t>The income tax effects that are excluded from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relate to the tax impact on the difference between GAAP and non-GAAP expenses, primarily due to stock-based compensation, amortization of purchased intangibles and restructuring charges (benefits) for GAAP and non-GAAP measures.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40" w:firstLine="405"/>
        <w:spacing w:after="0" w:line="279" w:lineRule="auto"/>
        <w:rPr>
          <w:sz w:val="20"/>
          <w:szCs w:val="20"/>
          <w:color w:val="auto"/>
        </w:rPr>
      </w:pPr>
      <w:r>
        <w:rPr>
          <w:rFonts w:ascii="Arial" w:cs="Arial" w:eastAsia="Arial" w:hAnsi="Arial"/>
          <w:sz w:val="17"/>
          <w:szCs w:val="17"/>
          <w:color w:val="auto"/>
        </w:rPr>
        <w:t>Our primary source of cash is from the sale of licenses to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fund our stock repurchase program and invest in our growth initiatives, which include acquisitions of products, technology and businesses. See further discussion of these items below.</w:t>
      </w:r>
    </w:p>
    <w:p>
      <w:pPr>
        <w:spacing w:after="0" w:line="171"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At July 31, 2015, our principal sources of liquidity were cash, cash equivalents and marketable securities totaling $2,952.4 million and net accounts receivable of $394.1 million.</w:t>
      </w:r>
    </w:p>
    <w:p>
      <w:pPr>
        <w:spacing w:after="0" w:line="170" w:lineRule="exact"/>
        <w:rPr>
          <w:sz w:val="20"/>
          <w:szCs w:val="20"/>
          <w:color w:val="auto"/>
        </w:rPr>
      </w:pPr>
    </w:p>
    <w:p>
      <w:pPr>
        <w:ind w:right="160" w:firstLine="405"/>
        <w:spacing w:after="0" w:line="291" w:lineRule="auto"/>
        <w:rPr>
          <w:sz w:val="20"/>
          <w:szCs w:val="20"/>
          <w:color w:val="auto"/>
        </w:rPr>
      </w:pPr>
      <w:r>
        <w:rPr>
          <w:rFonts w:ascii="Arial" w:cs="Arial" w:eastAsia="Arial" w:hAnsi="Arial"/>
          <w:sz w:val="16"/>
          <w:szCs w:val="16"/>
          <w:color w:val="auto"/>
        </w:rPr>
        <w:t>In June 2015, we issued $450.0 million aggregate principal amount of 3.125% notes due June 15, 2020 and $300.0 million aggregate principal amount of 4.375% notes due June 15, 2025. In December 2012, we issued $400.0 million aggregate principal amount of 1.95% notes due December 15, 2017 and $350.0 million aggregate principal amount of 3.6% notes due December 15, 2022 (all four series of notes collectively, the “Notes”). As of August 31, 2015, we have $1.5 billion aggregate principal amount of Notes outstanding. In addition, we have a line of credit facility that permits unsecured short-term borrowings of up to $400.0 million. As of August 31, 2015, we have no amounts outstanding under the credit facility. In May 2015, Autodesk amended and restated the credit agreement to extend the facility's maturity date from May 2018 to May 2020 and to amend the financial covenants. Borrowings under the credit facility and the net proceeds from the offering of the Notes are available for general corporate purposes.</w:t>
      </w:r>
    </w:p>
    <w:p>
      <w:pPr>
        <w:spacing w:after="0" w:line="16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$400.0 million line of credit.</w:t>
      </w:r>
    </w:p>
    <w:p>
      <w:pPr>
        <w:spacing w:after="0" w:line="181"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The increase in our cash, cash equivalents and marketable securities from $2,299.4 million at January 31, 2015 to $2,952.4 million at July 31, 2015 is primarily the result of the proceeds from the issuance of our June 2015 notes and the result of cash generated from operations. These increases to cash, cash equivalents and marketable securities were partially offset by cash used for repurchases of our common stock (net of stock issuance proceeds), acquisitions including business combinations and technology purchases, capital expenditures, and other investing activities. The cash proceeds from issuance of common stock vary based on our stock price, stock option exercise activity and the volume of employee purchases under the Employee Stock Purchase Plan.</w:t>
      </w:r>
    </w:p>
    <w:p>
      <w:pPr>
        <w:spacing w:after="0" w:line="158"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During the six months ended July 31, 2015, cash generated from operating activities of $163.7 million was primarily a result of a $216.4 million net loss adjusted for non-cash expenses totaling $362.8 million associated with deferred income taxes, stock-based compensation, depreciation, amortization, and accretion. The primary working capital source of cash was an increase in deferred revenue. The primary working capital uses of cash were decreases in accounts payable and accrued liabilities. Our days sales outstanding in trade receivables was 59 at July 31, 2015 compared to 63 at January 31, 2015. The days sales outstanding decrease relates primarily to a seasonal billings linearity shift.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01" w:right="239" w:bottom="1440" w:gutter="0" w:footer="0" w:header="0"/>
        </w:sectPr>
      </w:pPr>
    </w:p>
    <w:bookmarkStart w:id="44" w:name="page45"/>
    <w:bookmarkEnd w:id="44"/>
    <w:p>
      <w:pPr>
        <w:ind w:firstLine="405"/>
        <w:spacing w:after="0" w:line="259" w:lineRule="auto"/>
        <w:rPr>
          <w:sz w:val="20"/>
          <w:szCs w:val="20"/>
          <w:color w:val="auto"/>
        </w:rPr>
      </w:pPr>
      <w:r>
        <w:rPr>
          <w:rFonts w:ascii="Arial" w:cs="Arial" w:eastAsia="Arial" w:hAnsi="Arial"/>
          <w:sz w:val="18"/>
          <w:szCs w:val="18"/>
          <w:color w:val="auto"/>
        </w:rPr>
        <w:t>At July 31, 2015, our short-term investment portfolio had an estimated fair value of $916.8 million and a cost basis of $912.9 million. The portfolio fair value consisted of $287.5 million invested in corporate bonds, $255.0 million invested in certificates of deposit, $233.8 million invested in commercial paper, $38.0 million invested in U.S. government agency bonds, $32.0 million invested in municipal bonds, $22.6 million invested in U.S. treasury bills and $3.2 million invested in sovereign debt.</w:t>
      </w:r>
    </w:p>
    <w:p>
      <w:pPr>
        <w:spacing w:after="0" w:line="187" w:lineRule="exact"/>
        <w:rPr>
          <w:sz w:val="20"/>
          <w:szCs w:val="20"/>
          <w:color w:val="auto"/>
        </w:rPr>
      </w:pPr>
    </w:p>
    <w:p>
      <w:pPr>
        <w:ind w:right="520" w:firstLine="405"/>
        <w:spacing w:after="0" w:line="342" w:lineRule="auto"/>
        <w:rPr>
          <w:sz w:val="20"/>
          <w:szCs w:val="20"/>
          <w:color w:val="auto"/>
        </w:rPr>
      </w:pPr>
      <w:r>
        <w:rPr>
          <w:rFonts w:ascii="Arial" w:cs="Arial" w:eastAsia="Arial" w:hAnsi="Arial"/>
          <w:sz w:val="16"/>
          <w:szCs w:val="16"/>
          <w:color w:val="auto"/>
        </w:rPr>
        <w:t>At July 31, 2015, $44.7 million of trading securities were invested in a defined set of mutual funds as directed by the participants in our Deferred Compensation Plan (see Note 10, “Deferred Compensation,” in the Notes to Condensed Consolidated Financial Statements for further discussion).</w:t>
      </w:r>
    </w:p>
    <w:p>
      <w:pPr>
        <w:spacing w:after="0" w:line="124" w:lineRule="exact"/>
        <w:rPr>
          <w:sz w:val="20"/>
          <w:szCs w:val="20"/>
          <w:color w:val="auto"/>
        </w:rPr>
      </w:pPr>
    </w:p>
    <w:p>
      <w:pPr>
        <w:ind w:right="700" w:firstLine="405"/>
        <w:spacing w:after="0" w:line="264"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common stock repurchases; the acquisition of businesses, software products, or technologies complementary to our business; and capital expenditures, including the purchase and implementation of internal-use software applications.</w:t>
      </w:r>
    </w:p>
    <w:p>
      <w:pPr>
        <w:spacing w:after="0" w:line="18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in certain instances, negatively impact our operating margins. We continually review these trade-offs in making decisions regarding acquisitions. We currently anticipate that we will continue to acquire products, technology and businesses as compelling opportunities become available. Our decision to acquire businesses or technology is dependent on our business needs, the availability of suitable sellers and technology, and our own financial condition.</w:t>
      </w:r>
    </w:p>
    <w:p>
      <w:pPr>
        <w:spacing w:after="0" w:line="193"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Aside from the notes issued in June 2015 and the amendment to our line of credit in May 2015 noted earlier in this section, there have been no material changes, as of July 31, 2015, in our contractual obligations or commercial commitments compared to those we disclosed in Management’s Discussion and Analysis of Financial Condition and Results of Operations included in our Annual Report on Form 10-K for the fiscal year ended January 31, 2015.</w:t>
      </w:r>
    </w:p>
    <w:p>
      <w:pPr>
        <w:spacing w:after="0" w:line="147"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Our cash, cash equivalent and marketable securities balances are concentrated in a few locations around the world, with substantial amounts held outside of the U.S. As of July 31, 2015, approximately 68% of our total cash, cash equivalents and marketable securities are located offshore and will fluctuate subject to business needs. Certain amounts held outside the U.S. could be repatriated to the U.S. (subject to local law restrictions), but under current U.S. tax law, could be subject to U.S. income taxes less applicable foreign tax credits. We have provided for the U.S. income tax liability on foreign earnings, except for foreign earnings that are considered permanently reinvested outside the U.S. Our intent is that amounts related to foreign earnings permanently reinvested outside the U.S. will remain outside the U.S. and we will meet our U.S. liquidity needs through ongoing cash flows, external borrowings, or both. We regularly review our capital structure and consider a variety of potential financing alternatives and planning strategies to ensure we have the proper liquidity available in the locations in which it is needed and to fund our existing stock buyback program with cash that has not been permanently reinvested outside the U.S.</w:t>
      </w:r>
    </w:p>
    <w:p>
      <w:pPr>
        <w:spacing w:after="0" w:line="19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Cash from operations could also be affected by various risks and uncertainties, including, but not limited to the risks detailed in Part II,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at least the next 12 months.</w:t>
      </w:r>
    </w:p>
    <w:p>
      <w:pPr>
        <w:spacing w:after="0" w:line="18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 Item 3, “Quantitative and Qualitative Disclosures about Market Risk” for further discussion.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Autodesk's stock repurchase program is largely to help offset the dilution from the issuance of stock under our employee stock plans and for such other purposes as may be in the interests of Autodesk and its stockholders. Stock repurchases have the effect of returning excess cash generated from our business to stockholders. The number of shares acquired and the timing of the purchases are based on several factors, including general market conditions, the volume of employee stock option exercises, stock issuance, the trading price of our common stock, cash on hand and available in the U.S., and company defined trading windows. During the three and six months ended July 31, 2015, we repurchased 2.1 million and 3.7 million shares of our common stock, respectively. At July 31, 2015, 11.1 million shares remained available for repurchase under the repurchase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800" w:right="279" w:bottom="1440" w:gutter="0" w:footer="0" w:header="0"/>
        </w:sectPr>
      </w:pPr>
    </w:p>
    <w:bookmarkStart w:id="45" w:name="page46"/>
    <w:bookmarkEnd w:id="45"/>
    <w:p>
      <w:pPr>
        <w:ind w:right="60"/>
        <w:spacing w:after="0" w:line="277" w:lineRule="auto"/>
        <w:rPr>
          <w:sz w:val="20"/>
          <w:szCs w:val="20"/>
          <w:color w:val="auto"/>
        </w:rPr>
      </w:pPr>
      <w:r>
        <w:rPr>
          <w:rFonts w:ascii="Arial" w:cs="Arial" w:eastAsia="Arial" w:hAnsi="Arial"/>
          <w:sz w:val="18"/>
          <w:szCs w:val="18"/>
          <w:color w:val="auto"/>
        </w:rPr>
        <w:t>program approved by the Board of Directors. This program does not have a fixed expiration date. See Note 15, “Common Stock Repurchase Program,” in the Notes to Condensed Consolidated Financial Statements for further discussion.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provides information about the repurchase of common stock in open-market transactions during the quarter ended July 31, 2015:</w:t>
      </w:r>
    </w:p>
    <w:p>
      <w:pPr>
        <w:sectPr>
          <w:pgSz w:w="11900" w:h="16838" w:orient="portrait"/>
          <w:cols w:equalWidth="0" w:num="1">
            <w:col w:w="11420"/>
          </w:cols>
          <w:pgMar w:left="240" w:top="584" w:right="239" w:bottom="1440" w:gutter="0" w:footer="0" w:header="0"/>
        </w:sectPr>
      </w:pP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2080" w:type="dxa"/>
            <w:vAlign w:val="bottom"/>
          </w:tcPr>
          <w:p>
            <w:pPr>
              <w:jc w:val="center"/>
              <w:ind w:left="368"/>
              <w:spacing w:after="0"/>
              <w:rPr>
                <w:sz w:val="20"/>
                <w:szCs w:val="20"/>
                <w:color w:val="auto"/>
              </w:rPr>
            </w:pPr>
            <w:r>
              <w:rPr>
                <w:rFonts w:ascii="Arial" w:cs="Arial" w:eastAsia="Arial" w:hAnsi="Arial"/>
                <w:sz w:val="14"/>
                <w:szCs w:val="14"/>
                <w:b w:val="1"/>
                <w:bCs w:val="1"/>
                <w:color w:val="auto"/>
                <w:w w:val="93"/>
              </w:rPr>
              <w:t>Total Number of</w:t>
            </w:r>
          </w:p>
        </w:tc>
        <w:tc>
          <w:tcPr>
            <w:tcW w:w="148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2"/>
              </w:rPr>
              <w:t>Average Price</w:t>
            </w:r>
          </w:p>
        </w:tc>
        <w:tc>
          <w:tcPr>
            <w:tcW w:w="298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1"/>
              </w:rPr>
              <w:t>Total Number of Shares Purchased as Part of</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208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85"/>
              </w:rPr>
              <w:t>Shares</w:t>
            </w:r>
          </w:p>
        </w:tc>
        <w:tc>
          <w:tcPr>
            <w:tcW w:w="1480" w:type="dxa"/>
            <w:vAlign w:val="bottom"/>
            <w:vMerge w:val="continue"/>
          </w:tcPr>
          <w:p>
            <w:pPr>
              <w:spacing w:after="0"/>
              <w:rPr>
                <w:sz w:val="12"/>
                <w:szCs w:val="12"/>
                <w:color w:val="auto"/>
              </w:rPr>
            </w:pPr>
          </w:p>
        </w:tc>
        <w:tc>
          <w:tcPr>
            <w:tcW w:w="2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860" w:type="dxa"/>
            <w:vAlign w:val="bottom"/>
          </w:tcPr>
          <w:p>
            <w:pPr>
              <w:spacing w:after="0"/>
              <w:rPr>
                <w:sz w:val="20"/>
                <w:szCs w:val="20"/>
                <w:color w:val="auto"/>
              </w:rPr>
            </w:pPr>
            <w:r>
              <w:rPr>
                <w:rFonts w:ascii="Arial" w:cs="Arial" w:eastAsia="Arial" w:hAnsi="Arial"/>
                <w:sz w:val="14"/>
                <w:szCs w:val="14"/>
                <w:i w:val="1"/>
                <w:iCs w:val="1"/>
                <w:color w:val="auto"/>
              </w:rPr>
              <w:t>(Shares in millions)</w:t>
            </w:r>
          </w:p>
        </w:tc>
        <w:tc>
          <w:tcPr>
            <w:tcW w:w="2080" w:type="dxa"/>
            <w:vAlign w:val="bottom"/>
          </w:tcPr>
          <w:p>
            <w:pPr>
              <w:jc w:val="center"/>
              <w:ind w:left="368"/>
              <w:spacing w:after="0"/>
              <w:rPr>
                <w:sz w:val="20"/>
                <w:szCs w:val="20"/>
                <w:color w:val="auto"/>
              </w:rPr>
            </w:pPr>
            <w:r>
              <w:rPr>
                <w:rFonts w:ascii="Arial" w:cs="Arial" w:eastAsia="Arial" w:hAnsi="Arial"/>
                <w:sz w:val="14"/>
                <w:szCs w:val="14"/>
                <w:b w:val="1"/>
                <w:bCs w:val="1"/>
                <w:color w:val="auto"/>
                <w:w w:val="89"/>
              </w:rPr>
              <w:t>Purchased</w:t>
            </w:r>
          </w:p>
        </w:tc>
        <w:tc>
          <w:tcPr>
            <w:tcW w:w="1480" w:type="dxa"/>
            <w:vAlign w:val="bottom"/>
          </w:tcPr>
          <w:p>
            <w:pPr>
              <w:jc w:val="center"/>
              <w:ind w:left="48"/>
              <w:spacing w:after="0"/>
              <w:rPr>
                <w:sz w:val="20"/>
                <w:szCs w:val="20"/>
                <w:color w:val="auto"/>
              </w:rPr>
            </w:pPr>
            <w:r>
              <w:rPr>
                <w:rFonts w:ascii="Arial" w:cs="Arial" w:eastAsia="Arial" w:hAnsi="Arial"/>
                <w:sz w:val="14"/>
                <w:szCs w:val="14"/>
                <w:b w:val="1"/>
                <w:bCs w:val="1"/>
                <w:color w:val="auto"/>
                <w:w w:val="97"/>
              </w:rPr>
              <w:t>Paid per Share</w:t>
            </w:r>
          </w:p>
        </w:tc>
        <w:tc>
          <w:tcPr>
            <w:tcW w:w="2980" w:type="dxa"/>
            <w:vAlign w:val="bottom"/>
          </w:tcPr>
          <w:p>
            <w:pPr>
              <w:jc w:val="center"/>
              <w:ind w:left="148"/>
              <w:spacing w:after="0"/>
              <w:rPr>
                <w:sz w:val="20"/>
                <w:szCs w:val="20"/>
                <w:color w:val="auto"/>
              </w:rPr>
            </w:pPr>
            <w:r>
              <w:rPr>
                <w:rFonts w:ascii="Arial" w:cs="Arial" w:eastAsia="Arial" w:hAnsi="Arial"/>
                <w:sz w:val="14"/>
                <w:szCs w:val="14"/>
                <w:b w:val="1"/>
                <w:bCs w:val="1"/>
                <w:color w:val="auto"/>
                <w:w w:val="92"/>
              </w:rPr>
              <w:t>Publicly Announced Plans or Programs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jc w:val="center"/>
        <w:spacing w:after="0" w:line="284" w:lineRule="auto"/>
        <w:rPr>
          <w:sz w:val="20"/>
          <w:szCs w:val="20"/>
          <w:color w:val="auto"/>
        </w:rPr>
      </w:pPr>
      <w:r>
        <w:rPr>
          <w:rFonts w:ascii="Arial" w:cs="Arial" w:eastAsia="Arial" w:hAnsi="Arial"/>
          <w:sz w:val="13"/>
          <w:szCs w:val="13"/>
          <w:b w:val="1"/>
          <w:bCs w:val="1"/>
          <w:color w:val="auto"/>
        </w:rPr>
        <w:t>Maximum Number of Shares that May Yet Be Purchased Under the Plans or Programs (2)</w:t>
      </w:r>
    </w:p>
    <w:p>
      <w:pPr>
        <w:spacing w:after="0" w:line="1" w:lineRule="exact"/>
        <w:rPr>
          <w:sz w:val="20"/>
          <w:szCs w:val="20"/>
          <w:color w:val="auto"/>
        </w:rPr>
      </w:pPr>
    </w:p>
    <w:p>
      <w:pPr>
        <w:sectPr>
          <w:pgSz w:w="11900" w:h="16838" w:orient="portrait"/>
          <w:cols w:equalWidth="0" w:num="2">
            <w:col w:w="8440" w:space="160"/>
            <w:col w:w="2820"/>
          </w:cols>
          <w:pgMar w:left="240" w:top="584"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May 1 - May 31</w:t>
            </w:r>
          </w:p>
        </w:tc>
        <w:tc>
          <w:tcPr>
            <w:tcW w:w="15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June 1 - June 30</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53.40</w:t>
            </w:r>
          </w:p>
        </w:tc>
        <w:tc>
          <w:tcPr>
            <w:tcW w:w="100" w:type="dxa"/>
            <w:vAlign w:val="bottom"/>
          </w:tcPr>
          <w:p>
            <w:pPr>
              <w:spacing w:after="0"/>
              <w:rPr>
                <w:sz w:val="20"/>
                <w:szCs w:val="20"/>
                <w:color w:val="auto"/>
              </w:rPr>
            </w:pPr>
          </w:p>
        </w:tc>
        <w:tc>
          <w:tcPr>
            <w:tcW w:w="284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2940" w:type="dxa"/>
            <w:vAlign w:val="bottom"/>
            <w:gridSpan w:val="2"/>
          </w:tcPr>
          <w:p>
            <w:pPr>
              <w:jc w:val="right"/>
              <w:ind w:right="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July 1 - July 31</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50.59</w:t>
            </w:r>
          </w:p>
        </w:tc>
        <w:tc>
          <w:tcPr>
            <w:tcW w:w="10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29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44"/>
        </w:trPr>
        <w:tc>
          <w:tcPr>
            <w:tcW w:w="2420" w:type="dxa"/>
            <w:vAlign w:val="bottom"/>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2.1</w:t>
            </w:r>
          </w:p>
        </w:tc>
        <w:tc>
          <w:tcPr>
            <w:tcW w:w="680" w:type="dxa"/>
            <w:vAlign w:val="bottom"/>
            <w:gridSpan w:val="2"/>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52.87</w:t>
            </w:r>
          </w:p>
        </w:tc>
        <w:tc>
          <w:tcPr>
            <w:tcW w:w="100" w:type="dxa"/>
            <w:vAlign w:val="bottom"/>
          </w:tcPr>
          <w:p>
            <w:pPr>
              <w:spacing w:after="0"/>
              <w:rPr>
                <w:sz w:val="21"/>
                <w:szCs w:val="21"/>
                <w:color w:val="auto"/>
              </w:rPr>
            </w:pPr>
          </w:p>
        </w:tc>
        <w:tc>
          <w:tcPr>
            <w:tcW w:w="2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2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2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shares purchased in open-market transactions under the stock repurchase plan approved by the Board of Directors.</w:t>
      </w:r>
    </w:p>
    <w:p>
      <w:pPr>
        <w:spacing w:after="0" w:line="9" w:lineRule="exact"/>
        <w:rPr>
          <w:rFonts w:ascii="Arial" w:cs="Arial" w:eastAsia="Arial" w:hAnsi="Arial"/>
          <w:sz w:val="16"/>
          <w:szCs w:val="16"/>
          <w:color w:val="auto"/>
        </w:rPr>
      </w:pPr>
    </w:p>
    <w:p>
      <w:pPr>
        <w:ind w:left="420" w:right="160" w:hanging="412"/>
        <w:spacing w:after="0" w:line="257" w:lineRule="auto"/>
        <w:tabs>
          <w:tab w:leader="none" w:pos="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These amounts correspond to the plan approved by the Board of Directors in June 2012 that authorized the repurchase of 30.0 million shares. This plan does not have a fixed expiration date.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six months ended July 31,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July 31, 2015, we did not have any significant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Billings</w:t>
      </w:r>
      <w:r>
        <w:rPr>
          <w:rFonts w:ascii="Arial" w:cs="Arial" w:eastAsia="Arial" w:hAnsi="Arial"/>
          <w:sz w:val="17"/>
          <w:szCs w:val="17"/>
          <w:b w:val="1"/>
          <w:bCs w:val="1"/>
          <w:color w:val="auto"/>
        </w:rPr>
        <w:t>—</w:t>
      </w:r>
      <w:r>
        <w:rPr>
          <w:rFonts w:ascii="Arial" w:cs="Arial" w:eastAsia="Arial" w:hAnsi="Arial"/>
          <w:sz w:val="17"/>
          <w:szCs w:val="17"/>
          <w:color w:val="auto"/>
        </w:rPr>
        <w:t>Amounts billed to customers during the current fiscal period net of any partner incentives, hedge gains or losses, or other discounts.</w:t>
      </w:r>
    </w:p>
    <w:p>
      <w:pPr>
        <w:spacing w:after="0" w:line="237" w:lineRule="exact"/>
        <w:rPr>
          <w:sz w:val="20"/>
          <w:szCs w:val="20"/>
          <w:color w:val="auto"/>
        </w:rPr>
      </w:pPr>
    </w:p>
    <w:p>
      <w:pPr>
        <w:ind w:right="240" w:firstLine="405"/>
        <w:spacing w:after="0" w:line="266" w:lineRule="auto"/>
        <w:rPr>
          <w:sz w:val="20"/>
          <w:szCs w:val="20"/>
          <w:color w:val="auto"/>
        </w:rPr>
      </w:pPr>
      <w:r>
        <w:rPr>
          <w:rFonts w:ascii="Arial" w:cs="Arial" w:eastAsia="Arial" w:hAnsi="Arial"/>
          <w:sz w:val="18"/>
          <w:szCs w:val="18"/>
          <w:i w:val="1"/>
          <w:iCs w:val="1"/>
          <w:color w:val="auto"/>
        </w:rPr>
        <w:t>BIM (Building Information Modeling)</w:t>
      </w:r>
      <w:r>
        <w:rPr>
          <w:rFonts w:ascii="Arial" w:cs="Arial" w:eastAsia="Arial" w:hAnsi="Arial"/>
          <w:sz w:val="18"/>
          <w:szCs w:val="18"/>
          <w:b w:val="1"/>
          <w:bCs w:val="1"/>
          <w:color w:val="auto"/>
        </w:rPr>
        <w:t>—</w:t>
      </w:r>
      <w:r>
        <w:rPr>
          <w:rFonts w:ascii="Arial" w:cs="Arial" w:eastAsia="Arial" w:hAnsi="Arial"/>
          <w:sz w:val="18"/>
          <w:szCs w:val="18"/>
          <w:color w:val="auto"/>
        </w:rPr>
        <w:t>BIM describes a model-based technology linked with a database of project information, and is the process of</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176" w:lineRule="exact"/>
        <w:rPr>
          <w:sz w:val="20"/>
          <w:szCs w:val="20"/>
          <w:color w:val="auto"/>
        </w:rPr>
      </w:pPr>
    </w:p>
    <w:p>
      <w:pPr>
        <w:ind w:right="300" w:firstLine="405"/>
        <w:spacing w:after="0" w:line="266" w:lineRule="auto"/>
        <w:rPr>
          <w:sz w:val="20"/>
          <w:szCs w:val="20"/>
          <w:color w:val="auto"/>
        </w:rPr>
      </w:pPr>
      <w:r>
        <w:rPr>
          <w:rFonts w:ascii="Arial" w:cs="Arial" w:eastAsia="Arial" w:hAnsi="Arial"/>
          <w:sz w:val="18"/>
          <w:szCs w:val="18"/>
          <w:i w:val="1"/>
          <w:iCs w:val="1"/>
          <w:color w:val="auto"/>
        </w:rPr>
        <w:t>Constant currency growth rates</w:t>
      </w:r>
      <w:r>
        <w:rPr>
          <w:rFonts w:ascii="Arial" w:cs="Arial" w:eastAsia="Arial" w:hAnsi="Arial"/>
          <w:sz w:val="18"/>
          <w:szCs w:val="18"/>
          <w:b w:val="1"/>
          <w:bCs w:val="1"/>
          <w:color w:val="auto"/>
        </w:rPr>
        <w:t>—</w:t>
      </w:r>
      <w:r>
        <w:rPr>
          <w:rFonts w:ascii="Arial" w:cs="Arial" w:eastAsia="Arial" w:hAnsi="Arial"/>
          <w:sz w:val="18"/>
          <w:szCs w:val="18"/>
          <w:color w:val="auto"/>
        </w:rPr>
        <w:t>We attempt to represent the changes in the underlying business operations by eliminating fluctuations caused by</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foreign currency exchange rates as well as eliminating hedge gains or losses recorded within the current and comparative periods. Our constant currency methodology removes all hedging gains and losses from the calculation.</w:t>
      </w:r>
    </w:p>
    <w:p>
      <w:pPr>
        <w:spacing w:after="0" w:line="176" w:lineRule="exact"/>
        <w:rPr>
          <w:sz w:val="20"/>
          <w:szCs w:val="20"/>
          <w:color w:val="auto"/>
        </w:rPr>
      </w:pPr>
    </w:p>
    <w:p>
      <w:pPr>
        <w:ind w:right="240" w:firstLine="405"/>
        <w:spacing w:after="0" w:line="266" w:lineRule="auto"/>
        <w:rPr>
          <w:sz w:val="20"/>
          <w:szCs w:val="20"/>
          <w:color w:val="auto"/>
        </w:rPr>
      </w:pPr>
      <w:r>
        <w:rPr>
          <w:rFonts w:ascii="Arial" w:cs="Arial" w:eastAsia="Arial" w:hAnsi="Arial"/>
          <w:sz w:val="18"/>
          <w:szCs w:val="18"/>
          <w:i w:val="1"/>
          <w:iCs w:val="1"/>
          <w:color w:val="auto"/>
        </w:rPr>
        <w:t xml:space="preserve">Commercial enrollment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enrollment represents the number of individual subscriptions corresponding to the revenue recognized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period. The number of individual subscriptions sold over time may be different than the total subscriptions count, which captures active and paid subscriptions as of a point in time.</w:t>
      </w:r>
    </w:p>
    <w:p>
      <w:pPr>
        <w:spacing w:after="0" w:line="176" w:lineRule="exact"/>
        <w:rPr>
          <w:sz w:val="20"/>
          <w:szCs w:val="20"/>
          <w:color w:val="auto"/>
        </w:rPr>
      </w:pPr>
    </w:p>
    <w:p>
      <w:pPr>
        <w:ind w:right="60" w:firstLine="405"/>
        <w:spacing w:after="0" w:line="282" w:lineRule="auto"/>
        <w:rPr>
          <w:sz w:val="20"/>
          <w:szCs w:val="20"/>
          <w:color w:val="auto"/>
        </w:rPr>
      </w:pPr>
      <w:r>
        <w:rPr>
          <w:rFonts w:ascii="Arial" w:cs="Arial" w:eastAsia="Arial" w:hAnsi="Arial"/>
          <w:sz w:val="18"/>
          <w:szCs w:val="18"/>
          <w:i w:val="1"/>
          <w:iCs w:val="1"/>
          <w:color w:val="auto"/>
        </w:rPr>
        <w:t>Digital prototyping</w:t>
      </w:r>
      <w:r>
        <w:rPr>
          <w:rFonts w:ascii="Arial" w:cs="Arial" w:eastAsia="Arial" w:hAnsi="Arial"/>
          <w:sz w:val="18"/>
          <w:szCs w:val="18"/>
          <w:b w:val="1"/>
          <w:bCs w:val="1"/>
          <w:color w:val="auto"/>
        </w:rPr>
        <w:t>—</w:t>
      </w:r>
      <w:r>
        <w:rPr>
          <w:rFonts w:ascii="Arial" w:cs="Arial" w:eastAsia="Arial" w:hAnsi="Arial"/>
          <w:sz w:val="18"/>
          <w:szCs w:val="18"/>
          <w:color w:val="auto"/>
        </w:rPr>
        <w:t>Digital prototyping allows designers, architects and engineers to analyze, simulate, and visualize a design using a digital or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model rather than a physical model.</w:t>
      </w:r>
    </w:p>
    <w:p>
      <w:pPr>
        <w:spacing w:after="0" w:line="162" w:lineRule="exact"/>
        <w:rPr>
          <w:sz w:val="20"/>
          <w:szCs w:val="20"/>
          <w:color w:val="auto"/>
        </w:rPr>
      </w:pPr>
    </w:p>
    <w:p>
      <w:pPr>
        <w:ind w:right="160" w:firstLine="405"/>
        <w:spacing w:after="0" w:line="266" w:lineRule="auto"/>
        <w:rPr>
          <w:sz w:val="20"/>
          <w:szCs w:val="20"/>
          <w:color w:val="auto"/>
        </w:rPr>
      </w:pPr>
      <w:r>
        <w:rPr>
          <w:rFonts w:ascii="Arial" w:cs="Arial" w:eastAsia="Arial" w:hAnsi="Arial"/>
          <w:sz w:val="18"/>
          <w:szCs w:val="18"/>
          <w:i w:val="1"/>
          <w:iCs w:val="1"/>
          <w:color w:val="auto"/>
        </w:rPr>
        <w:t>Flagship</w:t>
      </w:r>
      <w:r>
        <w:rPr>
          <w:rFonts w:ascii="Arial" w:cs="Arial" w:eastAsia="Arial" w:hAnsi="Arial"/>
          <w:sz w:val="18"/>
          <w:szCs w:val="18"/>
          <w:b w:val="1"/>
          <w:bCs w:val="1"/>
          <w:color w:val="auto"/>
        </w:rPr>
        <w:t>—</w:t>
      </w:r>
      <w:r>
        <w:rPr>
          <w:rFonts w:ascii="Arial" w:cs="Arial" w:eastAsia="Arial" w:hAnsi="Arial"/>
          <w:sz w:val="18"/>
          <w:szCs w:val="18"/>
          <w:color w:val="auto"/>
        </w:rPr>
        <w:t>Autodesk flagship products are our core design products. Flagship includes the following products: 3ds Max, AutoCAD, AutoCAD LT,</w:t>
      </w:r>
      <w:r>
        <w:rPr>
          <w:rFonts w:ascii="Arial" w:cs="Arial" w:eastAsia="Arial" w:hAnsi="Arial"/>
          <w:sz w:val="18"/>
          <w:szCs w:val="18"/>
          <w:i w:val="1"/>
          <w:iCs w:val="1"/>
          <w:color w:val="auto"/>
        </w:rPr>
        <w:t xml:space="preserve"> </w:t>
      </w:r>
      <w:r>
        <w:rPr>
          <w:rFonts w:ascii="Arial" w:cs="Arial" w:eastAsia="Arial" w:hAnsi="Arial"/>
          <w:sz w:val="18"/>
          <w:szCs w:val="18"/>
          <w:color w:val="auto"/>
        </w:rPr>
        <w:t>AutoCAD vertical products (such as AutoCAD Architecture and Mechanical), Civil 3D, Inventor products (standalone), Map 3D, Maya, and Revit products (standalone).</w:t>
      </w:r>
    </w:p>
    <w:p>
      <w:pPr>
        <w:spacing w:after="0" w:line="176" w:lineRule="exact"/>
        <w:rPr>
          <w:sz w:val="20"/>
          <w:szCs w:val="20"/>
          <w:color w:val="auto"/>
        </w:rPr>
      </w:pPr>
    </w:p>
    <w:p>
      <w:pPr>
        <w:ind w:right="160" w:firstLine="405"/>
        <w:spacing w:after="0" w:line="261" w:lineRule="auto"/>
        <w:rPr>
          <w:sz w:val="20"/>
          <w:szCs w:val="20"/>
          <w:color w:val="auto"/>
        </w:rPr>
      </w:pPr>
      <w:r>
        <w:rPr>
          <w:rFonts w:ascii="Arial" w:cs="Arial" w:eastAsia="Arial" w:hAnsi="Arial"/>
          <w:sz w:val="18"/>
          <w:szCs w:val="18"/>
          <w:i w:val="1"/>
          <w:iCs w:val="1"/>
          <w:color w:val="auto"/>
        </w:rPr>
        <w:t>License and Other revenue</w:t>
      </w:r>
      <w:r>
        <w:rPr>
          <w:rFonts w:ascii="Arial" w:cs="Arial" w:eastAsia="Arial" w:hAnsi="Arial"/>
          <w:sz w:val="18"/>
          <w:szCs w:val="18"/>
          <w:b w:val="1"/>
          <w:bCs w:val="1"/>
          <w:color w:val="auto"/>
        </w:rPr>
        <w:t>—</w:t>
      </w:r>
      <w:r>
        <w:rPr>
          <w:rFonts w:ascii="Arial" w:cs="Arial" w:eastAsia="Arial" w:hAnsi="Arial"/>
          <w:sz w:val="18"/>
          <w:szCs w:val="18"/>
          <w:color w:val="auto"/>
        </w:rPr>
        <w:t>License and other revenue consists of two components: (1) all forms of product license revenue and (2) other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license revenue includes software license revenue from the sale of perpetual licenses, term-based licenses from our desktop subscription and enterprise offerings, and product revenue for Creative Finishing. Other revenue includes revenue from consulting, training, and Creative Finishing customer support, and is recognized over time, as the services are performed.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type w:val="continuous"/>
        </w:sectPr>
      </w:pPr>
    </w:p>
    <w:bookmarkStart w:id="46" w:name="page47"/>
    <w:bookmarkEnd w:id="46"/>
    <w:p>
      <w:pPr>
        <w:ind w:firstLine="405"/>
        <w:spacing w:after="0" w:line="261" w:lineRule="auto"/>
        <w:rPr>
          <w:sz w:val="20"/>
          <w:szCs w:val="20"/>
          <w:color w:val="auto"/>
        </w:rPr>
      </w:pPr>
      <w:r>
        <w:rPr>
          <w:rFonts w:ascii="Arial" w:cs="Arial" w:eastAsia="Arial" w:hAnsi="Arial"/>
          <w:sz w:val="18"/>
          <w:szCs w:val="18"/>
          <w:i w:val="1"/>
          <w:iCs w:val="1"/>
          <w:color w:val="auto"/>
        </w:rPr>
        <w:t>Maintenance</w:t>
      </w:r>
      <w:r>
        <w:rPr>
          <w:rFonts w:ascii="Arial" w:cs="Arial" w:eastAsia="Arial" w:hAnsi="Arial"/>
          <w:sz w:val="18"/>
          <w:szCs w:val="18"/>
          <w:b w:val="1"/>
          <w:bCs w:val="1"/>
          <w:color w:val="auto"/>
        </w:rPr>
        <w:t>—</w:t>
      </w:r>
      <w:r>
        <w:rPr>
          <w:rFonts w:ascii="Arial" w:cs="Arial" w:eastAsia="Arial" w:hAnsi="Arial"/>
          <w:sz w:val="18"/>
          <w:szCs w:val="18"/>
          <w:color w:val="auto"/>
        </w:rPr>
        <w:t>Our maintenance program provides our customers with a cost effective and predictable budgetary option to obtain the productivity</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over the term of the agreements, generally between one and three years.</w:t>
      </w:r>
    </w:p>
    <w:p>
      <w:pPr>
        <w:spacing w:after="0" w:line="180" w:lineRule="exact"/>
        <w:rPr>
          <w:sz w:val="20"/>
          <w:szCs w:val="20"/>
          <w:color w:val="auto"/>
        </w:rPr>
      </w:pPr>
    </w:p>
    <w:p>
      <w:pPr>
        <w:ind w:right="60" w:firstLine="405"/>
        <w:spacing w:after="0" w:line="258" w:lineRule="auto"/>
        <w:rPr>
          <w:sz w:val="20"/>
          <w:szCs w:val="20"/>
          <w:color w:val="auto"/>
        </w:rPr>
      </w:pPr>
      <w:r>
        <w:rPr>
          <w:rFonts w:ascii="Arial" w:cs="Arial" w:eastAsia="Arial" w:hAnsi="Arial"/>
          <w:sz w:val="18"/>
          <w:szCs w:val="18"/>
          <w:i w:val="1"/>
          <w:iCs w:val="1"/>
          <w:color w:val="auto"/>
        </w:rPr>
        <w:t>New and Adjacent</w:t>
      </w:r>
      <w:r>
        <w:rPr>
          <w:rFonts w:ascii="Arial" w:cs="Arial" w:eastAsia="Arial" w:hAnsi="Arial"/>
          <w:sz w:val="18"/>
          <w:szCs w:val="18"/>
          <w:b w:val="1"/>
          <w:bCs w:val="1"/>
          <w:color w:val="auto"/>
        </w:rPr>
        <w:t>—</w:t>
      </w:r>
      <w:r>
        <w:rPr>
          <w:rFonts w:ascii="Arial" w:cs="Arial" w:eastAsia="Arial" w:hAnsi="Arial"/>
          <w:sz w:val="18"/>
          <w:szCs w:val="18"/>
          <w:color w:val="auto"/>
        </w:rPr>
        <w:t>Autodesk new and adjacent products include Autodesk's new product offerings as well as products that are not included in flagship</w:t>
      </w:r>
      <w:r>
        <w:rPr>
          <w:rFonts w:ascii="Arial" w:cs="Arial" w:eastAsia="Arial" w:hAnsi="Arial"/>
          <w:sz w:val="18"/>
          <w:szCs w:val="18"/>
          <w:i w:val="1"/>
          <w:iCs w:val="1"/>
          <w:color w:val="auto"/>
        </w:rPr>
        <w:t xml:space="preserve"> </w:t>
      </w:r>
      <w:r>
        <w:rPr>
          <w:rFonts w:ascii="Arial" w:cs="Arial" w:eastAsia="Arial" w:hAnsi="Arial"/>
          <w:sz w:val="18"/>
          <w:szCs w:val="18"/>
          <w:color w:val="auto"/>
        </w:rPr>
        <w:t>or suites. New and adjacent includes the following services and products: Autodesk Alias Design products, Autodesk 360 products, Autodesk Consulting, Autodesk Simulation, Autodesk Simulation Multiphysics, Autodesk Buzzsaw, Autodesk CF Design, Autodesk Constructware, Autodesk Consumer products, Autodesk Creative Finishing products, Delcam products, Autodesk Moldflow products, Autodesk Navisworks, Autodesk Scaleform, Autodesk Vault products, and all other products.</w:t>
      </w:r>
    </w:p>
    <w:p>
      <w:pPr>
        <w:spacing w:after="0" w:line="188"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i w:val="1"/>
          <w:iCs w:val="1"/>
          <w:color w:val="auto"/>
        </w:rPr>
        <w:t xml:space="preserve">Recurring Revenue </w:t>
      </w:r>
      <w:r>
        <w:rPr>
          <w:rFonts w:ascii="Arial" w:cs="Arial" w:eastAsia="Arial" w:hAnsi="Arial"/>
          <w:sz w:val="18"/>
          <w:szCs w:val="18"/>
          <w:color w:val="auto"/>
        </w:rPr>
        <w:t>- Represents the revenue for the period from our maintenance, desktop, cloud services and enterprise license offerings. It excludes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from Autodesk Consulting Services, education offerings, consumer product offerings, certain Creative Finishing product offerings, Autodesk Buzzsaw, Autodesk Constructware, and third party products. Recurring revenue acquired with the acquisition of a business is captured and may cause variability in the comparison of this calculation.</w:t>
      </w:r>
    </w:p>
    <w:p>
      <w:pPr>
        <w:spacing w:after="0" w:line="183" w:lineRule="exact"/>
        <w:rPr>
          <w:sz w:val="20"/>
          <w:szCs w:val="20"/>
          <w:color w:val="auto"/>
        </w:rPr>
      </w:pPr>
    </w:p>
    <w:p>
      <w:pPr>
        <w:ind w:right="180" w:firstLine="405"/>
        <w:spacing w:after="0" w:line="261" w:lineRule="auto"/>
        <w:rPr>
          <w:sz w:val="20"/>
          <w:szCs w:val="20"/>
          <w:color w:val="auto"/>
        </w:rPr>
      </w:pPr>
      <w:r>
        <w:rPr>
          <w:rFonts w:ascii="Arial" w:cs="Arial" w:eastAsia="Arial" w:hAnsi="Arial"/>
          <w:sz w:val="18"/>
          <w:szCs w:val="18"/>
          <w:i w:val="1"/>
          <w:iCs w:val="1"/>
          <w:color w:val="auto"/>
        </w:rPr>
        <w:t>Suites</w:t>
      </w:r>
      <w:r>
        <w:rPr>
          <w:rFonts w:ascii="Arial" w:cs="Arial" w:eastAsia="Arial" w:hAnsi="Arial"/>
          <w:sz w:val="18"/>
          <w:szCs w:val="18"/>
          <w:b w:val="1"/>
          <w:bCs w:val="1"/>
          <w:color w:val="auto"/>
        </w:rPr>
        <w:t>—</w:t>
      </w:r>
      <w:r>
        <w:rPr>
          <w:rFonts w:ascii="Arial" w:cs="Arial" w:eastAsia="Arial" w:hAnsi="Arial"/>
          <w:sz w:val="18"/>
          <w:szCs w:val="18"/>
          <w:color w:val="auto"/>
        </w:rPr>
        <w:t>Autodesk design suites are a combination of products that target a specific user objective (product design, building design, etc.) and support a</w:t>
      </w:r>
      <w:r>
        <w:rPr>
          <w:rFonts w:ascii="Arial" w:cs="Arial" w:eastAsia="Arial" w:hAnsi="Arial"/>
          <w:sz w:val="18"/>
          <w:szCs w:val="18"/>
          <w:i w:val="1"/>
          <w:iCs w:val="1"/>
          <w:color w:val="auto"/>
        </w:rPr>
        <w:t xml:space="preserve"> </w:t>
      </w:r>
      <w:r>
        <w:rPr>
          <w:rFonts w:ascii="Arial" w:cs="Arial" w:eastAsia="Arial" w:hAnsi="Arial"/>
          <w:sz w:val="18"/>
          <w:szCs w:val="18"/>
          <w:color w:val="auto"/>
        </w:rPr>
        <w:t>set of workflows for that objective. Our current design and creation suites include: AutoCAD Design Suite, Autodesk Building Design Suite, Autodesk Entertainment Creation Suite, Autodesk Factory Design Suite, Autodesk Infrastructure Design Suite, Autodesk Plant Design Suite, and Autodesk Product Design Suite.</w:t>
      </w:r>
    </w:p>
    <w:p>
      <w:pPr>
        <w:spacing w:after="0" w:line="180" w:lineRule="exact"/>
        <w:rPr>
          <w:sz w:val="20"/>
          <w:szCs w:val="20"/>
          <w:color w:val="auto"/>
        </w:rPr>
      </w:pPr>
    </w:p>
    <w:p>
      <w:pPr>
        <w:ind w:right="700" w:firstLine="405"/>
        <w:spacing w:after="0" w:line="347" w:lineRule="auto"/>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b w:val="1"/>
          <w:bCs w:val="1"/>
          <w:color w:val="auto"/>
        </w:rPr>
        <w:t>—</w:t>
      </w:r>
      <w:r>
        <w:rPr>
          <w:rFonts w:ascii="Arial" w:cs="Arial" w:eastAsia="Arial" w:hAnsi="Arial"/>
          <w:sz w:val="16"/>
          <w:szCs w:val="16"/>
          <w:color w:val="auto"/>
        </w:rPr>
        <w:t>Autodesk subscription revenue consists of three components: (1) maintenance revenue from our software products; (2)</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revenue from our term-based desktop subscription and enterprise offerings; and (3) revenue from our cloud service offerings.</w:t>
      </w:r>
    </w:p>
    <w:p>
      <w:pPr>
        <w:spacing w:after="0" w:line="120"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i w:val="1"/>
          <w:iCs w:val="1"/>
          <w:color w:val="auto"/>
        </w:rPr>
        <w:t>Total Subscriptions</w:t>
      </w:r>
      <w:r>
        <w:rPr>
          <w:rFonts w:ascii="Arial" w:cs="Arial" w:eastAsia="Arial" w:hAnsi="Arial"/>
          <w:sz w:val="16"/>
          <w:szCs w:val="16"/>
          <w:color w:val="auto"/>
        </w:rPr>
        <w:t>—Consists of subscriptions from our maintenance, desktop, cloud service and enterprise license offerings that are active and paid as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quarter end date. For certain cloud based and enterprise license offerings, subscriptions represent the monthly average activity reported within the last three months of the quarter end date. Total subscriptions do not include data from education offerings, consumer product offerings, certain Creative Finishing product offerings, Autodesk Buzzsaw, Autodesk Constructware, and third party products. Subscriptions acquired with the acquisition of a business are captured once the data conforms to our subscription count methodology and when added, may cause variability in the comparison of this calculation.</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July 31, 2015 and January 31, 2015,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net notional amount of our option and forward contracts was $375.2 million and $381.2 million at July 31, 2015 and January 31, 2015, respectively.</w:t>
      </w:r>
    </w:p>
    <w:p>
      <w:pPr>
        <w:spacing w:after="0" w:line="179"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use foreign currency contracts to reduce the exchange rate impact on the net revenue and operating expenses of certain anticipated transactions. A sensitivity analysis performed on our hedging portfolio as of July 31, 2015 indicated that a hypothetical 10% appreciation of the U.S. dollar from its value at July 31, 2015 and January 31, 2015 would increase the fair value of our foreign currency contracts by $31.7 million and $35.1 million, respectively. A hypothetical 10% depreciation of the dollar from its value at July 31, 2015 and January 31, 2015 would decrease the fair value of our foreign currency contracts by $20.9 million and $16.5 million, respectively.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80"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Interest rate movements affect both the interest income we earn on our short term investments and the market value of certain longer term securities. At July 31, 2015, we had $2,447.2 million of cash equivalents and marketable securities, including $916.8 million classified as short-term marketable securities and $562.5 million classified as long-term marketable securities. If interest rates were to move up or down by 50 or 100 basis points over a twelve month period, the market value change of our marketable securities would have an unrealized gain or loss of $5.3 million and $9.2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29"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management evaluated, with the participation of our Chief Executive Officer and Chief Financial Officer, the effectiveness of our disclosure controls and procedures as of the end of the period covered by this Quarterly Report on Form 10-Q. Based on this evaluation, our Chief Executive Officer and Chief Financial Officer have concluded that our disclosure controls and procedures are effective at the reasonable assurance level to ensure that information we are required to disclose in reports that we file or submit under the Securities Exchange Act of 1934 (i) is recorded, processed, summarized and reported within the time periods specified in Securities and Exchange Commission rules and forms, and (ii) is accumulated and communicated to Autodesk’s management, including our Chief Executive Officer and Chief Financial Officer, as appropriate to allow timely decisions regarding required disclosure. Our disclosure controls and procedures are designed to provide reasonable assurance that such information is accumulated and communicated to our management.</w:t>
      </w:r>
    </w:p>
    <w:p>
      <w:pPr>
        <w:spacing w:after="0" w:line="167"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Our disclosure controls and procedures include components of our internal control over financial reporting.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Securities Exchange Act of 1934) during the quarter ended July 31, 2015 that have materially affected, or are reasonably likely to materially affect, our internal controls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580" w:right="25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and political conditions may further impact our business, financial results and financial condition.</w:t>
      </w:r>
    </w:p>
    <w:p>
      <w:pPr>
        <w:spacing w:after="0" w:line="225"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As our business has expanded globally, we have increasingly become subject to risks arising from adverse changes in global economic and political conditions. The past several years were characterized by weak global economic conditions, volatile credit markets, relatively high unemployment, increased government deficit spending and debt levels, uncertainty about certain governments' abilities to repay such debt or to address certain fiscal issues, and volatility in many financial instrument markets. If economic growth in countries where we do business slows, such as in Japan or in emerging economies, or if such countries experience further economic recessions, customers may delay or reduce technology purchases. This could result in reductions in sales of our products and services, longer sales cycles and slower adoption of our technologies.</w:t>
      </w:r>
    </w:p>
    <w:p>
      <w:pPr>
        <w:spacing w:after="0" w:line="178"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Over the past several years, many of our customers have experienced tighter credit, negative financial news and weaker financial performance of their businesses and have reduced their workforces, thereby reducing the number of licenses and the number of maintenance contracts they purchase from us. In addition, a number of our customers rely, directly and indirectly, on government spending. Current debt balances of many countries without proportionate increases in revenues have caused many countries to reduce spending and in some cases have forced those countries to restructure their debt in an effort to avoid defaulting under those obligations. This has not only impacted those countries but others that are holders of such debt and those assisting in such restructuring.</w:t>
      </w:r>
    </w:p>
    <w:p>
      <w:pPr>
        <w:spacing w:after="0" w:line="193"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These actions may impact, and over the past several years have negatively impacted, our business, financial results and financial condition. Moreover, our financial performance may be negatively impacted by:</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credit available to and the insolvency of key channel partners, which may impair our distribution channels and cash flows;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counterparty failures negatively impacting our treasury functions, including timely access to our cash reserves and third-party fulfillment of hedging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counterparty failures negatively affecting our insured risks;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of banks to honor our existing line of credit, which could increase our borrowing expenses or eliminate our ability to obtain short-term financing;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decreased borrowing and spending by our end users on small and large projects in the industries we serve, thereby reducing demand for our products.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96" w:right="239" w:bottom="1440" w:gutter="0" w:footer="0" w:header="0"/>
        </w:sectPr>
      </w:pPr>
    </w:p>
    <w:bookmarkStart w:id="49" w:name="page50"/>
    <w:bookmarkEnd w:id="49"/>
    <w:p>
      <w:pPr>
        <w:ind w:right="120" w:firstLine="405"/>
        <w:spacing w:after="0" w:line="277" w:lineRule="auto"/>
        <w:rPr>
          <w:sz w:val="20"/>
          <w:szCs w:val="20"/>
          <w:color w:val="auto"/>
        </w:rPr>
      </w:pPr>
      <w:r>
        <w:rPr>
          <w:rFonts w:ascii="Arial" w:cs="Arial" w:eastAsia="Arial" w:hAnsi="Arial"/>
          <w:sz w:val="18"/>
          <w:szCs w:val="18"/>
          <w:color w:val="auto"/>
        </w:rPr>
        <w:t>Uncertainty about current and future economic and political conditions on us, our customers and partners, makes it difficult for us to forecast operating results and to make decisions about future investments.</w:t>
      </w:r>
    </w:p>
    <w:p>
      <w:pPr>
        <w:spacing w:after="0" w:line="170" w:lineRule="exact"/>
        <w:rPr>
          <w:sz w:val="20"/>
          <w:szCs w:val="20"/>
          <w:color w:val="auto"/>
        </w:rPr>
      </w:pPr>
    </w:p>
    <w:p>
      <w:pPr>
        <w:ind w:right="360" w:firstLine="405"/>
        <w:spacing w:after="0" w:line="342" w:lineRule="auto"/>
        <w:rPr>
          <w:sz w:val="20"/>
          <w:szCs w:val="20"/>
          <w:color w:val="auto"/>
        </w:rPr>
      </w:pPr>
      <w:r>
        <w:rPr>
          <w:rFonts w:ascii="Arial" w:cs="Arial" w:eastAsia="Arial" w:hAnsi="Arial"/>
          <w:sz w:val="16"/>
          <w:szCs w:val="16"/>
          <w:color w:val="auto"/>
        </w:rPr>
        <w:t>A slower economic recovery in industries important to our business may adversely affect our business, financial results and financial condition. If a macro-economic recovery does not occur as rapidly as anticipated, our ability to meet our long-term financial targets may also be adversely affected.</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If we fail to successfully manage our business model transition to cloud-based products and more flexible product licenses, our results of operations could be negatively impacted.</w:t>
      </w:r>
    </w:p>
    <w:p>
      <w:pPr>
        <w:spacing w:after="0" w:line="170" w:lineRule="exact"/>
        <w:rPr>
          <w:sz w:val="20"/>
          <w:szCs w:val="20"/>
          <w:color w:val="auto"/>
        </w:rPr>
      </w:pPr>
    </w:p>
    <w:p>
      <w:pPr>
        <w:ind w:right="20" w:firstLine="392"/>
        <w:spacing w:after="0" w:line="270" w:lineRule="auto"/>
        <w:rPr>
          <w:sz w:val="20"/>
          <w:szCs w:val="20"/>
          <w:color w:val="auto"/>
        </w:rPr>
      </w:pPr>
      <w:r>
        <w:rPr>
          <w:rFonts w:ascii="Arial" w:cs="Arial" w:eastAsia="Arial" w:hAnsi="Arial"/>
          <w:sz w:val="17"/>
          <w:szCs w:val="17"/>
          <w:color w:val="auto"/>
        </w:rPr>
        <w:t>To address the industry transition from personal computer to cloud, social, and mobile computing, we have accelerated our move to the cloud and are offering more flexible product licenses. As part of this transition, we discontinued upgrades effective March 6, 2015 and, on February 4, 2015, we announced that new commercial seats of most standalone software products will be available only by desktop subscription beginning February 1, 2016. Additionally, we plan to discontinue selling new perpetual licenses for suites during fiscal 2017. As a result, we expect to derive an increasing portion of our revenues in the future from subscriptions. This subscription model prices and delivers our products in a way that differs from the historical perpetual pricing and delivery methods. These changes reflect a significant shift from perpetual license sales and distribution of our software in favor of providing our customers the right to access certain of our software in a hosted environment or use downloaded software for a specified subscription period. During our transition, revenue, gross margin, operating margin, net income (loss), earnings (loss) per share, deferred revenue, and cash flow from operations will be impacted as more revenue is recognized ratably rather than up front and as new offerings bring a wider variety of price points.</w:t>
      </w:r>
    </w:p>
    <w:p>
      <w:pPr>
        <w:spacing w:after="0" w:line="182" w:lineRule="exact"/>
        <w:rPr>
          <w:sz w:val="20"/>
          <w:szCs w:val="20"/>
          <w:color w:val="auto"/>
        </w:rPr>
      </w:pPr>
    </w:p>
    <w:p>
      <w:pPr>
        <w:ind w:right="20" w:firstLine="392"/>
        <w:spacing w:after="0" w:line="270" w:lineRule="auto"/>
        <w:rPr>
          <w:sz w:val="20"/>
          <w:szCs w:val="20"/>
          <w:color w:val="auto"/>
        </w:rPr>
      </w:pPr>
      <w:r>
        <w:rPr>
          <w:rFonts w:ascii="Arial" w:cs="Arial" w:eastAsia="Arial" w:hAnsi="Arial"/>
          <w:sz w:val="17"/>
          <w:szCs w:val="17"/>
          <w:color w:val="auto"/>
        </w:rPr>
        <w:t>Our ability to achieve our financial objectives is subject to risks and uncertainties. The new offerings require a considerable investment of technical, financial, legal, and sales resources, and a scalable organization. Market acceptance of such offerings is affected by a variety of factors, including but not limited to: security, reliability, performance, current license terms, customer preference, social/community engagement, customer concerns with entrusting a third party to store and manage their data, public concerns regarding privacy and the enactment of restrictive laws or regulations. Whether our business model transition will prove successful and will accomplish our business and financial objectives is subject to numerous uncertainties, including but not limited to: customer demand, attach and renewal rates, channel acceptance, our ability to further develop and scale infrastructure, our ability to include functionality and usability in such offerings that address customer requirements, tax and accounting implications, pricing, and our costs. In addition, the metrics we use to gauge the status of our business model transition may evolve over the course of the transition as significant trends emerge. If we are unable to successfully establish these new offerings and navigate our business model transition in light of the foregoing risks and uncertainties, our results of operations could be negatively impacted.</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Our strategy to develop and introduce new products and services exposes us to risks such as limited customer acceptance, costs related to product defects and large expenditures, each of which may not result in additional net revenue or could result in decreased net revenue.</w:t>
      </w:r>
    </w:p>
    <w:p>
      <w:pPr>
        <w:spacing w:after="0" w:line="170" w:lineRule="exact"/>
        <w:rPr>
          <w:sz w:val="20"/>
          <w:szCs w:val="20"/>
          <w:color w:val="auto"/>
        </w:rPr>
      </w:pPr>
    </w:p>
    <w:p>
      <w:pPr>
        <w:ind w:right="80" w:firstLine="432"/>
        <w:spacing w:after="0" w:line="286" w:lineRule="auto"/>
        <w:rPr>
          <w:sz w:val="20"/>
          <w:szCs w:val="20"/>
          <w:color w:val="auto"/>
        </w:rPr>
      </w:pPr>
      <w:r>
        <w:rPr>
          <w:rFonts w:ascii="Arial" w:cs="Arial" w:eastAsia="Arial" w:hAnsi="Arial"/>
          <w:sz w:val="16"/>
          <w:szCs w:val="16"/>
          <w:color w:val="auto"/>
        </w:rPr>
        <w:t>Rapid technological changes, as well as changes in customer requirements and preferences, characterize the software industry. Just as the transition from mainframes to personal computers transformed the industry 30 years ago, we believe our industry is undergoing a similar transition from the personal computer to cloud, mobile, and social computing. Customers are also reconsidering the manner in which they license software products, which requires us to constantly evaluate our business model and strategy. In response, we are focused on providing solutions to enable our customers to be more agile and collaborative on their projects. We are also developing consumer products for digital art, personal design and creativity, and home design. We devote significant resources to the development of new technologies. In addition, we frequently introduce new business models or methods that require a considerable investment of technical and financial resources such as our introduction of flexible license and service offerings. We are making such investments through further development and enhancement of our existing products and services, as well as through acquisitions of new product lines. Such investments may not result in sufficient revenue generation to justify their costs and could result in decreased net revenue. For example, in fiscal 2015, we announced that we would create Spark, a 3D printing software platform for developers to facilitate the advancement of 3D printing technology, and begin manufacturing and selling Ember, an Autodesk-branded 3D printer. If we are not able to meet customer requirements, either with respect to our software or hardware products or the manner in which we provide such products, or if we are not able to adapt our business model to meet our customers' requirements, our business, financial condition or results of operations may be adversely impacted.</w:t>
      </w:r>
    </w:p>
    <w:p>
      <w:pPr>
        <w:spacing w:after="0" w:line="175"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In particular, a critical component of our growth strategy is to have customers of our AutoCAD and AutoCAD LT products expand their portfolios to include our other offerings and cloud-based services. We want customers using standalone Autodesk products to expand their portfolio with our other offerings and cloud-based services, and we are taking steps 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584" w:right="259" w:bottom="1440" w:gutter="0" w:footer="0" w:header="0"/>
        </w:sectPr>
      </w:pPr>
    </w:p>
    <w:bookmarkStart w:id="50" w:name="page51"/>
    <w:bookmarkEnd w:id="50"/>
    <w:p>
      <w:pPr>
        <w:ind w:right="100"/>
        <w:spacing w:after="0" w:line="272" w:lineRule="auto"/>
        <w:rPr>
          <w:sz w:val="20"/>
          <w:szCs w:val="20"/>
          <w:color w:val="auto"/>
        </w:rPr>
      </w:pPr>
      <w:r>
        <w:rPr>
          <w:rFonts w:ascii="Arial" w:cs="Arial" w:eastAsia="Arial" w:hAnsi="Arial"/>
          <w:sz w:val="17"/>
          <w:szCs w:val="17"/>
          <w:color w:val="auto"/>
        </w:rPr>
        <w:t>accelerate this migration. At times, sales of licenses of our AutoCAD and AutoCAD LT or standalone Autodesk flagship products have decreased without a corresponding increase in suites product or cloud-based services revenue or without purchases of customer seats to our suites. Should this continue, our results of operations will be adversely affected. Also, adoption of our cloud and mobile computing offerings and changes in the delivery of our software and services to our customers, such as desktop subscription (formally referred to as rental) offerings, will change the way in which we recognize revenue relating to our software and services, with a potential negative impact on our financial performance. The accounting impact of these offerings and other business decisions are expected to result in an increase in the percentage of our ratable revenue, as well as recurring revenue, making for a more predictable business over time, while potentially reducing our upfront perpetual revenue stream.</w:t>
      </w:r>
    </w:p>
    <w:p>
      <w:pPr>
        <w:spacing w:after="0" w:line="178"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Our executive management team must act quickly, continuously,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that strategy as market conditions evolve,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78"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Our entry into 3D printing presents many of the risks described above concerning developing and introducing new products as well as new risks for us. The manufacturing and 3D printing markets are highly competitive and some of our competitors have superior experience and resources to us. We have limited experience designing, developing, and selling hardware products and no experience developing and selling printers. The market for 3D printing is nascent and may not develop as rapidly as we expect. Our sale of 3D printers could subject us to product and other liability that we do not currently face. If any of these risks materialize, it could adversely affect our business and financial performance as well as our reputation and brand.</w:t>
      </w:r>
    </w:p>
    <w:p>
      <w:pPr>
        <w:spacing w:after="0" w:line="15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i w:val="1"/>
          <w:iCs w:val="1"/>
          <w:color w:val="auto"/>
        </w:rPr>
        <w:t>Our software is highly complex and may contain undetected errors, defects or vulnerabilities, each of which could harm our business and financial performance.</w:t>
      </w:r>
    </w:p>
    <w:p>
      <w:pPr>
        <w:spacing w:after="0" w:line="170"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The software products that we offer are complex, and despite extensive testing and quality control, may contain errors, defects or vulnerabilities. Some errors, defects and vulnerabilities in our software products may only be discovered after the product or service has been released. Any errors, defects or vulnerabilities could result in the need for corrective releases to our software products, damage to our reputation, loss of revenue, an increase in product returns or lack of market acceptance of our products, any of which would likely harm our business and financial performance.</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7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are dependent on our international operations for a significant portion of our revenue. International net revenue represented 68% and 69% of our net revenue for the three and six months ended July 31, 2015.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At times, these factors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 Further, a significant portion of our earnings from our international operations may not be freely transferable to the U.S. due to remittance restrictions, adverse tax consequences or other factors. Our intent is that amounts related to foreign earnings permanently reinvested outside the U.S. will remain outside the U.S., and we will meet our U.S. liquidity needs through ongoing cash flows, external borrowings (such as our 2012 and 2015 Notes), or both. However, if, in the future, amounts held by foreign subsidiaries are needed to fund our operations in the U.S., or to service our external borrowings, the repatriation of such amounts to the U.S. could result in a significant incremental tax liability in the period in which the decision to repatriate occurs and payment of any such tax liability would reduce the cash available to fund our operations.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1" w:name="page52"/>
    <w:bookmarkEnd w:id="51"/>
    <w:p>
      <w:pPr>
        <w:ind w:firstLine="432"/>
        <w:spacing w:after="0" w:line="264" w:lineRule="auto"/>
        <w:rPr>
          <w:sz w:val="20"/>
          <w:szCs w:val="20"/>
          <w:color w:val="auto"/>
        </w:rPr>
      </w:pPr>
      <w:r>
        <w:rPr>
          <w:rFonts w:ascii="Arial" w:cs="Arial" w:eastAsia="Arial" w:hAnsi="Arial"/>
          <w:sz w:val="18"/>
          <w:szCs w:val="18"/>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w:t>
      </w:r>
    </w:p>
    <w:p>
      <w:pPr>
        <w:spacing w:after="0" w:line="18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volatility;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fluctuating currency exchange rates, including risks related to any hedging activities we undertake;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resulting from difficulty in obtaining export licenses for certain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different purchase patters as compared to the developed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tariffs, quotas, and other trade barriers and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in locations with a higher incidence of corruption and fraudulent business practices, particularly in emerging economies;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enforcement by the U.S. under the Foreign Corrupt Practices Act, adoption of stricter anti-corruption laws in certain countries, including the United Kingdom;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and development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local 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longer collection cycles for accounts receivable;</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changes in tax laws, including possible U.S. and foreign tax law changes that, if enacted, could significantly impact how multinational companies are taxed;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tax arrangements with foreign governments, including our ability to meet and renew the terms of those tax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laws regarding the management of and access to data and public networks;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possible future limitations upon foreign owned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inadequate local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greater difficulty in protecting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software piracy;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factors beyond our control, including popular uprisings, terrorism, war, natural disasters, and diseases.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Some of our business partners also have international operations and are subject to the risks described above. Even if we are able to successfully</w:t>
      </w:r>
    </w:p>
    <w:p>
      <w:pPr>
        <w:spacing w:after="0" w:line="3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manage the risks of international operations, our business may be adversely affected if our business partners are not able to successfully manage these risks.</w:t>
      </w: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00"/>
          </w:cols>
          <w:pgMar w:left="240" w:top="800"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25"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The software industry has limited barriers to entry, and the availability of computing devices with continually expanding performance at progressively lower prices contributes to the ease of market entry. The industry is presently undergoing a platform shift from the personal computer to cloud and mobile computing. This shift further lowers barriers to entry and poses a disruptive challenge to established software companies.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and they could have a material adverse impact on our financial results and cash flows.</w:t>
      </w:r>
    </w:p>
    <w:p>
      <w:pPr>
        <w:spacing w:after="0" w:line="14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 protection against currency exposures. However, our attempts to hedge against these risks may not be completely successful, resulting in an adverse impact on our financial results.</w:t>
      </w:r>
    </w:p>
    <w:p>
      <w:pPr>
        <w:spacing w:after="0" w:line="188"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5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A breach of security in our products, services or computer systems may compromise the integrity of our products or services, harm our reputation, create additional liability and adversely impact our financial results.</w:t>
      </w:r>
    </w:p>
    <w:p>
      <w:pPr>
        <w:spacing w:after="0" w:line="17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We make significant efforts to maintain the security and integrity of our source code and computer systems. The risk of a security breach or disruption,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DNS attacks, wireless network attacks, viruses and worms, advanced persistent threat (APT), application centric attacks, peer-to-peer attacks, phishing, backdoor trojans and distributed denial of service (DDoS) attacks. Any of the foregoing could attack our products, services or computer systems. Despite significant efforts to create security barriers to such programs, it is virtually impossible for us to entirely eliminate this risk. Like all software, our software is vulnerable to cyber attacks. In the past, hackers have targeted our software, and they may do so in the future. The impact of cyber attacks could disrupt the proper functioning of our software products or services, cause errors in the output of our customers' work, allow unauthorized access to sensitive, proprietary or confidential information of ours or our customers, and other destructive outcomes. Moreover, as we continue to invest in new lines of consumer products and services we are exposed to increased security risks and the potential for unauthorized access to, or improper use of, the information of our consumer users. If any of the foregoing were to occur, our reputation may suffer, customers may stop buying our products or services, we could face lawsuits and potential liability, and our financial performance could be negatively impacted.</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584" w:right="279" w:bottom="1440" w:gutter="0" w:footer="0" w:header="0"/>
        </w:sectPr>
      </w:pPr>
    </w:p>
    <w:bookmarkStart w:id="53" w:name="page54"/>
    <w:bookmarkEnd w:id="53"/>
    <w:p>
      <w:pPr>
        <w:ind w:right="220"/>
        <w:spacing w:after="0" w:line="264" w:lineRule="auto"/>
        <w:rPr>
          <w:sz w:val="20"/>
          <w:szCs w:val="20"/>
          <w:color w:val="auto"/>
        </w:rPr>
      </w:pPr>
      <w:r>
        <w:rPr>
          <w:rFonts w:ascii="Arial" w:cs="Arial" w:eastAsia="Arial" w:hAnsi="Arial"/>
          <w:sz w:val="18"/>
          <w:szCs w:val="18"/>
          <w:i w:val="1"/>
          <w:iCs w:val="1"/>
          <w:color w:val="auto"/>
        </w:rPr>
        <w:t>We rely on third-parties to provide us with a number of operational services, including hosting and delivery and certain of our customer services and other operations; any interruption or delay in service from these third parties, breaches of security or privacy, or failures in data collection could expose us to liability, harm our reputation and adversely impact our financial performance.</w:t>
      </w:r>
    </w:p>
    <w:p>
      <w:pPr>
        <w:spacing w:after="0" w:line="18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or result in the theft of customer data. In addition, our operations could be negatively affected in the event of a security breach, and we could be subject to the loss or theft of confidential or proprietary information, including source code.</w:t>
      </w:r>
    </w:p>
    <w:p>
      <w:pPr>
        <w:spacing w:after="0" w:line="18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Unauthorized access to this data may be obtained through break-ins, breaches of our secure networks by unauthorized parties, employee theft or misuse, or other misconduct. We rely on a number of third party suppliers in the operation of our business for the provision of various services and materials that we use in the operation of our business and production of our products.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18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achieve anticipated levels of sell-through, our ability to generate revenue will be adversely affected. If our distribution channel suffers financial losses, becomes financially unstable or insolvent, or is not provided the right mix of incentives to sell our products, our ability to generate revenue will be adversely affected.</w:t>
      </w:r>
    </w:p>
    <w:p>
      <w:pPr>
        <w:spacing w:after="0" w:line="181"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sell our software products both directly to end-users and through a network of distributors and resellers. For the three and six months ended July 31, 2015, approximately 80% and 81%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82"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the distributor Tech Data Corporation and its global affiliates (“Tech Data”). Tech Data accounted for 23% and 25%, respectively, of our total net revenue for the three and six months ended July 31, 2015, as compared to 26% of our total net revenue for both the three and six months ended July 31, 2014. Although we believe that we are not substantially dependent on Tech Data, if Tech Data were to experience a significant disruption with its business or if our relationship with Tech Data were to significantly deteriorate, it is possible that our ability to sell to end users would be, at least temporarily, negatively impacted. This could in turn negatively impact our financial results.</w:t>
      </w:r>
    </w:p>
    <w:p>
      <w:pPr>
        <w:spacing w:after="0" w:line="193"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584" w:right="259" w:bottom="1440" w:gutter="0" w:footer="0" w:header="0"/>
        </w:sectPr>
      </w:pPr>
    </w:p>
    <w:bookmarkStart w:id="54" w:name="page55"/>
    <w:bookmarkEnd w:id="54"/>
    <w:p>
      <w:pPr>
        <w:spacing w:after="0"/>
        <w:rPr>
          <w:sz w:val="20"/>
          <w:szCs w:val="20"/>
          <w:color w:val="auto"/>
        </w:rPr>
      </w:pPr>
      <w:r>
        <w:rPr>
          <w:rFonts w:ascii="Arial" w:cs="Arial" w:eastAsia="Arial" w:hAnsi="Arial"/>
          <w:sz w:val="17"/>
          <w:szCs w:val="17"/>
          <w:i w:val="1"/>
          <w:iCs w:val="1"/>
          <w:color w:val="auto"/>
        </w:rPr>
        <w:t>Our financial results fluctuate within each quarter and from quarter to quarter making our future revenue and financial results difficult to predict.</w:t>
      </w:r>
    </w:p>
    <w:p>
      <w:pPr>
        <w:spacing w:after="0" w:line="23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quarterly financial results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factors described in this Part II, Item 1A, some of the factors that could cause our financial results to fluctuate include:</w:t>
      </w:r>
    </w:p>
    <w:p>
      <w:pPr>
        <w:spacing w:after="0" w:line="18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general market, economic, business, and political conditions in particular geographies, including Europe, APAC, and emerging economies;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produce sufficient revenue, billings or subscription growth, and profitability;</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to our business model transition, including the impact of the end of upgrades and perpetual licenses;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weak or negative growth in one or more of the industries we serve, including AEC, manufacturing, and digital media and entertainment markets;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revenue recognition or other accounting guidelines employed by us and/or established by the Financial Accounting Standards Board or other rule-making bodies;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achieve and maintain cost reductions and productivity increases;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product mix, pricing pressure or changes in product pricing;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ability of governments around the world to adopt fiscal policies, meet their financial and debt obligations, and to finance infrastructure projects;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lower growth or contraction of our maintenance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expand our AutoCAD and AutoCAD LT customer base to related design products and services;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rapidly adapt to technological and customer preference changes, including those related to cloud computing, mobile devices, new computing platforms, and 3D printing;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 of new business or sales initiatives and increasing our portfolio of product suites;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in cloud services-related expenses;</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20"/>
          </w:cols>
          <w:pgMar w:left="240" w:top="584" w:right="339" w:bottom="1440" w:gutter="0" w:footer="0" w:header="0"/>
        </w:sectPr>
      </w:pPr>
    </w:p>
    <w:bookmarkStart w:id="55" w:name="page56"/>
    <w:bookmarkEnd w:id="55"/>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security breaches and potential financial penalties to customers and government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timing of additional investments in the development of our platform or deployment of our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in tax laws or regulations, tax arrangements with foreign governments or accounting rules, such as increased use of fair value measures;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third-party developers;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catastrophic events or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compliance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appropriately estimate the scope of services under consulting arrangements;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adjustments arising from ongoing or future tax examinations.</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or political conditions. In particular, our financial results in Europe during our third quarter are usually affected by a slower summer period, and our Asia Pacific operations typically experience seasonal slowing in our third and fourth quarters.</w:t>
      </w:r>
    </w:p>
    <w:p>
      <w:pPr>
        <w:spacing w:after="0" w:line="195"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suffer as a result of risks, costs and charges associated with strategic acquisitions and investments.</w:t>
      </w:r>
    </w:p>
    <w:p>
      <w:pPr>
        <w:spacing w:after="0" w:line="225"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We regularly acquire or invest in businesses, software products and technologies that are complementary to our business through acquisitions, strategic alliances or equity or debt investments. For example, in fiscal 2015 we acquired Delcam, a leading supplier of advanced CADCAM and industrial measurement solutions for the manufacturing industry.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584" w:right="279" w:bottom="1440" w:gutter="0" w:footer="0" w:header="0"/>
        </w:sectPr>
      </w:pPr>
    </w:p>
    <w:bookmarkStart w:id="56" w:name="page57"/>
    <w:bookmarkEnd w:id="56"/>
    <w:p>
      <w:pPr>
        <w:ind w:left="44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inability to retain customers, key employees, vendors, distributors, business partners, and other entities associated with the acquired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higher than anticipated transaction or integration-related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additional exposure to fluctuations in currency exchange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and distributors as business partners as a result of acquiring another business.</w:t>
      </w:r>
    </w:p>
    <w:p>
      <w:pPr>
        <w:spacing w:after="0" w:line="248"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AutoCAD-based software products and suites, if these products are not successful, our revenue will be adversely affected.</w:t>
      </w:r>
    </w:p>
    <w:p>
      <w:pPr>
        <w:spacing w:after="0" w:line="17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derive a substantial portion of our net revenue from sales of licenses of a limited number of our products, including AutoCAD software, products based on AutoCAD, which include our suites that serve specific markets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the three and six months ended July 31, 2015, combined revenue from our AutoCAD and AutoCAD LT products, not including suites having AutoCAD or AutoCAD LT as a component, represented 24% and 25% of our total net revenue, respectively, compared to 29% and 30%, of our total net revenue during the three and six months ended July 31,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We are unable to measure the extent to which piracy of our software products exists and we expect that software piracy will remain a persistent problem, particularly in emerging economies. Furthermore, our means of protecting our proprietary rights may not be adequate.</w:t>
      </w:r>
    </w:p>
    <w:p>
      <w:pPr>
        <w:spacing w:after="0" w:line="173"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the loss of significant rights.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grows and the functionality of products in different industry segments overlaps,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6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A significant portion of our revenue is generated through maintenance revenue; decreases in maintenance attach or renewal rates or a decrease in the number of new licenses we sell would negatively impact our future revenue and financial results.</w:t>
      </w:r>
    </w:p>
    <w:p>
      <w:pPr>
        <w:spacing w:after="0" w:line="17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Our maintenance customers have no obligation to attach maintenance to their initial license or renew their maintenance contract after the expiration of their initial maintenance period, which is typically one year. Our customers' attach and renewal rates may decline or fluctuate as a result of a number of factors, including the overall global economy, the health of their businesses, and the perceived value of the maintenance program. If our customers do not attach maintenance to their initial license or renew their maintenance contract for our products, our maintenance revenue will decline and our financial results will suffer.</w:t>
      </w:r>
    </w:p>
    <w:p>
      <w:pPr>
        <w:spacing w:after="0" w:line="188"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In addition, a portion of the growth of our maintenance revenue has typically been associated with growth of the number of licenses that we sell. Any reduction in the number of licenses that we sell, even if our customers' attach rates do not change, will have a negative impact on our future maintenance revenue. This in turn would impact our business and harm our financial results.</w:t>
      </w:r>
    </w:p>
    <w:p>
      <w:pPr>
        <w:spacing w:after="0" w:line="181"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We recognize maintenance revenue ratably over the term of the maintenance contracts, which is predominantly one year, but may also range up to five years. Decreases in maintenance billings will negatively impact future maintenance revenue, however future maintenance revenue will also be impacted by other factors such as the amount, timing and mix of contract terms of future billings.</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As part of our effort to accommodate our customers' needs and demands and the rapid evolution of technology, we from time to time evolve our business and sales initiatives such as realigning our development and marketing organizations, and expanding our portfolio of suites and our offering of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 billings, earnings or subscriptions shortfalls or the volatility of the market generally may cause the market price of our stock to decline.</w:t>
      </w:r>
    </w:p>
    <w:p>
      <w:pPr>
        <w:spacing w:after="0" w:line="237"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II, Item 1A and the following:</w:t>
      </w:r>
    </w:p>
    <w:p>
      <w:pPr>
        <w:spacing w:after="0" w:line="14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billings, earnings, subscriptions, or other key performance metrics;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results and future projections related to our business model transition, including the impact of the end of upgrades and perpetual licenses;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sectPr>
      </w:pPr>
    </w:p>
    <w:bookmarkStart w:id="58" w:name="page59"/>
    <w:bookmarkEnd w:id="58"/>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or confusion on the part of analysts and investors about the short-term and long-term impact to our business resulting from our business model transition;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70"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Significant changes in the price of our common stock could expose us to additional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Changes in laws and/or regulations related to the Internet or related to privacy and data security concerns may impact our business or expose us to increased liability.</w:t>
      </w:r>
    </w:p>
    <w:p>
      <w:pPr>
        <w:spacing w:after="0" w:line="170"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data privacy and the transmission of certain types of content using the Internet. For example, the State of California has adopted legislation requiring operators of commercial websites and mobile applications that collect personal information from California residents to conspicuously post and comply with privacy policies that satisfy certain requirements. Several other U.S. states have adopted legislation requiring companies to protect the security of personal information that they collect from consumers over the Internet, and more states may adopt similar legislation in the future. Additionally, the Federal Trade Commission has used its authority under Section 5 of the Federal Trade Commission Act to bring actions against companies for failing to maintain adequate security for personal information collected from consumers over the Internet and for failing to comply with privacy-related representations made to Internet users. The U.S. Congress has at various times proposed federal legislation intended to protect the privacy of Internet users and the security of personal information collected from Internet users that would impose additional compliance burdens upon companies collecting personal information from Internet users, and the U.S. Congress may adopt such legislation in the future. The European Union also has adopted various directives regulating data privacy and security and the transmission of content using the Internet involving residents of the European Union, including those directives known as the Data Protection Directive, the E-Privacy Directive, and the Privacy and Electronic Communications Directive, and may adopt similar directives in the future. Several other countries, including Canada and several Latin American and Asian countries, have constitutional protections for, or have adopted legislation protecting, individuals' personal information. Additionally, some federal, state, or foreign governmental bodies have established laws that seek to censor the transmission of certain types of content over the Internet or require that individuals be provided with the ability to permanently delete all electronic personal information, such as the German Multimedia Law of 1997.</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4" w:right="239" w:bottom="1440" w:gutter="0" w:footer="0" w:header="0"/>
        </w:sectPr>
      </w:pPr>
    </w:p>
    <w:bookmarkStart w:id="59" w:name="page60"/>
    <w:bookmarkEnd w:id="59"/>
    <w:p>
      <w:pPr>
        <w:ind w:right="120" w:firstLine="432"/>
        <w:spacing w:after="0" w:line="255" w:lineRule="auto"/>
        <w:rPr>
          <w:sz w:val="20"/>
          <w:szCs w:val="20"/>
          <w:color w:val="auto"/>
        </w:rPr>
      </w:pPr>
      <w:r>
        <w:rPr>
          <w:rFonts w:ascii="Arial" w:cs="Arial" w:eastAsia="Arial" w:hAnsi="Arial"/>
          <w:sz w:val="18"/>
          <w:szCs w:val="18"/>
          <w:color w:val="auto"/>
        </w:rPr>
        <w:t>Given the variety of global privacy and data protection regimes, it is possible we may find ourselves subject to inconsistent obligations. For instance, the USA Patriot Act is considered by some to be in conflict with certain directives of the European Union. Situations such as these require that we make prospective determinations regarding compliance with conflicting regulations. Increased enforcement of existing laws and regulations, as well as any laws, regulations or changes that may be adopted or implemented in the future, could limit the growth of the use of public cloud applications or communications generally, result in a decline in the use of the Internet and the viability of Internet-based applications, and require implementation of additional technological safeguards.</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Our investment portfolio consists of a variety of investment vehicles in a number of countries that are subject to interest rate trends, market volatility, and other economic factors. If general economic conditions decline, this could cause the credit ratings of our investments to deteriorate, illiquidity in the financial marketplace, and we may experience a decline in interest income, and an inability to sell our investments, leading to impairment in the value of our investments.</w:t>
      </w:r>
    </w:p>
    <w:p>
      <w:pPr>
        <w:spacing w:after="0" w:line="187"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investment income, or result in material charges, which in turn could impact our overall net income (loss) and earnings (loss) per share.</w:t>
      </w:r>
    </w:p>
    <w:p>
      <w:pPr>
        <w:spacing w:after="0" w:line="17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From time to time we make direct investments in privately held companies. Privately held company investments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88"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A loss on any of our investments may cause us to record an other-than-temporary impairment charge. The effect of this charge could impact our overall net income (loss) and earnings (loss)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181"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results of operations, cash flows or the trading prices for our securities could be negatively impacted.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jc w:val="both"/>
        <w:ind w:right="24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584" w:right="259" w:bottom="1440" w:gutter="0" w:footer="0" w:header="0"/>
        </w:sectPr>
      </w:pPr>
    </w:p>
    <w:bookmarkStart w:id="60" w:name="page61"/>
    <w:bookmarkEnd w:id="60"/>
    <w:p>
      <w:pPr>
        <w:ind w:right="180" w:firstLine="432"/>
        <w:spacing w:after="0" w:line="255" w:lineRule="auto"/>
        <w:rPr>
          <w:sz w:val="20"/>
          <w:szCs w:val="20"/>
          <w:color w:val="auto"/>
        </w:rPr>
      </w:pPr>
      <w:r>
        <w:rPr>
          <w:rFonts w:ascii="Arial" w:cs="Arial" w:eastAsia="Arial" w:hAnsi="Arial"/>
          <w:sz w:val="18"/>
          <w:szCs w:val="18"/>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Generally Accepted Accounting Principles (“GAAP”) under SEC regulations and those who are required to follow International Financial Reporting Standards ("IFRS") outside of the U.S. These efforts by the FASB and IASB may result in different accounting principles under GAAP that may result in materially different financial results for us in areas including, but not limited to principles for recognizing revenue and lease accounting.</w:t>
      </w:r>
    </w:p>
    <w:p>
      <w:pPr>
        <w:spacing w:after="0" w:line="19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It is not clear if or when these potential changes in accounting principles may become effective, whether we have the proper systems and controls in place to accommodate such changes and the impact that any such changes may have on our consolidated financial position, results of operations and cash flows. In addition, as we evolve and change our business and sales models, we are currently unable to determine how these potential changes may impact our new models, particularly in the area of revenue recognition.</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We regularly invest resources to update and improve our information technology systems. Should our investments not succeed, or if delays or other issues with new or existing internal technology systems disrupt our operations, our business could be harmed.</w:t>
      </w:r>
    </w:p>
    <w:p>
      <w:pPr>
        <w:spacing w:after="0" w:line="17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rely on our network and data center infrastructure, technology systems and our websites for our development, marketing, operational, support, sales, accounting and financial reporting activities. We are continually investing resources to update and improve these systems and environments in order to meet the growing and evolving requirements of our business and customers. 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w:t>
      </w:r>
    </w:p>
    <w:p>
      <w:pPr>
        <w:spacing w:after="0" w:line="1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Although we believe we currently have adequate internal control over financial reporting, 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8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8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Although we have determined that our internal control over financial reporting was effective as of January 31, 2015, as indicated in our Management Report on Internal Control over Financial Reporting, included in our Annual Report on Form 10-K for the fiscal year ended January 31, 2015, we must continue to monitor and assess our internal control over financial reporting.</w:t>
      </w:r>
    </w:p>
    <w:p>
      <w:pPr>
        <w:spacing w:after="0" w:line="181" w:lineRule="exact"/>
        <w:rPr>
          <w:sz w:val="20"/>
          <w:szCs w:val="20"/>
          <w:color w:val="auto"/>
        </w:rPr>
      </w:pPr>
    </w:p>
    <w:p>
      <w:pPr>
        <w:ind w:right="200" w:firstLine="432"/>
        <w:spacing w:after="0" w:line="297" w:lineRule="auto"/>
        <w:rPr>
          <w:sz w:val="20"/>
          <w:szCs w:val="20"/>
          <w:color w:val="auto"/>
        </w:rPr>
      </w:pPr>
      <w:r>
        <w:rPr>
          <w:rFonts w:ascii="Arial" w:cs="Arial" w:eastAsia="Arial" w:hAnsi="Arial"/>
          <w:sz w:val="16"/>
          <w:szCs w:val="16"/>
          <w:color w:val="auto"/>
        </w:rPr>
        <w:t>If our management or auditor identifies one or more material weaknesses in our internal control over financial reporting and such weakness remains uncorrected at fiscal year-end, we will be unable to assert such internal control is effective at fiscal year-end. If we are unable to assert that our internal control over financial reporting is effective at fiscal year-end (or if our independent registered public accounting firm is unable to express an opinion on the effectiveness of our internal controls or concludes that we have a material weakness in our internal controls), we could lose investor confidence in the accuracy and completeness of our financial reports, which would likely have an adverse effect on our business and stock price.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584" w:right="259" w:bottom="1440" w:gutter="0" w:footer="0" w:header="0"/>
        </w:sectPr>
      </w:pPr>
    </w:p>
    <w:bookmarkStart w:id="61" w:name="page62"/>
    <w:bookmarkEnd w:id="61"/>
    <w:p>
      <w:pPr>
        <w:ind w:right="48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7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could be negatively impacted if our tax positions are overturned by tax authorities.</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based on our expected geographic mix of earnings, statutory rates, intercompany transfer pricing, and enacted tax rules. Significant judgment is required in determining our effective tax rate and in evaluating our tax positions on a worldwide basis. We believe our tax positions, including intercompany transfer pricing policies, are consistent with the tax laws in the jurisdictions in which we conduct our business. It is possible that these positions may be overturned by jurisdictional tax authorities and may have a significant impact on our effective tax rate.</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170" w:lineRule="exact"/>
        <w:rPr>
          <w:sz w:val="20"/>
          <w:szCs w:val="20"/>
          <w:color w:val="auto"/>
        </w:rPr>
      </w:pPr>
    </w:p>
    <w:p>
      <w:pPr>
        <w:jc w:val="both"/>
        <w:ind w:right="160" w:firstLine="432"/>
        <w:spacing w:after="0" w:line="25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8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8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have certain additional risks such as effective integration into existing products, adequate transfer of technology know-how and ownership and protection of transferred intellectual property.</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4"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1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184"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as the case may be, and our results of operations would be adversely affected. Our deferred tax assets include net operating loss and tax credit carryforwards that can be used to offset taxable income and reduce income taxes payable in future periods. Each quarter, we assess the need for a valuation allowance, considering both positive and negative evidence to determine whether all or a portion of the deferred tax assets are not more-likely-than-not to be realized. Changes in the amount of the valuation allowance could result in a material noncash expense in the period in which the valuation allowance is adjusted and our results of operations would be adversely affected. We will continue to perform these tests and any future adjustments may have a material adverse effect on our financial condition and results of operations.</w:t>
      </w:r>
    </w:p>
    <w:p>
      <w:pPr>
        <w:spacing w:after="0" w:line="1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We issued $1.5 billion aggregate principal amount of unsecured notes in debt offerings and have an existing $400.0 million revolving credit facility, and expect to incur other debt in the future, which may adversely affect our financial condition and future financial results.</w:t>
      </w:r>
    </w:p>
    <w:p>
      <w:pPr>
        <w:spacing w:after="0" w:line="170" w:lineRule="exact"/>
        <w:rPr>
          <w:sz w:val="20"/>
          <w:szCs w:val="20"/>
          <w:color w:val="auto"/>
        </w:rPr>
      </w:pPr>
    </w:p>
    <w:p>
      <w:pPr>
        <w:ind w:right="260" w:firstLine="405"/>
        <w:spacing w:after="0" w:line="276" w:lineRule="auto"/>
        <w:rPr>
          <w:sz w:val="20"/>
          <w:szCs w:val="20"/>
          <w:color w:val="auto"/>
        </w:rPr>
      </w:pPr>
      <w:r>
        <w:rPr>
          <w:rFonts w:ascii="Arial" w:cs="Arial" w:eastAsia="Arial" w:hAnsi="Arial"/>
          <w:sz w:val="17"/>
          <w:szCs w:val="17"/>
          <w:color w:val="auto"/>
        </w:rPr>
        <w:t>In December 2012, we issued 1.95% notes due December 15, 2017 in an aggregate principal amount of $400.0 million and 3.6% notes due December 15, 2022 in an aggregate principal amount of $350.0 million. In June 2015, we issued 3.125% notes due June 15, 2020 in an aggregate principal amount of $450.0 million and 4.375% notes due June 15, 2025 in an aggregate principal amount of $300.0 million. As the debt matures, we will have to expend significant resources to either repay or refinance these notes. If we decide to refinance the notes, we may be required to do so on different or less favorable terms or we may be unable to refinance the notes at all, both of which may adversely affect our financial condition.</w:t>
      </w:r>
    </w:p>
    <w:p>
      <w:pPr>
        <w:spacing w:after="0" w:line="132"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We also have a $400.0 million revolving credit facility. As of July 31, 2015, we had no outstanding borrowings on the line of credit. Although we have no current plans to borrow under this credit facility, we may use the proceeds of any future borrowing for general corporate purposes, or for future acquisitions or expansion of our business. Our existing and future levels of indebtedness may adversely affect our financial condition and future financial results by, among other things:</w:t>
      </w:r>
    </w:p>
    <w:p>
      <w:pPr>
        <w:spacing w:after="0" w:line="146"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competitive conditions;</w:t>
      </w:r>
    </w:p>
    <w:p>
      <w:pPr>
        <w:spacing w:after="0" w:line="225" w:lineRule="exact"/>
        <w:rPr>
          <w:rFonts w:ascii="Arial" w:cs="Arial" w:eastAsia="Arial" w:hAnsi="Arial"/>
          <w:sz w:val="18"/>
          <w:szCs w:val="18"/>
          <w:color w:val="auto"/>
        </w:rPr>
      </w:pPr>
    </w:p>
    <w:p>
      <w:pPr>
        <w:ind w:left="660" w:right="28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requiring the dedication of a greater than expected portion of our expected cash from operations to service our indebtedness, thereby reducing the amount of expected cash flow available for other purposes, including capital expenditures and acquisitions;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are required to comply with the covenants set forth in our unsecured notes and revolving credit facility. Our ability to comply with these covenants may be affected by events beyond our control. If we breach any of the covenants and do not obtain a waiver from the note holders or lenders, then, subject to applicable cure periods, any outstanding indebtedness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revolving credit facility could increase. Downgrades in our credit ratings could also restrict our ability to obtain additional financing in the future and could affect the terms of any such financing.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800" w:right="239" w:bottom="1440" w:gutter="0" w:footer="0" w:header="0"/>
        </w:sectPr>
      </w:pPr>
    </w:p>
    <w:bookmarkStart w:id="63" w:name="page64"/>
    <w:bookmarkEnd w:id="63"/>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July 31, 2015.</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240" w:top="972" w:right="419" w:bottom="1440" w:gutter="0" w:footer="0" w:header="0"/>
        </w:sectPr>
      </w:pPr>
    </w:p>
    <w:bookmarkStart w:id="64" w:name="page65"/>
    <w:bookmarkEnd w:id="64"/>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Exhibits listed below are filed or incorporated by reference as part of this Form 10-Q.</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200" w:type="dxa"/>
            <w:vAlign w:val="bottom"/>
          </w:tcPr>
          <w:p>
            <w:pPr>
              <w:ind w:left="4900"/>
              <w:spacing w:after="0"/>
              <w:rPr>
                <w:sz w:val="20"/>
                <w:szCs w:val="20"/>
                <w:color w:val="auto"/>
              </w:rPr>
            </w:pPr>
            <w:r>
              <w:rPr>
                <w:rFonts w:ascii="Arial" w:cs="Arial" w:eastAsia="Arial" w:hAnsi="Arial"/>
                <w:sz w:val="16"/>
                <w:szCs w:val="16"/>
                <w:color w:val="auto"/>
              </w:rPr>
              <w:t>Description</w:t>
            </w:r>
          </w:p>
        </w:tc>
      </w:tr>
      <w:tr>
        <w:trPr>
          <w:trHeight w:val="362"/>
        </w:trPr>
        <w:tc>
          <w:tcPr>
            <w:tcW w:w="7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10.1</w:t>
            </w:r>
          </w:p>
        </w:tc>
        <w:tc>
          <w:tcPr>
            <w:tcW w:w="320" w:type="dxa"/>
            <w:vAlign w:val="bottom"/>
          </w:tcPr>
          <w:p>
            <w:pPr>
              <w:spacing w:after="0"/>
              <w:rPr>
                <w:sz w:val="24"/>
                <w:szCs w:val="24"/>
                <w:color w:val="auto"/>
              </w:rPr>
            </w:pPr>
          </w:p>
        </w:tc>
        <w:tc>
          <w:tcPr>
            <w:tcW w:w="10200" w:type="dxa"/>
            <w:vAlign w:val="bottom"/>
          </w:tcPr>
          <w:p>
            <w:pPr>
              <w:ind w:left="240"/>
              <w:spacing w:after="0"/>
              <w:rPr>
                <w:sz w:val="20"/>
                <w:szCs w:val="20"/>
                <w:color w:val="auto"/>
              </w:rPr>
            </w:pPr>
            <w:r>
              <w:rPr>
                <w:rFonts w:ascii="Arial" w:cs="Arial" w:eastAsia="Arial" w:hAnsi="Arial"/>
                <w:sz w:val="16"/>
                <w:szCs w:val="16"/>
                <w:color w:val="auto"/>
                <w:w w:val="92"/>
              </w:rPr>
              <w:t>Amended and Restated Credit Agreement, dated as of May 29, 2015, by and among Autodesk, the lenders from time to time party thereto and Citibank,</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0" w:type="dxa"/>
            <w:vAlign w:val="bottom"/>
          </w:tcPr>
          <w:p>
            <w:pPr>
              <w:ind w:left="240"/>
              <w:spacing w:after="0"/>
              <w:rPr>
                <w:sz w:val="20"/>
                <w:szCs w:val="20"/>
                <w:color w:val="auto"/>
              </w:rPr>
            </w:pPr>
            <w:r>
              <w:rPr>
                <w:rFonts w:ascii="Arial" w:cs="Arial" w:eastAsia="Arial" w:hAnsi="Arial"/>
                <w:sz w:val="16"/>
                <w:szCs w:val="16"/>
                <w:color w:val="auto"/>
              </w:rPr>
              <w:t xml:space="preserve">N.A., as agent. </w:t>
            </w:r>
            <w:r>
              <w:rPr>
                <w:rFonts w:ascii="Arial" w:cs="Arial" w:eastAsia="Arial" w:hAnsi="Arial"/>
                <w:sz w:val="16"/>
                <w:szCs w:val="16"/>
                <w:i w:val="1"/>
                <w:iCs w:val="1"/>
                <w:color w:val="auto"/>
              </w:rPr>
              <w:t>(incorporated by reference from Exhibit 10.1 of the Registrant's Current Report on Form 8-K filed on May 29, 2015)</w:t>
            </w:r>
          </w:p>
        </w:tc>
      </w:tr>
      <w:tr>
        <w:trPr>
          <w:trHeight w:val="428"/>
        </w:trPr>
        <w:tc>
          <w:tcPr>
            <w:tcW w:w="700" w:type="dxa"/>
            <w:vAlign w:val="bottom"/>
          </w:tcPr>
          <w:p>
            <w:pPr>
              <w:spacing w:after="0"/>
              <w:rPr>
                <w:sz w:val="20"/>
                <w:szCs w:val="20"/>
                <w:color w:val="auto"/>
              </w:rPr>
            </w:pPr>
            <w:r>
              <w:rPr>
                <w:rFonts w:ascii="Arial" w:cs="Arial" w:eastAsia="Arial" w:hAnsi="Arial"/>
                <w:sz w:val="16"/>
                <w:szCs w:val="16"/>
                <w:color w:val="auto"/>
              </w:rPr>
              <w:t>10.2</w:t>
            </w:r>
          </w:p>
        </w:tc>
        <w:tc>
          <w:tcPr>
            <w:tcW w:w="320" w:type="dxa"/>
            <w:vAlign w:val="bottom"/>
          </w:tcPr>
          <w:p>
            <w:pPr>
              <w:spacing w:after="0"/>
              <w:rPr>
                <w:sz w:val="24"/>
                <w:szCs w:val="24"/>
                <w:color w:val="auto"/>
              </w:rPr>
            </w:pPr>
          </w:p>
        </w:tc>
        <w:tc>
          <w:tcPr>
            <w:tcW w:w="10200" w:type="dxa"/>
            <w:vAlign w:val="bottom"/>
          </w:tcPr>
          <w:p>
            <w:pPr>
              <w:ind w:left="240"/>
              <w:spacing w:after="0"/>
              <w:rPr>
                <w:sz w:val="20"/>
                <w:szCs w:val="20"/>
                <w:color w:val="auto"/>
              </w:rPr>
            </w:pPr>
            <w:r>
              <w:rPr>
                <w:rFonts w:ascii="Arial" w:cs="Arial" w:eastAsia="Arial" w:hAnsi="Arial"/>
                <w:sz w:val="16"/>
                <w:szCs w:val="16"/>
                <w:color w:val="auto"/>
              </w:rPr>
              <w:t>Second Supplemental Indenture, dated June 5, 2015, by and between Autodesk, Inc. and U.S. Bank National Association.</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0" w:type="dxa"/>
            <w:vAlign w:val="bottom"/>
          </w:tcPr>
          <w:p>
            <w:pPr>
              <w:ind w:left="240"/>
              <w:spacing w:after="0"/>
              <w:rPr>
                <w:sz w:val="20"/>
                <w:szCs w:val="20"/>
                <w:color w:val="auto"/>
              </w:rPr>
            </w:pPr>
            <w:r>
              <w:rPr>
                <w:rFonts w:ascii="Arial" w:cs="Arial" w:eastAsia="Arial" w:hAnsi="Arial"/>
                <w:sz w:val="16"/>
                <w:szCs w:val="16"/>
                <w:i w:val="1"/>
                <w:iCs w:val="1"/>
                <w:color w:val="auto"/>
              </w:rPr>
              <w:t>(incorporated by reference from Exhibit 4.1 of the Registrant's Current Report on Form 8-K filed on June 8, 2015)</w:t>
            </w:r>
          </w:p>
        </w:tc>
      </w:tr>
      <w:tr>
        <w:trPr>
          <w:trHeight w:val="374"/>
        </w:trPr>
        <w:tc>
          <w:tcPr>
            <w:tcW w:w="700" w:type="dxa"/>
            <w:vAlign w:val="bottom"/>
          </w:tcPr>
          <w:p>
            <w:pPr>
              <w:spacing w:after="0"/>
              <w:rPr>
                <w:sz w:val="20"/>
                <w:szCs w:val="20"/>
                <w:color w:val="auto"/>
              </w:rPr>
            </w:pPr>
            <w:r>
              <w:rPr>
                <w:rFonts w:ascii="Arial" w:cs="Arial" w:eastAsia="Arial" w:hAnsi="Arial"/>
                <w:sz w:val="16"/>
                <w:szCs w:val="16"/>
                <w:color w:val="auto"/>
              </w:rPr>
              <w:t>10.3</w:t>
            </w:r>
          </w:p>
        </w:tc>
        <w:tc>
          <w:tcPr>
            <w:tcW w:w="320" w:type="dxa"/>
            <w:vAlign w:val="bottom"/>
          </w:tcPr>
          <w:p>
            <w:pPr>
              <w:spacing w:after="0"/>
              <w:rPr>
                <w:sz w:val="24"/>
                <w:szCs w:val="24"/>
                <w:color w:val="auto"/>
              </w:rPr>
            </w:pPr>
          </w:p>
        </w:tc>
        <w:tc>
          <w:tcPr>
            <w:tcW w:w="10200" w:type="dxa"/>
            <w:vAlign w:val="bottom"/>
          </w:tcPr>
          <w:p>
            <w:pPr>
              <w:ind w:left="240"/>
              <w:spacing w:after="0"/>
              <w:rPr>
                <w:sz w:val="20"/>
                <w:szCs w:val="20"/>
                <w:color w:val="auto"/>
              </w:rPr>
            </w:pPr>
            <w:r>
              <w:rPr>
                <w:rFonts w:ascii="Arial" w:cs="Arial" w:eastAsia="Arial" w:hAnsi="Arial"/>
                <w:sz w:val="16"/>
                <w:szCs w:val="16"/>
                <w:color w:val="auto"/>
                <w:w w:val="94"/>
              </w:rPr>
              <w:t>Form of Note for Autodesk, Inc.’s 3.125% Notes due 2020 (</w:t>
            </w:r>
            <w:r>
              <w:rPr>
                <w:rFonts w:ascii="Arial" w:cs="Arial" w:eastAsia="Arial" w:hAnsi="Arial"/>
                <w:sz w:val="16"/>
                <w:szCs w:val="16"/>
                <w:i w:val="1"/>
                <w:iCs w:val="1"/>
                <w:color w:val="auto"/>
                <w:w w:val="94"/>
              </w:rPr>
              <w:t>incorporated by reference from Exhibit 4.1 of the Registrant's Current Report on Form 8-K</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0" w:type="dxa"/>
            <w:vAlign w:val="bottom"/>
          </w:tcPr>
          <w:p>
            <w:pPr>
              <w:ind w:left="240"/>
              <w:spacing w:after="0"/>
              <w:rPr>
                <w:sz w:val="20"/>
                <w:szCs w:val="20"/>
                <w:color w:val="auto"/>
              </w:rPr>
            </w:pPr>
            <w:r>
              <w:rPr>
                <w:rFonts w:ascii="Arial" w:cs="Arial" w:eastAsia="Arial" w:hAnsi="Arial"/>
                <w:sz w:val="16"/>
                <w:szCs w:val="16"/>
                <w:i w:val="1"/>
                <w:iCs w:val="1"/>
                <w:color w:val="auto"/>
              </w:rPr>
              <w:t>filed on June 8, 2015</w:t>
            </w:r>
            <w:r>
              <w:rPr>
                <w:rFonts w:ascii="Arial" w:cs="Arial" w:eastAsia="Arial" w:hAnsi="Arial"/>
                <w:sz w:val="16"/>
                <w:szCs w:val="16"/>
                <w:color w:val="auto"/>
              </w:rPr>
              <w:t>)</w:t>
            </w:r>
          </w:p>
        </w:tc>
      </w:tr>
      <w:tr>
        <w:trPr>
          <w:trHeight w:val="374"/>
        </w:trPr>
        <w:tc>
          <w:tcPr>
            <w:tcW w:w="700" w:type="dxa"/>
            <w:vAlign w:val="bottom"/>
          </w:tcPr>
          <w:p>
            <w:pPr>
              <w:spacing w:after="0"/>
              <w:rPr>
                <w:sz w:val="20"/>
                <w:szCs w:val="20"/>
                <w:color w:val="auto"/>
              </w:rPr>
            </w:pPr>
            <w:r>
              <w:rPr>
                <w:rFonts w:ascii="Arial" w:cs="Arial" w:eastAsia="Arial" w:hAnsi="Arial"/>
                <w:sz w:val="16"/>
                <w:szCs w:val="16"/>
                <w:color w:val="auto"/>
              </w:rPr>
              <w:t>10.4</w:t>
            </w:r>
          </w:p>
        </w:tc>
        <w:tc>
          <w:tcPr>
            <w:tcW w:w="320" w:type="dxa"/>
            <w:vAlign w:val="bottom"/>
          </w:tcPr>
          <w:p>
            <w:pPr>
              <w:spacing w:after="0"/>
              <w:rPr>
                <w:sz w:val="24"/>
                <w:szCs w:val="24"/>
                <w:color w:val="auto"/>
              </w:rPr>
            </w:pPr>
          </w:p>
        </w:tc>
        <w:tc>
          <w:tcPr>
            <w:tcW w:w="10200" w:type="dxa"/>
            <w:vAlign w:val="bottom"/>
          </w:tcPr>
          <w:p>
            <w:pPr>
              <w:ind w:left="240"/>
              <w:spacing w:after="0"/>
              <w:rPr>
                <w:sz w:val="20"/>
                <w:szCs w:val="20"/>
                <w:color w:val="auto"/>
              </w:rPr>
            </w:pPr>
            <w:r>
              <w:rPr>
                <w:rFonts w:ascii="Arial" w:cs="Arial" w:eastAsia="Arial" w:hAnsi="Arial"/>
                <w:sz w:val="16"/>
                <w:szCs w:val="16"/>
                <w:color w:val="auto"/>
                <w:w w:val="94"/>
              </w:rPr>
              <w:t>Form of Note for Autodesk, Inc.’s 4.375% Notes due 2025 (</w:t>
            </w:r>
            <w:r>
              <w:rPr>
                <w:rFonts w:ascii="Arial" w:cs="Arial" w:eastAsia="Arial" w:hAnsi="Arial"/>
                <w:sz w:val="16"/>
                <w:szCs w:val="16"/>
                <w:i w:val="1"/>
                <w:iCs w:val="1"/>
                <w:color w:val="auto"/>
                <w:w w:val="94"/>
              </w:rPr>
              <w:t>incorporated by reference from Exhibit 4.1 of the Registrant's Current Report on Form 8-K</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0" w:type="dxa"/>
            <w:vAlign w:val="bottom"/>
          </w:tcPr>
          <w:p>
            <w:pPr>
              <w:ind w:left="240"/>
              <w:spacing w:after="0"/>
              <w:rPr>
                <w:sz w:val="20"/>
                <w:szCs w:val="20"/>
                <w:color w:val="auto"/>
              </w:rPr>
            </w:pPr>
            <w:r>
              <w:rPr>
                <w:rFonts w:ascii="Arial" w:cs="Arial" w:eastAsia="Arial" w:hAnsi="Arial"/>
                <w:sz w:val="16"/>
                <w:szCs w:val="16"/>
                <w:i w:val="1"/>
                <w:iCs w:val="1"/>
                <w:color w:val="auto"/>
              </w:rPr>
              <w:t>filed on June 8, 2015</w:t>
            </w:r>
            <w:r>
              <w:rPr>
                <w:rFonts w:ascii="Arial" w:cs="Arial" w:eastAsia="Arial" w:hAnsi="Arial"/>
                <w:sz w:val="16"/>
                <w:szCs w:val="16"/>
                <w:color w:val="auto"/>
              </w:rPr>
              <w:t>)</w:t>
            </w:r>
          </w:p>
        </w:tc>
      </w:tr>
      <w:tr>
        <w:trPr>
          <w:trHeight w:val="415"/>
        </w:trPr>
        <w:tc>
          <w:tcPr>
            <w:tcW w:w="700" w:type="dxa"/>
            <w:vAlign w:val="bottom"/>
          </w:tcPr>
          <w:p>
            <w:pPr>
              <w:spacing w:after="0"/>
              <w:rPr>
                <w:sz w:val="20"/>
                <w:szCs w:val="20"/>
                <w:color w:val="auto"/>
              </w:rPr>
            </w:pPr>
            <w:r>
              <w:rPr>
                <w:rFonts w:ascii="Arial" w:cs="Arial" w:eastAsia="Arial" w:hAnsi="Arial"/>
                <w:sz w:val="16"/>
                <w:szCs w:val="16"/>
                <w:color w:val="auto"/>
              </w:rPr>
              <w:t>10.5*</w:t>
            </w:r>
          </w:p>
        </w:tc>
        <w:tc>
          <w:tcPr>
            <w:tcW w:w="320" w:type="dxa"/>
            <w:vAlign w:val="bottom"/>
          </w:tcPr>
          <w:p>
            <w:pPr>
              <w:spacing w:after="0"/>
              <w:rPr>
                <w:sz w:val="24"/>
                <w:szCs w:val="24"/>
                <w:color w:val="auto"/>
              </w:rPr>
            </w:pPr>
          </w:p>
        </w:tc>
        <w:tc>
          <w:tcPr>
            <w:tcW w:w="10200" w:type="dxa"/>
            <w:vAlign w:val="bottom"/>
          </w:tcPr>
          <w:p>
            <w:pPr>
              <w:ind w:left="240"/>
              <w:spacing w:after="0"/>
              <w:rPr>
                <w:sz w:val="20"/>
                <w:szCs w:val="20"/>
                <w:color w:val="auto"/>
              </w:rPr>
            </w:pPr>
            <w:r>
              <w:rPr>
                <w:rFonts w:ascii="Arial" w:cs="Arial" w:eastAsia="Arial" w:hAnsi="Arial"/>
                <w:sz w:val="16"/>
                <w:szCs w:val="16"/>
                <w:color w:val="auto"/>
                <w:w w:val="92"/>
              </w:rPr>
              <w:t>Autodesk, Inc. 2012 Employee Stock Plan, as amended</w:t>
            </w:r>
            <w:r>
              <w:rPr>
                <w:rFonts w:ascii="Arial" w:cs="Arial" w:eastAsia="Arial" w:hAnsi="Arial"/>
                <w:sz w:val="16"/>
                <w:szCs w:val="16"/>
                <w:i w:val="1"/>
                <w:iCs w:val="1"/>
                <w:color w:val="auto"/>
                <w:w w:val="92"/>
              </w:rPr>
              <w:t>(incorporated by reference from Exhibit 10.1 of the Registrant's Current Report on Form 8-K filed</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0" w:type="dxa"/>
            <w:vAlign w:val="bottom"/>
          </w:tcPr>
          <w:p>
            <w:pPr>
              <w:ind w:left="240"/>
              <w:spacing w:after="0"/>
              <w:rPr>
                <w:sz w:val="20"/>
                <w:szCs w:val="20"/>
                <w:color w:val="auto"/>
              </w:rPr>
            </w:pPr>
            <w:r>
              <w:rPr>
                <w:rFonts w:ascii="Arial" w:cs="Arial" w:eastAsia="Arial" w:hAnsi="Arial"/>
                <w:sz w:val="16"/>
                <w:szCs w:val="16"/>
                <w:i w:val="1"/>
                <w:iCs w:val="1"/>
                <w:color w:val="auto"/>
              </w:rPr>
              <w:t>on June 11, 2015)</w:t>
            </w:r>
          </w:p>
        </w:tc>
      </w:tr>
      <w:tr>
        <w:trPr>
          <w:trHeight w:val="392"/>
        </w:trPr>
        <w:tc>
          <w:tcPr>
            <w:tcW w:w="700" w:type="dxa"/>
            <w:vAlign w:val="bottom"/>
          </w:tcPr>
          <w:p>
            <w:pPr>
              <w:spacing w:after="0"/>
              <w:rPr>
                <w:sz w:val="20"/>
                <w:szCs w:val="20"/>
                <w:color w:val="auto"/>
              </w:rPr>
            </w:pPr>
            <w:r>
              <w:rPr>
                <w:rFonts w:ascii="Arial" w:cs="Arial" w:eastAsia="Arial" w:hAnsi="Arial"/>
                <w:sz w:val="16"/>
                <w:szCs w:val="16"/>
                <w:color w:val="auto"/>
              </w:rPr>
              <w:t>31.1</w:t>
            </w:r>
          </w:p>
        </w:tc>
        <w:tc>
          <w:tcPr>
            <w:tcW w:w="320" w:type="dxa"/>
            <w:vAlign w:val="bottom"/>
          </w:tcPr>
          <w:p>
            <w:pPr>
              <w:spacing w:after="0"/>
              <w:rPr>
                <w:sz w:val="24"/>
                <w:szCs w:val="24"/>
                <w:color w:val="auto"/>
              </w:rPr>
            </w:pPr>
          </w:p>
        </w:tc>
        <w:tc>
          <w:tcPr>
            <w:tcW w:w="10200" w:type="dxa"/>
            <w:vAlign w:val="bottom"/>
          </w:tcPr>
          <w:p>
            <w:pPr>
              <w:ind w:left="240"/>
              <w:spacing w:after="0"/>
              <w:rPr>
                <w:sz w:val="20"/>
                <w:szCs w:val="20"/>
                <w:color w:val="auto"/>
              </w:rPr>
            </w:pPr>
            <w:r>
              <w:rPr>
                <w:rFonts w:ascii="Arial" w:cs="Arial" w:eastAsia="Arial" w:hAnsi="Arial"/>
                <w:sz w:val="16"/>
                <w:szCs w:val="16"/>
                <w:color w:val="auto"/>
              </w:rPr>
              <w:t>Certification of Chief Executive Officer pursuant to Rule 13a-14(a) of the Securities Exchange Act of 1934</w:t>
            </w:r>
          </w:p>
        </w:tc>
      </w:tr>
      <w:tr>
        <w:trPr>
          <w:trHeight w:val="392"/>
        </w:trPr>
        <w:tc>
          <w:tcPr>
            <w:tcW w:w="700" w:type="dxa"/>
            <w:vAlign w:val="bottom"/>
          </w:tcPr>
          <w:p>
            <w:pPr>
              <w:spacing w:after="0"/>
              <w:rPr>
                <w:sz w:val="20"/>
                <w:szCs w:val="20"/>
                <w:color w:val="auto"/>
              </w:rPr>
            </w:pPr>
            <w:r>
              <w:rPr>
                <w:rFonts w:ascii="Arial" w:cs="Arial" w:eastAsia="Arial" w:hAnsi="Arial"/>
                <w:sz w:val="16"/>
                <w:szCs w:val="16"/>
                <w:color w:val="auto"/>
              </w:rPr>
              <w:t>31.2</w:t>
            </w:r>
          </w:p>
        </w:tc>
        <w:tc>
          <w:tcPr>
            <w:tcW w:w="320" w:type="dxa"/>
            <w:vAlign w:val="bottom"/>
          </w:tcPr>
          <w:p>
            <w:pPr>
              <w:spacing w:after="0"/>
              <w:rPr>
                <w:sz w:val="24"/>
                <w:szCs w:val="24"/>
                <w:color w:val="auto"/>
              </w:rPr>
            </w:pPr>
          </w:p>
        </w:tc>
        <w:tc>
          <w:tcPr>
            <w:tcW w:w="10200" w:type="dxa"/>
            <w:vAlign w:val="bottom"/>
          </w:tcPr>
          <w:p>
            <w:pPr>
              <w:ind w:left="240"/>
              <w:spacing w:after="0"/>
              <w:rPr>
                <w:sz w:val="20"/>
                <w:szCs w:val="20"/>
                <w:color w:val="auto"/>
              </w:rPr>
            </w:pPr>
            <w:r>
              <w:rPr>
                <w:rFonts w:ascii="Arial" w:cs="Arial" w:eastAsia="Arial" w:hAnsi="Arial"/>
                <w:sz w:val="16"/>
                <w:szCs w:val="16"/>
                <w:color w:val="auto"/>
              </w:rPr>
              <w:t>Certification of Chief Financial Officer pursuant to Rule 13a-14(a) of the Securities Exchange Act of 1934</w:t>
            </w:r>
          </w:p>
        </w:tc>
      </w:tr>
      <w:tr>
        <w:trPr>
          <w:trHeight w:val="388"/>
        </w:trPr>
        <w:tc>
          <w:tcPr>
            <w:tcW w:w="1020" w:type="dxa"/>
            <w:vAlign w:val="bottom"/>
            <w:gridSpan w:val="2"/>
          </w:tcPr>
          <w:p>
            <w:pPr>
              <w:spacing w:after="0"/>
              <w:rPr>
                <w:sz w:val="20"/>
                <w:szCs w:val="20"/>
                <w:color w:val="auto"/>
              </w:rPr>
            </w:pPr>
            <w:r>
              <w:rPr>
                <w:rFonts w:ascii="Arial" w:cs="Arial" w:eastAsia="Arial" w:hAnsi="Arial"/>
                <w:sz w:val="16"/>
                <w:szCs w:val="16"/>
                <w:color w:val="auto"/>
              </w:rPr>
              <w:t>32.1 †</w:t>
            </w:r>
          </w:p>
        </w:tc>
        <w:tc>
          <w:tcPr>
            <w:tcW w:w="10200" w:type="dxa"/>
            <w:vAlign w:val="bottom"/>
          </w:tcPr>
          <w:p>
            <w:pPr>
              <w:ind w:left="240"/>
              <w:spacing w:after="0"/>
              <w:rPr>
                <w:sz w:val="20"/>
                <w:szCs w:val="20"/>
                <w:color w:val="auto"/>
              </w:rPr>
            </w:pPr>
            <w:r>
              <w:rPr>
                <w:rFonts w:ascii="Arial" w:cs="Arial" w:eastAsia="Arial" w:hAnsi="Arial"/>
                <w:sz w:val="16"/>
                <w:szCs w:val="16"/>
                <w:color w:val="auto"/>
                <w:w w:val="97"/>
              </w:rPr>
              <w:t>Certification of Chief Executive Officer and Chief Financial Officer pursuant to 18 U.S.C. Section 1350, as adopted pursuant to Section 906 of the</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0" w:type="dxa"/>
            <w:vAlign w:val="bottom"/>
          </w:tcPr>
          <w:p>
            <w:pPr>
              <w:ind w:left="240"/>
              <w:spacing w:after="0"/>
              <w:rPr>
                <w:sz w:val="20"/>
                <w:szCs w:val="20"/>
                <w:color w:val="auto"/>
              </w:rPr>
            </w:pPr>
            <w:r>
              <w:rPr>
                <w:rFonts w:ascii="Arial" w:cs="Arial" w:eastAsia="Arial" w:hAnsi="Arial"/>
                <w:sz w:val="16"/>
                <w:szCs w:val="16"/>
                <w:color w:val="auto"/>
              </w:rPr>
              <w:t>Sarbanes-Oxley Act of 2002</w:t>
            </w:r>
          </w:p>
        </w:tc>
      </w:tr>
      <w:tr>
        <w:trPr>
          <w:trHeight w:val="378"/>
        </w:trPr>
        <w:tc>
          <w:tcPr>
            <w:tcW w:w="1020" w:type="dxa"/>
            <w:vAlign w:val="bottom"/>
            <w:gridSpan w:val="2"/>
          </w:tcPr>
          <w:p>
            <w:pPr>
              <w:spacing w:after="0"/>
              <w:rPr>
                <w:sz w:val="20"/>
                <w:szCs w:val="20"/>
                <w:color w:val="auto"/>
              </w:rPr>
            </w:pPr>
            <w:r>
              <w:rPr>
                <w:rFonts w:ascii="Arial" w:cs="Arial" w:eastAsia="Arial" w:hAnsi="Arial"/>
                <w:sz w:val="16"/>
                <w:szCs w:val="16"/>
                <w:color w:val="auto"/>
              </w:rPr>
              <w:t>101.INS ††</w:t>
            </w:r>
          </w:p>
        </w:tc>
        <w:tc>
          <w:tcPr>
            <w:tcW w:w="10200" w:type="dxa"/>
            <w:vAlign w:val="bottom"/>
          </w:tcPr>
          <w:p>
            <w:pPr>
              <w:ind w:left="240"/>
              <w:spacing w:after="0"/>
              <w:rPr>
                <w:sz w:val="20"/>
                <w:szCs w:val="20"/>
                <w:color w:val="auto"/>
              </w:rPr>
            </w:pPr>
            <w:r>
              <w:rPr>
                <w:rFonts w:ascii="Arial" w:cs="Arial" w:eastAsia="Arial" w:hAnsi="Arial"/>
                <w:sz w:val="16"/>
                <w:szCs w:val="16"/>
                <w:color w:val="auto"/>
              </w:rPr>
              <w:t>XBRL Instance Document</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101.SCH ††</w:t>
            </w:r>
          </w:p>
        </w:tc>
        <w:tc>
          <w:tcPr>
            <w:tcW w:w="10200" w:type="dxa"/>
            <w:vAlign w:val="bottom"/>
          </w:tcPr>
          <w:p>
            <w:pPr>
              <w:ind w:left="240"/>
              <w:spacing w:after="0"/>
              <w:rPr>
                <w:sz w:val="20"/>
                <w:szCs w:val="20"/>
                <w:color w:val="auto"/>
              </w:rPr>
            </w:pPr>
            <w:r>
              <w:rPr>
                <w:rFonts w:ascii="Arial" w:cs="Arial" w:eastAsia="Arial" w:hAnsi="Arial"/>
                <w:sz w:val="16"/>
                <w:szCs w:val="16"/>
                <w:color w:val="auto"/>
              </w:rPr>
              <w:t>XBRL Taxonomy Extension Schema</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101.CAL ††</w:t>
            </w:r>
          </w:p>
        </w:tc>
        <w:tc>
          <w:tcPr>
            <w:tcW w:w="10200" w:type="dxa"/>
            <w:vAlign w:val="bottom"/>
          </w:tcPr>
          <w:p>
            <w:pPr>
              <w:ind w:left="240"/>
              <w:spacing w:after="0"/>
              <w:rPr>
                <w:sz w:val="20"/>
                <w:szCs w:val="20"/>
                <w:color w:val="auto"/>
              </w:rPr>
            </w:pPr>
            <w:r>
              <w:rPr>
                <w:rFonts w:ascii="Arial" w:cs="Arial" w:eastAsia="Arial" w:hAnsi="Arial"/>
                <w:sz w:val="16"/>
                <w:szCs w:val="16"/>
                <w:color w:val="auto"/>
              </w:rPr>
              <w:t>XBRL Taxonomy Extension Calculation Linkbase</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101.DEF ††</w:t>
            </w:r>
          </w:p>
        </w:tc>
        <w:tc>
          <w:tcPr>
            <w:tcW w:w="10200" w:type="dxa"/>
            <w:vAlign w:val="bottom"/>
          </w:tcPr>
          <w:p>
            <w:pPr>
              <w:ind w:left="240"/>
              <w:spacing w:after="0"/>
              <w:rPr>
                <w:sz w:val="20"/>
                <w:szCs w:val="20"/>
                <w:color w:val="auto"/>
              </w:rPr>
            </w:pPr>
            <w:r>
              <w:rPr>
                <w:rFonts w:ascii="Arial" w:cs="Arial" w:eastAsia="Arial" w:hAnsi="Arial"/>
                <w:sz w:val="16"/>
                <w:szCs w:val="16"/>
                <w:color w:val="auto"/>
              </w:rPr>
              <w:t>XBRL Taxonomy Definition Linkbase</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101.LAB ††</w:t>
            </w:r>
          </w:p>
        </w:tc>
        <w:tc>
          <w:tcPr>
            <w:tcW w:w="10200" w:type="dxa"/>
            <w:vAlign w:val="bottom"/>
          </w:tcPr>
          <w:p>
            <w:pPr>
              <w:ind w:left="240"/>
              <w:spacing w:after="0"/>
              <w:rPr>
                <w:sz w:val="20"/>
                <w:szCs w:val="20"/>
                <w:color w:val="auto"/>
              </w:rPr>
            </w:pPr>
            <w:r>
              <w:rPr>
                <w:rFonts w:ascii="Arial" w:cs="Arial" w:eastAsia="Arial" w:hAnsi="Arial"/>
                <w:sz w:val="16"/>
                <w:szCs w:val="16"/>
                <w:color w:val="auto"/>
              </w:rPr>
              <w:t>XBRL Taxonomy Extension Label Linkbase</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101.PRE ††</w:t>
            </w:r>
          </w:p>
        </w:tc>
        <w:tc>
          <w:tcPr>
            <w:tcW w:w="10200" w:type="dxa"/>
            <w:vAlign w:val="bottom"/>
          </w:tcPr>
          <w:p>
            <w:pPr>
              <w:ind w:left="240"/>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199" w:lineRule="exact"/>
        <w:rPr>
          <w:sz w:val="20"/>
          <w:szCs w:val="20"/>
          <w:color w:val="auto"/>
        </w:rPr>
      </w:pPr>
    </w:p>
    <w:p>
      <w:pPr>
        <w:ind w:left="720" w:hanging="685"/>
        <w:spacing w:after="0"/>
        <w:tabs>
          <w:tab w:leader="none" w:pos="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248" w:lineRule="exact"/>
        <w:rPr>
          <w:sz w:val="20"/>
          <w:szCs w:val="20"/>
          <w:color w:val="auto"/>
        </w:rPr>
      </w:pPr>
    </w:p>
    <w:p>
      <w:pPr>
        <w:jc w:val="both"/>
        <w:ind w:left="720" w:hanging="685"/>
        <w:spacing w:after="0" w:line="335" w:lineRule="auto"/>
        <w:tabs>
          <w:tab w:leader="none" w:pos="7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109" w:lineRule="exact"/>
        <w:rPr>
          <w:sz w:val="20"/>
          <w:szCs w:val="20"/>
          <w:color w:val="auto"/>
        </w:rPr>
      </w:pPr>
    </w:p>
    <w:p>
      <w:pPr>
        <w:ind w:left="720" w:hanging="685"/>
        <w:spacing w:after="0"/>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00" w:lineRule="exact"/>
        <w:rPr>
          <w:rFonts w:ascii="Arial" w:cs="Arial" w:eastAsia="Arial" w:hAnsi="Arial"/>
          <w:sz w:val="16"/>
          <w:szCs w:val="16"/>
          <w:color w:val="auto"/>
        </w:rPr>
      </w:pPr>
    </w:p>
    <w:p>
      <w:pPr>
        <w:spacing w:after="0" w:line="30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65</w:t>
      </w:r>
    </w:p>
    <w:p>
      <w:pPr>
        <w:sectPr>
          <w:pgSz w:w="11900" w:h="16838" w:orient="portrait"/>
          <w:cols w:equalWidth="0" w:num="1">
            <w:col w:w="11280"/>
          </w:cols>
          <w:pgMar w:left="240" w:top="580" w:right="379" w:bottom="1440" w:gutter="0" w:footer="0" w:header="0"/>
        </w:sectPr>
      </w:pPr>
    </w:p>
    <w:bookmarkStart w:id="65" w:name="page66"/>
    <w:bookmarkEnd w:id="65"/>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31,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AUTODESK, INC.</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7460"/>
        <w:spacing w:after="0"/>
        <w:tabs>
          <w:tab w:leader="none" w:pos="78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PAUL UNDERWOOD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31750</wp:posOffset>
            </wp:positionV>
            <wp:extent cx="36791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Paul Underwood</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Vice President and Corporate Controller</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720"/>
          </w:cols>
          <w:pgMar w:left="240" w:top="580" w:right="9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171"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31, 2015</w:t>
      </w:r>
    </w:p>
    <w:p>
      <w:pPr>
        <w:spacing w:after="0" w:line="252"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858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60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1420"/>
          </w:cols>
          <w:pgMar w:left="240" w:top="66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 Scott Herren, certify that:</w:t>
      </w:r>
    </w:p>
    <w:p>
      <w:pPr>
        <w:spacing w:after="0" w:line="171"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31, 2015</w:t>
      </w:r>
    </w:p>
    <w:p>
      <w:pPr>
        <w:spacing w:after="0" w:line="252"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8360"/>
        <w:spacing w:after="0"/>
        <w:rPr>
          <w:sz w:val="20"/>
          <w:szCs w:val="20"/>
          <w:color w:val="auto"/>
        </w:rPr>
      </w:pPr>
      <w:r>
        <w:rPr>
          <w:rFonts w:ascii="Arial" w:cs="Arial" w:eastAsia="Arial" w:hAnsi="Arial"/>
          <w:sz w:val="16"/>
          <w:szCs w:val="16"/>
          <w:b w:val="1"/>
          <w:bCs w:val="1"/>
          <w:color w:val="auto"/>
        </w:rPr>
        <w:t>R. Scott Herren</w:t>
      </w:r>
    </w:p>
    <w:p>
      <w:pPr>
        <w:spacing w:after="0" w:line="73"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(Principal Financial Officer)</w:t>
      </w:r>
    </w:p>
    <w:p>
      <w:pPr>
        <w:sectPr>
          <w:pgSz w:w="11900" w:h="16838" w:orient="portrait"/>
          <w:cols w:equalWidth="0" w:num="1">
            <w:col w:w="11420"/>
          </w:cols>
          <w:pgMar w:left="240" w:top="66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Quarterly Report of Autodesk, Inc. on Form 10-Q for the quarterly period ended July 31, 2015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August 31, 2015</w:t>
      </w:r>
    </w:p>
    <w:p>
      <w:pPr>
        <w:spacing w:after="0" w:line="252"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858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60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(Principal Executive Officer)</w:t>
      </w:r>
    </w:p>
    <w:p>
      <w:pPr>
        <w:spacing w:after="0" w:line="33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R. Scott Herren, certify, pursuant to 18 U.S.C. Section 1350, as adopted pursuant to Section 906 of the Sarbanes-Oxley Act of 2002, that the Quarterly Report of Autodesk, Inc. on Form 10-Q for the quarterly period ended July 31, 2015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August 31, 2015</w:t>
      </w:r>
    </w:p>
    <w:p>
      <w:pPr>
        <w:spacing w:after="0" w:line="252" w:lineRule="exact"/>
        <w:rPr>
          <w:sz w:val="20"/>
          <w:szCs w:val="20"/>
          <w:color w:val="auto"/>
        </w:rPr>
      </w:pPr>
    </w:p>
    <w:p>
      <w:pPr>
        <w:jc w:val="center"/>
        <w:ind w:left="632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31750</wp:posOffset>
            </wp:positionV>
            <wp:extent cx="32416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57"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R. Scott Herren</w:t>
      </w:r>
    </w:p>
    <w:p>
      <w:pPr>
        <w:spacing w:after="0" w:line="86"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86"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(Principal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x"/>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5"/>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1."/>
      <w:numFmt w:val="decimal"/>
      <w:start w:val="7"/>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2019-12-29T15:56:31Z</dcterms:created>
  <dcterms:modified xsi:type="dcterms:W3CDTF">2019-12-29T15:56:31Z</dcterms:modified>
</cp:coreProperties>
</file>