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107315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98" w:lineRule="exact"/>
        <w:rPr>
          <w:sz w:val="24"/>
          <w:szCs w:val="24"/>
          <w:color w:val="auto"/>
        </w:rPr>
      </w:pPr>
    </w:p>
    <w:p>
      <w:pPr>
        <w:ind w:left="680" w:right="3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quarterly period ended October 31, 2020</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680" w:right="32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5" w:lineRule="exact"/>
        <w:rPr>
          <w:sz w:val="24"/>
          <w:szCs w:val="24"/>
          <w:color w:val="auto"/>
        </w:rPr>
      </w:pPr>
    </w:p>
    <w:p>
      <w:pPr>
        <w:ind w:left="39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254635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3"/>
          </w:tcPr>
          <w:p>
            <w:pPr>
              <w:jc w:val="center"/>
              <w:ind w:right="2740"/>
              <w:spacing w:after="0"/>
              <w:rPr>
                <w:sz w:val="20"/>
                <w:szCs w:val="20"/>
                <w:color w:val="auto"/>
              </w:rPr>
            </w:pPr>
            <w:r>
              <w:rPr>
                <w:rFonts w:ascii="Times New Roman" w:cs="Times New Roman" w:eastAsia="Times New Roman" w:hAnsi="Times New Roman"/>
                <w:sz w:val="43"/>
                <w:szCs w:val="43"/>
                <w:b w:val="1"/>
                <w:bCs w:val="1"/>
                <w:color w:val="auto"/>
              </w:rPr>
              <w:t>AUTODESK, INC.</w:t>
            </w:r>
          </w:p>
        </w:tc>
      </w:tr>
      <w:tr>
        <w:trPr>
          <w:trHeight w:val="190"/>
        </w:trPr>
        <w:tc>
          <w:tcPr>
            <w:tcW w:w="2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2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6"/>
        </w:trPr>
        <w:tc>
          <w:tcPr>
            <w:tcW w:w="2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720" w:type="dxa"/>
            <w:vAlign w:val="bottom"/>
            <w:gridSpan w:val="2"/>
          </w:tcPr>
          <w:p>
            <w:pPr>
              <w:jc w:val="center"/>
              <w:ind w:right="182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111 McInnis Parkway,</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Rafael,</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94903</w:t>
            </w:r>
          </w:p>
        </w:tc>
        <w:tc>
          <w:tcPr>
            <w:tcW w:w="2480" w:type="dxa"/>
            <w:vAlign w:val="bottom"/>
          </w:tcPr>
          <w:p>
            <w:pPr>
              <w:spacing w:after="0"/>
              <w:rPr>
                <w:sz w:val="19"/>
                <w:szCs w:val="19"/>
                <w:color w:val="auto"/>
              </w:rPr>
            </w:pP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jc w:val="center"/>
              <w:ind w:left="855"/>
              <w:spacing w:after="0"/>
              <w:rPr>
                <w:sz w:val="20"/>
                <w:szCs w:val="20"/>
                <w:color w:val="auto"/>
              </w:rPr>
            </w:pPr>
            <w:r>
              <w:rPr>
                <w:rFonts w:ascii="Times New Roman" w:cs="Times New Roman" w:eastAsia="Times New Roman" w:hAnsi="Times New Roman"/>
                <w:sz w:val="18"/>
                <w:szCs w:val="18"/>
                <w:b w:val="1"/>
                <w:bCs w:val="1"/>
                <w:color w:val="auto"/>
                <w:w w:val="99"/>
              </w:rPr>
              <w:t>(415) 507-5000</w:t>
            </w:r>
          </w:p>
        </w:tc>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0"/>
        </w:trPr>
        <w:tc>
          <w:tcPr>
            <w:tcW w:w="2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0" w:type="dxa"/>
            <w:vAlign w:val="bottom"/>
            <w:gridSpan w:val="3"/>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72"/>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80" w:type="dxa"/>
            <w:vAlign w:val="bottom"/>
          </w:tcPr>
          <w:p>
            <w:pPr>
              <w:spacing w:after="0"/>
              <w:rPr>
                <w:sz w:val="14"/>
                <w:szCs w:val="14"/>
                <w:color w:val="auto"/>
              </w:rPr>
            </w:pPr>
          </w:p>
        </w:tc>
      </w:tr>
      <w:tr>
        <w:trPr>
          <w:trHeight w:val="534"/>
        </w:trPr>
        <w:tc>
          <w:tcPr>
            <w:tcW w:w="6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46"/>
        </w:trPr>
        <w:tc>
          <w:tcPr>
            <w:tcW w:w="3700" w:type="dxa"/>
            <w:vAlign w:val="bottom"/>
            <w:gridSpan w:val="3"/>
          </w:tcPr>
          <w:p>
            <w:pPr>
              <w:jc w:val="center"/>
              <w:ind w:left="276"/>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80" w:type="dxa"/>
            <w:vAlign w:val="bottom"/>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20" w:type="dxa"/>
            <w:vAlign w:val="bottom"/>
            <w:gridSpan w:val="2"/>
          </w:tcPr>
          <w:p>
            <w:pPr>
              <w:jc w:val="center"/>
              <w:ind w:left="298"/>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00" w:type="dxa"/>
            <w:vAlign w:val="bottom"/>
            <w:gridSpan w:val="3"/>
          </w:tcPr>
          <w:p>
            <w:pPr>
              <w:jc w:val="center"/>
              <w:ind w:left="276"/>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8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rPr>
              <w:t>ADSK</w:t>
            </w:r>
          </w:p>
        </w:tc>
        <w:tc>
          <w:tcPr>
            <w:tcW w:w="3720" w:type="dxa"/>
            <w:vAlign w:val="bottom"/>
            <w:gridSpan w:val="2"/>
          </w:tcPr>
          <w:p>
            <w:pPr>
              <w:jc w:val="center"/>
              <w:ind w:left="298"/>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4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7" w:right="3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6" w:lineRule="exact"/>
        <w:rPr>
          <w:sz w:val="20"/>
          <w:szCs w:val="20"/>
          <w:color w:val="auto"/>
        </w:rPr>
      </w:pPr>
    </w:p>
    <w:p>
      <w:pPr>
        <w:ind w:firstLine="445"/>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60" w:right="152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30, 2020, registrant had outstanding 219,889,403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120650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99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16"/>
        </w:trPr>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120" w:type="dxa"/>
            <w:vAlign w:val="bottom"/>
            <w:gridSpan w:val="7"/>
          </w:tcPr>
          <w:p>
            <w:pPr>
              <w:jc w:val="center"/>
              <w:ind w:right="660"/>
              <w:spacing w:after="0"/>
              <w:rPr>
                <w:rFonts w:ascii="Times New Roman" w:cs="Times New Roman" w:eastAsia="Times New Roman" w:hAnsi="Times New Roman"/>
                <w:sz w:val="18"/>
                <w:szCs w:val="18"/>
                <w:b w:val="1"/>
                <w:bCs w:val="1"/>
                <w:u w:val="single" w:color="auto"/>
                <w:color w:val="0000FF"/>
                <w:w w:val="98"/>
              </w:rPr>
            </w:pPr>
            <w:hyperlink w:anchor="page3">
              <w:r>
                <w:rPr>
                  <w:rFonts w:ascii="Times New Roman" w:cs="Times New Roman" w:eastAsia="Times New Roman" w:hAnsi="Times New Roman"/>
                  <w:sz w:val="18"/>
                  <w:szCs w:val="18"/>
                  <w:b w:val="1"/>
                  <w:bCs w:val="1"/>
                  <w:u w:val="single" w:color="auto"/>
                  <w:color w:val="0000FF"/>
                  <w:w w:val="98"/>
                </w:rPr>
                <w:t>PART I. FINANCIAL INFORMATION</w:t>
              </w:r>
            </w:hyperlink>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Financial Statements:</w:t>
              </w:r>
            </w:hyperlink>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8780" w:type="dxa"/>
            <w:vAlign w:val="bottom"/>
            <w:gridSpan w:val="8"/>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Statements of Operations for the Three and</w:t>
              </w:r>
              <w:r>
                <w:rPr>
                  <w:rFonts w:ascii="Times New Roman" w:cs="Times New Roman" w:eastAsia="Times New Roman" w:hAnsi="Times New Roman"/>
                  <w:sz w:val="18"/>
                  <w:szCs w:val="18"/>
                  <w:color w:val="0000FF"/>
                </w:rPr>
                <w:t xml:space="preserve"> Nine Months Ended October </w:t>
              </w:r>
              <w:r>
                <w:rPr>
                  <w:rFonts w:ascii="Times New Roman" w:cs="Times New Roman" w:eastAsia="Times New Roman" w:hAnsi="Times New Roman"/>
                  <w:sz w:val="18"/>
                  <w:szCs w:val="18"/>
                  <w:u w:val="single" w:color="auto"/>
                  <w:color w:val="0000FF"/>
                </w:rPr>
                <w:t>31, 2020 and 2019</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spacing w:after="0"/>
              <w:rPr>
                <w:sz w:val="22"/>
                <w:szCs w:val="22"/>
                <w:color w:val="auto"/>
              </w:rPr>
            </w:pPr>
          </w:p>
        </w:tc>
        <w:tc>
          <w:tcPr>
            <w:tcW w:w="8780" w:type="dxa"/>
            <w:vAlign w:val="bottom"/>
            <w:gridSpan w:val="8"/>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Statements of Comprehensive Income</w:t>
              </w:r>
              <w:r>
                <w:rPr>
                  <w:rFonts w:ascii="Times New Roman" w:cs="Times New Roman" w:eastAsia="Times New Roman" w:hAnsi="Times New Roman"/>
                  <w:sz w:val="18"/>
                  <w:szCs w:val="18"/>
                  <w:color w:val="0000FF"/>
                </w:rPr>
                <w:t xml:space="preserve"> for the Three and Nine Months Ended October 31, 2020</w:t>
              </w:r>
            </w:hyperlink>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56"/>
        </w:trPr>
        <w:tc>
          <w:tcPr>
            <w:tcW w:w="980" w:type="dxa"/>
            <w:vAlign w:val="bottom"/>
          </w:tcPr>
          <w:p>
            <w:pPr>
              <w:spacing w:after="0"/>
              <w:rPr>
                <w:sz w:val="13"/>
                <w:szCs w:val="13"/>
                <w:color w:val="auto"/>
              </w:rPr>
            </w:pPr>
          </w:p>
        </w:tc>
        <w:tc>
          <w:tcPr>
            <w:tcW w:w="4580" w:type="dxa"/>
            <w:vAlign w:val="bottom"/>
            <w:gridSpan w:val="3"/>
          </w:tcPr>
          <w:p>
            <w:pPr>
              <w:spacing w:after="0" w:line="15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and 2019</w:t>
              </w:r>
            </w:hyperlink>
          </w:p>
        </w:tc>
        <w:tc>
          <w:tcPr>
            <w:tcW w:w="1780" w:type="dxa"/>
            <w:vAlign w:val="bottom"/>
            <w:tcBorders>
              <w:top w:val="single" w:sz="8" w:color="0000FF"/>
            </w:tcBorders>
            <w:gridSpan w:val="2"/>
          </w:tcPr>
          <w:p>
            <w:pPr>
              <w:spacing w:after="0"/>
              <w:rPr>
                <w:sz w:val="13"/>
                <w:szCs w:val="13"/>
                <w:color w:val="auto"/>
              </w:rPr>
            </w:pPr>
          </w:p>
        </w:tc>
        <w:tc>
          <w:tcPr>
            <w:tcW w:w="230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spacing w:after="0"/>
              <w:rPr>
                <w:sz w:val="22"/>
                <w:szCs w:val="22"/>
                <w:color w:val="auto"/>
              </w:rPr>
            </w:pPr>
          </w:p>
        </w:tc>
        <w:tc>
          <w:tcPr>
            <w:tcW w:w="8780" w:type="dxa"/>
            <w:vAlign w:val="bottom"/>
            <w:gridSpan w:val="8"/>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 xml:space="preserve">Condensed Consolidated Balance Sheets as of October </w:t>
              </w:r>
              <w:r>
                <w:rPr>
                  <w:rFonts w:ascii="Times New Roman" w:cs="Times New Roman" w:eastAsia="Times New Roman" w:hAnsi="Times New Roman"/>
                  <w:sz w:val="18"/>
                  <w:szCs w:val="18"/>
                  <w:u w:val="single" w:color="auto"/>
                  <w:color w:val="0000FF"/>
                </w:rPr>
                <w:t>31, 2020 and January 31, 2020</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80" w:type="dxa"/>
            <w:vAlign w:val="bottom"/>
          </w:tcPr>
          <w:p>
            <w:pPr>
              <w:spacing w:after="0"/>
              <w:rPr>
                <w:sz w:val="22"/>
                <w:szCs w:val="22"/>
                <w:color w:val="auto"/>
              </w:rPr>
            </w:pPr>
          </w:p>
        </w:tc>
        <w:tc>
          <w:tcPr>
            <w:tcW w:w="8780" w:type="dxa"/>
            <w:vAlign w:val="bottom"/>
            <w:gridSpan w:val="8"/>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 xml:space="preserve">Condensed Consolidated Statements of Cash Flows for the Nine Months Ended October </w:t>
              </w:r>
              <w:r>
                <w:rPr>
                  <w:rFonts w:ascii="Times New Roman" w:cs="Times New Roman" w:eastAsia="Times New Roman" w:hAnsi="Times New Roman"/>
                  <w:sz w:val="18"/>
                  <w:szCs w:val="18"/>
                  <w:u w:val="single" w:color="auto"/>
                  <w:color w:val="0000FF"/>
                </w:rPr>
                <w:t>31, 2020 and 2019</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22"/>
                <w:szCs w:val="22"/>
                <w:color w:val="auto"/>
              </w:rPr>
            </w:pPr>
          </w:p>
        </w:tc>
      </w:tr>
      <w:tr>
        <w:trPr>
          <w:trHeight w:val="304"/>
        </w:trPr>
        <w:tc>
          <w:tcPr>
            <w:tcW w:w="980" w:type="dxa"/>
            <w:vAlign w:val="bottom"/>
          </w:tcPr>
          <w:p>
            <w:pPr>
              <w:spacing w:after="0"/>
              <w:rPr>
                <w:sz w:val="24"/>
                <w:szCs w:val="24"/>
                <w:color w:val="auto"/>
              </w:rPr>
            </w:pPr>
          </w:p>
        </w:tc>
        <w:tc>
          <w:tcPr>
            <w:tcW w:w="6360" w:type="dxa"/>
            <w:vAlign w:val="bottom"/>
            <w:tcBorders>
              <w:top w:val="single" w:sz="8" w:color="0000FF"/>
            </w:tcBorders>
            <w:gridSpan w:val="5"/>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Condensed Consolidated Financial Statements</w:t>
              </w:r>
            </w:hyperlink>
          </w:p>
        </w:tc>
        <w:tc>
          <w:tcPr>
            <w:tcW w:w="2420" w:type="dxa"/>
            <w:vAlign w:val="bottom"/>
            <w:gridSpan w:val="3"/>
          </w:tcPr>
          <w:p>
            <w:pPr>
              <w:spacing w:after="0"/>
              <w:rPr>
                <w:sz w:val="24"/>
                <w:szCs w:val="24"/>
                <w:color w:val="auto"/>
              </w:rPr>
            </w:pPr>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31">
              <w:r>
                <w:rPr>
                  <w:rFonts w:ascii="Times New Roman" w:cs="Times New Roman" w:eastAsia="Times New Roman" w:hAnsi="Times New Roman"/>
                  <w:sz w:val="18"/>
                  <w:szCs w:val="18"/>
                  <w:b w:val="1"/>
                  <w:bCs w:val="1"/>
                  <w:u w:val="single" w:color="auto"/>
                  <w:color w:val="0000FF"/>
                </w:rPr>
                <w:t>Management’s Discussion and Analysis of Financial Condition and Results of Operations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31</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52">
              <w:r>
                <w:rPr>
                  <w:rFonts w:ascii="Times New Roman" w:cs="Times New Roman" w:eastAsia="Times New Roman" w:hAnsi="Times New Roman"/>
                  <w:sz w:val="18"/>
                  <w:szCs w:val="18"/>
                  <w:b w:val="1"/>
                  <w:bCs w:val="1"/>
                  <w:u w:val="single" w:color="auto"/>
                  <w:color w:val="0000FF"/>
                </w:rPr>
                <w:t>Quantitative and Qualitative Disclosures About Market Risk</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Controls and Procedures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24"/>
                <w:szCs w:val="24"/>
                <w:color w:val="auto"/>
              </w:rPr>
            </w:pPr>
          </w:p>
        </w:tc>
      </w:tr>
      <w:tr>
        <w:trPr>
          <w:trHeight w:val="284"/>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20" w:type="dxa"/>
            <w:vAlign w:val="bottom"/>
            <w:gridSpan w:val="7"/>
          </w:tcPr>
          <w:p>
            <w:pPr>
              <w:jc w:val="center"/>
              <w:ind w:right="660"/>
              <w:spacing w:after="0"/>
              <w:rPr>
                <w:rFonts w:ascii="Times New Roman" w:cs="Times New Roman" w:eastAsia="Times New Roman" w:hAnsi="Times New Roman"/>
                <w:sz w:val="18"/>
                <w:szCs w:val="18"/>
                <w:b w:val="1"/>
                <w:bCs w:val="1"/>
                <w:u w:val="single" w:color="auto"/>
                <w:color w:val="0000FF"/>
                <w:w w:val="99"/>
              </w:rPr>
            </w:pPr>
            <w:hyperlink w:anchor="page54">
              <w:r>
                <w:rPr>
                  <w:rFonts w:ascii="Times New Roman" w:cs="Times New Roman" w:eastAsia="Times New Roman" w:hAnsi="Times New Roman"/>
                  <w:sz w:val="18"/>
                  <w:szCs w:val="18"/>
                  <w:b w:val="1"/>
                  <w:bCs w:val="1"/>
                  <w:u w:val="single" w:color="auto"/>
                  <w:color w:val="0000FF"/>
                  <w:w w:val="99"/>
                </w:rPr>
                <w:t>PART II. OTHER INFORMATION</w:t>
              </w:r>
            </w:hyperlink>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55">
              <w:r>
                <w:rPr>
                  <w:rFonts w:ascii="Times New Roman" w:cs="Times New Roman" w:eastAsia="Times New Roman" w:hAnsi="Times New Roman"/>
                  <w:sz w:val="18"/>
                  <w:szCs w:val="18"/>
                  <w:b w:val="1"/>
                  <w:bCs w:val="1"/>
                  <w:u w:val="single" w:color="auto"/>
                  <w:color w:val="0000FF"/>
                </w:rPr>
                <w:t>Legal Proceedings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55</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55">
              <w:r>
                <w:rPr>
                  <w:rFonts w:ascii="Times New Roman" w:cs="Times New Roman" w:eastAsia="Times New Roman" w:hAnsi="Times New Roman"/>
                  <w:sz w:val="18"/>
                  <w:szCs w:val="18"/>
                  <w:b w:val="1"/>
                  <w:bCs w:val="1"/>
                  <w:u w:val="single" w:color="auto"/>
                  <w:color w:val="0000FF"/>
                </w:rPr>
                <w:t>Risk Factors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55</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69">
              <w:r>
                <w:rPr>
                  <w:rFonts w:ascii="Times New Roman" w:cs="Times New Roman" w:eastAsia="Times New Roman" w:hAnsi="Times New Roman"/>
                  <w:sz w:val="18"/>
                  <w:szCs w:val="18"/>
                  <w:b w:val="1"/>
                  <w:bCs w:val="1"/>
                  <w:u w:val="single" w:color="auto"/>
                  <w:color w:val="0000FF"/>
                </w:rPr>
                <w:t>Unregistered Sales of Equity Securities and Use of Proceeds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69</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70">
              <w:r>
                <w:rPr>
                  <w:rFonts w:ascii="Times New Roman" w:cs="Times New Roman" w:eastAsia="Times New Roman" w:hAnsi="Times New Roman"/>
                  <w:sz w:val="18"/>
                  <w:szCs w:val="18"/>
                  <w:b w:val="1"/>
                  <w:bCs w:val="1"/>
                  <w:u w:val="single" w:color="auto"/>
                  <w:color w:val="0000FF"/>
                </w:rPr>
                <w:t>Defaults Upon Senior Securities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70</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70">
              <w:r>
                <w:rPr>
                  <w:rFonts w:ascii="Times New Roman" w:cs="Times New Roman" w:eastAsia="Times New Roman" w:hAnsi="Times New Roman"/>
                  <w:sz w:val="18"/>
                  <w:szCs w:val="18"/>
                  <w:b w:val="1"/>
                  <w:bCs w:val="1"/>
                  <w:u w:val="single" w:color="auto"/>
                  <w:color w:val="0000FF"/>
                </w:rPr>
                <w:t>Mine Safety Disclosures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70</w:t>
              </w:r>
            </w:hyperlink>
          </w:p>
        </w:tc>
        <w:tc>
          <w:tcPr>
            <w:tcW w:w="20" w:type="dxa"/>
            <w:vAlign w:val="bottom"/>
          </w:tcPr>
          <w:p>
            <w:pPr>
              <w:spacing w:after="0"/>
              <w:rPr>
                <w:sz w:val="24"/>
                <w:szCs w:val="24"/>
                <w:color w:val="auto"/>
              </w:rPr>
            </w:pPr>
          </w:p>
        </w:tc>
      </w:tr>
      <w:tr>
        <w:trPr>
          <w:trHeight w:val="28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70">
              <w:r>
                <w:rPr>
                  <w:rFonts w:ascii="Times New Roman" w:cs="Times New Roman" w:eastAsia="Times New Roman" w:hAnsi="Times New Roman"/>
                  <w:sz w:val="18"/>
                  <w:szCs w:val="18"/>
                  <w:b w:val="1"/>
                  <w:bCs w:val="1"/>
                  <w:u w:val="single" w:color="auto"/>
                  <w:color w:val="0000FF"/>
                </w:rPr>
                <w:t>Other Information</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70</w:t>
              </w:r>
            </w:hyperlink>
          </w:p>
        </w:tc>
        <w:tc>
          <w:tcPr>
            <w:tcW w:w="20" w:type="dxa"/>
            <w:vAlign w:val="bottom"/>
          </w:tcPr>
          <w:p>
            <w:pPr>
              <w:spacing w:after="0"/>
              <w:rPr>
                <w:sz w:val="24"/>
                <w:szCs w:val="24"/>
                <w:color w:val="auto"/>
              </w:rPr>
            </w:pPr>
          </w:p>
        </w:tc>
      </w:tr>
      <w:tr>
        <w:trPr>
          <w:trHeight w:val="28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70">
              <w:r>
                <w:rPr>
                  <w:rFonts w:ascii="Times New Roman" w:cs="Times New Roman" w:eastAsia="Times New Roman" w:hAnsi="Times New Roman"/>
                  <w:sz w:val="18"/>
                  <w:szCs w:val="18"/>
                  <w:b w:val="1"/>
                  <w:bCs w:val="1"/>
                  <w:u w:val="single" w:color="auto"/>
                  <w:color w:val="0000FF"/>
                </w:rPr>
                <w:t>Exhibits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70</w:t>
              </w:r>
            </w:hyperlink>
          </w:p>
        </w:tc>
        <w:tc>
          <w:tcPr>
            <w:tcW w:w="20" w:type="dxa"/>
            <w:vAlign w:val="bottom"/>
          </w:tcPr>
          <w:p>
            <w:pPr>
              <w:spacing w:after="0"/>
              <w:rPr>
                <w:sz w:val="24"/>
                <w:szCs w:val="24"/>
                <w:color w:val="auto"/>
              </w:rPr>
            </w:pPr>
          </w:p>
        </w:tc>
      </w:tr>
      <w:tr>
        <w:trPr>
          <w:trHeight w:val="283"/>
        </w:trPr>
        <w:tc>
          <w:tcPr>
            <w:tcW w:w="980" w:type="dxa"/>
            <w:vAlign w:val="bottom"/>
          </w:tcPr>
          <w:p>
            <w:pPr>
              <w:spacing w:after="0"/>
              <w:rPr>
                <w:sz w:val="24"/>
                <w:szCs w:val="24"/>
                <w:color w:val="auto"/>
              </w:rPr>
            </w:pPr>
          </w:p>
        </w:tc>
        <w:tc>
          <w:tcPr>
            <w:tcW w:w="878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70">
              <w:r>
                <w:rPr>
                  <w:rFonts w:ascii="Times New Roman" w:cs="Times New Roman" w:eastAsia="Times New Roman" w:hAnsi="Times New Roman"/>
                  <w:sz w:val="18"/>
                  <w:szCs w:val="18"/>
                  <w:b w:val="1"/>
                  <w:bCs w:val="1"/>
                  <w:u w:val="single" w:color="auto"/>
                  <w:color w:val="0000FF"/>
                </w:rPr>
                <w:t>Signatures</w:t>
              </w:r>
            </w:hyperlink>
          </w:p>
        </w:tc>
        <w:tc>
          <w:tcPr>
            <w:tcW w:w="1460" w:type="dxa"/>
            <w:vAlign w:val="bottom"/>
          </w:tcPr>
          <w:p>
            <w:pPr>
              <w:jc w:val="right"/>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71</w:t>
              </w:r>
            </w:hyperlink>
          </w:p>
        </w:tc>
        <w:tc>
          <w:tcPr>
            <w:tcW w:w="20" w:type="dxa"/>
            <w:vAlign w:val="bottom"/>
          </w:tcPr>
          <w:p>
            <w:pPr>
              <w:spacing w:after="0"/>
              <w:rPr>
                <w:sz w:val="24"/>
                <w:szCs w:val="24"/>
                <w:color w:val="auto"/>
              </w:rPr>
            </w:pPr>
          </w:p>
        </w:tc>
      </w:tr>
      <w:tr>
        <w:trPr>
          <w:trHeight w:val="1208"/>
        </w:trPr>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40" w:type="dxa"/>
            <w:vAlign w:val="bottom"/>
          </w:tcPr>
          <w:p>
            <w:pPr>
              <w:spacing w:after="0"/>
              <w:rPr>
                <w:sz w:val="16"/>
                <w:szCs w:val="16"/>
                <w:color w:val="auto"/>
              </w:rPr>
            </w:pPr>
          </w:p>
        </w:tc>
        <w:tc>
          <w:tcPr>
            <w:tcW w:w="252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Subscription</w:t>
            </w: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Maintenance</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07"/>
        </w:trPr>
        <w:tc>
          <w:tcPr>
            <w:tcW w:w="5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2,281.2</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net revenue</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other revenue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Amortization of developed technology</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cost of revenue</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Marketing and sales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960.8</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56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2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8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66.7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reclassifications: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6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Net loss on derivative instruments (net of tax effect of ($0.4), $0.4, $1.5 and</w:t>
            </w:r>
          </w:p>
        </w:tc>
        <w:tc>
          <w:tcPr>
            <w:tcW w:w="8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($1.6), respectively)</w:t>
            </w:r>
          </w:p>
        </w:tc>
        <w:tc>
          <w:tcPr>
            <w:tcW w:w="8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Change in net unrealized gain (loss) on available-for-sale debt securities (net of</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6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tax effect of zero, ($0.1), $0.1 and ($0.4), respectively)</w:t>
            </w: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6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Change in defined benefit pension items (net of tax effect of zero, $0.3, zero and</w:t>
            </w:r>
          </w:p>
        </w:tc>
        <w:tc>
          <w:tcPr>
            <w:tcW w:w="8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$0.8, respectively)</w:t>
            </w:r>
          </w:p>
        </w:tc>
        <w:tc>
          <w:tcPr>
            <w:tcW w:w="8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Net change in cumulative foreign currency translation gain (loss) (net of tax effect</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2"/>
              </w:rPr>
              <w:t>17.3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of $0.1, $0.1, ($0.3) and $0.1, respectively)</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81.1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01"/>
        </w:trPr>
        <w:tc>
          <w:tcPr>
            <w:tcW w:w="8020" w:type="dxa"/>
            <w:vAlign w:val="bottom"/>
            <w:tcBorders>
              <w:top w:val="single" w:sz="8" w:color="CCEEFF"/>
            </w:tcBorders>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1,774.7</w:t>
            </w: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w:t>
            </w:r>
          </w:p>
        </w:tc>
      </w:tr>
      <w:tr>
        <w:trPr>
          <w:trHeight w:val="21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12"/>
        </w:trPr>
        <w:tc>
          <w:tcPr>
            <w:tcW w:w="8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2,659.3</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2,445.0</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5,944.5</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6,179.3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8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2,176.1</w:t>
            </w: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notes payable, net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w:t>
            </w: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r>
      <w:tr>
        <w:trPr>
          <w:trHeight w:val="207"/>
        </w:trPr>
        <w:tc>
          <w:tcPr>
            <w:tcW w:w="80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3,219.2</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1,635.1</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2,317.0</w:t>
            </w: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r>
      <w:tr>
        <w:trPr>
          <w:trHeight w:val="21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(2,295.8)</w:t>
            </w: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5,944.5</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6,179.3</w:t>
            </w:r>
          </w:p>
        </w:tc>
      </w:tr>
      <w:tr>
        <w:trPr>
          <w:trHeight w:val="23"/>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560" w:type="dxa"/>
            <w:vAlign w:val="bottom"/>
            <w:tcBorders>
              <w:bottom w:val="single" w:sz="8" w:color="auto"/>
            </w:tcBorders>
          </w:tcPr>
          <w:p>
            <w:pPr>
              <w:spacing w:after="0"/>
              <w:rPr>
                <w:sz w:val="16"/>
                <w:szCs w:val="16"/>
                <w:color w:val="auto"/>
              </w:rPr>
            </w:pPr>
          </w:p>
        </w:tc>
      </w:tr>
      <w:tr>
        <w:trPr>
          <w:trHeight w:val="188"/>
        </w:trPr>
        <w:tc>
          <w:tcPr>
            <w:tcW w:w="79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r>
      <w:tr>
        <w:trPr>
          <w:trHeight w:val="213"/>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w:t>
            </w: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developed technologies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7"/>
        </w:trPr>
        <w:tc>
          <w:tcPr>
            <w:tcW w:w="798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debt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3"/>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1,774.7</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886.0</w:t>
            </w: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stock units</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(Tables in millions, except share and per share data, or as otherwise noted)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56"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October 31, 2020, and for the three and nine months ended October 31, 2020 and 2019,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March 2020, the World Health Organization declared the outbreak of a disease caused by a novel strain of the coronavirus (COVID-19) to be a pandemic. This pandemic has created and may continue to create significant uncertainty in the macroeconomic environment which, in addition to other unforeseen effects of this pandemic, may adversely impact our results of operations. As the COVID-19 pandemic continues to develop, many of our estimates could require increased judgment and carry a higher degree of variability and volatility. As events continue to evolve our estimates may change materially in future periods. In addition, the results of operations for the three and nine months ended October 31, 2020, are not necessarily indicative of the results for the entire fiscal year ending January 31, 2021, or for any other period. Further, the balance sheet as of January 31, 2020,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2020.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2020, filed on March 19,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5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With the exception of those discussed below, there have been no recent changes in accounting pronouncements issued by the Financial Accounting Standards Board (“FASB”) or adopted by the Company during the nine months ended October 31, 2020, that are applicable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5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In June 2016, FASB issued ASU No. 2016-13 regarding ASC Topic 326, “Financial Instruments - Credit Losses,” which requires the measurement and recognition of expected credit losses for certain financial instruments using forward-looking information to calculate credit loss estimates. Autodesk adopted ASU 2016-13 as of the effective date which represents Autodesk’s fiscal year beginning February 1, 2020. The ASU did not have a material impact on Autodesk's consolidated financial statements at adoption.</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Adoption and policy elections</w:t>
      </w:r>
    </w:p>
    <w:p>
      <w:pPr>
        <w:spacing w:after="0" w:line="254"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 specific information. Allowances for credit losses on trade receivables and contract assets were not material as of October 31, 2020.</w:t>
      </w:r>
    </w:p>
    <w:p>
      <w:pPr>
        <w:spacing w:after="0" w:line="21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Autodesk’s investments in available-for-sale debt securities are subject to a periodic impairment review. If Autodesk does not intend to sell and it is more likely than not that Autodesk will not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Condensed Consolidated Balance Sheets with a corresponding adjustment to “Interest and other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ind w:right="1000"/>
        <w:spacing w:after="0" w:line="282" w:lineRule="auto"/>
        <w:rPr>
          <w:sz w:val="20"/>
          <w:szCs w:val="20"/>
          <w:color w:val="auto"/>
        </w:rPr>
      </w:pPr>
      <w:r>
        <w:rPr>
          <w:rFonts w:ascii="Times New Roman" w:cs="Times New Roman" w:eastAsia="Times New Roman" w:hAnsi="Times New Roman"/>
          <w:sz w:val="18"/>
          <w:szCs w:val="18"/>
          <w:color w:val="auto"/>
        </w:rPr>
        <w:t>expense, net” on the Company's Condensed Consolidated Statements of Operations. Any impairment that is not credit-related is recognized in “Accumulated other comprehensive loss” on the Condensed Consolidated Balance Sheets.</w:t>
      </w:r>
    </w:p>
    <w:p>
      <w:pPr>
        <w:spacing w:after="0" w:line="18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Condensed Consolidated Statements of Operations. Any accrued interest receivable on available-for-sale debt securities is recorded in “Cash and cash equivalents”, “Prepaid expenses and other current assets,” or “Long-term other assets,” in the accompanying Condensed Consolidated Balance Sheets, as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 not yet adopted</w:t>
      </w:r>
    </w:p>
    <w:p>
      <w:pPr>
        <w:spacing w:after="0" w:line="2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FASB issued ASU No. 2020-04, "Reference Rate Reform (Topic 848): Facilitation of the Effects of Reference Rate Reform on Financial Reporting" ("ASU No. 2020-04"),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will apply the expedients in ASU No. 2020-04 through December 31, 2022. Autodesk does not believe ASU No. 2020-04 will have a material impact on its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54"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training, and other goods and services. The three categories are presented as line items on Autodesk's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40" w:type="dxa"/>
            <w:vAlign w:val="bottom"/>
          </w:tcPr>
          <w:p>
            <w:pPr>
              <w:spacing w:after="0"/>
              <w:rPr>
                <w:sz w:val="16"/>
                <w:szCs w:val="16"/>
                <w:color w:val="auto"/>
              </w:rPr>
            </w:pPr>
          </w:p>
        </w:tc>
        <w:tc>
          <w:tcPr>
            <w:tcW w:w="254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996.5</w:t>
            </w: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AutoCAD and AutoCAD LT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689.9</w:t>
            </w:r>
          </w:p>
        </w:tc>
      </w:tr>
      <w:tr>
        <w:trPr>
          <w:trHeight w:val="213"/>
        </w:trPr>
        <w:tc>
          <w:tcPr>
            <w:tcW w:w="5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Manufacturing</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Media and Entertainment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3"/>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3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w:t>
            </w:r>
          </w:p>
        </w:tc>
      </w:tr>
      <w:tr>
        <w:trPr>
          <w:trHeight w:val="213"/>
        </w:trPr>
        <w:tc>
          <w:tcPr>
            <w:tcW w:w="5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Americas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12"/>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Americas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w:t>
            </w:r>
          </w:p>
        </w:tc>
      </w:tr>
      <w:tr>
        <w:trPr>
          <w:trHeight w:val="213"/>
        </w:trPr>
        <w:tc>
          <w:tcPr>
            <w:tcW w:w="5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w:t>
            </w: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Asia Pacific</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2,375.0</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6"/>
        </w:trPr>
        <w:tc>
          <w:tcPr>
            <w:tcW w:w="5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Indirect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1,663.2</w:t>
            </w:r>
          </w:p>
        </w:tc>
      </w:tr>
      <w:tr>
        <w:trPr>
          <w:trHeight w:val="213"/>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Direct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711.8</w:t>
            </w:r>
          </w:p>
        </w:tc>
      </w:tr>
      <w:tr>
        <w:trPr>
          <w:trHeight w:val="23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Design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2,126.4</w:t>
            </w: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Make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13"/>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3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Payments for product subscriptions, industry collections, cloud subscriptions, and maintenance subscriptions are typically due up front with payment terms of 30 to 45 days. As a result of the COVID-19 pandemic, we extended contract payment terms to 60 days through August 7, 2020, for all customers and partners for new orders and renewals placed directly with Autodesk.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1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October 31, 2020, Autodesk had remaining performance obligations of $3.58 billion, which represents the total contract price allocated to remaining performance obligations, which are generally recognized over the next three years. We expect to recognize $2.38 billion or 67% of our remaining performance obligations as revenue during the next 12 months. We expect to recognize the remaining $1.20 billion or 33% of our remaining performance obligations as revenue thereafter.</w:t>
      </w:r>
    </w:p>
    <w:p>
      <w:pPr>
        <w:spacing w:after="0" w:line="20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We receive payments from customers based on a billing schedule as established in our contracts. Contract assets relate to performance completed in advance of scheduled billings. Contract assets were not material as of October 31, 2020. Deferred revenue relates to billings in advance of performance under the contract. The primary changes in our contract assets and deferred revenues are due to our performance under the contracts and billings.</w:t>
      </w:r>
    </w:p>
    <w:p>
      <w:pPr>
        <w:spacing w:after="0" w:line="185"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Revenue recognized during the three months ended October 31, 2020 and 2019, that was included in the deferred revenue balances at January 31, 2020 and 2019, was $481.9 million and $398.5 million, respectively. Revenue recognized during the nine months ended October 31, 2020 and 2019, that was included in the deferred revenue balances at January 31, 2020 and 2019, was $1.91 billion and $1.58 billion, respectively. The satisfaction of performance obligations typically lags behind payments received under revenue contracts from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See Note 14, “Borrowing Arrangements,” in the Notes to Condensed Consolidated Financial Statements for further discussion.</w:t>
      </w:r>
    </w:p>
    <w:p>
      <w:pPr>
        <w:spacing w:after="0" w:line="21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Total sales to the Company's largest distributor Tech Data Corporation and its global affiliates (“Tech Data”) accounted for 37% and 35% of Autodesk’s total net revenue for both the three and nine months ended October 31, 2020 and 2019, respectively. The majority of the net revenue from sales to Tech Data is for sales made outside of the United States. In addition, Tech Data accounted for 22% and 31% of trade accounts receivable at October 31, 2020, and January 31, 2020, respectively. Ingram Micro Inc. ("Ingram Micro") accounted for 10% of Autodesk's total net revenue during both the three and nine months ended October 31, 2020 and 2019. No other customer accounted for more than 10% of Autodesk's total net revenue or trade accounts receivable for each of the respective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56"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amortized cost, gross unrealized gains, gross unrealized losses, and fair value by significant investment category as of October 31, 2020, and January 31, 2020: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840" w:type="dxa"/>
            <w:vAlign w:val="bottom"/>
          </w:tcPr>
          <w:p>
            <w:pPr>
              <w:jc w:val="center"/>
              <w:ind w:right="41"/>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84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1"/>
                <w:szCs w:val="11"/>
                <w:color w:val="auto"/>
              </w:rPr>
            </w:pPr>
          </w:p>
        </w:tc>
        <w:tc>
          <w:tcPr>
            <w:tcW w:w="7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3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8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available for sale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trading securities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Mutual funds (4)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 derivative assets (5)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contract assets (5)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contract liabilities (6)</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right="40" w:hanging="412"/>
        <w:spacing w:after="0" w:line="262" w:lineRule="auto"/>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 with stated contractual maturities due within one year.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11" w:name="page12"/>
    <w:bookmarkEnd w:id="11"/>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custody cash deposits, municipal bonds, and certificates of deposit.</w:t>
      </w:r>
    </w:p>
    <w:p>
      <w:pPr>
        <w:spacing w:after="0" w:line="23"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commercial paper and municipal bonds.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 for more information.</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860" w:type="dxa"/>
            <w:vAlign w:val="bottom"/>
          </w:tcPr>
          <w:p>
            <w:pPr>
              <w:jc w:val="center"/>
              <w:ind w:right="61"/>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86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1"/>
                <w:szCs w:val="11"/>
                <w:color w:val="auto"/>
              </w:rPr>
            </w:pPr>
          </w:p>
        </w:tc>
        <w:tc>
          <w:tcPr>
            <w:tcW w:w="7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3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8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Agency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Short-term trading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Mutual funds (3)</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Strategic investments derivative asset (4)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contract assets (4)</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contract liabilities (5)</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right="40" w:hanging="412"/>
        <w:spacing w:after="0" w:line="249" w:lineRule="auto"/>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 with stated contractual maturities due in one year.</w:t>
      </w: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custody cash deposits and certificates of deposit.</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 for more information.</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26" w:lineRule="exact"/>
        <w:rPr>
          <w:sz w:val="20"/>
          <w:szCs w:val="20"/>
          <w:color w:val="auto"/>
        </w:rPr>
      </w:pPr>
    </w:p>
    <w:p>
      <w:pPr>
        <w:ind w:right="260" w:firstLine="170"/>
        <w:spacing w:after="0" w:line="26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3"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As of both October 31, 2020, and January 31, 2020,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nine months ended October 31, 2020.</w:t>
      </w:r>
    </w:p>
    <w:p>
      <w:pPr>
        <w:spacing w:after="0" w:line="20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current credit rating, change in credit rating, credit outlook, and default risk. There were no allowances for credit losses for the nine months ended October 31, 2020. There were no write offs of accrued interest receivables for the nine months ended October 31, 2020.</w:t>
      </w:r>
    </w:p>
    <w:p>
      <w:pPr>
        <w:spacing w:after="0" w:line="20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There was no realized gain or loss for the sales or redemptions of debt securities during the nine months ended October 31, 2020 and 2019. Gains and losses resulting from the sale or redemption of debt securities are recorded in “Interest and other expense, net” on the Company's Condensed Consolidated Statements of Operations.</w:t>
      </w:r>
    </w:p>
    <w:p>
      <w:pPr>
        <w:spacing w:after="0" w:line="20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There was $6.0 million and $17.0 million in proceeds from the sale and maturity of marketable debt securities for the three and nine months ended October 31, 2020, respectively. Autodesk did not have any proceeds from the sale and maturity of marketable securities for the three months ended October 31, 2019. Proceeds from the sale and maturity of marketable debt securities for the nine months ended October 31, 2019 was $27.4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October 31, 2020, Autodesk had non-marketable debt securities in privately held companies that had a fair value of $5.7 million. The amortized cost of these securities was $5.3 million and is classified as level 3 in the fair value hierarchy. There were no allowances for credit losses for the nine months ended October 31, 2020.</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Strategic investment equity securities</w:t>
      </w:r>
    </w:p>
    <w:p>
      <w:pPr>
        <w:spacing w:after="0" w:line="25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2020, and January 31, 2020, Autodesk had $134.8 million and $122.5 million in direct investments in privately held companies, respectively. These strategic investment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w:t>
      </w:r>
    </w:p>
    <w:p>
      <w:pPr>
        <w:spacing w:after="0" w:line="207" w:lineRule="exact"/>
        <w:rPr>
          <w:sz w:val="20"/>
          <w:szCs w:val="20"/>
          <w:color w:val="auto"/>
        </w:rPr>
      </w:pPr>
    </w:p>
    <w:p>
      <w:pPr>
        <w:ind w:right="980" w:firstLine="405"/>
        <w:spacing w:after="0" w:line="282"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6"/>
                <w:szCs w:val="16"/>
                <w:color w:val="auto"/>
              </w:rPr>
            </w:pPr>
          </w:p>
        </w:tc>
        <w:tc>
          <w:tcPr>
            <w:tcW w:w="17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18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October 31, 2020</w:t>
            </w:r>
          </w:p>
        </w:tc>
      </w:tr>
      <w:tr>
        <w:trPr>
          <w:trHeight w:val="20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 (1)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83"/>
              <w:spacing w:after="0"/>
              <w:rPr>
                <w:sz w:val="20"/>
                <w:szCs w:val="20"/>
                <w:color w:val="auto"/>
              </w:rPr>
            </w:pPr>
            <w:r>
              <w:rPr>
                <w:rFonts w:ascii="Times New Roman" w:cs="Times New Roman" w:eastAsia="Times New Roman" w:hAnsi="Times New Roman"/>
                <w:sz w:val="16"/>
                <w:szCs w:val="16"/>
                <w:color w:val="auto"/>
              </w:rPr>
              <w:t>(45.2)</w:t>
            </w:r>
          </w:p>
        </w:tc>
      </w:tr>
      <w:tr>
        <w:trPr>
          <w:trHeight w:val="212"/>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center"/>
              <w:ind w:left="1183"/>
              <w:spacing w:after="0"/>
              <w:rPr>
                <w:sz w:val="20"/>
                <w:szCs w:val="20"/>
                <w:color w:val="auto"/>
              </w:rPr>
            </w:pPr>
            <w:r>
              <w:rPr>
                <w:rFonts w:ascii="Times New Roman" w:cs="Times New Roman" w:eastAsia="Times New Roman" w:hAnsi="Times New Roman"/>
                <w:sz w:val="16"/>
                <w:szCs w:val="16"/>
                <w:color w:val="auto"/>
              </w:rPr>
              <w:t>(32.8)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"Interest and other expense, net" on the Company's Condensed Consolidated Statements of Operations.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54"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$1.36 billion at October 31, 2020, and $981.3 million at January 31, 2020. Outstanding contracts are recognized as either assets or liabilities on the Company's Condensed Consolidated Balance Sheet at fair value. The majority of the net loss of $3.2 million remaining in “Accumulated other comprehensive loss” as of October 31, 2020,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nine months ended October 31, 2020 and 2019:</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25"/>
              <w:spacing w:after="0" w:line="12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1"/>
                <w:szCs w:val="11"/>
                <w:color w:val="auto"/>
              </w:rPr>
            </w:pPr>
          </w:p>
        </w:tc>
        <w:tc>
          <w:tcPr>
            <w:tcW w:w="108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35"/>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2"/>
        </w:trPr>
        <w:tc>
          <w:tcPr>
            <w:tcW w:w="31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consolidated statements of operations in</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which the effects of cash flow hedges are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884.4</w:t>
            </w:r>
          </w:p>
        </w:tc>
        <w:tc>
          <w:tcPr>
            <w:tcW w:w="1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60.7</w:t>
            </w:r>
          </w:p>
        </w:tc>
        <w:tc>
          <w:tcPr>
            <w:tcW w:w="2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359.3</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233.0</w:t>
            </w: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Gain on cash flow hedging relationships in</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180" w:type="dxa"/>
            <w:vAlign w:val="bottom"/>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Amount of (loss) gain reclassified from</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October 31, 2020</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25"/>
              <w:spacing w:after="0" w:line="134"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1"/>
                <w:szCs w:val="11"/>
                <w:color w:val="auto"/>
              </w:rPr>
            </w:pPr>
          </w:p>
        </w:tc>
        <w:tc>
          <w:tcPr>
            <w:tcW w:w="108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2"/>
        </w:trPr>
        <w:tc>
          <w:tcPr>
            <w:tcW w:w="31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consolidated statements of operations in</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which the effects of cash flow hedges are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2,528.6</w:t>
            </w:r>
          </w:p>
        </w:tc>
        <w:tc>
          <w:tcPr>
            <w:tcW w:w="1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153.1</w:t>
            </w:r>
          </w:p>
        </w:tc>
        <w:tc>
          <w:tcPr>
            <w:tcW w:w="1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176.6</w:t>
            </w:r>
          </w:p>
        </w:tc>
        <w:tc>
          <w:tcPr>
            <w:tcW w:w="2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1,051.5</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682.9</w:t>
            </w: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Gain on cash flow hedging relationships in</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Amount of gain reclassified from</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8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8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1"/>
                <w:szCs w:val="11"/>
                <w:color w:val="auto"/>
              </w:rPr>
            </w:pPr>
          </w:p>
        </w:tc>
        <w:tc>
          <w:tcPr>
            <w:tcW w:w="11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statements of operations in which the effects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715.0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330.7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213.0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cash flow hedges are recorded</w:t>
            </w: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80" w:type="dxa"/>
            <w:vAlign w:val="bottom"/>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8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26"/>
              <w:spacing w:after="0" w:line="12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8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1"/>
                <w:szCs w:val="11"/>
                <w:color w:val="auto"/>
              </w:rPr>
            </w:pPr>
          </w:p>
        </w:tc>
        <w:tc>
          <w:tcPr>
            <w:tcW w:w="11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statements of operations in which the effects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960.8</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634.0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cash flow hedges are recorded</w:t>
            </w: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80" w:type="dxa"/>
            <w:vAlign w:val="bottom"/>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5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$199.8 million at October 31, 2020, and $736.2 million at January 31, 2020.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i w:val="1"/>
          <w:iCs w:val="1"/>
          <w:color w:val="auto"/>
        </w:rPr>
        <w:t>Fair Value of Derivative Instruments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October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20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 Assets</w:t>
            </w:r>
          </w:p>
        </w:tc>
        <w:tc>
          <w:tcPr>
            <w:tcW w:w="2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5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and long-term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derivative assets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 Liabilities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55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nine months ended October 31, 2020 and 2019 (amounts presented include any income tax effects):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Foreign Currency Contracts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6"/>
                <w:szCs w:val="16"/>
                <w:color w:val="auto"/>
              </w:rPr>
            </w:pPr>
          </w:p>
        </w:tc>
        <w:tc>
          <w:tcPr>
            <w:tcW w:w="248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91"/>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1"/>
        </w:trPr>
        <w:tc>
          <w:tcPr>
            <w:tcW w:w="5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i w:val="1"/>
                <w:iCs w:val="1"/>
                <w:color w:val="auto"/>
              </w:rPr>
              <w:t>Amount of gain (loss) recognized in accumulated other comprehensive loss on</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center"/>
              <w:ind w:left="682"/>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center"/>
              <w:ind w:left="562"/>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w w:val="97"/>
              </w:rPr>
              <w:t>(6.8)</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i w:val="1"/>
                <w:iCs w:val="1"/>
                <w:color w:val="auto"/>
                <w:shd w:val="clear" w:color="auto" w:fill="CCEEFF"/>
              </w:rPr>
              <w:t>derivatives (effective portion)</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i w:val="1"/>
                <w:iCs w:val="1"/>
                <w:color w:val="auto"/>
              </w:rPr>
              <w:t>Amount and location of gain (loss) reclassified from accumulated other comprehensive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loss into income (effective portion)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w w:val="99"/>
              </w:rPr>
              <w:t>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9"/>
              </w:rPr>
              <w:t>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8"/>
                <w:szCs w:val="18"/>
                <w:color w:val="auto"/>
              </w:rPr>
            </w:pPr>
          </w:p>
        </w:tc>
        <w:tc>
          <w:tcPr>
            <w:tcW w:w="108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662"/>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82"/>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9"/>
              </w:rPr>
              <w:t>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57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682"/>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602"/>
              <w:spacing w:after="0"/>
              <w:rPr>
                <w:sz w:val="20"/>
                <w:szCs w:val="20"/>
                <w:color w:val="auto"/>
              </w:rPr>
            </w:pPr>
            <w:r>
              <w:rPr>
                <w:rFonts w:ascii="Times New Roman" w:cs="Times New Roman" w:eastAsia="Times New Roman" w:hAnsi="Times New Roman"/>
                <w:sz w:val="16"/>
                <w:szCs w:val="16"/>
                <w:color w:val="auto"/>
                <w:w w:val="99"/>
              </w:rPr>
              <w:t>2.9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center"/>
              <w:ind w:left="662"/>
              <w:spacing w:after="0"/>
              <w:rPr>
                <w:sz w:val="20"/>
                <w:szCs w:val="20"/>
                <w:color w:val="auto"/>
              </w:rPr>
            </w:pPr>
            <w:r>
              <w:rPr>
                <w:rFonts w:ascii="Times New Roman" w:cs="Times New Roman" w:eastAsia="Times New Roman" w:hAnsi="Times New Roman"/>
                <w:sz w:val="16"/>
                <w:szCs w:val="16"/>
                <w:color w:val="auto"/>
                <w:w w:val="99"/>
              </w:rPr>
              <w:t>4.8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effects of derivatives not designated as hedging instruments on Autodesk’s Condensed Consolidated Statements of Operations were as follows for the three and nine months ended October 31, 2020 and 2019 (amounts presented include any income tax effects):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6"/>
                <w:szCs w:val="16"/>
                <w:color w:val="auto"/>
              </w:rPr>
            </w:pPr>
          </w:p>
        </w:tc>
        <w:tc>
          <w:tcPr>
            <w:tcW w:w="248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98"/>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Amount and location of (loss) gain recognized on derivatives in net income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0"/>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6" w:name="page17"/>
    <w:bookmarkEnd w:id="16"/>
    <w:p>
      <w:pPr>
        <w:ind w:left="220" w:right="8380" w:hanging="212"/>
        <w:spacing w:after="0" w:line="534" w:lineRule="auto"/>
        <w:tabs>
          <w:tab w:leader="none" w:pos="198"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Stock-based Compensation Expense </w:t>
      </w:r>
      <w:r>
        <w:rPr>
          <w:rFonts w:ascii="Times New Roman" w:cs="Times New Roman" w:eastAsia="Times New Roman" w:hAnsi="Times New Roman"/>
          <w:sz w:val="18"/>
          <w:szCs w:val="18"/>
          <w:i w:val="1"/>
          <w:iCs w:val="1"/>
          <w:color w:val="auto"/>
        </w:rPr>
        <w:t>Restricted Stock Units:</w:t>
      </w: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summary of restricted stock activity for the nine months ended October 31,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3"/>
              <w:spacing w:after="0" w:line="135"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3"/>
              <w:spacing w:after="0" w:line="135"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2020</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4,732.3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147.24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217.27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142.82</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Canceled/Forfeited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150.58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159.86</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October 31, 2020</w:t>
            </w: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4,818.3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181.85</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420" w:right="180" w:hanging="412"/>
        <w:spacing w:after="0" w:line="262" w:lineRule="auto"/>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2020 performance period. The performance stock units were attained at rates ranging from 96.6% to 101.1% of the target award.</w:t>
      </w:r>
    </w:p>
    <w:p>
      <w:pPr>
        <w:spacing w:after="0" w:line="200"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nine months ended October 31, 2020 and 2019, was $400.6 million and $277.3 million, respectively.</w:t>
      </w:r>
    </w:p>
    <w:p>
      <w:pPr>
        <w:spacing w:after="0" w:line="25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October 31, 2020, Autodesk granted 1.9 million restricted stock units. Autodesk recorded stock-based compensation expense related to restricted stock units of $74.7 million and $73.8 million during the three months ended October 31, 2020 and 2019, respectively. Autodesk recorded stock-based compensation expense related to restricted stock units of $222.9 million and $192.4 million during the nine months ended October 31, 2020 and 2019, respectively.</w:t>
      </w:r>
    </w:p>
    <w:p>
      <w:pPr>
        <w:spacing w:after="0" w:line="20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2020, Autodesk settled liability-classified awards in the amount of $28.7 million.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20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31, 2020,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revenue goals adopted by the Compensation and Human Resource Committee and, as applicable,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214" w:lineRule="exact"/>
        <w:rPr>
          <w:sz w:val="20"/>
          <w:szCs w:val="20"/>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2021 as well as 1-year Relative TSR (covering year one).</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18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$8.7 million and $6.4 million for the three months ended October 31, 2020 and 2019, respectively. Autodesk recorded stock-based compensation expense related to performance stock units of $26.2 million and $18.6 million for the nine months ended October 31, 2020 and 2019, respectively.</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7" w:name="page18"/>
    <w:bookmarkEnd w:id="17"/>
    <w:p>
      <w:pPr>
        <w:ind w:left="22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5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ESPP activity for the three and nine months ended October 31, 2020 and 2019,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millions)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122.93</w:t>
            </w:r>
          </w:p>
        </w:tc>
        <w:tc>
          <w:tcPr>
            <w:tcW w:w="12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105.42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grant date fair value of shares granted under the ESPP</w:t>
            </w:r>
          </w:p>
        </w:tc>
        <w:tc>
          <w:tcPr>
            <w:tcW w:w="940" w:type="dxa"/>
            <w:vAlign w:val="bottom"/>
            <w:vMerge w:val="restart"/>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jc w:val="right"/>
              <w:ind w:right="4439"/>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and nine months ended October 31, 2020 and 2019, respectively,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Stock-based compensation expense related to stock awards and ESPP</w:t>
            </w:r>
          </w:p>
        </w:tc>
        <w:tc>
          <w:tcPr>
            <w:tcW w:w="2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Stock-based compensation expense related to stock awards and ESPP</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0" w:type="dxa"/>
            <w:vAlign w:val="bottom"/>
          </w:tcPr>
          <w:p>
            <w:pPr>
              <w:spacing w:after="0"/>
              <w:rPr>
                <w:sz w:val="1"/>
                <w:szCs w:val="1"/>
                <w:color w:val="auto"/>
              </w:rPr>
            </w:pPr>
          </w:p>
        </w:tc>
      </w:tr>
      <w:tr>
        <w:trPr>
          <w:trHeight w:val="194"/>
        </w:trPr>
        <w:tc>
          <w:tcPr>
            <w:tcW w:w="5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net of tax</w:t>
            </w:r>
          </w:p>
        </w:tc>
        <w:tc>
          <w:tcPr>
            <w:tcW w:w="2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5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2020</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6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41.5 - 45.0%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32.7 - 35.9%</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N/A</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5"/>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1.7 - 1.9%</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2020</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6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39.4 - 45.8%</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32.7 - 39.7%</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0.1 - 0.5%</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1.7 - 2.5%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00" w:firstLine="445"/>
        <w:spacing w:after="0" w:line="281" w:lineRule="auto"/>
        <w:rPr>
          <w:sz w:val="20"/>
          <w:szCs w:val="20"/>
          <w:color w:val="auto"/>
        </w:rPr>
      </w:pPr>
      <w:r>
        <w:rPr>
          <w:rFonts w:ascii="Times New Roman" w:cs="Times New Roman" w:eastAsia="Times New Roman" w:hAnsi="Times New Roman"/>
          <w:sz w:val="17"/>
          <w:szCs w:val="17"/>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5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8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89"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56" w:lineRule="exact"/>
        <w:rPr>
          <w:sz w:val="20"/>
          <w:szCs w:val="20"/>
          <w:color w:val="auto"/>
        </w:rPr>
      </w:pPr>
    </w:p>
    <w:p>
      <w:pPr>
        <w:ind w:right="100" w:firstLine="481"/>
        <w:spacing w:after="0" w:line="258" w:lineRule="auto"/>
        <w:rPr>
          <w:sz w:val="20"/>
          <w:szCs w:val="20"/>
          <w:color w:val="auto"/>
        </w:rPr>
      </w:pPr>
      <w:r>
        <w:rPr>
          <w:rFonts w:ascii="Times New Roman" w:cs="Times New Roman" w:eastAsia="Times New Roman" w:hAnsi="Times New Roman"/>
          <w:sz w:val="18"/>
          <w:szCs w:val="18"/>
          <w:color w:val="auto"/>
        </w:rPr>
        <w:t>Autodesk had income tax expense of $23.9 million, relative to pre-tax income of $156.1 million for the three months ended October 31, 2020, and income tax expense of $29.7 million, relative to pre-tax income of $96.4 million for the three months ended October 31, 2019. Autodesk had income tax expense of $78.7 million, relative to pre-tax income of $375.6 million for the nine months ended October 31, 2020, and income tax expense of $88.8 million, relative to pre-tax income of $171.5 million for the nine months ended October 31, 2019. Income tax expense for the three and nine months ended October 31, 2020, decreased as a result of the jurisdictional mix of year-to-date earnings relative to the worldwide annual effective tax rate.</w:t>
      </w:r>
    </w:p>
    <w:p>
      <w:pPr>
        <w:spacing w:after="0" w:line="210"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20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anticipates a significant increase in U.S. taxable income in fiscal 2021 due to forecasted global earnings. We currently forecast the utilization of U.S. deferred tax assets to offset U.S. taxable income resulting from the inclusion of foreign earnings. While increased U.S. taxable income is considered positive evidence, the uncertainties around the global economy arising from COVID-19 and our cumulative losses outweigh that positive evidence. Accordingly, we have maintained the valuation allowance on our U.S. deferred tax assets.</w:t>
      </w:r>
    </w:p>
    <w:p>
      <w:pPr>
        <w:spacing w:after="0" w:line="20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2020, the Company had $221.3 million of gross unrecognized tax benefits, of which $203.7 million would reduce our valuation allowance, if recognized. The remaining $17.7 million would impact the effective tax rate, if recognized. It is possible that the amount of unrecognized tax benefits will change in the next 12 months; however, an estimate of the range of the possible change cannot be made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Acquisitions</w:t>
      </w:r>
    </w:p>
    <w:p>
      <w:pPr>
        <w:spacing w:after="0" w:line="25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October 31, 2020, Autodesk completed two business combinations. The acquisition-date fair value of the cash consideration transferred totaled $45.4 million. The results of operations for these acquisitions were included in the accompanying Condensed Consolidated Statement of Operations from the dates of the respective acquisitions. Pro forma results of operations have not been presented because the effects of these acquisitions were not material to Autodesk's Condensed Consolidated Financial Statements.</w:t>
      </w:r>
    </w:p>
    <w:p>
      <w:pPr>
        <w:spacing w:after="0" w:line="20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acquisitions were accounted for as business combinations, and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acquisition. There is no amount of goodwill that is deductible for U.S. income tax purposes.</w:t>
      </w:r>
    </w:p>
    <w:p>
      <w:pPr>
        <w:spacing w:after="0" w:line="21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by major class for the business combinations that were completed during the three and nine months ended October 31,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Aggregate Total</w:t>
            </w:r>
          </w:p>
        </w:tc>
      </w:tr>
      <w:tr>
        <w:trPr>
          <w:trHeight w:val="21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and long-term deferred revenue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tangible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9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the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ind w:right="140"/>
        <w:spacing w:after="0" w:line="282" w:lineRule="auto"/>
        <w:rPr>
          <w:sz w:val="20"/>
          <w:szCs w:val="20"/>
          <w:color w:val="auto"/>
        </w:rPr>
      </w:pPr>
      <w:r>
        <w:rPr>
          <w:rFonts w:ascii="Times New Roman" w:cs="Times New Roman" w:eastAsia="Times New Roman" w:hAnsi="Times New Roman"/>
          <w:sz w:val="18"/>
          <w:szCs w:val="18"/>
          <w:color w:val="auto"/>
        </w:rPr>
        <w:t>finalized are amounts for tax assets and liabilities, pending finalization of estimates and assumptions for certain tax aspects of the transaction and residual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Other Intangible Assets, Net</w:t>
      </w:r>
    </w:p>
    <w:p>
      <w:pPr>
        <w:spacing w:after="0" w:line="256"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Other intangible assets, including developed technologies, customer relationships, trade names, patents, user lists, and the related accumulated amortization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14"/>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technologies, at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647.1</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Customer relationships, trade names, patents, and user lists, at cost (1)</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532.2</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at cost (2)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1,179.3</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(972.2)</w:t>
            </w: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“Long-term other assets”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Cloud Computing Arrangements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$56.9 million and $22.3 million at October 31, 2020, and January 31, 2020, respectively. Accumulated amortization was $3.9 million and $1.2 million at October 31, 2020, and January 31, 2020, respectively. Amortization expense for the three months ended October 31, 2020 and 2019, was $1.0 million and none, respectively. Amortization expense for the nine months ended October 31, 2020 and 2019, was $2.7 million and none,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5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nine months ended October 31, 2020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2020</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2,594.2</w:t>
            </w:r>
          </w:p>
        </w:tc>
      </w:tr>
      <w:tr>
        <w:trPr>
          <w:trHeight w:val="213"/>
        </w:trPr>
        <w:tc>
          <w:tcPr>
            <w:tcW w:w="9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impairment losses as of January 31, 2020</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12"/>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balance as of January 31, 2020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2,445.0</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period</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October 31, 2020</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2,484.2</w:t>
            </w:r>
          </w:p>
        </w:tc>
      </w:tr>
      <w:tr>
        <w:trPr>
          <w:trHeight w:val="23"/>
        </w:trPr>
        <w:tc>
          <w:tcPr>
            <w:tcW w:w="9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20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20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was no goodwill impairment during the three and nine months ended October 31,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Deferred Compensation</w:t>
      </w:r>
    </w:p>
    <w:p>
      <w:pPr>
        <w:spacing w:after="0" w:line="256"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At October 31, 2020, Autodesk had marketable securities totaling $78.5 million, of which $74.5 million is related to investments in debt and equity securities that are held in a rabbi trust under non-qualified deferred compensation plans. Of the $74.5 million related to the deferred compensation liability at October 31, 2020, $5.3 million was classified as current and $69.2 million was classified as non-current liabilities. Of the $69.0 million related to the deferred compensation liability at January 31, 2020, $5.3 million was classified as current and $63.7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“Long-term other liabilities,” respectively.</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$89.4 million as of October 31, 2020, and $98.8 million as of January 31, 2020. Amortization expense related to assets recognized from costs to obtain a contract with a customer was $23.8 million and $70.2 million during the three and nine months ended October 31, 2020, respectively. Amortization expense related to assets recognized from costs to obtain a contract with a customer was $25.2 million and $75.4 million during the three and nine months ended October 31, 2019, respectively. Autodesk did not recognize any contract cost impairment losses during the nine months ended October 31, 2020 and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Computer Equipment, Software, Leasehold Improvements, and Furniture, Net</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Computer equipment, software, leasehold improvements, and furniture and equipment and the related accumulated depreciation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15"/>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2"/>
        </w:trPr>
        <w:tc>
          <w:tcPr>
            <w:tcW w:w="8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software, leasehold improvements, and furniture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Borrowing Arrangements</w:t>
      </w:r>
    </w:p>
    <w:p>
      <w:pPr>
        <w:spacing w:after="0" w:line="25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2" w:name="page23"/>
    <w:bookmarkEnd w:id="22"/>
    <w:p>
      <w:pPr>
        <w:ind w:right="60"/>
        <w:spacing w:after="0" w:line="282" w:lineRule="auto"/>
        <w:rPr>
          <w:sz w:val="20"/>
          <w:szCs w:val="20"/>
          <w:color w:val="auto"/>
        </w:rPr>
      </w:pPr>
      <w:r>
        <w:rPr>
          <w:rFonts w:ascii="Times New Roman" w:cs="Times New Roman" w:eastAsia="Times New Roman" w:hAnsi="Times New Roman"/>
          <w:sz w:val="18"/>
          <w:szCs w:val="18"/>
          <w:color w:val="auto"/>
        </w:rPr>
        <w:t>the 2020 Notes using the effective interest method. The proceeds of the 2020 Notes have been used for the repayment of the $450.0 million 2015 Notes, as defined below, and the remainder is available for general corporate purposes.</w:t>
      </w:r>
    </w:p>
    <w:p>
      <w:pPr>
        <w:spacing w:after="0" w:line="18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October 31, 2020,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October 31, 2020, Autodesk had no outstanding borrowings under the credit agreement.</w:t>
      </w:r>
    </w:p>
    <w:p>
      <w:pPr>
        <w:spacing w:after="0" w:line="214"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In June 2017, Autodesk issued $500.0 million aggregate principal amount of 3.5% notes due June 15, 2027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20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June 2015, Autodesk issued $450.0 million aggregate principal amount of 3.125% notes due June 15, 2020 (“$450.0 million 2015 Notes”) and $300.0 million aggregate principal amount of 4.375% notes due June 15, 2025 (“$300.0 million 2015 Notes”) (collectively, the “2015 Notes”). Net of a discount of $0.6 million and $1.1 million, and issuance costs of $3.8 million and $2.5 million, Autodesk received net proceeds of $445.6 million and $296.4 million from issuance of the $450.0 million 2015 Notes and $300.0 million 2015 Notes, respectively. Both the discount and issuance costs are being amortized to interest expense over the respective term of the $300.0 million 2015 Notes using the effective interest method. The proceeds of the $300.0 million 2015 Notes is available for general corporate purposes. On March 4, 2020, the proceeds of the 2020 Notes were used for the repayment of the $450.0 million 2015 Notes. Autodesk paid a redemption price of $452.1 million, plus accrued and unpaid interest to, but not including, the date of redemption.</w:t>
      </w:r>
    </w:p>
    <w:p>
      <w:pPr>
        <w:spacing w:after="0" w:line="219" w:lineRule="exact"/>
        <w:rPr>
          <w:sz w:val="20"/>
          <w:szCs w:val="20"/>
          <w:color w:val="auto"/>
        </w:rPr>
      </w:pPr>
    </w:p>
    <w:p>
      <w:pPr>
        <w:jc w:val="both"/>
        <w:ind w:right="300" w:firstLine="405"/>
        <w:spacing w:after="0" w:line="261" w:lineRule="auto"/>
        <w:rPr>
          <w:sz w:val="20"/>
          <w:szCs w:val="20"/>
          <w:color w:val="auto"/>
        </w:rPr>
      </w:pPr>
      <w:r>
        <w:rPr>
          <w:rFonts w:ascii="Times New Roman" w:cs="Times New Roman" w:eastAsia="Times New Roman" w:hAnsi="Times New Roman"/>
          <w:sz w:val="18"/>
          <w:szCs w:val="18"/>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207"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2020 Notes, 2017 Notes, $300 million 2015 Notes and the 2012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the quoted market prices, the approximate fair value of the notes as of October 31, 2020,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180" w:type="dxa"/>
            <w:vAlign w:val="bottom"/>
          </w:tcPr>
          <w:p>
            <w:pPr>
              <w:spacing w:after="0"/>
              <w:rPr>
                <w:sz w:val="13"/>
                <w:szCs w:val="13"/>
                <w:color w:val="auto"/>
              </w:rPr>
            </w:pPr>
          </w:p>
        </w:tc>
        <w:tc>
          <w:tcPr>
            <w:tcW w:w="15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380" w:type="dxa"/>
            <w:vAlign w:val="bottom"/>
          </w:tcPr>
          <w:p>
            <w:pPr>
              <w:spacing w:after="0"/>
              <w:rPr>
                <w:sz w:val="13"/>
                <w:szCs w:val="13"/>
                <w:color w:val="auto"/>
              </w:rPr>
            </w:pPr>
          </w:p>
        </w:tc>
        <w:tc>
          <w:tcPr>
            <w:tcW w:w="13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15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2012 Notes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350.0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 million 2015 Notes</w:t>
            </w:r>
          </w:p>
        </w:tc>
        <w:tc>
          <w:tcPr>
            <w:tcW w:w="3180" w:type="dxa"/>
            <w:vAlign w:val="bottom"/>
          </w:tcPr>
          <w:p>
            <w:pPr>
              <w:spacing w:after="0"/>
              <w:rPr>
                <w:sz w:val="18"/>
                <w:szCs w:val="18"/>
                <w:color w:val="auto"/>
              </w:rPr>
            </w:pPr>
          </w:p>
        </w:tc>
        <w:tc>
          <w:tcPr>
            <w:tcW w:w="1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 Notes</w:t>
            </w:r>
          </w:p>
        </w:tc>
        <w:tc>
          <w:tcPr>
            <w:tcW w:w="3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500.0</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 Notes</w:t>
            </w:r>
          </w:p>
        </w:tc>
        <w:tc>
          <w:tcPr>
            <w:tcW w:w="3180" w:type="dxa"/>
            <w:vAlign w:val="bottom"/>
          </w:tcPr>
          <w:p>
            <w:pPr>
              <w:spacing w:after="0"/>
              <w:rPr>
                <w:sz w:val="18"/>
                <w:szCs w:val="18"/>
                <w:color w:val="auto"/>
              </w:rPr>
            </w:pPr>
          </w:p>
        </w:tc>
        <w:tc>
          <w:tcPr>
            <w:tcW w:w="1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500.0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October 31, 2020, is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(remainder)</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w:t>
            </w:r>
          </w:p>
        </w:tc>
      </w:tr>
      <w:tr>
        <w:trPr>
          <w:trHeight w:val="237"/>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Autodesk has operating leases for real estate, vehicles, and certain equipment. Leases have remaining lease terms of less than 1 year to 70 years, some of which include options to extend the lease with renewal terms from 1 year to 10 years and some of which include options to terminate the leases from less than 1 year to 10 years. Options to extend the lease are included in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 2020</w:t>
            </w:r>
          </w:p>
        </w:tc>
        <w:tc>
          <w:tcPr>
            <w:tcW w:w="1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1360" w:type="dxa"/>
            <w:vAlign w:val="bottom"/>
          </w:tcPr>
          <w:p>
            <w:pPr>
              <w:jc w:val="center"/>
              <w:ind w:right="48"/>
              <w:spacing w:after="0" w:line="134" w:lineRule="exact"/>
              <w:rPr>
                <w:sz w:val="20"/>
                <w:szCs w:val="20"/>
                <w:color w:val="auto"/>
              </w:rPr>
            </w:pPr>
            <w:r>
              <w:rPr>
                <w:rFonts w:ascii="Times New Roman" w:cs="Times New Roman" w:eastAsia="Times New Roman" w:hAnsi="Times New Roman"/>
                <w:sz w:val="14"/>
                <w:szCs w:val="14"/>
                <w:b w:val="1"/>
                <w:bCs w:val="1"/>
                <w:color w:val="auto"/>
              </w:rPr>
              <w:t>Cost of</w:t>
            </w: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3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4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2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October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420" w:type="dxa"/>
            <w:vAlign w:val="bottom"/>
            <w:tcBorders>
              <w:bottom w:val="single" w:sz="8" w:color="auto"/>
            </w:tcBorders>
          </w:tcPr>
          <w:p>
            <w:pPr>
              <w:spacing w:after="0"/>
              <w:rPr>
                <w:sz w:val="16"/>
                <w:szCs w:val="16"/>
                <w:color w:val="auto"/>
              </w:rPr>
            </w:pPr>
          </w:p>
        </w:tc>
      </w:tr>
      <w:tr>
        <w:trPr>
          <w:trHeight w:val="19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lease right-of-use assets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bl>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firstLine="8"/>
        <w:spacing w:after="0" w:line="262"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$8.9 million in variable lease payments for both the nine months ended October 31, 2020 and 2019, not included in “Operating lease liabilities” and “Long-term operating lease liabilities” on the Condensed Consolidated Balance Sheets.</w:t>
      </w:r>
    </w:p>
    <w:p>
      <w:pPr>
        <w:spacing w:after="0" w:line="20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7.3 and 7.5 years at October 31, 2020, and January 31, 2020, respectively. The weighted average discount rate was 2.79% and 3.41% at October 31, 2020, and January 31, 2020,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(remainder)</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1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12"/>
        </w:trPr>
        <w:tc>
          <w:tcPr>
            <w:tcW w:w="9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37"/>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As of October 31, 2020, Autodesk has additional operating lease minimum lease payments of $16.9 million for executed leases that have not yet commenced, primarily for office locations.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Commitments and Contingencies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5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17. Stockholders' Equity (Deficit)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stockholders' equity (deficit) by component, net of tax, as of October 31, 2020, are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 and additional</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9"/>
        </w:trPr>
        <w:tc>
          <w:tcPr>
            <w:tcW w:w="474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equity (deficit)</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January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liability-classified restricted stock units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Post-combination expense related to equity awards assumed</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12"/>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April 30,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Post-combination expense related to equity awards assumed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Balances, July 31, 2020</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2,492.7</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Post-combination expense related to equity awards assumed</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r>
      <w:tr>
        <w:trPr>
          <w:trHeight w:val="21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r>
      <w:tr>
        <w:trPr>
          <w:trHeight w:val="234"/>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October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420" w:right="60" w:hanging="412"/>
        <w:spacing w:after="0" w:line="254"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nine months ended October 31, 2020, Autodesk repurchased 0.8 million shares and 2.1 million shares at an average repurchase price of $231.26 and $185.69 per share, respectively. At October 31, 2020, 12.6 million shares remained available for repurchase under the repurchase program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7" w:name="page28"/>
    <w:bookmarkEnd w:id="27"/>
    <w:p>
      <w:pPr>
        <w:ind w:left="412"/>
        <w:spacing w:after="0"/>
        <w:rPr>
          <w:sz w:val="20"/>
          <w:szCs w:val="20"/>
          <w:color w:val="auto"/>
        </w:rPr>
      </w:pPr>
      <w:r>
        <w:rPr>
          <w:rFonts w:ascii="Times New Roman" w:cs="Times New Roman" w:eastAsia="Times New Roman" w:hAnsi="Times New Roman"/>
          <w:sz w:val="18"/>
          <w:szCs w:val="18"/>
          <w:color w:val="auto"/>
        </w:rPr>
        <w:t>Changes in stockholders' deficit by component, net of tax, as of October 31, 2019, are as follows:</w:t>
      </w:r>
    </w:p>
    <w:p>
      <w:pPr>
        <w:spacing w:after="0" w:line="177" w:lineRule="exact"/>
        <w:rPr>
          <w:sz w:val="20"/>
          <w:szCs w:val="20"/>
          <w:color w:val="auto"/>
        </w:rPr>
      </w:pPr>
    </w:p>
    <w:tbl>
      <w:tblPr>
        <w:tblLayout w:type="fixed"/>
        <w:tblInd w:w="52"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 and additional</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47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6"/>
        </w:trPr>
        <w:tc>
          <w:tcPr>
            <w:tcW w:w="470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7"/>
                <w:szCs w:val="17"/>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 combination expense related to assumed equity</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April 30,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 combination expense related to assumed equity</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0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2019</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2,200.7</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 combination expense related to assumed equity</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1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October 31, 2019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412" w:right="40" w:hanging="412"/>
        <w:spacing w:after="0" w:line="254" w:lineRule="auto"/>
        <w:tabs>
          <w:tab w:leader="none" w:pos="4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nine months ended October 31, 2019, Autodesk repurchased 0.8 million shares and 1.7 million shares at an average repurchase price of $144.49 and $156.16 per share, respectively. At October 31, 2019, 15.7 million shares remained available for repurchase under the repurchase program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89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18. Accumulated Other Comprehensive Loss</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October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Gains on</w:t>
            </w:r>
          </w:p>
        </w:tc>
        <w:tc>
          <w:tcPr>
            <w:tcW w:w="12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1"/>
                <w:szCs w:val="11"/>
                <w:color w:val="auto"/>
              </w:rPr>
            </w:pPr>
          </w:p>
        </w:tc>
        <w:tc>
          <w:tcPr>
            <w:tcW w:w="11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2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00" w:type="dxa"/>
            <w:vAlign w:val="bottom"/>
          </w:tcPr>
          <w:p>
            <w:pPr>
              <w:spacing w:after="0"/>
              <w:rPr>
                <w:sz w:val="11"/>
                <w:szCs w:val="11"/>
                <w:color w:val="auto"/>
              </w:rPr>
            </w:pPr>
          </w:p>
        </w:tc>
        <w:tc>
          <w:tcPr>
            <w:tcW w:w="11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10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1"/>
                <w:szCs w:val="11"/>
                <w:color w:val="auto"/>
              </w:rPr>
            </w:pPr>
          </w:p>
        </w:tc>
        <w:tc>
          <w:tcPr>
            <w:tcW w:w="110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0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(gains) losses reclassified from accumulated other comprehensive loss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Balances, October 31, 2020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2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on Available-for-</w:t>
            </w:r>
          </w:p>
        </w:tc>
        <w:tc>
          <w:tcPr>
            <w:tcW w:w="12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0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100" w:type="dxa"/>
            <w:vAlign w:val="bottom"/>
            <w:gridSpan w:val="4"/>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11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0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January 31, 2019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Pre-tax losses reclassified from accumulated other comprehensive loss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October 31, 2019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5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6"/>
                <w:szCs w:val="16"/>
                <w:color w:val="auto"/>
              </w:rPr>
            </w:pPr>
          </w:p>
        </w:tc>
        <w:tc>
          <w:tcPr>
            <w:tcW w:w="24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98"/>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periods. For the three and nine months ended October 31, 2020, there were 0.3 million and 0.2 million potentially anti-dilutive shares excluded from the computation of diluted net income per share, respectively. For both the three and nine months ended October 31, 2019, there were no potentially anti-dilutive shares excluded from the computation of diluted net income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 Segments</w:t>
      </w:r>
    </w:p>
    <w:p>
      <w:pPr>
        <w:spacing w:after="0" w:line="25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is as follows:</w:t>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9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Long-lived assets (1):</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w:t>
            </w:r>
          </w:p>
        </w:tc>
      </w:tr>
      <w:tr>
        <w:trPr>
          <w:trHeight w:val="21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7"/>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w:t>
            </w:r>
          </w:p>
        </w:tc>
      </w:tr>
      <w:tr>
        <w:trPr>
          <w:trHeight w:val="21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1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exclude deferred tax assets, marketable securities, goodwill, and other intangible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Subsequent Events</w:t>
      </w:r>
    </w:p>
    <w:p>
      <w:pPr>
        <w:spacing w:after="0" w:line="256" w:lineRule="exact"/>
        <w:rPr>
          <w:sz w:val="20"/>
          <w:szCs w:val="20"/>
          <w:color w:val="auto"/>
        </w:rPr>
      </w:pPr>
    </w:p>
    <w:p>
      <w:pPr>
        <w:jc w:val="both"/>
        <w:ind w:right="140" w:firstLine="405"/>
        <w:spacing w:after="0" w:line="245" w:lineRule="auto"/>
        <w:rPr>
          <w:sz w:val="20"/>
          <w:szCs w:val="20"/>
          <w:color w:val="auto"/>
        </w:rPr>
      </w:pPr>
      <w:r>
        <w:rPr>
          <w:rFonts w:ascii="Times New Roman" w:cs="Times New Roman" w:eastAsia="Times New Roman" w:hAnsi="Times New Roman"/>
          <w:sz w:val="18"/>
          <w:szCs w:val="18"/>
          <w:color w:val="auto"/>
        </w:rPr>
        <w:t>In November 2020, Autodesk entered into a share purchase agreement to acquire all of the outstanding equity of Spacemaker AS (“Spacemaker”) in exchange for consideration of approximately $240 million, net of cash acquired. Spacemaker is a privately held company providing cloud-based artificial intelligence technology and generative design enabling architects, urban designers, and real estate developers to optimize and maximize the potential of a building site, especially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during early-stage design and is expected to enable Autodesk’s ability to serve early-stage design market and accelerate outcome-based design capabilities.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closed on November 23, 2020.</w:t>
      </w:r>
    </w:p>
    <w:p>
      <w:pPr>
        <w:spacing w:after="0" w:line="2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18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Nine Months Ended October 31, 2020 and 2019” and in </w:t>
      </w:r>
      <w:r>
        <w:rPr>
          <w:rFonts w:ascii="Times New Roman" w:cs="Times New Roman" w:eastAsia="Times New Roman" w:hAnsi="Times New Roman"/>
          <w:sz w:val="17"/>
          <w:szCs w:val="17"/>
          <w:i w:val="1"/>
          <w:iCs w:val="1"/>
          <w:color w:val="212529"/>
        </w:rPr>
        <w:t>“Results of Operations-Impacts of COVID-19 to Autodesk’s Business.”</w:t>
      </w:r>
      <w:r>
        <w:rPr>
          <w:rFonts w:ascii="Times New Roman" w:cs="Times New Roman" w:eastAsia="Times New Roman" w:hAnsi="Times New Roman"/>
          <w:sz w:val="17"/>
          <w:szCs w:val="17"/>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Form 10-Q appears at the end of this Item 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We empower innovators to achieve the new possible - enabling them to discover first-in-kind solutions to complex design challenges, deliver tangible outcomes in record time, and make data-powered decisions for sustainable outcomes.</w:t>
      </w:r>
    </w:p>
    <w:p>
      <w:pPr>
        <w:spacing w:after="0" w:line="207"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203"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0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Autodesk was founded during the platform transition from mainframe computers and engineering workstations to personal computers. We have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32BCAD"/>
        </w:rPr>
        <w:t>Product Evolution</w:t>
      </w:r>
    </w:p>
    <w:p>
      <w:pPr>
        <w:spacing w:after="0" w:line="25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enterprise business arrangements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20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subscription plans currently represent a hybrid of desktop software and cloud functionality, which provides a device-independent, collaborative design workflow for designers and their stakeholders. Our cloud offerings, for example, BIM 360, Shotgun,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0"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8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discontinued the sale of new commercial licenses of most individual software products in fiscal 2016. Additionally, in fiscal 2018, we commenced a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 We will be retiring maintenance plan offerings as of May 7, 2021 and will allow customers to convert their remaining maintenance seats to subscription plan offerings prior to this date.</w:t>
      </w:r>
    </w:p>
    <w:p>
      <w:pPr>
        <w:spacing w:after="0" w:line="21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To support our strategic priority of re-imagining construction, we are strengthening the foundation of our construction solutions with both organic and inorganic investments. In fiscal 2020, we continued and expanded our investments in construction. We continued to make investments in the traditional data creation tools to support the design and pre-construction phases, while expanding our investment in the areas of site execution with process and project management construction cloud tools. To connect the phases of construction upstream with design, we invested in and announced our construction cloud project delivery platform that allows individuals, teams, and projects to be connected across all phases in a common data platform and increase efficiencies. The broadened product portfolio, the Autodesk Construction Cloud, has helped us expand our presence with sub-contractors, trades people, and building owners.</w:t>
      </w:r>
    </w:p>
    <w:p>
      <w:pPr>
        <w:spacing w:after="0" w:line="21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part of our strategy in manufacturing, we continue to attract both global manufacturing leaders and disruptive startups with our generative design and cloud-based Fusion 360 technology enhancements.</w:t>
      </w:r>
    </w:p>
    <w:p>
      <w:pPr>
        <w:spacing w:after="0" w:line="18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32BCAD"/>
        </w:rPr>
        <w:t>Global Reach</w:t>
      </w:r>
    </w:p>
    <w:p>
      <w:pPr>
        <w:spacing w:after="0" w:line="25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3, “Revenue Recognition” in the Notes to the Condensed Consolidated Financial Statements for further detail on the results of our indirect and direct channel sales for the three and nine months ended October 31, 2020 and 2019.</w:t>
      </w:r>
    </w:p>
    <w:p>
      <w:pPr>
        <w:spacing w:after="0" w:line="21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2" w:name="page33"/>
    <w:bookmarkEnd w:id="32"/>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21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third-party developers, customers, educators, educational institutions, learning partners,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32BCAD"/>
        </w:rPr>
        <w:t>Better World</w:t>
      </w:r>
    </w:p>
    <w:p>
      <w:pPr>
        <w:spacing w:after="0" w:line="25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To help our customers imagine, design, and make a better world, our sustainability initiatives focus our efforts on the areas where we can have the greatest positive impact: products and support, catalyzing impact and innovation, investing in our customers’ and employees’ ability to learn and develop relevant skills for in-demand roles, and leading by example with our 100% renewable and sustainable business practices. Through our products and services, we are supporting our customers to better understand and improve the environmental performance of everything they make and mitigate the causes and effects of climate change.</w:t>
      </w:r>
    </w:p>
    <w:p>
      <w:pPr>
        <w:spacing w:after="0" w:line="210"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18"/>
          <w:szCs w:val="18"/>
          <w:color w:val="auto"/>
        </w:rPr>
        <w:t>Furthermore, we are committed to fulfill our vision of helping people imagine, design, and make a better world by prioritizing Diversity and Belonging (“D&amp;B”) efforts. We have launched a project to expand our commitment through the development of a holistic, updated global D&amp;B strategy. The initiative begins with a global listening tour across Autodesk where employees representing all levels, regions, organizations, and a rich mix of demographics, are invited to join focus groups to share their input. Autodesk is committed to continuing the hard work that is required to realize progress within the company and to support the communities where we work.</w:t>
      </w:r>
    </w:p>
    <w:p>
      <w:pPr>
        <w:spacing w:after="0" w:line="21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32BCAD"/>
        </w:rPr>
        <w:t>Assumptions Behind Our Strategy</w:t>
      </w:r>
    </w:p>
    <w:p>
      <w:pPr>
        <w:spacing w:after="0" w:line="25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strategy depends upon a number of assumptions, including: making our technology available to mainstream markets; leveraging our large global network of distributors, resellers, third-party developers, customers, educators, educational institutions, learning partners,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Note 1, “Business and Summary of Significant Accounting Policies,” in the Notes to Consolidated Financial Statements in our Form 10-K for the fiscal year ended January 31, 2020.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and nine months ended October 31, 2020, as compared to those disclosed in our Form 10-K for the fiscal year ended January 31, 2020. We believe these policies are the most critical to aid in fully understanding and evaluating our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and Nine Months Ended October 31, 2020</w:t>
      </w:r>
    </w:p>
    <w:p>
      <w:pPr>
        <w:spacing w:after="0" w:line="202" w:lineRule="exact"/>
        <w:rPr>
          <w:sz w:val="20"/>
          <w:szCs w:val="20"/>
          <w:color w:val="auto"/>
        </w:rPr>
      </w:pPr>
    </w:p>
    <w:p>
      <w:pPr>
        <w:ind w:left="660" w:right="7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increased 13% and 16% to $952.4 million and $2,751.2 million for the three and nine months ended October 31, 2020, respectively, compared to the same periods in the prior fiscal year.</w:t>
      </w:r>
    </w:p>
    <w:p>
      <w:pPr>
        <w:spacing w:after="0" w:line="1"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as a percentage of net revenue was 97% for both the three and nine months ended October 31, 2020, compared to 96% for both periods in the prior fiscal year.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within the range of 100% and 110% as of October 31, 2020, and within the range of 110% and 120% as of October 31, 2019.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$2.93 billion, a decrease of 2% compared to the fourth quarter in the prior fiscal year.</w:t>
      </w:r>
    </w:p>
    <w:p>
      <w:pPr>
        <w:spacing w:after="0" w:line="63"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$3.58 billion, an increase of 1% compared to the fourth quarter in the prior fiscal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were $2.38 billion, an increase of 1% compared to the fourth quarter in the prior fiscal year.</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5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Net revenue increased during the three and nine months ended October 31, 2020, as compared to the same periods in the prior fiscal year, primarily due to the respective 24% and 28% increase in subscription revenue, partially offset by a respective 56% and 50% decrease in maintenance revenue as a result of the program to migrate customers from maintenance plans to subscription plans.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discussion of the drivers of these results, see below under the heading “Results of Operations.”</w:t>
      </w:r>
    </w:p>
    <w:p>
      <w:pPr>
        <w:spacing w:after="0" w:line="25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Tech Data Corporation and its global affiliates (collectively, “Tech Data”). Total sales to Tech Data accounted for 37% of our total net revenue for both the three and nine months ended October 31, 2020, and 35% of our total net revenue for both the three and nine months ended October 31, 2019. During both the three and nine months ended October 31, 2020 and 2019, Ingram Micro accounted for 10% of Autodesk's total net revenue. Our customers through Tech Data and Ingram Micro are the resellers and end users who purchase our software subscriptions and services.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5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metrics such as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ind w:left="42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and nine months ended October 31, 2020 and 2019:</w:t>
      </w:r>
    </w:p>
    <w:p>
      <w:pPr>
        <w:spacing w:after="0" w:line="170"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Change compared to</w:t>
      </w: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prior fiscal year</w:t>
      </w:r>
    </w:p>
    <w:tbl>
      <w:tblPr>
        <w:tblLayout w:type="fixed"/>
        <w:tblInd w:w="60" w:type="dxa"/>
        <w:tblCellMar>
          <w:top w:w="0" w:type="dxa"/>
          <w:left w:w="0" w:type="dxa"/>
          <w:bottom w:w="0" w:type="dxa"/>
          <w:right w:w="0" w:type="dxa"/>
        </w:tblCellMar>
      </w:tblPr>
      <w:tr>
        <w:trPr>
          <w:trHeight w:val="123"/>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3080" w:type="dxa"/>
            <w:vAlign w:val="bottom"/>
          </w:tcPr>
          <w:p>
            <w:pPr>
              <w:jc w:val="center"/>
              <w:ind w:left="1348"/>
              <w:spacing w:after="0" w:line="12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Borders>
              <w:top w:val="single" w:sz="8" w:color="auto"/>
            </w:tcBorders>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tcBorders>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center"/>
              <w:ind w:left="88"/>
              <w:spacing w:after="0" w:line="12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3700" w:type="dxa"/>
            <w:vAlign w:val="bottom"/>
            <w:vMerge w:val="continue"/>
          </w:tcPr>
          <w:p>
            <w:pPr>
              <w:spacing w:after="0"/>
              <w:rPr>
                <w:sz w:val="16"/>
                <w:szCs w:val="16"/>
                <w:color w:val="auto"/>
              </w:rPr>
            </w:pPr>
          </w:p>
        </w:tc>
        <w:tc>
          <w:tcPr>
            <w:tcW w:w="308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3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924.2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806.2</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451"/>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3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2,681.7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2,281.2</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20" w:hanging="412"/>
        <w:spacing w:after="0" w:line="262" w:lineRule="auto"/>
        <w:tabs>
          <w:tab w:leader="none" w:pos="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00"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within the range of 100% and 110% as of October 31, 2020, and within the range of 110% and 120% as of October 31, 2019.</w:t>
      </w:r>
    </w:p>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Japan, Germany, Finland, and the United Kingdom.</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486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4"/>
                <w:szCs w:val="14"/>
                <w:b w:val="1"/>
                <w:bCs w:val="1"/>
                <w:color w:val="auto"/>
              </w:rPr>
              <w:t>Three Months Ended October 31, 2020</w:t>
            </w:r>
          </w:p>
        </w:tc>
        <w:tc>
          <w:tcPr>
            <w:tcW w:w="80" w:type="dxa"/>
            <w:vAlign w:val="bottom"/>
          </w:tcPr>
          <w:p>
            <w:pPr>
              <w:spacing w:after="0"/>
              <w:rPr>
                <w:sz w:val="16"/>
                <w:szCs w:val="16"/>
                <w:color w:val="auto"/>
              </w:rPr>
            </w:pPr>
          </w:p>
        </w:tc>
        <w:tc>
          <w:tcPr>
            <w:tcW w:w="48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Nine Months Ended October 31, 2020</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Positive/Negative/Neutral</w:t>
            </w: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Positive/Negative/Neutral</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70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impact from foreign</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impact from foreign</w:t>
            </w:r>
          </w:p>
        </w:tc>
        <w:tc>
          <w:tcPr>
            <w:tcW w:w="0" w:type="dxa"/>
            <w:vAlign w:val="bottom"/>
          </w:tcPr>
          <w:p>
            <w:pPr>
              <w:spacing w:after="0"/>
              <w:rPr>
                <w:sz w:val="1"/>
                <w:szCs w:val="1"/>
                <w:color w:val="auto"/>
              </w:rPr>
            </w:pPr>
          </w:p>
        </w:tc>
      </w:tr>
      <w:tr>
        <w:trPr>
          <w:trHeight w:val="189"/>
        </w:trPr>
        <w:tc>
          <w:tcPr>
            <w:tcW w:w="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0" w:type="dxa"/>
            <w:vAlign w:val="bottom"/>
          </w:tcPr>
          <w:p>
            <w:pPr>
              <w:spacing w:after="0"/>
              <w:rPr>
                <w:sz w:val="1"/>
                <w:szCs w:val="1"/>
                <w:color w:val="auto"/>
              </w:rPr>
            </w:pPr>
          </w:p>
        </w:tc>
      </w:tr>
      <w:tr>
        <w:trPr>
          <w:trHeight w:val="142"/>
        </w:trPr>
        <w:tc>
          <w:tcPr>
            <w:tcW w:w="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Net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2"/>
                <w:szCs w:val="12"/>
                <w:color w:val="auto"/>
              </w:rPr>
            </w:pPr>
          </w:p>
        </w:tc>
        <w:tc>
          <w:tcPr>
            <w:tcW w:w="1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Negative</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Negative</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Total</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Neutral</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Positive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spend</w:t>
            </w: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3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5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14"/>
        </w:trPr>
        <w:tc>
          <w:tcPr>
            <w:tcW w:w="8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3,007.1</w:t>
            </w:r>
          </w:p>
        </w:tc>
      </w:tr>
      <w:tr>
        <w:trPr>
          <w:trHeight w:val="213"/>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w:t>
            </w:r>
          </w:p>
        </w:tc>
      </w:tr>
      <w:tr>
        <w:trPr>
          <w:trHeight w:val="237"/>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40" w:type="dxa"/>
            <w:vAlign w:val="bottom"/>
          </w:tcPr>
          <w:p>
            <w:pPr>
              <w:spacing w:after="0"/>
              <w:rPr>
                <w:sz w:val="16"/>
                <w:szCs w:val="16"/>
                <w:color w:val="auto"/>
              </w:rPr>
            </w:pP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15"/>
        </w:trPr>
        <w:tc>
          <w:tcPr>
            <w:tcW w:w="8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2,382.9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2,368.6</w:t>
            </w: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1,188.1</w:t>
            </w:r>
          </w:p>
        </w:tc>
      </w:tr>
      <w:tr>
        <w:trPr>
          <w:trHeight w:val="237"/>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5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At October 31, 2020, we had $1.62 billion in cash and marketable securities. Our cash flow from operations increased to $779.6 million for the nine months ended October 31, 2020, compared to $716.9 million for the nine months ended October 31, 2019. We repurchased 2.1 million shares of our common stock for $392.9 million during the nine months ended October 31, 2020. Comparatively, we repurchased 1.7 million shares of our common stock for $264.2 million during the nine months ended October 31, 2019. See further discussion regarding the balance sheet and cash flow activities under the heading “Liquidity and Capital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Impacts of COVID-19 to Autodesk’s Business</w:t>
      </w:r>
    </w:p>
    <w:p>
      <w:pPr>
        <w:spacing w:after="0" w:line="2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are continuing to conduct business during the COVID-19 pandemic with substantial modifications to employee travel, employee work locations, and virtualization, postponement, or cancellation of certain sales and marketing events, among other modifications. We have observed other companies as well as many governments continuing to take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1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the quarter ended October 31, 2020, we experienced usage levels above pre-COVID-19 levels in parts of Asia and most of Europe. Usage rates in the U.S. and parts of Europe continued to remain below pre-COVID-19 levels but remained stable in the U.S. while rates in the U.K. grew sequentially during the third fiscal quarter ended October 31, 2020. Our new business was impacted by the pandemic consistent with the usage trends. Strong enterprise deal activity, improving subscription renewal rates, digital sales, and sequential improvement in new business trends contributed to our operating performance in the third fiscal quarter ended October 31, 2020. In our target markets, both Architecture, Engineering, and Construction (“AEC”) and Manufacturing (“MFG”) experienced growth as compared to the third fiscal quarter in the prior year.</w:t>
      </w:r>
    </w:p>
    <w:p>
      <w:pPr>
        <w:spacing w:after="0" w:line="21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also took action to support our customers during the nine months ended October 31, 2020, and extended payment terms to 60 days through August 7, 2020, offering free commercial use of our cloud collaboration products through June 2020, and delayed the transition from multi-user licenses to named-user licenses from May 2020 to August 2020 to minimize customer disruption. Further, we deferred a 20% maintenance price increase from May 2020 to August 2020 to give customers additional time to consider a subscription agreement.</w:t>
      </w:r>
    </w:p>
    <w:p>
      <w:pPr>
        <w:spacing w:after="0" w:line="207"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Given the evolving business environment as a result of COVID-19, we are actively managing our spending, reducing travel and entertainment expense, monitoring our hiring rate, shifting to virtual events, and rationalizing our marketing spend. We will continue to invest in critical areas such as R&amp;D, construction, and digitizing the company to ensure our future success as we come out of the pandemic.</w:t>
      </w:r>
    </w:p>
    <w:p>
      <w:pPr>
        <w:spacing w:after="0" w:line="20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believe our investment in cloud products and a subscription business model, backed by a strong balance sheet, give us a robust foundation to successfully navigate the economic challenges of COVID-19. The extent of the impact on our business in fiscal 2021 and beyond will depend on several factors, including: the full duration and the extent of the pandemic; actions taken by governments, businesses, and consumers in response to the pandemic; speed and timing of economic recovery, including in particular geographies; our billings and renewal rates including new business close rates, rate of multi-year contracts, pace of closing larger transactions, and new unit volume growth; and effect of the pandemic on margins and cash flow. All of these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factors continue to evolve and remain uncertain at this time, and some of these factors are not within our control. Further discussion of the potential impacts of COVID-19 on our business can be found in Part II, Item 1A,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5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recognized ratably over the contract term commencing with the date our service is made available to customers and when all other revenue recognition criteria have been satisfied.</w:t>
      </w:r>
    </w:p>
    <w:p>
      <w:pPr>
        <w:spacing w:after="0" w:line="203"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3" w:lineRule="exact"/>
        <w:rPr>
          <w:sz w:val="20"/>
          <w:szCs w:val="20"/>
          <w:color w:val="auto"/>
        </w:rPr>
      </w:pPr>
    </w:p>
    <w:p>
      <w:pPr>
        <w:ind w:right="320" w:firstLine="405"/>
        <w:spacing w:after="0" w:line="312" w:lineRule="auto"/>
        <w:rPr>
          <w:sz w:val="20"/>
          <w:szCs w:val="20"/>
          <w:color w:val="auto"/>
        </w:rPr>
      </w:pPr>
      <w:r>
        <w:rPr>
          <w:rFonts w:ascii="Times New Roman" w:cs="Times New Roman" w:eastAsia="Times New Roman" w:hAnsi="Times New Roman"/>
          <w:sz w:val="17"/>
          <w:szCs w:val="17"/>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194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40" w:type="dxa"/>
            <w:vAlign w:val="bottom"/>
          </w:tcPr>
          <w:p>
            <w:pPr>
              <w:spacing w:after="0"/>
              <w:rPr>
                <w:sz w:val="13"/>
                <w:szCs w:val="13"/>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4"/>
                <w:szCs w:val="14"/>
                <w:color w:val="auto"/>
              </w:rPr>
            </w:pPr>
          </w:p>
        </w:tc>
        <w:tc>
          <w:tcPr>
            <w:tcW w:w="76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4"/>
                <w:szCs w:val="14"/>
                <w:color w:val="auto"/>
              </w:rPr>
            </w:pPr>
          </w:p>
        </w:tc>
        <w:tc>
          <w:tcPr>
            <w:tcW w:w="31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Subscription</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884.4</w:t>
            </w:r>
          </w:p>
        </w:tc>
        <w:tc>
          <w:tcPr>
            <w:tcW w:w="1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169.4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715.0</w:t>
            </w: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Increase due to growth across all subscription</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types, led by product subscription renewal</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revenue. Also contributing to the growth was an</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increase in revenue from new product</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subscriptions and EBA offerings.</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Maintenance (1)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Decrease primarily due to the migration of</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maintenance plan subscriptions to subscription</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 subscriptions with the M2S program.</w:t>
            </w:r>
          </w:p>
        </w:tc>
        <w:tc>
          <w:tcPr>
            <w:tcW w:w="0" w:type="dxa"/>
            <w:vAlign w:val="bottom"/>
          </w:tcPr>
          <w:p>
            <w:pPr>
              <w:spacing w:after="0"/>
              <w:rPr>
                <w:sz w:val="1"/>
                <w:szCs w:val="1"/>
                <w:color w:val="auto"/>
              </w:rPr>
            </w:pPr>
          </w:p>
        </w:tc>
      </w:tr>
      <w:tr>
        <w:trPr>
          <w:trHeight w:val="207"/>
        </w:trPr>
        <w:tc>
          <w:tcPr>
            <w:tcW w:w="4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4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w:t>
            </w: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02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19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4"/>
                <w:szCs w:val="14"/>
                <w:color w:val="auto"/>
              </w:rPr>
            </w:pPr>
          </w:p>
        </w:tc>
        <w:tc>
          <w:tcPr>
            <w:tcW w:w="7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4"/>
                <w:szCs w:val="14"/>
                <w:color w:val="auto"/>
              </w:rPr>
            </w:pPr>
          </w:p>
        </w:tc>
        <w:tc>
          <w:tcPr>
            <w:tcW w:w="316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Subscription</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2,528.6</w:t>
            </w:r>
          </w:p>
        </w:tc>
        <w:tc>
          <w:tcPr>
            <w:tcW w:w="1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554.1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1,974.5</w:t>
            </w: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Increase due to growth across all subscription</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types, led by product subscription renewal</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revenue. Also contributing to the growth was an</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increase in revenue from new product</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subscriptions and EBA offerings.</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Maintenance (1)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(153.6)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306.7</w:t>
            </w: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Decrease primarily due to the migration of</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maintenance plan subscriptions to subscription</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 subscriptions with the M2S program.</w:t>
            </w:r>
          </w:p>
        </w:tc>
        <w:tc>
          <w:tcPr>
            <w:tcW w:w="0" w:type="dxa"/>
            <w:vAlign w:val="bottom"/>
          </w:tcPr>
          <w:p>
            <w:pPr>
              <w:spacing w:after="0"/>
              <w:rPr>
                <w:sz w:val="1"/>
                <w:szCs w:val="1"/>
                <w:color w:val="auto"/>
              </w:rPr>
            </w:pPr>
          </w:p>
        </w:tc>
      </w:tr>
      <w:tr>
        <w:trPr>
          <w:trHeight w:val="207"/>
        </w:trPr>
        <w:tc>
          <w:tcPr>
            <w:tcW w:w="4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4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2,281.2</w:t>
            </w: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2,751.2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right="460" w:hanging="412"/>
        <w:spacing w:after="0" w:line="262" w:lineRule="auto"/>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maintenance revenue will slowly decline; however, the rate of decline will vary based on the number of renewals, the renewal rate, and our ability to incentivize maintenance plan customers to transition to subscription plan offerings.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2" w:right="35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54"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AEC, AutoCAD and AutoCAD LT, MFG, and Media and Entertainment (“M&amp;E”).</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20" w:type="dxa"/>
            <w:vAlign w:val="bottom"/>
          </w:tcPr>
          <w:p>
            <w:pPr>
              <w:spacing w:after="0"/>
              <w:rPr>
                <w:sz w:val="13"/>
                <w:szCs w:val="13"/>
                <w:color w:val="auto"/>
              </w:rPr>
            </w:pPr>
          </w:p>
        </w:tc>
        <w:tc>
          <w:tcPr>
            <w:tcW w:w="14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220" w:type="dxa"/>
            <w:vAlign w:val="bottom"/>
          </w:tcPr>
          <w:p>
            <w:pPr>
              <w:spacing w:after="0"/>
              <w:rPr>
                <w:sz w:val="14"/>
                <w:szCs w:val="14"/>
                <w:color w:val="auto"/>
              </w:rPr>
            </w:pPr>
          </w:p>
        </w:tc>
        <w:tc>
          <w:tcPr>
            <w:tcW w:w="6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4"/>
                <w:szCs w:val="14"/>
                <w:color w:val="auto"/>
              </w:rPr>
            </w:pPr>
          </w:p>
        </w:tc>
        <w:tc>
          <w:tcPr>
            <w:tcW w:w="35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419.4</w:t>
            </w:r>
          </w:p>
        </w:tc>
        <w:tc>
          <w:tcPr>
            <w:tcW w:w="100" w:type="dxa"/>
            <w:vAlign w:val="bottom"/>
          </w:tcPr>
          <w:p>
            <w:pPr>
              <w:spacing w:after="0"/>
              <w:rPr>
                <w:sz w:val="14"/>
                <w:szCs w:val="14"/>
                <w:color w:val="auto"/>
              </w:rPr>
            </w:pPr>
          </w:p>
        </w:tc>
        <w:tc>
          <w:tcPr>
            <w:tcW w:w="2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358.0</w:t>
            </w: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Up due to increases in revenue from AEC</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Collections, EBAs, BIM 360, and PlanGrid.</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245.4</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Up due to increases in revenue from both AutoCAD</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AutoCAD LT.</w:t>
            </w:r>
          </w:p>
        </w:tc>
        <w:tc>
          <w:tcPr>
            <w:tcW w:w="0" w:type="dxa"/>
            <w:vAlign w:val="bottom"/>
          </w:tcPr>
          <w:p>
            <w:pPr>
              <w:spacing w:after="0"/>
              <w:rPr>
                <w:sz w:val="1"/>
                <w:szCs w:val="1"/>
                <w:color w:val="auto"/>
              </w:rPr>
            </w:pPr>
          </w:p>
        </w:tc>
      </w:tr>
      <w:tr>
        <w:trPr>
          <w:trHeight w:val="162"/>
        </w:trPr>
        <w:tc>
          <w:tcPr>
            <w:tcW w:w="35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4"/>
                <w:szCs w:val="14"/>
                <w:color w:val="auto"/>
              </w:rPr>
            </w:pPr>
          </w:p>
        </w:tc>
        <w:tc>
          <w:tcPr>
            <w:tcW w:w="70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194.1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Up due to increases in revenue from MFG</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Collections, EBAs, and Fusion360.</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Up due to increases in revenue from M&amp;E</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EBAs, Maya, and 3DS Max.</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5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20" w:type="dxa"/>
            <w:vAlign w:val="bottom"/>
          </w:tcPr>
          <w:p>
            <w:pPr>
              <w:spacing w:after="0"/>
              <w:rPr>
                <w:sz w:val="24"/>
                <w:szCs w:val="24"/>
                <w:color w:val="auto"/>
              </w:rPr>
            </w:pP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2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1,199.1</w:t>
            </w:r>
          </w:p>
        </w:tc>
        <w:tc>
          <w:tcPr>
            <w:tcW w:w="100" w:type="dxa"/>
            <w:vAlign w:val="bottom"/>
          </w:tcPr>
          <w:p>
            <w:pPr>
              <w:spacing w:after="0"/>
              <w:rPr>
                <w:sz w:val="14"/>
                <w:szCs w:val="14"/>
                <w:color w:val="auto"/>
              </w:rPr>
            </w:pPr>
          </w:p>
        </w:tc>
        <w:tc>
          <w:tcPr>
            <w:tcW w:w="2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996.5</w:t>
            </w: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Up due to increases in revenue from AEC</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Collections, EBAs, BIM 360, and PlanGrid.</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ACAD and AutoCAD LT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812.9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123.0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689.9</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Up due to increases in revenue from both AutoCAD</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AutoCAD LT.</w:t>
            </w:r>
          </w:p>
        </w:tc>
        <w:tc>
          <w:tcPr>
            <w:tcW w:w="0" w:type="dxa"/>
            <w:vAlign w:val="bottom"/>
          </w:tcPr>
          <w:p>
            <w:pPr>
              <w:spacing w:after="0"/>
              <w:rPr>
                <w:sz w:val="1"/>
                <w:szCs w:val="1"/>
                <w:color w:val="auto"/>
              </w:rPr>
            </w:pPr>
          </w:p>
        </w:tc>
      </w:tr>
      <w:tr>
        <w:trPr>
          <w:trHeight w:val="162"/>
        </w:trPr>
        <w:tc>
          <w:tcPr>
            <w:tcW w:w="35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4"/>
                <w:szCs w:val="14"/>
                <w:color w:val="auto"/>
              </w:rPr>
            </w:pPr>
          </w:p>
        </w:tc>
        <w:tc>
          <w:tcPr>
            <w:tcW w:w="70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562.5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524.3</w:t>
            </w: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Up due to increases in revenue from MFG</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Collections, EBAs, and Fusion360.</w:t>
            </w: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159.9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line="165" w:lineRule="exact"/>
              <w:rPr>
                <w:sz w:val="20"/>
                <w:szCs w:val="20"/>
                <w:color w:val="auto"/>
              </w:rPr>
            </w:pPr>
            <w:r>
              <w:rPr>
                <w:rFonts w:ascii="Times New Roman" w:cs="Times New Roman" w:eastAsia="Times New Roman" w:hAnsi="Times New Roman"/>
                <w:sz w:val="16"/>
                <w:szCs w:val="16"/>
                <w:color w:val="auto"/>
              </w:rPr>
              <w:t>146.9</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Up due to increases in revenue from M&amp;E</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Maya, EBAs, and 3DS Max.</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9" w:name="page40"/>
    <w:bookmarkEnd w:id="39"/>
    <w:p>
      <w:pPr>
        <w:ind w:left="22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compared to prior fiscal</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00" w:type="dxa"/>
            <w:vAlign w:val="bottom"/>
            <w:gridSpan w:val="3"/>
            <w:vMerge w:val="continue"/>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4"/>
                <w:szCs w:val="4"/>
                <w:color w:val="auto"/>
              </w:rPr>
            </w:pPr>
          </w:p>
        </w:tc>
        <w:tc>
          <w:tcPr>
            <w:tcW w:w="1720" w:type="dxa"/>
            <w:vAlign w:val="bottom"/>
            <w:tcBorders>
              <w:top w:val="single" w:sz="8" w:color="auto"/>
            </w:tcBorders>
            <w:vMerge w:val="restart"/>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41.2</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1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43.6</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EMEA</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APAC</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109.7</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Emerging Economies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465"/>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compared to prior fiscal</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00" w:type="dxa"/>
            <w:vAlign w:val="bottom"/>
            <w:gridSpan w:val="3"/>
            <w:vMerge w:val="continue"/>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4"/>
                <w:szCs w:val="4"/>
                <w:color w:val="auto"/>
              </w:rPr>
            </w:pPr>
          </w:p>
        </w:tc>
        <w:tc>
          <w:tcPr>
            <w:tcW w:w="1720" w:type="dxa"/>
            <w:vAlign w:val="bottom"/>
            <w:tcBorders>
              <w:top w:val="single" w:sz="8" w:color="auto"/>
            </w:tcBorders>
            <w:vMerge w:val="restart"/>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134.3</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w:t>
            </w:r>
          </w:p>
        </w:tc>
        <w:tc>
          <w:tcPr>
            <w:tcW w:w="11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155.6</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EMEA</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APAC</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99.8</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376.2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Emerging Economies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53.1</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0" w:type="dxa"/>
            <w:vAlign w:val="bottom"/>
          </w:tcPr>
          <w:p>
            <w:pPr>
              <w:spacing w:after="0"/>
              <w:rPr>
                <w:sz w:val="1"/>
                <w:szCs w:val="1"/>
                <w:color w:val="auto"/>
              </w:rPr>
            </w:pPr>
          </w:p>
        </w:tc>
      </w:tr>
      <w:tr>
        <w:trPr>
          <w:trHeight w:val="28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20" w:type="dxa"/>
            <w:vAlign w:val="bottom"/>
          </w:tcPr>
          <w:p>
            <w:pPr>
              <w:spacing w:after="0"/>
              <w:rPr>
                <w:sz w:val="13"/>
                <w:szCs w:val="13"/>
                <w:color w:val="auto"/>
              </w:rPr>
            </w:pPr>
          </w:p>
        </w:tc>
        <w:tc>
          <w:tcPr>
            <w:tcW w:w="14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4"/>
                <w:szCs w:val="14"/>
                <w:color w:val="auto"/>
              </w:rPr>
            </w:pPr>
          </w:p>
        </w:tc>
        <w:tc>
          <w:tcPr>
            <w:tcW w:w="68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4"/>
                <w:szCs w:val="14"/>
                <w:color w:val="auto"/>
              </w:rPr>
            </w:pPr>
          </w:p>
        </w:tc>
        <w:tc>
          <w:tcPr>
            <w:tcW w:w="354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Indirect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6"/>
                <w:szCs w:val="16"/>
                <w:color w:val="auto"/>
              </w:rPr>
              <w:t>656.2</w:t>
            </w:r>
          </w:p>
        </w:tc>
        <w:tc>
          <w:tcPr>
            <w:tcW w:w="100" w:type="dxa"/>
            <w:vAlign w:val="bottom"/>
          </w:tcPr>
          <w:p>
            <w:pPr>
              <w:spacing w:after="0"/>
              <w:rPr>
                <w:sz w:val="14"/>
                <w:szCs w:val="14"/>
                <w:color w:val="auto"/>
              </w:rPr>
            </w:pPr>
          </w:p>
        </w:tc>
        <w:tc>
          <w:tcPr>
            <w:tcW w:w="2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6"/>
                <w:szCs w:val="16"/>
                <w:color w:val="auto"/>
              </w:rPr>
              <w:t>586.6</w:t>
            </w: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Up due to an increase in subscription revenue offset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by lower maintenance plan subscriptions as we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continue to migrate customers to subscriptions</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through the M2S program.</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Direct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5" w:lineRule="exact"/>
              <w:rPr>
                <w:sz w:val="20"/>
                <w:szCs w:val="20"/>
                <w:color w:val="auto"/>
              </w:rPr>
            </w:pPr>
            <w:r>
              <w:rPr>
                <w:rFonts w:ascii="Times New Roman" w:cs="Times New Roman" w:eastAsia="Times New Roman" w:hAnsi="Times New Roman"/>
                <w:sz w:val="16"/>
                <w:szCs w:val="16"/>
                <w:color w:val="auto"/>
              </w:rPr>
              <w:t>296.2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line="165" w:lineRule="exact"/>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line="165" w:lineRule="exact"/>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Up due to an increase in EBAs and our online</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branded store.</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5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20" w:type="dxa"/>
            <w:vAlign w:val="bottom"/>
          </w:tcPr>
          <w:p>
            <w:pPr>
              <w:spacing w:after="0"/>
              <w:rPr>
                <w:sz w:val="24"/>
                <w:szCs w:val="24"/>
                <w:color w:val="auto"/>
              </w:rPr>
            </w:pPr>
          </w:p>
        </w:tc>
        <w:tc>
          <w:tcPr>
            <w:tcW w:w="1480" w:type="dxa"/>
            <w:vAlign w:val="bottom"/>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4"/>
                <w:szCs w:val="14"/>
                <w:color w:val="auto"/>
              </w:rPr>
            </w:pPr>
          </w:p>
        </w:tc>
        <w:tc>
          <w:tcPr>
            <w:tcW w:w="68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4"/>
                <w:szCs w:val="14"/>
                <w:color w:val="auto"/>
              </w:rPr>
            </w:pPr>
          </w:p>
        </w:tc>
        <w:tc>
          <w:tcPr>
            <w:tcW w:w="354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Indirect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6"/>
                <w:szCs w:val="16"/>
                <w:color w:val="auto"/>
              </w:rPr>
              <w:t>1,918.9</w:t>
            </w:r>
          </w:p>
        </w:tc>
        <w:tc>
          <w:tcPr>
            <w:tcW w:w="100" w:type="dxa"/>
            <w:vAlign w:val="bottom"/>
          </w:tcPr>
          <w:p>
            <w:pPr>
              <w:spacing w:after="0"/>
              <w:rPr>
                <w:sz w:val="14"/>
                <w:szCs w:val="14"/>
                <w:color w:val="auto"/>
              </w:rPr>
            </w:pPr>
          </w:p>
        </w:tc>
        <w:tc>
          <w:tcPr>
            <w:tcW w:w="2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6"/>
                <w:szCs w:val="16"/>
                <w:color w:val="auto"/>
              </w:rPr>
              <w:t>1,663.2</w:t>
            </w: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Up due to an increase in subscription revenue offset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by lower maintenance plan subscriptions as we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continue to migrate customers to subscriptions</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through the M2S program.</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Direct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
              <w:spacing w:after="0" w:line="165" w:lineRule="exact"/>
              <w:rPr>
                <w:sz w:val="20"/>
                <w:szCs w:val="20"/>
                <w:color w:val="auto"/>
              </w:rPr>
            </w:pPr>
            <w:r>
              <w:rPr>
                <w:rFonts w:ascii="Times New Roman" w:cs="Times New Roman" w:eastAsia="Times New Roman" w:hAnsi="Times New Roman"/>
                <w:sz w:val="16"/>
                <w:szCs w:val="16"/>
                <w:color w:val="auto"/>
              </w:rPr>
              <w:t>832.3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line="165" w:lineRule="exact"/>
              <w:rPr>
                <w:sz w:val="20"/>
                <w:szCs w:val="20"/>
                <w:color w:val="auto"/>
              </w:rPr>
            </w:pPr>
            <w:r>
              <w:rPr>
                <w:rFonts w:ascii="Times New Roman" w:cs="Times New Roman" w:eastAsia="Times New Roman" w:hAnsi="Times New Roman"/>
                <w:sz w:val="16"/>
                <w:szCs w:val="16"/>
                <w:color w:val="auto"/>
              </w:rPr>
              <w:t>120.5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line="165" w:lineRule="exact"/>
              <w:rPr>
                <w:sz w:val="20"/>
                <w:szCs w:val="20"/>
                <w:color w:val="auto"/>
              </w:rPr>
            </w:pPr>
            <w:r>
              <w:rPr>
                <w:rFonts w:ascii="Times New Roman" w:cs="Times New Roman" w:eastAsia="Times New Roman" w:hAnsi="Times New Roman"/>
                <w:sz w:val="16"/>
                <w:szCs w:val="16"/>
                <w:color w:val="auto"/>
              </w:rPr>
              <w:t>711.8</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Up due to an increase in EBAs and our online</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branded store.</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2,751.2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20" w:type="dxa"/>
            <w:vAlign w:val="bottom"/>
            <w:gridSpan w:val="3"/>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Design</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Increase is due to growth in AEC &amp; MFG</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99.4</w:t>
            </w: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748.3</w:t>
            </w:r>
          </w:p>
        </w:tc>
        <w:tc>
          <w:tcPr>
            <w:tcW w:w="100" w:type="dxa"/>
            <w:vAlign w:val="bottom"/>
          </w:tcPr>
          <w:p>
            <w:pPr>
              <w:spacing w:after="0"/>
              <w:rPr>
                <w:sz w:val="14"/>
                <w:szCs w:val="14"/>
                <w:color w:val="auto"/>
              </w:rPr>
            </w:pPr>
          </w:p>
        </w:tc>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collections, AutoCAD Family, AutoCAD LT,</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EBA offerings.</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Make</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primarily due to growth in revenue</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18.6</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from BIM Family, Plangrid, and Fusion</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109.7</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20" w:type="dxa"/>
            <w:vAlign w:val="bottom"/>
            <w:gridSpan w:val="3"/>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Design</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Increase is due to growth in AEC &amp; MFG</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340.4</w:t>
            </w: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100" w:type="dxa"/>
            <w:vAlign w:val="bottom"/>
          </w:tcPr>
          <w:p>
            <w:pPr>
              <w:spacing w:after="0"/>
              <w:rPr>
                <w:sz w:val="14"/>
                <w:szCs w:val="14"/>
                <w:color w:val="auto"/>
              </w:rPr>
            </w:pPr>
          </w:p>
        </w:tc>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collections, AutoCAD Family, AutoCAD LT,</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EBA offerings.</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Make</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primarily due to growth in revenue</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60.1</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from BIM Family, Plangrid, and Fusion</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376.2</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41" w:name="page42"/>
    <w:bookmarkEnd w:id="41"/>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5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207"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3" w:lineRule="exact"/>
        <w:rPr>
          <w:sz w:val="20"/>
          <w:szCs w:val="20"/>
          <w:color w:val="auto"/>
        </w:rPr>
      </w:pPr>
    </w:p>
    <w:p>
      <w:pPr>
        <w:ind w:right="560" w:firstLine="445"/>
        <w:spacing w:after="0" w:line="26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3"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210"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207"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acquisition-related transition costs, and the cost of supplies and equipment.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60" w:type="dxa"/>
            <w:vAlign w:val="bottom"/>
          </w:tcPr>
          <w:p>
            <w:pPr>
              <w:spacing w:after="0"/>
              <w:rPr>
                <w:sz w:val="13"/>
                <w:szCs w:val="13"/>
                <w:color w:val="auto"/>
              </w:rPr>
            </w:pPr>
          </w:p>
        </w:tc>
        <w:tc>
          <w:tcPr>
            <w:tcW w:w="1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7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3"/>
              <w:spacing w:after="0" w:line="13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4"/>
                <w:szCs w:val="14"/>
                <w:color w:val="auto"/>
              </w:rPr>
            </w:pPr>
          </w:p>
        </w:tc>
        <w:tc>
          <w:tcPr>
            <w:tcW w:w="60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4"/>
                <w:szCs w:val="14"/>
                <w:color w:val="auto"/>
              </w:rPr>
            </w:pPr>
          </w:p>
        </w:tc>
        <w:tc>
          <w:tcPr>
            <w:tcW w:w="45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60.7</w:t>
            </w:r>
          </w:p>
        </w:tc>
        <w:tc>
          <w:tcPr>
            <w:tcW w:w="1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6.5</w:t>
            </w:r>
          </w:p>
        </w:tc>
        <w:tc>
          <w:tcPr>
            <w:tcW w:w="9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4"/>
                <w:szCs w:val="14"/>
                <w:color w:val="auto"/>
              </w:rPr>
            </w:pPr>
          </w:p>
        </w:tc>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Increase primarily due to an increase in cloud hosting costs as well as</w:t>
            </w: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an increase employee-related costs driven by higher headcount.</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(1.5)</w:t>
            </w:r>
          </w:p>
        </w:tc>
        <w:tc>
          <w:tcPr>
            <w:tcW w:w="960" w:type="dxa"/>
            <w:vAlign w:val="bottom"/>
            <w:gridSpan w:val="2"/>
            <w:shd w:val="clear" w:color="auto" w:fill="CCEEFF"/>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Decrease primarily due to a decrease in travel and entertainment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as well as a decrease in professional fees.</w:t>
            </w:r>
          </w:p>
        </w:tc>
        <w:tc>
          <w:tcPr>
            <w:tcW w:w="0" w:type="dxa"/>
            <w:vAlign w:val="bottom"/>
          </w:tcPr>
          <w:p>
            <w:pPr>
              <w:spacing w:after="0"/>
              <w:rPr>
                <w:sz w:val="1"/>
                <w:szCs w:val="1"/>
                <w:color w:val="auto"/>
              </w:rPr>
            </w:pPr>
          </w:p>
        </w:tc>
      </w:tr>
      <w:tr>
        <w:trPr>
          <w:trHeight w:val="162"/>
        </w:trPr>
        <w:tc>
          <w:tcPr>
            <w:tcW w:w="28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Amortization of developed technology</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(0.8)</w:t>
            </w:r>
          </w:p>
        </w:tc>
        <w:tc>
          <w:tcPr>
            <w:tcW w:w="9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4"/>
                <w:szCs w:val="14"/>
                <w:color w:val="auto"/>
              </w:rPr>
            </w:pPr>
          </w:p>
        </w:tc>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Decrease primarily due to previously acquired developed</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technologies continuing to become fully amortized partially offset by</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amortization from recently acquired developed technology.</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cost of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Marketing and sales</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359.3</w:t>
            </w:r>
          </w:p>
        </w:tc>
        <w:tc>
          <w:tcPr>
            <w:tcW w:w="1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28.6</w:t>
            </w:r>
          </w:p>
        </w:tc>
        <w:tc>
          <w:tcPr>
            <w:tcW w:w="9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330.7</w:t>
            </w:r>
          </w:p>
        </w:tc>
        <w:tc>
          <w:tcPr>
            <w:tcW w:w="120" w:type="dxa"/>
            <w:vAlign w:val="bottom"/>
          </w:tcPr>
          <w:p>
            <w:pPr>
              <w:spacing w:after="0"/>
              <w:rPr>
                <w:sz w:val="14"/>
                <w:szCs w:val="14"/>
                <w:color w:val="auto"/>
              </w:rPr>
            </w:pPr>
          </w:p>
        </w:tc>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Increase primarily due to an increase in employee-related costs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driven by higher headcount, an increase in cloud hosting costs, as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well as an increase in stock-based compensation expense partially</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offset by lower travel and entertainment expenses.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16"/>
                <w:szCs w:val="16"/>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primarily due to an increase in employee-related costs</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driven by higher headcount, an increase in cloud hosting costs, as</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well as an increase in stock-based compensation expense partially</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offset by lower travel and entertainment expense.</w:t>
            </w:r>
          </w:p>
        </w:tc>
        <w:tc>
          <w:tcPr>
            <w:tcW w:w="0" w:type="dxa"/>
            <w:vAlign w:val="bottom"/>
          </w:tcPr>
          <w:p>
            <w:pPr>
              <w:spacing w:after="0"/>
              <w:rPr>
                <w:sz w:val="1"/>
                <w:szCs w:val="1"/>
                <w:color w:val="auto"/>
              </w:rPr>
            </w:pPr>
          </w:p>
        </w:tc>
      </w:tr>
      <w:tr>
        <w:trPr>
          <w:trHeight w:val="162"/>
        </w:trPr>
        <w:tc>
          <w:tcPr>
            <w:tcW w:w="2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Decrease primarily due to a decrease in stock-based compensation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expense and lower travel and entertainment expenses partially offset</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 an increase in employee-related costs driven by higher headcount.</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(0.1)</w:t>
            </w:r>
          </w:p>
        </w:tc>
        <w:tc>
          <w:tcPr>
            <w:tcW w:w="96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Decrease as previously acquired purchased intangibles continue to</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become fully amortized partially offset by amortization from</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recently acquired purchased intangibles.</w:t>
            </w:r>
          </w:p>
        </w:tc>
        <w:tc>
          <w:tcPr>
            <w:tcW w:w="0" w:type="dxa"/>
            <w:vAlign w:val="bottom"/>
          </w:tcPr>
          <w:p>
            <w:pPr>
              <w:spacing w:after="0"/>
              <w:rPr>
                <w:sz w:val="1"/>
                <w:szCs w:val="1"/>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5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gridSpan w:val="3"/>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86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24"/>
                <w:szCs w:val="24"/>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4"/>
                <w:szCs w:val="14"/>
                <w:color w:val="auto"/>
              </w:rPr>
            </w:pPr>
          </w:p>
        </w:tc>
        <w:tc>
          <w:tcPr>
            <w:tcW w:w="6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4"/>
                <w:szCs w:val="14"/>
                <w:color w:val="auto"/>
              </w:rPr>
            </w:pPr>
          </w:p>
        </w:tc>
        <w:tc>
          <w:tcPr>
            <w:tcW w:w="45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8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176.6</w:t>
            </w:r>
          </w:p>
        </w:tc>
        <w:tc>
          <w:tcPr>
            <w:tcW w:w="1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9.7</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Increase primarily due to an increase in cloud hosting costs as well</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an increase in stock-based compensation expense.</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(1.1)</w:t>
            </w:r>
          </w:p>
        </w:tc>
        <w:tc>
          <w:tcPr>
            <w:tcW w:w="96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Decrease primarily due to lower travel and entertainment expense</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partially offset by an increase in employee-related costs driven by</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higher headcount.</w:t>
            </w:r>
          </w:p>
        </w:tc>
        <w:tc>
          <w:tcPr>
            <w:tcW w:w="0" w:type="dxa"/>
            <w:vAlign w:val="bottom"/>
          </w:tcPr>
          <w:p>
            <w:pPr>
              <w:spacing w:after="0"/>
              <w:rPr>
                <w:sz w:val="1"/>
                <w:szCs w:val="1"/>
                <w:color w:val="auto"/>
              </w:rPr>
            </w:pPr>
          </w:p>
        </w:tc>
      </w:tr>
      <w:tr>
        <w:trPr>
          <w:trHeight w:val="162"/>
        </w:trPr>
        <w:tc>
          <w:tcPr>
            <w:tcW w:w="2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Amortization of developed</w:t>
            </w: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(3.8)</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Decrease primarily due to previously acquired developed</w:t>
            </w:r>
          </w:p>
        </w:tc>
        <w:tc>
          <w:tcPr>
            <w:tcW w:w="0" w:type="dxa"/>
            <w:vAlign w:val="bottom"/>
          </w:tcPr>
          <w:p>
            <w:pPr>
              <w:spacing w:after="0"/>
              <w:rPr>
                <w:sz w:val="1"/>
                <w:szCs w:val="1"/>
                <w:color w:val="auto"/>
              </w:rPr>
            </w:pPr>
          </w:p>
        </w:tc>
      </w:tr>
      <w:tr>
        <w:trPr>
          <w:trHeight w:val="162"/>
        </w:trPr>
        <w:tc>
          <w:tcPr>
            <w:tcW w:w="286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technology</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technologies continuing to become fully amortized partially offset by</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from recently acquired developed technology.</w:t>
            </w:r>
          </w:p>
        </w:tc>
        <w:tc>
          <w:tcPr>
            <w:tcW w:w="0" w:type="dxa"/>
            <w:vAlign w:val="bottom"/>
          </w:tcPr>
          <w:p>
            <w:pPr>
              <w:spacing w:after="0"/>
              <w:rPr>
                <w:sz w:val="1"/>
                <w:szCs w:val="1"/>
                <w:color w:val="auto"/>
              </w:rPr>
            </w:pPr>
          </w:p>
        </w:tc>
      </w:tr>
      <w:tr>
        <w:trPr>
          <w:trHeight w:val="235"/>
        </w:trPr>
        <w:tc>
          <w:tcPr>
            <w:tcW w:w="2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Marketing and sales</w:t>
            </w:r>
          </w:p>
        </w:tc>
        <w:tc>
          <w:tcPr>
            <w:tcW w:w="18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1,051.5</w:t>
            </w:r>
          </w:p>
        </w:tc>
        <w:tc>
          <w:tcPr>
            <w:tcW w:w="1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90.7</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960.8</w:t>
            </w: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Increase primarily due to increased employee-related costs driven by</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higher headcount, an increase in stock-based compensation expense,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 well as an increase in cloud hosting costs partially offset by a</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travel and entertainment expenses.</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682.9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48.9</w:t>
            </w:r>
          </w:p>
        </w:tc>
        <w:tc>
          <w:tcPr>
            <w:tcW w:w="96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634.0</w:t>
            </w: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primarily due to increased employee-related costs driven by</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higher headcount, an increase in stock-based compensation expense,</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as well as an increase in cloud hosting costs partially offset by a</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travel and entertainment expenses.</w:t>
            </w:r>
          </w:p>
        </w:tc>
        <w:tc>
          <w:tcPr>
            <w:tcW w:w="0" w:type="dxa"/>
            <w:vAlign w:val="bottom"/>
          </w:tcPr>
          <w:p>
            <w:pPr>
              <w:spacing w:after="0"/>
              <w:rPr>
                <w:sz w:val="1"/>
                <w:szCs w:val="1"/>
                <w:color w:val="auto"/>
              </w:rPr>
            </w:pPr>
          </w:p>
        </w:tc>
      </w:tr>
      <w:tr>
        <w:trPr>
          <w:trHeight w:val="162"/>
        </w:trPr>
        <w:tc>
          <w:tcPr>
            <w:tcW w:w="2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296.8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(2.8)</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Decrease primarily due to lower stock-based compensation expense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and a decrease in travel and entertainment expenses partially offset</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by increased employee-related costs driven by higher headcount and</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 increase in cloud hosting costs.</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(0.4)</w:t>
            </w:r>
          </w:p>
        </w:tc>
        <w:tc>
          <w:tcPr>
            <w:tcW w:w="96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Decrease as previously acquired purchased intangibles continue to</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become fully amortized partially offset by recently acquired</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intangibles.</w:t>
            </w:r>
          </w:p>
        </w:tc>
        <w:tc>
          <w:tcPr>
            <w:tcW w:w="0" w:type="dxa"/>
            <w:vAlign w:val="bottom"/>
          </w:tcPr>
          <w:p>
            <w:pPr>
              <w:spacing w:after="0"/>
              <w:rPr>
                <w:sz w:val="1"/>
                <w:szCs w:val="1"/>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5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3" w:name="page44"/>
    <w:bookmarkEnd w:id="43"/>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and percent of revenue change between the fourth quarter of fiscal 2021, as compared to the fourth quarter of fiscal 2020:</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Absolute dollar impact</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net revenue impact</w:t>
            </w:r>
          </w:p>
        </w:tc>
      </w:tr>
      <w:tr>
        <w:trPr>
          <w:trHeight w:val="214"/>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Increase</w:t>
            </w:r>
          </w:p>
        </w:tc>
        <w:tc>
          <w:tcPr>
            <w:tcW w:w="1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Increase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Decrease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Decrease</w:t>
            </w:r>
          </w:p>
        </w:tc>
      </w:tr>
      <w:tr>
        <w:trPr>
          <w:trHeight w:val="21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Flat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and Other Expense, Net</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expense,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8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expense,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foreign currency</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non-marketable equity securities,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Interest and other expense, net, decreased by $2.3 million and increased by $31.4 million during the three and nine months ended October 31, 2020, respectively, as compared to the same periods in the prior fiscal year. The decrease in the three months ended October 31, 2020, as compared to the same period in the prior fiscal year was primarily due to an increase in other income related to foreign R&amp;D tax credits and a decrease in interest expense as result of the payment in full of our term loan offset by a decrease in interest income. The increase in the nine months ended October 31, 2020, as compared to the same period in the prior fiscal year was primarily due to an increase in negative adjustments, including impairments, on our non-marketable equity securities, and a decrease in interest income and mark-to-market gains on marketable securities, offset by a decrease in interest expense as result of the payment in full of our term loan.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5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54"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203"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had an income tax expense of $23.9 million, relative to pre-tax income of $156.1 million for the three months ended October 31, 2020, and an income tax expense of $29.7 million, relative to pre-tax income of $96.4 million for the three months ended October 31, 2019. We had an income tax expense of $78.7 million, relative to pre-tax income of $375.6 million for the nine months ended October 31, 2020, and an income tax expense of $88.8 million, relative to pre-tax income of $171.5 million for the nine months ended October 31, 2019. Income tax expense for the three and nine months ended October 31, 2020, decreased as a result of the jurisdictional mix of year-to-date earnings relative to the worldwide annual effective tax rate.</w:t>
      </w:r>
    </w:p>
    <w:p>
      <w:pPr>
        <w:spacing w:after="0" w:line="210"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ind w:right="80" w:firstLine="177"/>
        <w:spacing w:after="0" w:line="261" w:lineRule="auto"/>
        <w:rPr>
          <w:sz w:val="20"/>
          <w:szCs w:val="20"/>
          <w:color w:val="auto"/>
        </w:rPr>
      </w:pPr>
      <w:r>
        <w:rPr>
          <w:rFonts w:ascii="Times New Roman" w:cs="Times New Roman" w:eastAsia="Times New Roman" w:hAnsi="Times New Roman"/>
          <w:sz w:val="18"/>
          <w:szCs w:val="18"/>
          <w:color w:val="auto"/>
        </w:rPr>
        <w:t>We anticipate a significant increase in U.S. taxable income in fiscal 2021 due to forecasted global earnings. We currently forecast the utilization of U.S. deferred tax assets to offset U.S. taxable income resulting from the inclusion of foreign earnings. While increased U.S. taxable income is considered positive evidence, the uncertainties around the global economy arising from COVID-19 and our cumulative losses outweigh that positive evidence. Accordingly, we have maintained the valuation allowance on our U.S. deferred tax assets.</w:t>
      </w:r>
    </w:p>
    <w:p>
      <w:pPr>
        <w:spacing w:after="0" w:line="207" w:lineRule="exact"/>
        <w:rPr>
          <w:sz w:val="20"/>
          <w:szCs w:val="20"/>
          <w:color w:val="auto"/>
        </w:rPr>
      </w:pPr>
    </w:p>
    <w:p>
      <w:pPr>
        <w:ind w:firstLine="170"/>
        <w:spacing w:after="0" w:line="266"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20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October 31, 2020, we had $221.3 million of gross unrecognized tax benefits, of which $203.7 million would reduce our valuation allowance, if recognized. The remaining $17.7 million would impact the effective tax rate, if recognized. It is possible that the amount of unrecognized tax benefits will change in the next 12 months; however, an estimate of the range of the possible change cannot be made at this time.</w:t>
      </w:r>
    </w:p>
    <w:p>
      <w:pPr>
        <w:spacing w:after="0" w:line="20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anticipate that the U.S. Department of Treasury will continue to interpret or issue guidance on how provisions of the U.S. Tax Cuts and Jobs Act (“Tax Act”) will be applied or otherwise administered. As future guidance is issued, we may make adjustments to the amounts that we have previously recorded that may materially impact our financial statements.</w:t>
      </w:r>
    </w:p>
    <w:p>
      <w:pPr>
        <w:spacing w:after="0" w:line="20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210"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On March 27, 2020, the President of the United States signed into law the Coronavirus Aid, Relief and Economic Security Act (the “CARES Act”). The CARES Act, among other things, included certain income tax provisions for individuals and corporations; however, these benefits do not impact the Company's current tax provision due to the U.S. full valuation allowance. In addition to the CARES Act, California enacted Assembly Bill No. 85, suspending utilization of net operating losses and limiting R&amp;D credits utilization against California taxable income in excess of $5.0 million for the succeeding 3 years. The enactment of this state tax legislation will result in an increase in California taxes for Autodesk. In response to the impact of COVID-19, certain governmental agencies have provided employer wage and retirement subsidies or employment tax deferrals. Where Autodesk has availed itself of such subsidies or deferrals, we have accounted for the tax impact in our income tax provision. As of the third quarter of fiscal 2021, the Company continues to be able to reliably estimate forecasted earnings and tax by jurisdiction for the year.</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5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under GAAP discussed above, we believe the following non-GAAP measures are useful to investors in evaluating our operating performance. For the three and nine months ended October 31, 2020 and 2019, our gross profit, gross margin, income from operations, operating margin, net income, and diluted net income per share on a GAAP and non-GAAP basis were as follows (in millions except for gross margin, operating margin, and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0" w:type="dxa"/>
            <w:vAlign w:val="bottom"/>
          </w:tcPr>
          <w:p>
            <w:pPr>
              <w:spacing w:after="0"/>
              <w:rPr>
                <w:sz w:val="16"/>
                <w:szCs w:val="16"/>
                <w:color w:val="auto"/>
              </w:rPr>
            </w:pPr>
          </w:p>
        </w:tc>
        <w:tc>
          <w:tcPr>
            <w:tcW w:w="25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8"/>
        </w:trPr>
        <w:tc>
          <w:tcPr>
            <w:tcW w:w="53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868.7</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2,504.7</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2,133.3</w:t>
            </w: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882.6</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776.6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2,544.6</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2,174.2</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margin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168.0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444.7</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209.2</w:t>
            </w: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287.1</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797.3</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543.7</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132.2</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296.9</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82.7</w:t>
            </w: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231.5</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637.9</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417.5</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per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0.59</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1.34</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0.37</w:t>
            </w: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1.04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2.87</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r>
    </w:tbl>
    <w:p>
      <w:pPr>
        <w:spacing w:after="0" w:line="31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to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6" w:name="page47"/>
    <w:bookmarkEnd w:id="46"/>
    <w:p>
      <w:pPr>
        <w:ind w:right="5000"/>
        <w:spacing w:after="0" w:line="495" w:lineRule="auto"/>
        <w:rPr>
          <w:sz w:val="20"/>
          <w:szCs w:val="20"/>
          <w:color w:val="auto"/>
        </w:rPr>
      </w:pPr>
      <w:r>
        <w:rPr>
          <w:rFonts w:ascii="Times New Roman" w:cs="Times New Roman" w:eastAsia="Times New Roman" w:hAnsi="Times New Roman"/>
          <w:sz w:val="17"/>
          <w:szCs w:val="17"/>
          <w:b w:val="1"/>
          <w:bCs w:val="1"/>
          <w:color w:val="auto"/>
        </w:rPr>
        <w:t xml:space="preserve">Reconciliation of GAAP Financial Measures to Non-GAAP Financial Measures </w:t>
      </w:r>
      <w:r>
        <w:rPr>
          <w:rFonts w:ascii="Times New Roman" w:cs="Times New Roman" w:eastAsia="Times New Roman" w:hAnsi="Times New Roman"/>
          <w:sz w:val="17"/>
          <w:szCs w:val="17"/>
          <w:color w:val="auto"/>
        </w:rPr>
        <w:t>(In millions except for gross margin, operating margin, and per share data):</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0" w:type="dxa"/>
            <w:vAlign w:val="bottom"/>
          </w:tcPr>
          <w:p>
            <w:pPr>
              <w:spacing w:after="0"/>
              <w:rPr>
                <w:sz w:val="16"/>
                <w:szCs w:val="16"/>
                <w:color w:val="auto"/>
              </w:rPr>
            </w:pPr>
          </w:p>
        </w:tc>
        <w:tc>
          <w:tcPr>
            <w:tcW w:w="250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8"/>
        </w:trPr>
        <w:tc>
          <w:tcPr>
            <w:tcW w:w="5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2,133.3</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14.4</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26.2</w:t>
            </w:r>
          </w:p>
        </w:tc>
      </w:tr>
      <w:tr>
        <w:trPr>
          <w:trHeight w:val="213"/>
        </w:trPr>
        <w:tc>
          <w:tcPr>
            <w:tcW w:w="5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r>
      <w:tr>
        <w:trPr>
          <w:trHeight w:val="23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776.6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2,174.2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margin (1)</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209.2</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257.4</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24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26.2</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29.2</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4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21.2</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797.3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543.7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5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4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4"/>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margin (1)</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82.7</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257.4</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26.2</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4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29.2</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21.2</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Discrete tax benefit items</w:t>
            </w:r>
          </w:p>
        </w:tc>
        <w:tc>
          <w:tcPr>
            <w:tcW w:w="24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637.9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417.5</w:t>
            </w:r>
          </w:p>
        </w:tc>
      </w:tr>
      <w:tr>
        <w:trPr>
          <w:trHeight w:val="23"/>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sectPr>
      </w:pPr>
    </w:p>
    <w:bookmarkStart w:id="47" w:name="page48"/>
    <w:bookmarkEnd w:id="47"/>
    <w:tbl>
      <w:tblPr>
        <w:tblLayout w:type="fixed"/>
        <w:tblInd w:w="18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20" w:type="dxa"/>
            <w:vAlign w:val="bottom"/>
          </w:tcPr>
          <w:p>
            <w:pPr>
              <w:spacing w:after="0"/>
              <w:rPr>
                <w:sz w:val="16"/>
                <w:szCs w:val="16"/>
                <w:color w:val="auto"/>
              </w:rPr>
            </w:pPr>
          </w:p>
        </w:tc>
        <w:tc>
          <w:tcPr>
            <w:tcW w:w="23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7"/>
        </w:trPr>
        <w:tc>
          <w:tcPr>
            <w:tcW w:w="53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5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0.37</w:t>
            </w:r>
          </w:p>
        </w:tc>
      </w:tr>
      <w:tr>
        <w:trPr>
          <w:trHeight w:val="213"/>
        </w:trPr>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9"/>
              </w:rPr>
              <w:t>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1.16</w:t>
            </w:r>
          </w:p>
        </w:tc>
      </w:tr>
      <w:tr>
        <w:trPr>
          <w:trHeight w:val="21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0.12</w:t>
            </w:r>
          </w:p>
        </w:tc>
      </w:tr>
      <w:tr>
        <w:trPr>
          <w:trHeight w:val="213"/>
        </w:trPr>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9"/>
              </w:rPr>
              <w:t>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0.13</w:t>
            </w:r>
          </w:p>
        </w:tc>
      </w:tr>
      <w:tr>
        <w:trPr>
          <w:trHeight w:val="21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0.10</w:t>
            </w:r>
          </w:p>
        </w:tc>
      </w:tr>
      <w:tr>
        <w:trPr>
          <w:trHeight w:val="213"/>
        </w:trPr>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tc>
        <w:tc>
          <w:tcPr>
            <w:tcW w:w="8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8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9"/>
              </w:rPr>
              <w:t>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0.01</w:t>
            </w:r>
          </w:p>
        </w:tc>
      </w:tr>
      <w:tr>
        <w:trPr>
          <w:trHeight w:val="21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0.01</w:t>
            </w:r>
          </w:p>
        </w:tc>
      </w:tr>
      <w:tr>
        <w:trPr>
          <w:trHeight w:val="213"/>
        </w:trPr>
        <w:tc>
          <w:tcPr>
            <w:tcW w:w="5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6"/>
                <w:szCs w:val="16"/>
                <w:color w:val="auto"/>
                <w:w w:val="98"/>
              </w:rPr>
              <w:t>(0.02)</w:t>
            </w:r>
          </w:p>
        </w:tc>
      </w:tr>
      <w:tr>
        <w:trPr>
          <w:trHeight w:val="23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9"/>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center"/>
              <w:ind w:left="480"/>
              <w:spacing w:after="0"/>
              <w:rPr>
                <w:sz w:val="20"/>
                <w:szCs w:val="20"/>
                <w:color w:val="auto"/>
              </w:rPr>
            </w:pPr>
            <w:r>
              <w:rPr>
                <w:rFonts w:ascii="Times New Roman" w:cs="Times New Roman" w:eastAsia="Times New Roman" w:hAnsi="Times New Roman"/>
                <w:sz w:val="16"/>
                <w:szCs w:val="16"/>
                <w:color w:val="auto"/>
                <w:w w:val="99"/>
              </w:rPr>
              <w:t>1.88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29"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 as applicable:</w:t>
      </w:r>
    </w:p>
    <w:p>
      <w:pPr>
        <w:spacing w:after="0" w:line="25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10"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technology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0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CEO transition costs. </w:t>
      </w:r>
      <w:r>
        <w:rPr>
          <w:rFonts w:ascii="Times New Roman" w:cs="Times New Roman" w:eastAsia="Times New Roman" w:hAnsi="Times New Roman"/>
          <w:sz w:val="18"/>
          <w:szCs w:val="18"/>
          <w:color w:val="auto"/>
        </w:rPr>
        <w:t>We exclude amounts paid to the Company's former CEOs upon departure under the terms of their transition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0" w:lineRule="exact"/>
        <w:rPr>
          <w:sz w:val="20"/>
          <w:szCs w:val="20"/>
          <w:color w:val="auto"/>
        </w:rPr>
      </w:pPr>
    </w:p>
    <w:p>
      <w:pPr>
        <w:jc w:val="both"/>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 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0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exit costs, net. </w:t>
      </w:r>
      <w:r>
        <w:rPr>
          <w:rFonts w:ascii="Times New Roman" w:cs="Times New Roman" w:eastAsia="Times New Roman" w:hAnsi="Times New Roman"/>
          <w:sz w:val="18"/>
          <w:szCs w:val="18"/>
          <w:color w:val="auto"/>
        </w:rPr>
        <w:t>These expenses are associated with realigning our business strategies based on current economic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207"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8" w:name="page49"/>
    <w:bookmarkEnd w:id="48"/>
    <w:p>
      <w:pPr>
        <w:ind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Loss (gain) on strategic investments and dispositions. </w:t>
      </w:r>
      <w:r>
        <w:rPr>
          <w:rFonts w:ascii="Times New Roman" w:cs="Times New Roman" w:eastAsia="Times New Roman" w:hAnsi="Times New Roman"/>
          <w:sz w:val="17"/>
          <w:szCs w:val="17"/>
          <w:color w:val="auto"/>
        </w:rPr>
        <w:t>We exclude gains and losses related to our strategic investments and dispositions of strategic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Discrete tax provision items. </w:t>
      </w:r>
      <w:r>
        <w:rPr>
          <w:rFonts w:ascii="Times New Roman" w:cs="Times New Roman" w:eastAsia="Times New Roman" w:hAnsi="Times New Roman"/>
          <w:sz w:val="18"/>
          <w:szCs w:val="18"/>
          <w:color w:val="auto"/>
        </w:rPr>
        <w:t>We exclude the GAAP tax provision, including discrete items, from the non-GAAP measure of net income(loss),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212"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Establishment (release) of a valuation allowance on certain net deferred tax assets. </w:t>
      </w:r>
      <w:r>
        <w:rPr>
          <w:rFonts w:ascii="Times New Roman" w:cs="Times New Roman" w:eastAsia="Times New Roman" w:hAnsi="Times New Roman"/>
          <w:sz w:val="18"/>
          <w:szCs w:val="18"/>
          <w:color w:val="auto"/>
        </w:rPr>
        <w:t>This is a non-cash charge to record or to release a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200"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0"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At October 31, 2020, our principal sources of liquidity were cash, cash equivalents, and marketable securities totaling $1.62 billion and net accounts receivable of $540.4 million. In November 2020, we used approximately $200 million cash, net of cash acquired, to acquire all of the outstanding equity of Spacemaker AS.</w:t>
      </w:r>
    </w:p>
    <w:p>
      <w:pPr>
        <w:spacing w:after="0" w:line="20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October 31, 2020, Autodesk had no outstanding borrowings on this line of credit. As of December 4, 2020, we have no amounts outstanding under the credit facility. See Part I, Item 1, Note 14, “Borrowing Arrangements,” in the Notes to Condensed Consolidated Financial Statements for further discussion on our covenant requirements. If we are unable to remain in compliance with the covenants under the Credit Agreement, we will not be able to draw on our credit facility.</w:t>
      </w:r>
    </w:p>
    <w:p>
      <w:pPr>
        <w:spacing w:after="0" w:line="214" w:lineRule="exact"/>
        <w:rPr>
          <w:sz w:val="20"/>
          <w:szCs w:val="20"/>
          <w:color w:val="auto"/>
        </w:rPr>
      </w:pPr>
    </w:p>
    <w:p>
      <w:pPr>
        <w:ind w:right="980" w:firstLine="405"/>
        <w:spacing w:after="0" w:line="282" w:lineRule="auto"/>
        <w:rPr>
          <w:sz w:val="20"/>
          <w:szCs w:val="20"/>
          <w:color w:val="auto"/>
        </w:rPr>
      </w:pPr>
      <w:r>
        <w:rPr>
          <w:rFonts w:ascii="Times New Roman" w:cs="Times New Roman" w:eastAsia="Times New Roman" w:hAnsi="Times New Roman"/>
          <w:sz w:val="18"/>
          <w:szCs w:val="18"/>
          <w:color w:val="auto"/>
        </w:rPr>
        <w:t>As of October 31, 2020, we have $1.65 billion aggregate principal amount of notes outstanding. See Part I, Item 1, Note 14, “Borrowing Arrangements,” in the Notes to Condensed Consolidated Financial Statements for further discussion.</w:t>
      </w:r>
    </w:p>
    <w:p>
      <w:pPr>
        <w:spacing w:after="0" w:line="18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203"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Our cash, cash equivalents, and marketable securities balances are concentrated in a few locations around the world, with substantial amounts held outside of the United States. As of October 31, 2020, approximately 58.0% of our total cash or cash</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49" w:name="page50"/>
    <w:bookmarkEnd w:id="49"/>
    <w:p>
      <w:pPr>
        <w:spacing w:after="0" w:line="255" w:lineRule="auto"/>
        <w:rPr>
          <w:sz w:val="20"/>
          <w:szCs w:val="20"/>
          <w:color w:val="auto"/>
        </w:rPr>
      </w:pPr>
      <w:r>
        <w:rPr>
          <w:rFonts w:ascii="Times New Roman" w:cs="Times New Roman" w:eastAsia="Times New Roman" w:hAnsi="Times New Roman"/>
          <w:sz w:val="18"/>
          <w:szCs w:val="18"/>
          <w:color w:val="auto"/>
        </w:rPr>
        <w:t>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6"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Cash from operations could also be affected by various risks and uncertainties, including, but not limited to, the risks detailed in Part II, Item 1A titled “Risk Factors.” Additionally, as a result of the COVID-19 pandemic, we extended contract payment terms for up to 60 days for all customers and partners for new orders and renewals placed directly with Autodesk. This payment terms extension program began on March 16, 2020 and ended on August 7,</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2020. We currently expect to have sufficient liquidity to manage through the COVID-19 pandemic but we will continue to monitor the impact of potential disruptions beyond our control. Based on our current business plan and revenue prospects, we believe that our existing cash and cash equivalents, our anticipated cash flows from operations, and our available credit facility will be sufficient to meet our working capital and operating resource expenditure requirements for at least the next 12 months.</w:t>
      </w:r>
    </w:p>
    <w:p>
      <w:pPr>
        <w:spacing w:after="0" w:line="216"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99"/>
              </w:rPr>
              <w:t>779.6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716.9</w:t>
            </w:r>
          </w:p>
        </w:tc>
      </w:tr>
      <w:tr>
        <w:trPr>
          <w:trHeight w:val="213"/>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spacing w:after="0"/>
              <w:rPr>
                <w:sz w:val="18"/>
                <w:szCs w:val="18"/>
                <w:color w:val="auto"/>
              </w:rPr>
            </w:pPr>
          </w:p>
        </w:tc>
        <w:tc>
          <w:tcPr>
            <w:tcW w:w="1060" w:type="dxa"/>
            <w:vAlign w:val="bottom"/>
          </w:tcPr>
          <w:p>
            <w:pPr>
              <w:jc w:val="center"/>
              <w:ind w:left="463"/>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63"/>
              <w:spacing w:after="0"/>
              <w:rPr>
                <w:sz w:val="20"/>
                <w:szCs w:val="20"/>
                <w:color w:val="auto"/>
              </w:rPr>
            </w:pPr>
            <w:r>
              <w:rPr>
                <w:rFonts w:ascii="Times New Roman" w:cs="Times New Roman" w:eastAsia="Times New Roman" w:hAnsi="Times New Roman"/>
                <w:sz w:val="16"/>
                <w:szCs w:val="16"/>
                <w:color w:val="auto"/>
              </w:rPr>
              <w:t>(844.0)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bl>
    <w:p>
      <w:pPr>
        <w:spacing w:after="0" w:line="306"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$779.6 million for the nine months ended October 31, 2020, primarily consisted of $296.9 million of our net income adjusted for $445.3 million non-cash items such as stock-based compensation expense, and depreciation, amortization, and accretion expense. The increase in cash provided by working capital was primarily due to a decrease in accounts receivable of $112.8 million due to the seasonality of our billings in the fourth fiscal quarter and timing of cash collections from customers partially offset by a decrease in deferred revenue of $78.3 million driven by a decrease in multi-year billings. Net cash provided by operating activities of $716.9 million for the nine months ended October 31, 2019, includes $413.0 million of non-cash expenses, including stock-based compensation expense, and depreciation, amortization, and accretion expense, an increase in changes in operating assets and liabilities of $221.2 million, and our net income of $82.7 million.</w:t>
      </w:r>
    </w:p>
    <w:p>
      <w:pPr>
        <w:spacing w:after="0" w:line="21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$176.7 million for the nine months ended October 31, 2020, primarily due to purchases of capital expenditures, strategic investments equity securities, and acquisitions, net of cash acquired. Net cash used in investing activities was $42.7 million for the nine months ended October 31, 2019, and was primarily due to capital expenditures and purchases of marketable securities partially offset by the sale and maturities of marketable securities.</w:t>
      </w:r>
    </w:p>
    <w:p>
      <w:pPr>
        <w:spacing w:after="0" w:line="20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At October 31, 2020, our short-term investment portfolio had an estimated fair value of $78.5 million and a cost basis of $68.1 million. The portfolio fair value primarily consists of short-term trading securities that were invested in a defined set of mutual funds as directed by the participants in our Deferred Compensation Plan (see Note 12, “Deferred Compensation,” in the Notes to the Condensed Consolidated Financial Statements for further discussion).</w:t>
      </w:r>
    </w:p>
    <w:p>
      <w:pPr>
        <w:spacing w:after="0" w:line="20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$844.0 million and $600.0 million for the nine months ended October 31, 2020 and 2019, respectively, primary due to the repayment of debt and the repurchases of common stock. These cash outflows were offset in part by cash proceeds from the issuance of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20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October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89"/>
        </w:trPr>
        <w:tc>
          <w:tcPr>
            <w:tcW w:w="3660" w:type="dxa"/>
            <w:vAlign w:val="bottom"/>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0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 August 31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238.64</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13,424.0</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1 - September 30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229.04</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12,798.0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October 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237.34</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231.26</w:t>
            </w:r>
          </w:p>
        </w:tc>
        <w:tc>
          <w:tcPr>
            <w:tcW w:w="10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 approved by the Board of Directors.</w:t>
      </w:r>
    </w:p>
    <w:p>
      <w:pPr>
        <w:spacing w:after="0" w:line="9" w:lineRule="exact"/>
        <w:rPr>
          <w:rFonts w:ascii="Times New Roman" w:cs="Times New Roman" w:eastAsia="Times New Roman" w:hAnsi="Times New Roman"/>
          <w:sz w:val="16"/>
          <w:szCs w:val="16"/>
          <w:color w:val="auto"/>
        </w:rPr>
      </w:pPr>
    </w:p>
    <w:p>
      <w:pPr>
        <w:ind w:left="420" w:right="80" w:hanging="412"/>
        <w:spacing w:after="0" w:line="257" w:lineRule="auto"/>
        <w:tabs>
          <w:tab w:leader="none" w:pos="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approved by the Board of Directors in September 2016 that authorized the repurchase of 30.0 million shares. The plan does not have a fixed expiration date. See Note 17, “Stockholders' Equity (Deficit),” in the Notes to the Condensed Consolidated Financial Statements for further discussion.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October 31, 2020, we did not have any significant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52"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Cloud Service Offerings: </w:t>
      </w:r>
      <w:r>
        <w:rPr>
          <w:rFonts w:ascii="Times New Roman" w:cs="Times New Roman" w:eastAsia="Times New Roman" w:hAnsi="Times New Roman"/>
          <w:sz w:val="18"/>
          <w:szCs w:val="18"/>
          <w:color w:val="auto"/>
        </w:rPr>
        <w:t>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AutoCAD LT, Industry Collections, Revit, Inventor, Maya and 3ds Max. Certain products, such as our computer aided manufacturing solutions, incorporate both Design and Make functionality and are classified as Design.</w:t>
      </w:r>
    </w:p>
    <w:p>
      <w:pPr>
        <w:spacing w:after="0" w:line="200"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over a defined contract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&amp; Manufacturing Collection, and Autodesk Media and Entertainment Collection.</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Plan: </w:t>
      </w:r>
      <w:r>
        <w:rPr>
          <w:rFonts w:ascii="Times New Roman" w:cs="Times New Roman" w:eastAsia="Times New Roman" w:hAnsi="Times New Roman"/>
          <w:sz w:val="18"/>
          <w:szCs w:val="18"/>
          <w:color w:val="auto"/>
        </w:rPr>
        <w:t>Our maintenance plans provide our customers with a cost effective and predictable budgetary option to obtain the productivity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20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Assemble, BIM 360,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BuildingConnected, PlanGrid, Fusion 360 and Shotgun. Certain products, such as Fusion 360, incorporate both Design and Make functionality and are classified as Make.</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Rate (NR3): </w:t>
      </w:r>
      <w:r>
        <w:rPr>
          <w:rFonts w:ascii="Times New Roman" w:cs="Times New Roman" w:eastAsia="Times New Roman" w:hAnsi="Times New Roman"/>
          <w:sz w:val="18"/>
          <w:szCs w:val="18"/>
          <w:color w:val="auto"/>
        </w:rPr>
        <w:t>Measures the year-over-year change in subscription and maintenance revenue for the population of customers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existed one year ago (“base customers”). Net revenue retention rate is calculated by dividing the current quarter subscription and maintenance revenue related to base customers by the total corresponding quarter subscription and maintenance revenue from one year ago. Subscription and maintenance revenue is based on USD reported revenue, and fluctuations caused by changes in foreign currency exchange rates and hedge gains or losses have not been eliminated. Subscription and maintenance revenue related to acquired companies, one year after acquisition, has been captured as existing customers until such data conforms to the calculation methodology. This may cause variability in the comparison. Beginning with the first quarter of fiscal 2021, Autodesk modified its definition of NR3 to the definition above. The effect of this change is not material for the periods presented.</w:t>
      </w:r>
    </w:p>
    <w:p>
      <w:pPr>
        <w:spacing w:after="0" w:line="21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training and other services, and is recognized over time as the services are performed. Other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includes software license revenue from the sale of products that do not incorporate substantial cloud services and is recognized up front.</w:t>
      </w:r>
    </w:p>
    <w:p>
      <w:pPr>
        <w:spacing w:after="0" w:line="18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the most flexible, cost-effective way to access and manage 3D design, engineering, and entertainment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Our product subscriptions currently represent a hybrid of desktop and SaaS functionality, which provides a device-independent, collaborative design workflow for designers and their stakeholders.</w:t>
      </w:r>
    </w:p>
    <w:p>
      <w:pPr>
        <w:spacing w:after="0" w:line="20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and revenue from our subscription plan offerings.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w:t>
      </w:r>
    </w:p>
    <w:p>
      <w:pPr>
        <w:spacing w:after="0" w:line="207"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is the amount of revenue we expect to recognize 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52"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subscription fees from product subscriptions, cloud service offerings, and EBAs.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Unbilled Deferred Revenue: </w:t>
      </w:r>
      <w:r>
        <w:rPr>
          <w:rFonts w:ascii="Times New Roman" w:cs="Times New Roman" w:eastAsia="Times New Roman" w:hAnsi="Times New Roman"/>
          <w:sz w:val="18"/>
          <w:szCs w:val="18"/>
          <w:color w:val="auto"/>
        </w:rPr>
        <w:t>Unbilled deferred revenue represents contractually stated or committed orders under early renewal and multi-year billing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52" w:name="page53"/>
    <w:bookmarkEnd w:id="5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56"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2020, and January 31, 2020, we had open cash flow and balance sheet hedge contracts with future settlements generally within one to 12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$1.56 billion and $1.72 billion at October 31, 2020, and January 31, 2020, respectively.</w:t>
      </w:r>
    </w:p>
    <w:p>
      <w:pPr>
        <w:spacing w:after="0" w:line="21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sensitivity analysis performed on our hedging portfolio as of October 31, 2020, indicated that a hypothetical 10% appreciation of the U.S. dollar from its value at October 31, 2020, and January 31, 2020, would increase the fair value of our foreign currency contracts by $119.6 million and $158.8 million, respectively. A hypothetical 10% depreciation of the dollar from its value at October 31, 2020, and January 31, 2020, would decrease the fair value of our foreign currency contracts by $140.9 million and $119.2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October 31, 2020, we had $936.8 million of cash equivalents and marketable securities, including $78.5 million classified as short-term marketable securities. If interest rates were to move up or down by 50 or 100 basis points over a 12-month period, the market value change of our marketable securities would not have a material impact on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56"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ind w:firstLine="405"/>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October 31, 2020,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any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54"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For example, the recent coronavirus (COVID-19) pandemic has caused additional uncertainty in the global economy, and an economic downturn or recession in the United States or in other countries around the world may occur or have already occurred and may continue. The extent to which COVID-19 may impact our financial condition or results of operations is currently uncertain and will depend on developments such as the impact on our customers, vendors, distributors, and resellers, as well as other factors, including the full duration and the extent of the pandemic; actions taken by governments, businesses, and consumers in response to the pandemic; speed and timing of economic recovery, including in particular geographies;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described elsewhere in this Risk Factors section, we are dependent on international revenue and operations and are subject to related risks of conducting business globally. 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210"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strategy to develop and introduce new products and services exposes us to risks such as limited customer acceptance, costs related to product defects, and large expenditures, each of which may result in no additional net revenue or decreased net revenue.</w:t>
      </w:r>
    </w:p>
    <w:p>
      <w:pPr>
        <w:spacing w:after="0" w:line="18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For example, in fiscal 2021, we are transitioning multi-subscription plans to named-user plans. It is uncertain whether these strategies, including our product and pricing changes,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1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0"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The extent of the impact of the COVID-19 pandemic on Autodesk’s business is currently unknown, but it may adversely affect our business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177"/>
        <w:spacing w:after="0" w:line="256" w:lineRule="auto"/>
        <w:rPr>
          <w:sz w:val="20"/>
          <w:szCs w:val="20"/>
          <w:color w:val="auto"/>
        </w:rPr>
      </w:pPr>
      <w:r>
        <w:rPr>
          <w:rFonts w:ascii="Times New Roman" w:cs="Times New Roman" w:eastAsia="Times New Roman" w:hAnsi="Times New Roman"/>
          <w:sz w:val="18"/>
          <w:szCs w:val="18"/>
          <w:color w:val="auto"/>
        </w:rPr>
        <w:t>We are continuing to conduct business during the COVID-19 pandemic with substantial modifications to employee travel, employee work locations, and virtualization, postponement, or cancellation of certain sales and marketing events, among other changes. We have observed other companies as well as many governments taking precautionary and preemptive actions to address COVID-19, and they may take further actions that alter their normal operations. We will continue to actively monitor the situation and may take further actions to alter our business operations as may be required by federal, state, or local authorities, or that we determine are in the best interests of our employees, customers, partners, suppliers, and stockholders. It is not clear what the potential effects of any such alterations or modifications may have on our business, including the effects on our customers and prospects, or on our financial results.</w:t>
      </w:r>
    </w:p>
    <w:p>
      <w:pPr>
        <w:spacing w:after="0" w:line="200" w:lineRule="exact"/>
        <w:rPr>
          <w:sz w:val="20"/>
          <w:szCs w:val="20"/>
          <w:color w:val="auto"/>
        </w:rPr>
      </w:pPr>
    </w:p>
    <w:p>
      <w:pPr>
        <w:spacing w:after="0" w:line="23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particular, if we are not able to retain current customers and attract new business, including multi-year contracts, or if customer renewal rates decline or fluctuate, it could have a material adverse effect upon our business and results of operations. During fiscal 2021, we have taken a number of actions to support our customers, including extending payment terms to 60 days through the beginning of August 2020, offering free commercial use of our cloud collaboration products through June 2020, delaying the transition from multi-user licenses to named-user licenses from May to August 2020 to minimize disruption, and deferring a 20% maintenance price increase from May to August 2020. These actions are affecting our cash flow, and if these actions as well as our other sales and marketing activities are not successful in retaining current customers and in closing new business, our business and results of operations could be materially adversely affected.</w:t>
      </w:r>
    </w:p>
    <w:p>
      <w:pPr>
        <w:spacing w:after="0" w:line="21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Given the evolving business environment as a result of the COVID-19 pandemic, we are actively managing our spending, reducing travel and entertainment expense, monitoring our hiring rate, shifting to virtual events, and rationalizing our marketing spend. We will continue to invest in critical areas such as R&amp;D, construction, and digitizing the company to support our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6" w:name="page57"/>
    <w:bookmarkEnd w:id="56"/>
    <w:p>
      <w:pPr>
        <w:ind w:right="100"/>
        <w:spacing w:after="0" w:line="282" w:lineRule="auto"/>
        <w:rPr>
          <w:sz w:val="20"/>
          <w:szCs w:val="20"/>
          <w:color w:val="auto"/>
        </w:rPr>
      </w:pPr>
      <w:r>
        <w:rPr>
          <w:rFonts w:ascii="Times New Roman" w:cs="Times New Roman" w:eastAsia="Times New Roman" w:hAnsi="Times New Roman"/>
          <w:sz w:val="18"/>
          <w:szCs w:val="18"/>
          <w:color w:val="auto"/>
        </w:rPr>
        <w:t>success as we come out of the pandemic. If we are not able to successfully manage our spending and investment, it could have a material adverse effect on our cash balances, business,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suffer as a result of risks, costs, charges, and integration challenges associated with strategic acquisitions and investments.</w:t>
      </w:r>
    </w:p>
    <w:p>
      <w:pPr>
        <w:spacing w:after="0" w:line="254" w:lineRule="exact"/>
        <w:rPr>
          <w:sz w:val="20"/>
          <w:szCs w:val="20"/>
          <w:color w:val="auto"/>
        </w:rPr>
      </w:pPr>
    </w:p>
    <w:p>
      <w:pPr>
        <w:ind w:right="160" w:firstLine="405"/>
        <w:spacing w:after="0" w:line="241"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the second and third quarters of fiscal 2021. The risks associated with such acquisitions include the difficulty of assimilating solutions, operations, and personnel; inheriting liabilities such as intellectual property infringement claims; the failure to realize anticipated revenue and cost projections and expected synergies; the requirement to test and assimilate the internal control processes of the acquired business in accordance with the requirements of Section 404 of the Sarbanes-Oxley Act of 2002; and the diversion of management's time and attention.</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such acquisitions and investments involve other risks such as:</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incompatible business cultures;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exposure to fluctuations in currency exchange rates; and</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relationships with existing customers, vendors, and distributors as business partners as a result of acquiring another business.</w:t>
      </w:r>
    </w:p>
    <w:p>
      <w:pPr>
        <w:spacing w:after="0" w:line="189" w:lineRule="exact"/>
        <w:rPr>
          <w:sz w:val="20"/>
          <w:szCs w:val="20"/>
          <w:color w:val="auto"/>
        </w:rPr>
      </w:pPr>
    </w:p>
    <w:p>
      <w:pPr>
        <w:ind w:right="320" w:firstLine="445"/>
        <w:spacing w:after="0" w:line="258"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such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quarter-to-quarter variability in our financial results, or negatively impact our financial results for future periods.</w:t>
      </w:r>
    </w:p>
    <w:p>
      <w:pPr>
        <w:spacing w:after="0" w:line="208"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8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We are dependent on our international operations for a significant portion of our revenue. International net revenue represented 66% of our net revenue for both the nine months ended October 31, 2020 and 2019. Our international revenue, including that from emerging economies, is subject to general economic and political conditions in foreign markets, including conditions in foreign markets resulting from economic and political conditions in the U.S., as well as country-specific conditions related to COVID-19, including varied speed of recovery in different geographies. Our total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21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Risks inherent in our international operations include:</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and other trade barriers and restrictions;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ind w:left="660" w:right="6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 including devaluations, currency controls, and inflation, and risks related to any hedging activities we undertake;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practices;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purchase patterns as compared to the developed world;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enforcement by the U.S. under the Foreign Corrupt Practices Act, and adoption of stricter anti-corruption laws in certain countries, including the United Kingdom;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competition;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 for accounts receivable;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 law changes impacting how multinational companies are taxed and the complexities of tax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regarding the management of and access to data and public networks;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future limitations upon foreign-owned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protecting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piracy;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including popular uprisings, terrorism, war, natural disasters, and diseases and pandemics, such as COVID-19.</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5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“Brexit” vote has exacerbated and may further exacerbate many of the risks and uncertainties described above. The United Kingdom officially left the European Union pursuant to Brexit on January 31, 2020, with a transitional period set to end on December 31, 2020. The withdrawal of the United Kingdom from the European Union could, among other potential outcomes, adversely affect the tax, tax treaty, banking, operational, legal, and regulatory regimes to which our businesses in the region are subject.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While the United Kingdom left the European Union as of January 31, 2020, it has until December 31, 2020, to negotiate a new trade agreement addressing customs and trade matters. Uncertainty around these and related issues could lead to adverse effects on the United Kingdom economy, the European Union economies, and the other economies in which we operate.</w:t>
      </w:r>
    </w:p>
    <w:p>
      <w:pPr>
        <w:spacing w:after="0" w:line="21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21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2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 and we may face delays or other difficulties in identifying or responding to security incidents.</w:t>
      </w:r>
    </w:p>
    <w:p>
      <w:pPr>
        <w:spacing w:after="0" w:line="16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(APT), application-centric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impossible for us to entirely eliminate these risks.</w:t>
      </w:r>
    </w:p>
    <w:p>
      <w:pPr>
        <w:spacing w:after="0" w:line="14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in an effort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6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regulatory focus on privacy issues and expanding laws may impact our business or expose us to increased liability.</w:t>
      </w:r>
    </w:p>
    <w:p>
      <w:pPr>
        <w:spacing w:after="0" w:line="254" w:lineRule="exact"/>
        <w:rPr>
          <w:sz w:val="20"/>
          <w:szCs w:val="20"/>
          <w:color w:val="auto"/>
        </w:rPr>
      </w:pPr>
    </w:p>
    <w:p>
      <w:pPr>
        <w:ind w:right="40" w:firstLine="405"/>
        <w:spacing w:after="0" w:line="281" w:lineRule="auto"/>
        <w:rPr>
          <w:sz w:val="20"/>
          <w:szCs w:val="20"/>
          <w:color w:val="auto"/>
        </w:rPr>
      </w:pPr>
      <w:r>
        <w:rPr>
          <w:rFonts w:ascii="Times New Roman" w:cs="Times New Roman" w:eastAsia="Times New Roman" w:hAnsi="Times New Roman"/>
          <w:sz w:val="17"/>
          <w:szCs w:val="17"/>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privacy and data security laws apply to the treatment of personal data. Governments, regulators, plaintiffs’ attorneys, privacy advocates, and customers have increased their focus on how companies collect, process, use, store, share, and transmit personal data.</w:t>
      </w:r>
    </w:p>
    <w:p>
      <w:pPr>
        <w:spacing w:after="0" w:line="12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GDPR. We have self-certified under the EU-U.S. Privacy Shield program and make use of model contractual clauses approved by the European Commission in relation to the transfer of personal data from the European Union to the United States. The Privacy Shield and the European Commission’s model contractual clauses are currently the subject of legal challenges in the European Union, however, and it is unclear whether these will serve as appropriate means for us to transfer personal data from the European Union to the United States. We have also self-certified to the Swiss-U.S. Privacy Shield program in relation to the transfer of personal data from Switzerland to the United States. This Privacy Shield program also may no longer be valid due to possible legal challenges. Additionally, in June 2016, the United Kingdom voted to leave the European Union, which could also lead to further legislative and regulatory changes with regard to personal data. The United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9" w:name="page60"/>
    <w:bookmarkEnd w:id="5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Kingdom Data Protection Act that substantially implements the GDPR became law in May 2018. It remains unclear, however, how United Kingdom data protection laws or regulations will develop in the medium to longer term and how data transfers to and from the United Kingdom will be regulated at the time, if any, that Brexit is effectuated.</w:t>
      </w:r>
    </w:p>
    <w:p>
      <w:pPr>
        <w:spacing w:after="0" w:line="13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In November 2020, California voters passed the California Privacy Rights Act (the “CPRA”). The CPRA, which is expected to take effect on January 1, 2023, significantly expands the CCPA, including by introducing additional obligations such as data minimization and storage limitations, granting additional rights to consumers such as correction of personal information and additional opt-out rights, and creates a new entity to implement and enforce the law. While we do not yet know the extent of the impact the CCPA and CPRA will have on our business or operations, they will require us to modify our data processing practices and policies and may cause us to incur substantial costs and expenses in order to comply.</w:t>
      </w:r>
    </w:p>
    <w:p>
      <w:pPr>
        <w:spacing w:after="0" w:line="16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4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understand how our offerings and services are being used, respond to customer requests allowed under the laws, and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14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results.</w:t>
      </w:r>
    </w:p>
    <w:p>
      <w:pPr>
        <w:spacing w:after="0" w:line="18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results could be negatively impacted.</w:t>
      </w:r>
    </w:p>
    <w:p>
      <w:pPr>
        <w:spacing w:after="0" w:line="16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87"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results could be negatively impacted.</w:t>
      </w:r>
    </w:p>
    <w:p>
      <w:pPr>
        <w:spacing w:after="0" w:line="208"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20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ind w:right="100"/>
        <w:spacing w:after="0" w:line="282" w:lineRule="auto"/>
        <w:rPr>
          <w:sz w:val="20"/>
          <w:szCs w:val="20"/>
          <w:color w:val="auto"/>
        </w:rPr>
      </w:pPr>
      <w:r>
        <w:rPr>
          <w:rFonts w:ascii="Times New Roman" w:cs="Times New Roman" w:eastAsia="Times New Roman" w:hAnsi="Times New Roman"/>
          <w:sz w:val="18"/>
          <w:szCs w:val="18"/>
          <w:color w:val="auto"/>
        </w:rPr>
        <w:t>transition to cloud-based products and a subscription-only business model involves considerable investment in the development of technologies, as well as back-office systems for technical, financial, compliance, and sales resources.</w:t>
      </w:r>
    </w:p>
    <w:p>
      <w:pPr>
        <w:spacing w:after="0" w:line="18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5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20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Our software is highly complex and may contain undetected errors, defects, or vulnerabilities, each of which could harm our business and financial performance.</w:t>
      </w:r>
    </w:p>
    <w:p>
      <w:pPr>
        <w:spacing w:after="0" w:line="187"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5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w:t>
      </w:r>
      <w:r>
        <w:rPr>
          <w:rFonts w:ascii="Times New Roman" w:cs="Times New Roman" w:eastAsia="Times New Roman" w:hAnsi="Times New Roman"/>
          <w:sz w:val="18"/>
          <w:szCs w:val="18"/>
          <w:color w:val="212529"/>
        </w:rPr>
        <w:t>subscriptions and cloud-enabled technologies</w:t>
      </w:r>
      <w:r>
        <w:rPr>
          <w:rFonts w:ascii="Times New Roman" w:cs="Times New Roman" w:eastAsia="Times New Roman" w:hAnsi="Times New Roman"/>
          <w:sz w:val="18"/>
          <w:szCs w:val="18"/>
          <w:color w:val="auto"/>
        </w:rPr>
        <w:t>.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1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r>
        <w:rPr>
          <w:rFonts w:ascii="Times New Roman" w:cs="Times New Roman" w:eastAsia="Times New Roman" w:hAnsi="Times New Roman"/>
          <w:sz w:val="18"/>
          <w:szCs w:val="18"/>
          <w:b w:val="1"/>
          <w:bCs w:val="1"/>
          <w:i w:val="1"/>
          <w:iCs w:val="1"/>
          <w:color w:val="auto"/>
        </w:rPr>
        <w:t>.</w:t>
      </w:r>
    </w:p>
    <w:p>
      <w:pPr>
        <w:spacing w:after="0" w:line="16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203"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12 months in the future and provide us with some protection against currency exposures. However, our attempts to hedge against these risks may not be completely successful, resulting in an adverse impact on our financial results.</w:t>
      </w:r>
    </w:p>
    <w:p>
      <w:pPr>
        <w:spacing w:after="0" w:line="21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20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addition, Brexit may contribute to volatility in foreign exchange markets with respect to the British Pound and the Euro,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0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20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both the nine months ended October 31, 2020 and 2019, approximately 70%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the distributors Tech Data and Ingram Micro. Tech Data accounted for 37% and 35% of our total net revenue for the nine months ended October 31, 2020 and 2019, respectively, and Ingram Micro accounted for 10% of our total net revenue for both nine months ended October 31, 2020 and 2019. Should any of our agreements with Tech Data and Ingram Micro be terminated,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business disruption or if our relationship with either were to significantly deteriorate, it is possible that our ability to sell to end users would, at least temporarily, be negatively impacted. This could, in turn, negatively impact our financial results. For example, on November 13, 2019, Tech Data announced that it had entered into a definitive agreement to be acquired by an affiliate of funds managed by affiliates of Apollo Global Management, a global alternative investment manager (collectively, “Apollo”), and Apollo announced the close of the acquisition of Tech Data on June 30, 2020. If there is any reseller and end user uncertainty caused by Apollo’s acquisition of Tech Data, our ability to sell to these resellers and end users could, at least temporarily, be negatively impacted.</w:t>
      </w:r>
    </w:p>
    <w:p>
      <w:pPr>
        <w:spacing w:after="0" w:line="217"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62" w:name="page63"/>
    <w:bookmarkEnd w:id="62"/>
    <w:p>
      <w:pPr>
        <w:ind w:right="20"/>
        <w:spacing w:after="0" w:line="256" w:lineRule="auto"/>
        <w:rPr>
          <w:sz w:val="20"/>
          <w:szCs w:val="20"/>
          <w:color w:val="auto"/>
        </w:rPr>
      </w:pPr>
      <w:r>
        <w:rPr>
          <w:rFonts w:ascii="Times New Roman" w:cs="Times New Roman" w:eastAsia="Times New Roman" w:hAnsi="Times New Roman"/>
          <w:sz w:val="18"/>
          <w:szCs w:val="18"/>
          <w:color w:val="auto"/>
        </w:rPr>
        <w:t>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87"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this Risk Factors section, some of the factors that could cause our financial results, key metrics, and other operating metrics to fluctuate include:</w:t>
      </w:r>
    </w:p>
    <w:p>
      <w:pPr>
        <w:spacing w:after="0" w:line="72"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business, and political conditions in Europe, APAC, and emerging economies, including from an economic downturn or recession in the United States or in other countries around the world;</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produce sufficient revenue, billings, subscription, profitability, and cash flow growth, including as a result of the current COVID-19 pandemic;</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spend;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billings linearity;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or sales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and timing of large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arising from ongoing or future tax examinations;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to finance infrastructure projects;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cloud functionality-related expenses;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3" w:name="page64"/>
    <w:bookmarkEnd w:id="63"/>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releases and retirements of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sales compensation practices;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natural disasters, or public health situations, such as pandemics and epidemics, including COVID-19;</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5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20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1"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Because we derive a substantial portion of our net revenue from a small number of solutions, including our AutoCAD-based software products and collections, if these offerings are not successful, our revenue would be adversely affected.</w:t>
      </w:r>
    </w:p>
    <w:p>
      <w:pPr>
        <w:spacing w:after="0" w:line="187"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2020 and 2019, combined revenue from our AutoCAD and AutoCAD LT family products, not including collections having AutoCAD or AutoCAD LT as a component, represented 30% and 29% of our total net revenue,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have $1.6 billion of debt, consisting of notes due at various times from December 2022 to January 2030, as described in Part 1, Item 1. We also entered into a credit agreement that provides for an unsecured revolving loan facility in the aggregate principal amount of $650.0 million, with an option to be increased up to $1.0 billion, as described in Part1, Item 1. Maintenance of our indebtedness, contractual restrictions, and additional issuances of indebtedness could:</w:t>
      </w:r>
    </w:p>
    <w:p>
      <w:pPr>
        <w:spacing w:after="0" w:line="7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4" w:name="page65"/>
    <w:bookmarkEnd w:id="64"/>
    <w:p>
      <w:pPr>
        <w:ind w:firstLine="405"/>
        <w:spacing w:after="0" w:line="256"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1, Item 1,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54"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 Furthermore, our means of protecting our proprietary rights may not be adequate.</w:t>
      </w:r>
    </w:p>
    <w:p>
      <w:pPr>
        <w:spacing w:after="0" w:line="21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54"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As more software patents are granted worldwide, the number of offerings and competitors in our industries grows, and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54"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We have internal processes to manage our use of such third-party software. However, if we fail to adequately manage our use of third-party software, then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damage to our reputation, and/or a loss of revenue.</w:t>
      </w:r>
    </w:p>
    <w:p>
      <w:pPr>
        <w:spacing w:after="0" w:line="21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8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5" w:name="page66"/>
    <w:bookmarkEnd w:id="65"/>
    <w:p>
      <w:pPr>
        <w:ind w:right="100"/>
        <w:spacing w:after="0" w:line="266" w:lineRule="auto"/>
        <w:rPr>
          <w:sz w:val="20"/>
          <w:szCs w:val="20"/>
          <w:color w:val="auto"/>
        </w:rPr>
      </w:pPr>
      <w:r>
        <w:rPr>
          <w:rFonts w:ascii="Times New Roman" w:cs="Times New Roman" w:eastAsia="Times New Roman" w:hAnsi="Times New Roman"/>
          <w:sz w:val="18"/>
          <w:szCs w:val="18"/>
          <w:color w:val="auto"/>
        </w:rPr>
        <w:t>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1"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billings, earnings, cash flow, or subscriptions shortfalls or volatility of the market generally may cause the market price of our stock to decline.</w:t>
      </w:r>
    </w:p>
    <w:p>
      <w:pPr>
        <w:spacing w:after="0" w:line="187"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may be affected by a number of factors, including the other risk described in this Risk Factors section and the following:</w:t>
      </w:r>
    </w:p>
    <w:p>
      <w:pPr>
        <w:spacing w:after="0" w:line="54" w:lineRule="exact"/>
        <w:rPr>
          <w:sz w:val="20"/>
          <w:szCs w:val="20"/>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including as a result of the current COVID-19 pandemic, and how those results compare to securities analyst expectations, including whether those results fail to meet, exceed, or significantly exceed securities analyst expectations;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political, or market conditions, including from an economic downturn or recession in the United States or in other countries around the world;</w:t>
      </w:r>
    </w:p>
    <w:p>
      <w:pPr>
        <w:spacing w:after="0" w:line="53" w:lineRule="exact"/>
        <w:rPr>
          <w:rFonts w:ascii="Times New Roman" w:cs="Times New Roman" w:eastAsia="Times New Roman" w:hAnsi="Times New Roman"/>
          <w:sz w:val="18"/>
          <w:szCs w:val="18"/>
          <w:color w:val="auto"/>
        </w:rPr>
      </w:pPr>
    </w:p>
    <w:p>
      <w:pPr>
        <w:ind w:left="660" w:right="10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or enhancements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debt service obligations; and</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18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5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202" w:lineRule="exact"/>
        <w:rPr>
          <w:sz w:val="20"/>
          <w:szCs w:val="20"/>
          <w:color w:val="auto"/>
        </w:rPr>
      </w:pPr>
    </w:p>
    <w:p>
      <w:pPr>
        <w:ind w:right="20" w:firstLine="445"/>
        <w:spacing w:after="0" w:line="277" w:lineRule="auto"/>
        <w:rPr>
          <w:sz w:val="20"/>
          <w:szCs w:val="20"/>
          <w:color w:val="auto"/>
        </w:rPr>
      </w:pPr>
      <w:r>
        <w:rPr>
          <w:rFonts w:ascii="Times New Roman" w:cs="Times New Roman" w:eastAsia="Times New Roman" w:hAnsi="Times New Roman"/>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0"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such event, our financial results, results of operations, cash flows, or the trading prices for our securities could be negatively impacted.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5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tax authorities and may have a significant impact on our effective tax rate.</w:t>
      </w:r>
    </w:p>
    <w:p>
      <w:pPr>
        <w:spacing w:after="0" w:line="21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(“Tax Act”), which impacted our tax obligations and effective tax rate beginning in our fiscal 2018 tax year, and significant tax legislation was included in the March 2020 CARES Act.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effect o our results of operations from both the Tax Act and the CARES Act, including for our prior tax years.</w:t>
      </w:r>
    </w:p>
    <w:p>
      <w:pPr>
        <w:spacing w:after="0" w:line="21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Increasingly, tax authorities are scrutinizing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that are contrary to the way we have interpreted and historically applied the rules and regulations in our tax returns for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7"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20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20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87" w:lineRule="exact"/>
        <w:rPr>
          <w:sz w:val="20"/>
          <w:szCs w:val="20"/>
          <w:color w:val="auto"/>
        </w:rPr>
      </w:pPr>
    </w:p>
    <w:p>
      <w:pPr>
        <w:ind w:right="140" w:firstLine="445"/>
        <w:spacing w:after="0" w:line="273" w:lineRule="auto"/>
        <w:rPr>
          <w:sz w:val="20"/>
          <w:szCs w:val="20"/>
          <w:color w:val="auto"/>
        </w:rPr>
      </w:pPr>
      <w:r>
        <w:rPr>
          <w:rFonts w:ascii="Times New Roman" w:cs="Times New Roman" w:eastAsia="Times New Roman" w:hAnsi="Times New Roman"/>
          <w:sz w:val="17"/>
          <w:szCs w:val="17"/>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9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8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54"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203"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8" w:name="page69"/>
    <w:bookmarkEnd w:id="68"/>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20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87"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5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or business interruption from epidemics or pandemics, or the fear of such events,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8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have a full valuation allowance against our U.S., Canada, and Netherlands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56" w:lineRule="exact"/>
        <w:rPr>
          <w:sz w:val="20"/>
          <w:szCs w:val="20"/>
          <w:color w:val="auto"/>
        </w:rPr>
      </w:pPr>
    </w:p>
    <w:p>
      <w:pPr>
        <w:ind w:firstLine="445"/>
        <w:spacing w:after="0" w:line="241" w:lineRule="auto"/>
        <w:rPr>
          <w:sz w:val="20"/>
          <w:szCs w:val="20"/>
          <w:color w:val="auto"/>
        </w:rPr>
      </w:pPr>
      <w:r>
        <w:rPr>
          <w:rFonts w:ascii="Times New Roman" w:cs="Times New Roman" w:eastAsia="Times New Roman" w:hAnsi="Times New Roman"/>
          <w:sz w:val="18"/>
          <w:szCs w:val="18"/>
          <w:color w:val="auto"/>
        </w:rPr>
        <w:t>In connection with an acquisition completed in August 2020, we entered into an agreement to issue up to an estimated 20,674 shares of our common stock (based on the closing price of our common stock on October 31, 2020) as partial consideration for the acquisition, contingent upon the achievement of certain events expected in fiscal 2022 and fiscal 2023. The exact number of shares will be determined and issued following these events. The issuance of shares of our common stock in this acquisition will not be registered under the Securities Act of 1933, as amended (the "Securities Act"). Such shares will be issued in a private placement exempt from the registration requirements of the Securities Act in reliance on the exemptions set forth in Section 4(a)(2) of the Securities Act and Rule 506 under Regulation D.</w:t>
      </w:r>
    </w:p>
    <w:p>
      <w:pPr>
        <w:spacing w:after="0" w:line="21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9" w:name="page70"/>
    <w:bookmarkEnd w:id="6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Form 10-Q.</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40" w:type="dxa"/>
            <w:vAlign w:val="bottom"/>
          </w:tcPr>
          <w:p>
            <w:pPr>
              <w:spacing w:after="0"/>
              <w:rPr>
                <w:sz w:val="16"/>
                <w:szCs w:val="16"/>
                <w:color w:val="auto"/>
              </w:rPr>
            </w:pPr>
          </w:p>
        </w:tc>
        <w:tc>
          <w:tcPr>
            <w:tcW w:w="788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Description</w:t>
            </w:r>
          </w:p>
        </w:tc>
      </w:tr>
      <w:tr>
        <w:trPr>
          <w:trHeight w:val="338"/>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6"/>
                <w:szCs w:val="16"/>
                <w:u w:val="single" w:color="auto"/>
                <w:color w:val="0000FF"/>
              </w:rPr>
            </w:pPr>
            <w:hyperlink w:anchor="page72">
              <w:r>
                <w:rPr>
                  <w:rFonts w:ascii="Times New Roman" w:cs="Times New Roman" w:eastAsia="Times New Roman" w:hAnsi="Times New Roman"/>
                  <w:sz w:val="16"/>
                  <w:szCs w:val="16"/>
                  <w:u w:val="single" w:color="auto"/>
                  <w:color w:val="0000FF"/>
                </w:rPr>
                <w:t>Certification of Chief Executive Officer pursuant to Rule 13a-14(a) of the Securities Exchange Act of 1934</w:t>
              </w:r>
            </w:hyperlink>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6"/>
                <w:szCs w:val="16"/>
                <w:u w:val="single" w:color="auto"/>
                <w:color w:val="0000FF"/>
              </w:rPr>
            </w:pPr>
            <w:hyperlink w:anchor="page73">
              <w:r>
                <w:rPr>
                  <w:rFonts w:ascii="Times New Roman" w:cs="Times New Roman" w:eastAsia="Times New Roman" w:hAnsi="Times New Roman"/>
                  <w:sz w:val="16"/>
                  <w:szCs w:val="16"/>
                  <w:u w:val="single" w:color="auto"/>
                  <w:color w:val="0000FF"/>
                </w:rPr>
                <w:t>Certification of Chief Financial Officer pursuant to Rule 13a-14(a) of the Securities Exchange Act of 1934</w:t>
              </w:r>
            </w:hyperlink>
          </w:p>
        </w:tc>
      </w:tr>
      <w:tr>
        <w:trPr>
          <w:trHeight w:val="289"/>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9720" w:type="dxa"/>
            <w:vAlign w:val="bottom"/>
            <w:gridSpan w:val="3"/>
          </w:tcPr>
          <w:p>
            <w:pPr>
              <w:spacing w:after="0"/>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 the</w:t>
              </w:r>
            </w:hyperlink>
          </w:p>
        </w:tc>
      </w:tr>
      <w:tr>
        <w:trPr>
          <w:trHeight w:val="142"/>
        </w:trPr>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50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Sarbanes-Oxley Act of 2002</w:t>
              </w:r>
            </w:hyperlink>
          </w:p>
        </w:tc>
        <w:tc>
          <w:tcPr>
            <w:tcW w:w="220" w:type="dxa"/>
            <w:vAlign w:val="bottom"/>
          </w:tcPr>
          <w:p>
            <w:pPr>
              <w:spacing w:after="0"/>
              <w:rPr>
                <w:sz w:val="12"/>
                <w:szCs w:val="12"/>
                <w:color w:val="auto"/>
              </w:rPr>
            </w:pPr>
          </w:p>
        </w:tc>
      </w:tr>
      <w:tr>
        <w:trPr>
          <w:trHeight w:val="20"/>
        </w:trPr>
        <w:tc>
          <w:tcPr>
            <w:tcW w:w="124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237"/>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0"/>
        </w:trPr>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Definition Linkbase</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r>
        <w:trPr>
          <w:trHeight w:val="31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22" w:lineRule="exact"/>
        <w:rPr>
          <w:sz w:val="20"/>
          <w:szCs w:val="20"/>
          <w:color w:val="auto"/>
        </w:rPr>
      </w:pPr>
    </w:p>
    <w:p>
      <w:pPr>
        <w:ind w:left="680" w:hanging="654"/>
        <w:spacing w:after="0"/>
        <w:tabs>
          <w:tab w:leader="none" w:pos="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pacing w:after="0" w:line="32" w:lineRule="exact"/>
        <w:rPr>
          <w:sz w:val="20"/>
          <w:szCs w:val="20"/>
          <w:color w:val="auto"/>
        </w:rPr>
      </w:pPr>
    </w:p>
    <w:p>
      <w:pPr>
        <w:ind w:left="680" w:hanging="654"/>
        <w:spacing w:after="0" w:line="232" w:lineRule="auto"/>
        <w:tabs>
          <w:tab w:leader="none" w:pos="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60" w:lineRule="exact"/>
        <w:rPr>
          <w:sz w:val="20"/>
          <w:szCs w:val="20"/>
          <w:color w:val="auto"/>
        </w:rPr>
      </w:pPr>
    </w:p>
    <w:p>
      <w:pPr>
        <w:ind w:left="680" w:hanging="654"/>
        <w:spacing w:after="0"/>
        <w:tabs>
          <w:tab w:leader="none" w:pos="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0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70" w:name="page71"/>
    <w:bookmarkEnd w:id="7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0"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Stephen W. Hope</w:t>
      </w:r>
    </w:p>
    <w:p>
      <w:pPr>
        <w:spacing w:after="0" w:line="29"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Vice President and Chief Accounting Officer</w:t>
      </w:r>
    </w:p>
    <w:p>
      <w:pPr>
        <w:spacing w:after="0" w:line="28"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20"/>
          </w:cols>
          <w:pgMar w:left="320" w:top="887" w:right="8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104"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2020</w:t>
      </w:r>
    </w:p>
    <w:p>
      <w:pPr>
        <w:spacing w:after="0" w:line="144" w:lineRule="exact"/>
        <w:rPr>
          <w:sz w:val="20"/>
          <w:szCs w:val="20"/>
          <w:color w:val="auto"/>
        </w:rPr>
      </w:pPr>
    </w:p>
    <w:p>
      <w:pPr>
        <w:ind w:left="7520"/>
        <w:spacing w:after="0"/>
        <w:tabs>
          <w:tab w:leader="none" w:pos="78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3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8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Scott Herren, certify that:</w:t>
      </w:r>
    </w:p>
    <w:p>
      <w:pPr>
        <w:spacing w:after="0" w:line="104"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2020</w:t>
      </w:r>
    </w:p>
    <w:p>
      <w:pPr>
        <w:spacing w:after="0" w:line="144"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429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R. Scott Herren</w:t>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p>
      <w:pPr>
        <w:ind w:left="73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98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October 31, 2020,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2020</w:t>
      </w:r>
    </w:p>
    <w:p>
      <w:pPr>
        <w:spacing w:after="0" w:line="144" w:lineRule="exact"/>
        <w:rPr>
          <w:sz w:val="20"/>
          <w:szCs w:val="20"/>
          <w:color w:val="auto"/>
        </w:rPr>
      </w:pPr>
    </w:p>
    <w:p>
      <w:pPr>
        <w:ind w:left="7280"/>
        <w:spacing w:after="0"/>
        <w:tabs>
          <w:tab w:leader="none" w:pos="76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2020,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2020</w:t>
      </w:r>
    </w:p>
    <w:p>
      <w:pPr>
        <w:spacing w:after="0" w:line="14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R. Scott Herren</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2020-12-04T15:05:30Z</dcterms:created>
  <dcterms:modified xsi:type="dcterms:W3CDTF">2020-12-04T15:05:30Z</dcterms:modified>
</cp:coreProperties>
</file>