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jc w:val="both"/>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2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80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November 30, 2017, registrant had outstanding 220,266,822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for the Three and Nine Months Ended October 31, 2017 and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Loss for the Three and Nine Months Ended October 31, 2017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31, 2017 and January 31,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October 31, 2017 and 2016</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372"/>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1">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7">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7">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9">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October 31,</w:t>
            </w:r>
          </w:p>
        </w:tc>
        <w:tc>
          <w:tcPr>
            <w:tcW w:w="220" w:type="dxa"/>
            <w:vAlign w:val="bottom"/>
          </w:tcPr>
          <w:p>
            <w:pPr>
              <w:spacing w:after="0"/>
              <w:rPr>
                <w:sz w:val="16"/>
                <w:szCs w:val="16"/>
                <w:color w:val="auto"/>
              </w:rPr>
            </w:pPr>
          </w:p>
        </w:tc>
        <w:tc>
          <w:tcPr>
            <w:tcW w:w="238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8"/>
              </w:rPr>
              <w:t>Nine Months Ended October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Maintenance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769.8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17"/>
        </w:trPr>
        <w:tc>
          <w:tcPr>
            <w:tcW w:w="6060" w:type="dxa"/>
            <w:vAlign w:val="bottom"/>
          </w:tcPr>
          <w:p>
            <w:pPr>
              <w:ind w:left="540"/>
              <w:spacing w:after="0"/>
              <w:rPr>
                <w:sz w:val="20"/>
                <w:szCs w:val="20"/>
                <w:color w:val="auto"/>
              </w:rPr>
            </w:pPr>
            <w:r>
              <w:rPr>
                <w:rFonts w:ascii="Arial" w:cs="Arial" w:eastAsia="Arial" w:hAnsi="Arial"/>
                <w:sz w:val="16"/>
                <w:szCs w:val="16"/>
                <w:color w:val="auto"/>
              </w:rPr>
              <w:t>Total maintenance and subscription revenue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1,502.8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1,552.2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Cost of maintenance and subscription revenue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license and other revenue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1,272.5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1,293.2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738.9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1,625.7</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October 31,</w:t>
            </w:r>
          </w:p>
        </w:tc>
        <w:tc>
          <w:tcPr>
            <w:tcW w:w="220" w:type="dxa"/>
            <w:vAlign w:val="bottom"/>
          </w:tcPr>
          <w:p>
            <w:pPr>
              <w:spacing w:after="0"/>
              <w:rPr>
                <w:sz w:val="16"/>
                <w:szCs w:val="16"/>
                <w:color w:val="auto"/>
              </w:rPr>
            </w:pPr>
          </w:p>
        </w:tc>
        <w:tc>
          <w:tcPr>
            <w:tcW w:w="23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Nine Months Ended October 31,</w:t>
            </w:r>
          </w:p>
        </w:tc>
      </w:tr>
      <w:tr>
        <w:trPr>
          <w:trHeight w:val="264"/>
        </w:trPr>
        <w:tc>
          <w:tcPr>
            <w:tcW w:w="60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$0.3, $0.2, $1.7 and ($0.6),</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3"/>
              </w:rPr>
              <w:t>Change in net unrealized gain (loss) on available-for-sale securities (net of tax effect of</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($0.4), $0.0, ($0.3), and ($0.6), respectively)</w:t>
            </w:r>
          </w:p>
        </w:tc>
        <w:tc>
          <w:tcPr>
            <w:tcW w:w="20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Change in defined benefit pension items (net of tax effect of $0.0, $0.0, $0.0, and ($0.2),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7"/>
              </w:rPr>
              <w:t>Net change in cumulative foreign currency translation (loss) gain (net of tax effect of</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$0.0, ($0.5), ($0.9) and ($0.5), respectively)</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(475.1)</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2017</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2017</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1,213.1</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686.8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306.2</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4,152.0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73"/>
        </w:trPr>
        <w:tc>
          <w:tcPr>
            <w:tcW w:w="8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1,270.1</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revenue</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517.9</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91.5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1,876.3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(964.2)</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4,152.0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2016</w:t>
            </w: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(393.4)</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(408.7)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104.5</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393.8</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154.1</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(1,106.4)</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544.7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285.8</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(354.3)</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1,213.1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1,353.0</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1,025.2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October 31, 2017, and for the three and nine months ended October 31, 2017 and 2016,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2017 are not necessarily indicative of the results for the entire fiscal year ending January 31, 2018, or for any other period. Further, the balance sheet as of January 31,</w:t>
      </w:r>
    </w:p>
    <w:p>
      <w:pPr>
        <w:spacing w:after="0" w:line="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2017 has been derived from the audited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2017.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2017, filed on March 21, 2017.</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quarter of fiscal 2018, the Company changed its historical presentation of its revenue and cost of revenue categories.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Previously, the Company presented revenue and cost of revenue on two lines: subscription, and license and other. Included within subscription was maintenance revenue for all our software products and revenue for our cloud service offerings. License and other revenue included product license revenue, standalone consulting services, and other immaterial items. Also, included within license and other revenue was an allocation of the estimated value of the software license from our term-based product subscriptions and enterprise offerings, which contain a software license, maintenance and cloud services. For these arrangements, as there is no vendor-specific-objective evidence ("VSOE") for the related maintenance, the arrangement consideration was allocated between the license and maintenance deliverables based on best estimated selling prices in our condensed consolidated statements of operations. The Company performed the allocation because it provided a meaningful presentation to investors based on the Company's then current product mix.</w:t>
      </w:r>
    </w:p>
    <w:p>
      <w:pPr>
        <w:spacing w:after="0" w:line="16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part of the Company's technological and business model transition, the Company discontinued the sale of most of its perpetual licenses, transitioning away from selling a mix of perpetual licenses and term-based product subscriptions to a single subscription model involving more highly interrelated software and cloud functionalities. Fiscal 2018 marks the first full year in the Company's history that it will sell substantially term-based product subscriptions. To better reflect this shift in our business, the Company adopted a revised presentation in the first quarter of fiscal 2018, including the separation of subscription revenue and maintenance revenue on distinct line items on the Company's condensed consolidated statement of operations.</w:t>
      </w:r>
    </w:p>
    <w:p>
      <w:pPr>
        <w:spacing w:after="0" w:line="158"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Subscription revenue now consists of our full term-based product subscriptions, cloud service offerings, and flexible enterprise business arrangements. Note that with the change in our presentation of revenue in our condensed consolidated statement of operations in the first quarter of fiscal 2018, our term-based product subscriptions and flexible enterprise business arrangements are classified and presented in a single line item.</w:t>
      </w:r>
    </w:p>
    <w:p>
      <w:pPr>
        <w:spacing w:after="0" w:line="1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Maintenance revenue is presented as a separate line item in the new presentation and consists of revenue from our existing maintenance plan agreements and related renewals.</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License and other revenue will continue to be presented as a separate line item and include any residual perpetual licenses sold, standalone consulting services, and other immaterial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160" w:firstLine="405"/>
        <w:spacing w:after="0" w:line="342" w:lineRule="auto"/>
        <w:rPr>
          <w:sz w:val="20"/>
          <w:szCs w:val="20"/>
          <w:color w:val="auto"/>
        </w:rPr>
      </w:pPr>
      <w:r>
        <w:rPr>
          <w:rFonts w:ascii="Arial" w:cs="Arial" w:eastAsia="Arial" w:hAnsi="Arial"/>
          <w:sz w:val="16"/>
          <w:szCs w:val="16"/>
          <w:color w:val="auto"/>
        </w:rPr>
        <w:t>In connection with these revisions, the Company also revised its cost of revenue classification to present cost of subscription and maintenance revenue and amortization of developed technology separately. Cost of license and other revenue will continue to be presented as a separate line item.</w:t>
      </w:r>
    </w:p>
    <w:p>
      <w:pPr>
        <w:spacing w:after="0" w:line="12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This change in presentation does not affect our total net revenues, total cost of net revenues or overall gross margin. The following table shows reclassified amounts to conform to the current period presentation: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jc w:val="center"/>
              <w:ind w:right="101"/>
              <w:spacing w:after="0"/>
              <w:rPr>
                <w:sz w:val="20"/>
                <w:szCs w:val="20"/>
                <w:color w:val="auto"/>
              </w:rPr>
            </w:pPr>
            <w:r>
              <w:rPr>
                <w:rFonts w:ascii="Arial" w:cs="Arial" w:eastAsia="Arial" w:hAnsi="Arial"/>
                <w:sz w:val="14"/>
                <w:szCs w:val="14"/>
                <w:b w:val="1"/>
                <w:bCs w:val="1"/>
                <w:color w:val="auto"/>
                <w:w w:val="93"/>
              </w:rPr>
              <w:t>Three Months Ended October 31, 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7"/>
          </w:tcPr>
          <w:p>
            <w:pPr>
              <w:jc w:val="right"/>
              <w:ind w:right="601"/>
              <w:spacing w:after="0"/>
              <w:rPr>
                <w:sz w:val="20"/>
                <w:szCs w:val="20"/>
                <w:color w:val="auto"/>
              </w:rPr>
            </w:pPr>
            <w:r>
              <w:rPr>
                <w:rFonts w:ascii="Arial" w:cs="Arial" w:eastAsia="Arial" w:hAnsi="Arial"/>
                <w:sz w:val="14"/>
                <w:szCs w:val="14"/>
                <w:b w:val="1"/>
                <w:bCs w:val="1"/>
                <w:color w:val="auto"/>
              </w:rPr>
              <w:t>Nine Months Ended October 31, 2016</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Previously</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Change in</w:t>
            </w:r>
          </w:p>
        </w:tc>
        <w:tc>
          <w:tcPr>
            <w:tcW w:w="140" w:type="dxa"/>
            <w:vAlign w:val="bottom"/>
          </w:tcPr>
          <w:p>
            <w:pPr>
              <w:spacing w:after="0"/>
              <w:rPr>
                <w:sz w:val="13"/>
                <w:szCs w:val="13"/>
                <w:color w:val="auto"/>
              </w:rPr>
            </w:pPr>
          </w:p>
        </w:tc>
        <w:tc>
          <w:tcPr>
            <w:tcW w:w="9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Reclassification</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Presentation</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Reclassification</w:t>
            </w:r>
          </w:p>
        </w:tc>
        <w:tc>
          <w:tcPr>
            <w:tcW w:w="14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4"/>
                <w:szCs w:val="14"/>
                <w:b w:val="1"/>
                <w:bCs w:val="1"/>
                <w:color w:val="auto"/>
                <w:w w:val="91"/>
              </w:rPr>
              <w:t>Presentation</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Maintenance (1)</w:t>
            </w:r>
          </w:p>
        </w:tc>
        <w:tc>
          <w:tcPr>
            <w:tcW w:w="20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6"/>
                <w:szCs w:val="16"/>
                <w:color w:val="auto"/>
              </w:rPr>
              <w:t>N/A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835.1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License and other</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170.1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489.6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1,552.2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1,552.2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Maintenance and subscription (2)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35.1</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License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Amortization of developed technology (1)</w:t>
            </w:r>
          </w:p>
        </w:tc>
        <w:tc>
          <w:tcPr>
            <w:tcW w:w="20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These lines were not previously reported in the Condensed Consolidated Statement of Operations.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titled "Subscription."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2017,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 adopted in the current fiscal year</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adopted FASB's Accounting Standards Update No. 2017-04 ("ASU 2017-04"), "Intangibles—Goodwill and Other (Topic 350): Simplifying the Test for Goodwill Impairment" during the three months ended April 30, 2017. The ASU simplifies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guidance is required to be applied on a prospective basis and as such, Autodesk will use the simplified test in its annual fourth fiscal quarter testing or more often if circumstances indicate a potential impairment may exist, or if events have affected the composition of reporting units. Autodesk does not believe ASU 2017-04 will have a material impact on its consolidated financial statements.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 but not yet adopted</w:t>
      </w:r>
    </w:p>
    <w:p>
      <w:pPr>
        <w:spacing w:after="0" w:line="225"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In August 2017, FASB issued Accounting Standards Update No. 2017-12 ("ASU 2017-12"), "Derivatives and Hedging (Topic 815): Targeted Improvements to Accounting for Hedging Activities." The targeted amendments help simplify certain aspects of hedge accounting and result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The amendments are effective for Autodesk's fiscal year beginning February 1, 2019, with early adoption permitted. Autodesk is currently evaluating the accounting, transition, and disclosure requirements of the standard and cannot currently estimate the financial statement impact of adoption.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right="220" w:firstLine="405"/>
        <w:spacing w:after="0" w:line="271" w:lineRule="auto"/>
        <w:rPr>
          <w:sz w:val="20"/>
          <w:szCs w:val="20"/>
          <w:color w:val="auto"/>
        </w:rPr>
      </w:pPr>
      <w:r>
        <w:rPr>
          <w:rFonts w:ascii="Arial" w:cs="Arial" w:eastAsia="Arial" w:hAnsi="Arial"/>
          <w:sz w:val="17"/>
          <w:szCs w:val="17"/>
          <w:color w:val="auto"/>
        </w:rPr>
        <w:t>In February 2017, FASB issued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 substance financial assets, and impacts the accounting for partial sales of nonfinancial assets by requiring full gain recognition upon the sale. The amendments are effective for Autodesk's fiscal year beginning February 1, 2018. The guidance may be applied retrospectively for all periods presented or retrospectively with a cumulative-effect adjustment at the date of adoption. The effect of the implementation will depend upon the nature of the Company's future acquisitions or dispositions, if any. The adoption of the guidance would not have had a material impact on acquisitions prior to the current period and on the Company's consolidated statements of financial condition and results of operations.</w:t>
      </w:r>
    </w:p>
    <w:p>
      <w:pPr>
        <w:spacing w:after="0" w:line="1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January 2017, FASB issued Accounting Standards Update No. 2017-01 ("ASU 2017-01"), "Business Combinations: Clarifying the Definition of a Business" which provides a more robust framework to use in determining when a set of assets and activities is considered a business. The amendments will be effective for Autodesk's fiscal year beginning February 1, 2018. The new guidance is required to be applied on a prospective basis. The effect of the implementation will depend upon the nature of the Company's future acquisitions, if any.</w:t>
      </w:r>
    </w:p>
    <w:p>
      <w:pPr>
        <w:spacing w:after="0" w:line="18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The new guidance is required to be applied on a modified retrospective basis through a cumulative-effect adjustment directly to retained earnings as of the beginning of the period of adoption. Autodesk is currently evaluating the accounting and disclosure requirements of the standard. Furthermore, the actual impact of implementation will largely depend on future intra-entity asset transfers, if any.</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in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January 2016,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7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May 2014, FASB issued Accounting Standards Update No.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FASB issued Accounting Standards Update No. 2015-14 to defer the effective date by one year with early adoption permitted as of the original effective date. In addition, FASB issued Accounting Standards Update No. 2016-08, Accounting Standards Update No. 2016-10, Accounting Standards Update No. 2016-12, and Accounting Standard Update No. 2016-20 in March 2016, April 2016, May 2016, and December 2016, respectively, to help provide interpretive clarifications on the new guidance in ASC Topic 606.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Autodesk currently plans to adopt ASU 2014-09 as of February 1, 2018, using the modified retrospective transition method.</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terms of Autodesk's evaluation efforts, the Company has assigned internal resources in addition to the engagement of third party service providers to assist in the evaluation. The Company's preliminary assessment is that there should be no material change in the timing and amount of the recognition of revenue for the majority of the Company's product subscription offerings and enterprise arrangements. This preliminary assessment is based on the Company's analysis that the related software and cloud services in a majority of the product subscription and enterprise arrangements are not distinct in the context of the contract as they are considered highly interrelated and represent a single combined performance obligation that should be recognized over time. Due to the complexity of certain contracts, the actual revenue recognition treatment required under the new standard for these arrangements may be dependent on contract-specific terms and vary in some instances.</w:t>
      </w:r>
    </w:p>
    <w:p>
      <w:pPr>
        <w:spacing w:after="0" w:line="178"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A limited number of Autodesk's product subscriptions do not incorporate substantial cloud services, and under ASU 2014-09 will be recognized as distinct license and service performance obligations. Revenue allocated to the licenses in these offerings will be recognized at a point in time instead of over the contract term. While we are still evaluating, Autodesk believes the impact of the change to timing of revenue recognition for these limited offerings, and other revenue streams that Autodesk is currently evaluating, may have a material balance sheet impact on the adoption date with the application of the modified retrospective transition method. It is not expected to have a material impact to reported revenue in subsequent reporting periods.</w:t>
      </w:r>
    </w:p>
    <w:p>
      <w:pPr>
        <w:spacing w:after="0" w:line="15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Another significant provision under ASU 2014-09 includes the capitalization and amortization of costs associated with obtaining a contract, such as sales commission. The Company expects there to be a material balance sheet impact at the period of adoption capturing the sales commission capitalization and is currently evaluating the magnitude at implementation.</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Furthermore, the Company has made and will continue to make investments in systems and processes to enable timely and accurate reporting under the new standard. The Company currently expects that necessary operational and internal control structural changes will be implemented prior to the adoption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Total sales to the distributor Tech Data Corporation and its global affiliates (“Tech Data”) accounted for 32% and 31% of Autodesk’s total net revenue for the three months ended October 31, 2017 and 2016, respectively, and 31% and 30% of Autodesk’s total net revenue for the nine months ended October 31, 2017 and 2016, respectively. The majority of the net revenue from sales to Tech Data is for sales made outside of the United States. In addition, Tech Data accounted for 28% and 20% of trade accounts receivable at October 31, 2017 and January 31, 2017,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2017 and January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October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Long-term available-for-sale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1,329.9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883.9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11.0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022" w:right="259" w:bottom="1440" w:gutter="0" w:footer="0" w:header="0"/>
        </w:sectPr>
      </w:pPr>
    </w:p>
    <w:bookmarkStart w:id="12" w:name="page13"/>
    <w:bookmarkEnd w:id="12"/>
    <w:p>
      <w:pPr>
        <w:ind w:right="100"/>
        <w:spacing w:after="0" w:line="271" w:lineRule="auto"/>
        <w:rPr>
          <w:sz w:val="20"/>
          <w:szCs w:val="20"/>
          <w:color w:val="auto"/>
        </w:rPr>
      </w:pPr>
      <w:r>
        <w:rPr>
          <w:rFonts w:ascii="Arial" w:cs="Arial" w:eastAsia="Arial" w:hAnsi="Arial"/>
          <w:sz w:val="17"/>
          <w:szCs w:val="17"/>
          <w:color w:val="auto"/>
        </w:rPr>
        <w:t>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nine months ended October 31, 2017.</w:t>
      </w:r>
    </w:p>
    <w:p>
      <w:pPr>
        <w:spacing w:after="0" w:line="1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2017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6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Losses included in earnings</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Losses included in OCI</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October 31, 2017</w:t>
            </w:r>
          </w:p>
        </w:tc>
        <w:tc>
          <w:tcPr>
            <w:tcW w:w="6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96"/>
              </w:rPr>
              <w:t>October 31, 2017</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377.4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259.4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259.3</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645.5</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October 31, 2017 and January 31, 2017, Autodesk had no securities, individually and in the aggregate, in a continuous unrealized loss position for greater than twelve months.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October 31, 2017 and January 31, 2017, Autodesk had $116.2 million and $117.2 million, respectively, in direct investments in privately held companies accounted for under the cost method, which are periodically assessed for other-than-temporary impairment. Other than the amounts disclosed in the following paragraph,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October 31, 2017.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firstLine="405"/>
        <w:spacing w:after="0" w:line="257" w:lineRule="auto"/>
        <w:rPr>
          <w:sz w:val="20"/>
          <w:szCs w:val="20"/>
          <w:color w:val="auto"/>
        </w:rPr>
      </w:pPr>
      <w:r>
        <w:rPr>
          <w:rFonts w:ascii="Arial" w:cs="Arial" w:eastAsia="Arial" w:hAnsi="Arial"/>
          <w:sz w:val="18"/>
          <w:szCs w:val="18"/>
          <w:color w:val="auto"/>
        </w:rPr>
        <w:t>If Autodesk determines that an other-than-temporary impairment has occurred, Autodesk writes down the investment to its fair value. During the three and nine months ended October 31, 2017, Autodesk recorded $3.9 million and $8.0 million, respectively, in other-than-temporary impairments on its privately held investments. During the three months ended October 31, 2016, Autodesk recorded no other-than-temporary impairments on its privately held investments. During the nine months ended October 31, 2016, Autodesk recorded $0.3 million in other-than-temporary impairments on its privately held investments.</w:t>
      </w:r>
    </w:p>
    <w:p>
      <w:pPr>
        <w:spacing w:after="0" w:line="188"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There was no loss or gain for the sales or redemptions of “available-for-sale securities” during the nine months ended October 31, 2017. The sales or redemptions of “available-for-sale securities” during the nine months ended October 31, 2016 resulted in a gain of $0.7 million. Gains and losses resulting from the sale or redemption of "available-for-sale securities" are recorded in “Interest and other expense, net” on the Company's Condensed Consolidated Statements of Operations.</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2017 and 2016 were $729.3 million and $1,557.3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$613.6 million at October 31, 2017 and $369.4 million at January 31, 2017. Outstanding contracts are recognized as either assets or liabilities on the balance sheet at fair value. The majority of the net loss of $0.8 million remaining in “Accumulated other comprehensive loss” as of October 31, 2017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$189.0 million at October 31, 2017 and $270.6 million at January 31, 2017.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right="16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October 31, 2017 and January 31,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2017</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2017 and 2016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22"/>
                <w:szCs w:val="22"/>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(loss) recognized in accumulated other comprehensive (loss)</w:t>
            </w:r>
          </w:p>
        </w:tc>
        <w:tc>
          <w:tcPr>
            <w:tcW w:w="4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89"/>
                <w:shd w:val="clear" w:color="auto" w:fill="CCEEFF"/>
              </w:rPr>
              <w:t>income</w:t>
            </w: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on derivatives (effective portion)</w:t>
            </w:r>
          </w:p>
        </w:tc>
        <w:tc>
          <w:tcPr>
            <w:tcW w:w="560" w:type="dxa"/>
            <w:vAlign w:val="bottom"/>
            <w:tcBorders>
              <w:bottom w:val="single" w:sz="8" w:color="CCEEFF"/>
            </w:tcBorders>
            <w:gridSpan w:val="2"/>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reclassified from accumulated other</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00" w:type="dxa"/>
            <w:vAlign w:val="bottom"/>
            <w:gridSpan w:val="4"/>
            <w:vMerge w:val="continue"/>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comprehensive (loss) income into (loss) income (effective portion)</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3"/>
          </w:tcPr>
          <w:p>
            <w:pPr>
              <w:ind w:left="34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0"/>
                <w:szCs w:val="20"/>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560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recognized in (loss) income on derivatives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0" w:type="dxa"/>
            <w:vAlign w:val="bottom"/>
            <w:gridSpan w:val="4"/>
            <w:vMerge w:val="continue"/>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(ineffective portion and amount excluded from effectiveness testing)</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Interest and other expense,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nine months ended October 31, 2017 and 2016 (amounts presented include any income tax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4"/>
        </w:trPr>
        <w:tc>
          <w:tcPr>
            <w:tcW w:w="65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in (loss) income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right="4760" w:hanging="212"/>
        <w:spacing w:after="0" w:line="501" w:lineRule="auto"/>
        <w:tabs>
          <w:tab w:leader="none" w:pos="18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nine months ended October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October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7,622.4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2,036.6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(3,156.6)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(534.3)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67.05</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5,992.8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2017 performance period. The performance stock units were attained at rates ranging from 99.7% to 114.7%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nine months ended October 31, 2017 and 2016 was $332.8 million and $180.3 million, respectively.</w:t>
      </w:r>
    </w:p>
    <w:p>
      <w:pPr>
        <w:spacing w:after="0" w:line="23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During the nine months ended October 31, 2017, Autodesk granted 1.8 million restricted stock units. Autodesk recorded stock-based compensation expense related to restricted stock units of $51.5 million and $45.2 million during the three months ended October 31, 2017 and 2016, respectively. Autodesk recorded stock-based compensation expense related to restricted stock units of $153.5 million and $125.5 million during the nine months ended October 31, 2017 and 2016, respectively. The $153.5 million of stock-based compensation expense for the nine months ended October 31, 2017 includes $9.1 million related to the acceleration of eligible restricted stock awards in conjunction with the Company's CEO transition.</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nine months ended October 31, 2017, Autodesk granted 0.2 million performance stock units for which the ultimate number of shares earned is determined based on the achievement of performance criteria at the end of the stated service and performance period. During the period, we granted two different types of performance stock units.</w:t>
      </w:r>
    </w:p>
    <w:p>
      <w:pPr>
        <w:spacing w:after="0" w:line="1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performance criteria for the first type of performance stock units were based on a mix of net subscription additions, Annualized Recurring Revenue ("ARR"), non-GAAP total spend, and total subscription renewal rate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71" w:lineRule="exact"/>
        <w:rPr>
          <w:sz w:val="20"/>
          <w:szCs w:val="20"/>
          <w:color w:val="auto"/>
        </w:rPr>
      </w:pPr>
    </w:p>
    <w:p>
      <w:pPr>
        <w:ind w:left="660" w:right="2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2018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performance criteria for the second type of performance stock units granted to our Chief Executive Officer during the nine months ended October 31, 2017 were based on fiscal 2020 free cash flow per share and ARR goals adopted by the Compensation and Human Resource Committee. These performance stock units vest in March 2020 based on the Company’s fiscal 2020 performance against the performance criteria.</w:t>
      </w:r>
    </w:p>
    <w:p>
      <w:pPr>
        <w:spacing w:after="0" w:line="17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stock price on the date of grant or if the awards are also subject to a market condition, a Monte Carlo simulation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20"/>
        <w:spacing w:after="0" w:line="297" w:lineRule="auto"/>
        <w:rPr>
          <w:sz w:val="20"/>
          <w:szCs w:val="20"/>
          <w:color w:val="auto"/>
        </w:rPr>
      </w:pPr>
      <w:r>
        <w:rPr>
          <w:rFonts w:ascii="Arial" w:cs="Arial" w:eastAsia="Arial" w:hAnsi="Arial"/>
          <w:sz w:val="16"/>
          <w:szCs w:val="16"/>
          <w:color w:val="auto"/>
        </w:rPr>
        <w:t>model. The fair value of the performance stock units is expensed using the accelerated attribution over the vesting period. Autodesk recorded stock-based compensation expense related to performance stock units of $7.1 million and $4.9 million for the three months ended October 31, 2017 and 2016, respectively. Autodesk recorded stock-based compensation expense related to performance stock units of $27.7 million and $17.1 million for the nine months ended October 31, 2017 and 2016, respectively. The $27.7 million of stock-based compensation expense for the nine months ended October 31, 2017 includes $7.5 million related to the acceleration of eligible performance stock awards in conjunction with the Company's CEO transition.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three and nine months ended October 31, 2017 and 2016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37.36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36.99</w:t>
            </w: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Weighted average grant date fair value of awards granted under the ESPP</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20.75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19.20</w:t>
            </w:r>
          </w:p>
        </w:tc>
      </w:tr>
      <w:tr>
        <w:trPr>
          <w:trHeight w:val="33"/>
        </w:trPr>
        <w:tc>
          <w:tcPr>
            <w:tcW w:w="5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ind w:left="60"/>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2017 and 2016, respectively,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maintenance and subscription revenue (1)</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license and other revenue (1)</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 See Note 1, "Basis of Presentation," for additional information.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2017</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2016</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100" w:type="dxa"/>
            <w:vAlign w:val="bottom"/>
            <w:vMerge w:val="restart"/>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31.7 - 33.4%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31.0 - 33.9%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1.2 - 1.4%</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0.5 - 0.8%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Nine Months Ended October 31, 2017</w:t>
            </w:r>
          </w:p>
        </w:tc>
        <w:tc>
          <w:tcPr>
            <w:tcW w:w="100" w:type="dxa"/>
            <w:vAlign w:val="bottom"/>
          </w:tcPr>
          <w:p>
            <w:pPr>
              <w:spacing w:after="0"/>
              <w:rPr>
                <w:sz w:val="19"/>
                <w:szCs w:val="19"/>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 31, 2016</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Performance Stock Unit</w:t>
            </w:r>
          </w:p>
        </w:tc>
        <w:tc>
          <w:tcPr>
            <w:tcW w:w="1700" w:type="dxa"/>
            <w:vAlign w:val="bottom"/>
            <w:gridSpan w:val="2"/>
          </w:tcPr>
          <w:p>
            <w:pPr>
              <w:ind w:left="620"/>
              <w:spacing w:after="0"/>
              <w:rPr>
                <w:sz w:val="20"/>
                <w:szCs w:val="20"/>
                <w:color w:val="auto"/>
              </w:rPr>
            </w:pPr>
            <w:r>
              <w:rPr>
                <w:rFonts w:ascii="Arial" w:cs="Arial" w:eastAsia="Arial" w:hAnsi="Arial"/>
                <w:sz w:val="14"/>
                <w:szCs w:val="14"/>
                <w:b w:val="1"/>
                <w:bCs w:val="1"/>
                <w:color w:val="auto"/>
              </w:rPr>
              <w:t>ESPP</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jc w:val="center"/>
              <w:ind w:right="419"/>
              <w:spacing w:after="0"/>
              <w:rPr>
                <w:sz w:val="20"/>
                <w:szCs w:val="20"/>
                <w:color w:val="auto"/>
              </w:rPr>
            </w:pPr>
            <w:r>
              <w:rPr>
                <w:rFonts w:ascii="Arial" w:cs="Arial" w:eastAsia="Arial" w:hAnsi="Arial"/>
                <w:sz w:val="16"/>
                <w:szCs w:val="16"/>
                <w:color w:val="auto"/>
                <w:w w:val="92"/>
              </w:rPr>
              <w:t>31.8%</w:t>
            </w:r>
          </w:p>
        </w:tc>
        <w:tc>
          <w:tcPr>
            <w:tcW w:w="780" w:type="dxa"/>
            <w:vAlign w:val="bottom"/>
          </w:tcPr>
          <w:p>
            <w:pPr>
              <w:jc w:val="right"/>
              <w:spacing w:after="0"/>
              <w:rPr>
                <w:sz w:val="20"/>
                <w:szCs w:val="20"/>
                <w:color w:val="auto"/>
              </w:rPr>
            </w:pPr>
            <w:r>
              <w:rPr>
                <w:rFonts w:ascii="Arial" w:cs="Arial" w:eastAsia="Arial" w:hAnsi="Arial"/>
                <w:sz w:val="16"/>
                <w:szCs w:val="16"/>
                <w:color w:val="auto"/>
              </w:rPr>
              <w:t>31.4</w:t>
            </w:r>
          </w:p>
        </w:tc>
        <w:tc>
          <w:tcPr>
            <w:tcW w:w="980" w:type="dxa"/>
            <w:vAlign w:val="bottom"/>
          </w:tcPr>
          <w:p>
            <w:pPr>
              <w:ind w:left="20"/>
              <w:spacing w:after="0"/>
              <w:rPr>
                <w:sz w:val="20"/>
                <w:szCs w:val="20"/>
                <w:color w:val="auto"/>
              </w:rPr>
            </w:pPr>
            <w:r>
              <w:rPr>
                <w:rFonts w:ascii="Arial" w:cs="Arial" w:eastAsia="Arial" w:hAnsi="Arial"/>
                <w:sz w:val="16"/>
                <w:szCs w:val="16"/>
                <w:color w:val="auto"/>
              </w:rPr>
              <w:t>- 33.7%</w:t>
            </w:r>
          </w:p>
        </w:tc>
        <w:tc>
          <w:tcPr>
            <w:tcW w:w="720" w:type="dxa"/>
            <w:vAlign w:val="bottom"/>
          </w:tcPr>
          <w:p>
            <w:pPr>
              <w:jc w:val="right"/>
              <w:spacing w:after="0"/>
              <w:rPr>
                <w:sz w:val="20"/>
                <w:szCs w:val="20"/>
                <w:color w:val="auto"/>
              </w:rPr>
            </w:pPr>
            <w:r>
              <w:rPr>
                <w:rFonts w:ascii="Arial" w:cs="Arial" w:eastAsia="Arial" w:hAnsi="Arial"/>
                <w:sz w:val="16"/>
                <w:szCs w:val="16"/>
                <w:color w:val="auto"/>
              </w:rPr>
              <w:t>38.4</w:t>
            </w:r>
          </w:p>
        </w:tc>
        <w:tc>
          <w:tcPr>
            <w:tcW w:w="980" w:type="dxa"/>
            <w:vAlign w:val="bottom"/>
          </w:tcPr>
          <w:p>
            <w:pPr>
              <w:ind w:left="20"/>
              <w:spacing w:after="0"/>
              <w:rPr>
                <w:sz w:val="20"/>
                <w:szCs w:val="20"/>
                <w:color w:val="auto"/>
              </w:rPr>
            </w:pPr>
            <w:r>
              <w:rPr>
                <w:rFonts w:ascii="Arial" w:cs="Arial" w:eastAsia="Arial" w:hAnsi="Arial"/>
                <w:sz w:val="16"/>
                <w:szCs w:val="16"/>
                <w:color w:val="auto"/>
              </w:rPr>
              <w:t>- 38.6%</w:t>
            </w: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540" w:type="dxa"/>
            <w:vAlign w:val="bottom"/>
          </w:tcPr>
          <w:p>
            <w:pPr>
              <w:ind w:left="20"/>
              <w:spacing w:after="0"/>
              <w:rPr>
                <w:sz w:val="20"/>
                <w:szCs w:val="20"/>
                <w:color w:val="auto"/>
              </w:rPr>
            </w:pPr>
            <w:r>
              <w:rPr>
                <w:rFonts w:ascii="Arial" w:cs="Arial" w:eastAsia="Arial" w:hAnsi="Arial"/>
                <w:sz w:val="16"/>
                <w:szCs w:val="16"/>
                <w:color w:val="auto"/>
                <w:w w:val="90"/>
              </w:rPr>
              <w:t>- 40.2%</w:t>
            </w:r>
          </w:p>
        </w:tc>
      </w:tr>
      <w:tr>
        <w:trPr>
          <w:trHeight w:val="270"/>
        </w:trPr>
        <w:tc>
          <w:tcPr>
            <w:tcW w:w="1160" w:type="dxa"/>
            <w:vAlign w:val="bottom"/>
          </w:tcPr>
          <w:p>
            <w:pPr>
              <w:ind w:left="200"/>
              <w:spacing w:after="0"/>
              <w:rPr>
                <w:sz w:val="20"/>
                <w:szCs w:val="20"/>
                <w:color w:val="auto"/>
              </w:rPr>
            </w:pPr>
            <w:r>
              <w:rPr>
                <w:rFonts w:ascii="Arial" w:cs="Arial" w:eastAsia="Arial" w:hAnsi="Arial"/>
                <w:sz w:val="16"/>
                <w:szCs w:val="16"/>
                <w:color w:val="auto"/>
              </w:rPr>
              <w:t>N/A</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color w:val="auto"/>
              </w:rPr>
              <w:t>0.5 - 2.0</w:t>
            </w:r>
          </w:p>
        </w:tc>
        <w:tc>
          <w:tcPr>
            <w:tcW w:w="17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0.5 - 2.0</w:t>
            </w:r>
          </w:p>
        </w:tc>
      </w:tr>
      <w:tr>
        <w:trPr>
          <w:trHeight w:val="270"/>
        </w:trPr>
        <w:tc>
          <w:tcPr>
            <w:tcW w:w="1160" w:type="dxa"/>
            <w:vAlign w:val="bottom"/>
          </w:tcPr>
          <w:p>
            <w:pPr>
              <w:jc w:val="center"/>
              <w:ind w:right="419"/>
              <w:spacing w:after="0"/>
              <w:rPr>
                <w:sz w:val="20"/>
                <w:szCs w:val="20"/>
                <w:color w:val="auto"/>
              </w:rPr>
            </w:pPr>
            <w:r>
              <w:rPr>
                <w:rFonts w:ascii="Arial" w:cs="Arial" w:eastAsia="Arial" w:hAnsi="Arial"/>
                <w:sz w:val="16"/>
                <w:szCs w:val="16"/>
                <w:color w:val="auto"/>
                <w:w w:val="99"/>
              </w:rPr>
              <w:t>—%</w:t>
            </w:r>
          </w:p>
        </w:tc>
        <w:tc>
          <w:tcPr>
            <w:tcW w:w="1760" w:type="dxa"/>
            <w:vAlign w:val="bottom"/>
            <w:gridSpan w:val="2"/>
          </w:tcPr>
          <w:p>
            <w:pPr>
              <w:jc w:val="center"/>
              <w:spacing w:after="0"/>
              <w:rPr>
                <w:sz w:val="20"/>
                <w:szCs w:val="20"/>
                <w:color w:val="auto"/>
              </w:rPr>
            </w:pPr>
            <w:r>
              <w:rPr>
                <w:rFonts w:ascii="Arial" w:cs="Arial" w:eastAsia="Arial" w:hAnsi="Arial"/>
                <w:sz w:val="16"/>
                <w:szCs w:val="16"/>
                <w:color w:val="auto"/>
                <w:w w:val="92"/>
              </w:rPr>
              <w:t>—%</w:t>
            </w:r>
          </w:p>
        </w:tc>
        <w:tc>
          <w:tcPr>
            <w:tcW w:w="17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w w:val="99"/>
              </w:rPr>
              <w:t>—%</w:t>
            </w:r>
          </w:p>
        </w:tc>
      </w:tr>
      <w:tr>
        <w:trPr>
          <w:trHeight w:val="270"/>
        </w:trPr>
        <w:tc>
          <w:tcPr>
            <w:tcW w:w="1160" w:type="dxa"/>
            <w:vAlign w:val="bottom"/>
          </w:tcPr>
          <w:p>
            <w:pPr>
              <w:jc w:val="center"/>
              <w:ind w:right="399"/>
              <w:spacing w:after="0"/>
              <w:rPr>
                <w:sz w:val="20"/>
                <w:szCs w:val="20"/>
                <w:color w:val="auto"/>
              </w:rPr>
            </w:pPr>
            <w:r>
              <w:rPr>
                <w:rFonts w:ascii="Arial" w:cs="Arial" w:eastAsia="Arial" w:hAnsi="Arial"/>
                <w:sz w:val="16"/>
                <w:szCs w:val="16"/>
                <w:color w:val="auto"/>
                <w:w w:val="93"/>
              </w:rPr>
              <w:t>1.0 - 1.2%</w:t>
            </w: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980" w:type="dxa"/>
            <w:vAlign w:val="bottom"/>
          </w:tcPr>
          <w:p>
            <w:pPr>
              <w:ind w:left="20"/>
              <w:spacing w:after="0"/>
              <w:rPr>
                <w:sz w:val="20"/>
                <w:szCs w:val="20"/>
                <w:color w:val="auto"/>
              </w:rPr>
            </w:pPr>
            <w:r>
              <w:rPr>
                <w:rFonts w:ascii="Arial" w:cs="Arial" w:eastAsia="Arial" w:hAnsi="Arial"/>
                <w:sz w:val="16"/>
                <w:szCs w:val="16"/>
                <w:color w:val="auto"/>
              </w:rPr>
              <w:t>- 1.4%</w:t>
            </w: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980" w:type="dxa"/>
            <w:vAlign w:val="bottom"/>
          </w:tcPr>
          <w:p>
            <w:pPr>
              <w:ind w:left="20"/>
              <w:spacing w:after="0"/>
              <w:rPr>
                <w:sz w:val="20"/>
                <w:szCs w:val="20"/>
                <w:color w:val="auto"/>
              </w:rPr>
            </w:pPr>
            <w:r>
              <w:rPr>
                <w:rFonts w:ascii="Arial" w:cs="Arial" w:eastAsia="Arial" w:hAnsi="Arial"/>
                <w:sz w:val="16"/>
                <w:szCs w:val="16"/>
                <w:color w:val="auto"/>
              </w:rPr>
              <w:t>- 0.7%</w:t>
            </w: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540" w:type="dxa"/>
            <w:vAlign w:val="bottom"/>
          </w:tcPr>
          <w:p>
            <w:pPr>
              <w:ind w:left="20"/>
              <w:spacing w:after="0"/>
              <w:rPr>
                <w:sz w:val="20"/>
                <w:szCs w:val="20"/>
                <w:color w:val="auto"/>
              </w:rPr>
            </w:pPr>
            <w:r>
              <w:rPr>
                <w:rFonts w:ascii="Arial" w:cs="Arial" w:eastAsia="Arial" w:hAnsi="Arial"/>
                <w:sz w:val="16"/>
                <w:szCs w:val="16"/>
                <w:color w:val="auto"/>
              </w:rPr>
              <w:t>- 0.9%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-321310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584" w:right="239" w:bottom="1440" w:gutter="0" w:footer="0" w:header="0"/>
          <w:type w:val="continuous"/>
        </w:sectPr>
      </w:pP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that were subject to market conditions in the three months ended October 31, 2017 or 2016.</w:t>
      </w:r>
    </w:p>
    <w:p>
      <w:pPr>
        <w:spacing w:after="0" w:line="20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$2.00 billion, depending on the award type.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As permitted by ASU 2016-09, Autodesk accounts for forfeitures of our stock-based awards as those forfeitures occur.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Autodesk's income tax expense was $8.6 million and $13.5 million for the three months ended October 31, 2017 and 2016, respectively, relative to pre-tax losses of $111.2 million and $129.3 million, respectively, for the same periods. The decrease in income tax expense was primarily due to the lower forecasted worldwide tax expense as the result of changes in the geographic mix of worldwide pre-tax book income. For the three months ended October 31, 2016, the discrete items were primarily from tax benefit on acceleration of revenue while the discrete items for the three months ended October 31, 2017 related to the expiration of the statute of limitations related to an uncertain tax position and the excess tax benefit of stock compensation. Autodesk's income tax expense was $34.4 million and $53.1 million for the nine months ended October 31, 2017 and 2016, respectively, relative to pre-tax losses of $359.0 million and $355.6 million, respectively, for the same periods. The decrease in income tax expense was primarily discrete items in the quarter related to the expiration of the statute of limitations related to an uncertain tax position, the excess tax benefit of stock compensation and the reversal of foreign withholding tax accruals. Income tax expense consists primarily of foreign taxes, U.S. tax expense related to indefinite-lived intangibles, and withholding taxes.</w:t>
      </w:r>
    </w:p>
    <w:p>
      <w:pPr>
        <w:spacing w:after="0" w:line="167" w:lineRule="exact"/>
        <w:rPr>
          <w:sz w:val="20"/>
          <w:szCs w:val="20"/>
          <w:color w:val="auto"/>
        </w:rPr>
      </w:pPr>
    </w:p>
    <w:p>
      <w:pPr>
        <w:ind w:right="260" w:firstLine="432"/>
        <w:spacing w:after="0" w:line="293" w:lineRule="auto"/>
        <w:rPr>
          <w:sz w:val="20"/>
          <w:szCs w:val="20"/>
          <w:color w:val="auto"/>
        </w:rPr>
      </w:pPr>
      <w:r>
        <w:rPr>
          <w:rFonts w:ascii="Arial" w:cs="Arial" w:eastAsia="Arial" w:hAnsi="Arial"/>
          <w:sz w:val="16"/>
          <w:szCs w:val="16"/>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October 31, 2017, the Company continues to maintain a valuation allowance for the U.S. deferred tax assets.</w:t>
      </w:r>
    </w:p>
    <w:p>
      <w:pPr>
        <w:spacing w:after="0" w:line="16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October 31, 2017, the Company had $291.4 million of gross unrecognized tax benefits, excluding interest, of which approximately $277.4 million represents the amount of unrecognized tax benefits that would impact the effective tax rate, if recognized. However, this rate impact would be $30.8 million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October 31, 2017, Autodesk did not complete any business combinations or technology acquisitions.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records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records the excess of consideration transferred over the aggregate fair values as goodwill. The goodwill recorded is primarily attributable to synergies expected to arise after the acquisitions.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23"/>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577.0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583.6</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375.9</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959.5</w:t>
            </w: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(862.0)</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97.5</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nine months ended October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2017</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2017</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Additions arising from acquisitions during the period</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currency translation, purchase accounting adjustments, and other during the period</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as of October 31, 2017</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1,588.7</w:t>
            </w:r>
          </w:p>
        </w:tc>
      </w:tr>
      <w:tr>
        <w:trPr>
          <w:trHeight w:val="33"/>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described in Note 2, "Recently Issued Accounting Standards," Autodesk early adopted ASU 2017-04, which simplifies the subsequent measurement of goodwill to eliminate Step 2 from the goodwill impairment test, removing the need to determine the implied fair value of goodwill and comparing it to the carrying amount of that goodwill to measure the impairment loss, if any. In situations in which an entity's reporting unit is publicly traded, the fair value of the Company may be approximated by its market capitalization, in performing the quantitative impairment test.</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our statements of operations. The process of evaluating the potential impairment of goodwill is subjective and requires significant judgment at many points during the analysis. The value of Autodesk’s goodwill could also be impacted by future adverse changes such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right="240" w:firstLine="8"/>
        <w:spacing w:after="0" w:line="277"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a significant slowdown in the worldwide economy or the industries Autodesk serves, or (iv) changes in Autodesk’s business strategy.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nine months October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October 31, 2017, Autodesk had marketable securities totaling $693.0 million, of which $56.5 million related to investments in debt and equity securities that are held in a rabbi trust under non-qualified deferred compensation plans. The total related deferred compensation liability was $56.5 million at October 31, 2017, of which $3.8 million was classified as current and $52.7 million was classified as non-current liabilities. The total related deferred compensation liability at January 31, 2017 was $47.3 million, of which $3.1 million was classified as current and $44.2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73.5</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58.2</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$502.7 million as of October 31, 2017.</w:t>
      </w:r>
    </w:p>
    <w:p>
      <w:pPr>
        <w:spacing w:after="0" w:line="16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$781.9 million as of October 31, 2017.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$400.0 million in aggregate principal amount of its outstanding 1.95% senior notes due December 15, 2017.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remaining 2012 Notes was approximately $360.8 million as of October 31, 2017.</w:t>
      </w:r>
    </w:p>
    <w:p>
      <w:pPr>
        <w:spacing w:after="0" w:line="16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As the result of a forecasted inability to comply with the credit agreement's minimum interest coverage ratio in the first quarter of fiscal 2018,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8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October 31, 2017,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 charges and other facility exit costs, net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February 2016, the Board of Directors approved a world-wide restructuring plan (“Fiscal 2017 Plan”) in order to re-balance staffing levels and reduce operating expenses to better align them with the evolving needs of the business. The Company paid substantially all of the employee termination benefits and facility related liabilities under the Fiscal 2017 Plan by the end of fiscal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restructuring charges and other lease termination exit costs during the nine months ended October 31,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89"/>
              </w:rPr>
              <w:t>Balances, October</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January 31, 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41"/>
              <w:spacing w:after="0"/>
              <w:rPr>
                <w:sz w:val="20"/>
                <w:szCs w:val="20"/>
                <w:color w:val="auto"/>
              </w:rPr>
            </w:pPr>
            <w:r>
              <w:rPr>
                <w:rFonts w:ascii="Arial" w:cs="Arial" w:eastAsia="Arial" w:hAnsi="Arial"/>
                <w:sz w:val="14"/>
                <w:szCs w:val="14"/>
                <w:b w:val="1"/>
                <w:bCs w:val="1"/>
                <w:color w:val="auto"/>
              </w:rPr>
              <w:t>31, 2017</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2017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Lease Termination Costs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Adjustments primarily include the impact from a change in sublease assumptions related to certain lease terminations.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nine months ended October 31, 2017, Autodesk repurchased and retired 1.0 million and 4.4 million shares at an average repurchase price of $112.97 and $96.39 per share, respectively. Common stock and additional paid-in capital and accumulated deficit were reduced by $35.6 million and $81.7 million, respectively, during the three months ended October 31, 2017. Common stock and additional paid-in capital and accumulated deficit were reduced by $117.6 million and $310.3 million, respectively, during the nine months ended October 31, 2017.</w:t>
      </w:r>
    </w:p>
    <w:p>
      <w:pPr>
        <w:spacing w:after="0" w:line="16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At October 31, 2017, 22.1 million shares remained available for repurchase under the repurchase program approved by the Board of Directors. During the nine months ended October 31, 2017,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October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Nine Months Ended October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60" w:hanging="412"/>
        <w:spacing w:after="0" w:line="25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dilutive securities of 4.1 million and 4.4 million shares in the three months ended October 31, 2017 and 2016, respectively, have been excluded from the calculation of diluted net loss per share as those shares would have been anti-dilutive due to the net loss incurred during those periods. The effect of dilutive securities of 4.4 million and 4.0 million shares in the nine months ended October 31, 2017 and 2016, respectively, have been excluded from the calculation of diluted net loss per share as those shares would have been anti-dilutive due to the net loss incurred during those periods.</w:t>
      </w:r>
    </w:p>
    <w:p>
      <w:pPr>
        <w:spacing w:after="0" w:line="185"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The computation of diluted net loss per share does not include shares that are anti-dilutive under the treasury stock method because their exercise prices are higher than the average market value of Autodesk’s stock during the period. For both the three months ended October 31, 2017 and 2016, zero potentially anti-dilutive shares were excluded from the computation of diluted net loss per share. For the nine months ended October 31, 2017 and 2016, 0.3 million and 0.4 million potentially anti-dilutive shares were excluded from the computation of diluted net loss per share,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18. Segment, Geographic and Product Family Information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4"/>
        </w:trPr>
        <w:tc>
          <w:tcPr>
            <w:tcW w:w="65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6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6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562.1</w:t>
            </w:r>
          </w:p>
        </w:tc>
      </w:tr>
      <w:tr>
        <w:trPr>
          <w:trHeight w:val="237"/>
        </w:trPr>
        <w:tc>
          <w:tcPr>
            <w:tcW w:w="65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99.0</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661.1</w:t>
            </w: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614.1</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277.0</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1,502.8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1,552.2</w:t>
            </w:r>
          </w:p>
        </w:tc>
      </w:tr>
      <w:tr>
        <w:trPr>
          <w:trHeight w:val="73"/>
        </w:trPr>
        <w:tc>
          <w:tcPr>
            <w:tcW w:w="65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78"/>
        </w:trPr>
        <w:tc>
          <w:tcPr>
            <w:tcW w:w="6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bl>
    <w:p>
      <w:pPr>
        <w:spacing w:after="0" w:line="17"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215.4</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684.4</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481.5</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103.6</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1,502.8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1,552.2</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-1054100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-711200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-368300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584"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4"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November 22, 2017, the Company's Board of Directors approved a restructuring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includes a reduction in force that will result in the termination of approximately 13% of the Company’s workforce, or approximately 1,150 employees, and the consolidation of certain leased facilities.</w:t>
      </w:r>
    </w:p>
    <w:p>
      <w:pPr>
        <w:spacing w:after="0" w:line="18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expects to substantially complete the reduction in force and the facilities consolidation by the end of its fourth quarter of fiscal 2019 (which fiscal quarter ends January 31, 2019). The Company anticipates incurring pre-tax restructuring charges of $135 million to $149 million, substantially all of which would result in cash expenditures, $124 million to $137 million of which would be for one-time employee termination benefits, and $11 million to $12 million of which would be for facilities-related and other costs. The Company expects to expense these pre-tax charges in the following periods: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5500" w:type="dxa"/>
            <w:vAlign w:val="bottom"/>
          </w:tcPr>
          <w:p>
            <w:pPr>
              <w:jc w:val="right"/>
              <w:spacing w:after="0"/>
              <w:rPr>
                <w:sz w:val="20"/>
                <w:szCs w:val="20"/>
                <w:color w:val="auto"/>
              </w:rPr>
            </w:pPr>
            <w:r>
              <w:rPr>
                <w:rFonts w:ascii="Arial" w:cs="Arial" w:eastAsia="Arial" w:hAnsi="Arial"/>
                <w:sz w:val="16"/>
                <w:szCs w:val="16"/>
                <w:b w:val="1"/>
                <w:bCs w:val="1"/>
                <w:color w:val="auto"/>
              </w:rPr>
              <w:t>Approximate pre-tax restructuring</w:t>
            </w:r>
          </w:p>
        </w:tc>
        <w:tc>
          <w:tcPr>
            <w:tcW w:w="380" w:type="dxa"/>
            <w:vAlign w:val="bottom"/>
          </w:tcPr>
          <w:p>
            <w:pPr>
              <w:spacing w:after="0"/>
              <w:rPr>
                <w:sz w:val="17"/>
                <w:szCs w:val="17"/>
                <w:color w:val="auto"/>
              </w:rPr>
            </w:pPr>
          </w:p>
        </w:tc>
      </w:tr>
      <w:tr>
        <w:trPr>
          <w:trHeight w:val="210"/>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Quarter</w:t>
            </w:r>
          </w:p>
        </w:tc>
        <w:tc>
          <w:tcPr>
            <w:tcW w:w="5500" w:type="dxa"/>
            <w:vAlign w:val="bottom"/>
          </w:tcPr>
          <w:p>
            <w:pPr>
              <w:jc w:val="right"/>
              <w:ind w:right="1019"/>
              <w:spacing w:after="0"/>
              <w:rPr>
                <w:sz w:val="20"/>
                <w:szCs w:val="20"/>
                <w:color w:val="auto"/>
              </w:rPr>
            </w:pPr>
            <w:r>
              <w:rPr>
                <w:rFonts w:ascii="Arial" w:cs="Arial" w:eastAsia="Arial" w:hAnsi="Arial"/>
                <w:sz w:val="16"/>
                <w:szCs w:val="16"/>
                <w:b w:val="1"/>
                <w:bCs w:val="1"/>
                <w:color w:val="auto"/>
              </w:rPr>
              <w:t>charge (in millions)</w:t>
            </w:r>
          </w:p>
        </w:tc>
        <w:tc>
          <w:tcPr>
            <w:tcW w:w="380" w:type="dxa"/>
            <w:vAlign w:val="bottom"/>
          </w:tcPr>
          <w:p>
            <w:pPr>
              <w:spacing w:after="0"/>
              <w:rPr>
                <w:sz w:val="18"/>
                <w:szCs w:val="18"/>
                <w:color w:val="auto"/>
              </w:rPr>
            </w:pPr>
          </w:p>
        </w:tc>
      </w:tr>
      <w:tr>
        <w:trPr>
          <w:trHeight w:val="33"/>
        </w:trPr>
        <w:tc>
          <w:tcPr>
            <w:tcW w:w="5540" w:type="dxa"/>
            <w:vAlign w:val="bottom"/>
            <w:gridSpan w:val="2"/>
          </w:tcPr>
          <w:p>
            <w:pPr>
              <w:spacing w:after="0"/>
              <w:rPr>
                <w:sz w:val="2"/>
                <w:szCs w:val="2"/>
                <w:color w:val="auto"/>
              </w:rPr>
            </w:pPr>
          </w:p>
        </w:tc>
        <w:tc>
          <w:tcPr>
            <w:tcW w:w="5880" w:type="dxa"/>
            <w:vAlign w:val="bottom"/>
            <w:gridSpan w:val="2"/>
          </w:tcPr>
          <w:p>
            <w:pPr>
              <w:spacing w:after="0"/>
              <w:rPr>
                <w:sz w:val="2"/>
                <w:szCs w:val="2"/>
                <w:color w:val="auto"/>
              </w:rPr>
            </w:pPr>
          </w:p>
        </w:tc>
      </w:tr>
      <w:tr>
        <w:trPr>
          <w:trHeight w:val="237"/>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Q4 FY18 (ending January 31, 2018)</w:t>
            </w:r>
          </w:p>
        </w:tc>
        <w:tc>
          <w:tcPr>
            <w:tcW w:w="5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$91 - $100</w:t>
            </w:r>
          </w:p>
        </w:tc>
      </w:tr>
      <w:tr>
        <w:trPr>
          <w:trHeight w:val="224"/>
        </w:trPr>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93"/>
              </w:rPr>
              <w:t>Q1</w:t>
            </w:r>
          </w:p>
        </w:tc>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FY19 (ending April 30, 2018)</w:t>
            </w:r>
          </w:p>
        </w:tc>
        <w:tc>
          <w:tcPr>
            <w:tcW w:w="5500" w:type="dxa"/>
            <w:vAlign w:val="bottom"/>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jc w:val="right"/>
              <w:spacing w:after="0"/>
              <w:rPr>
                <w:sz w:val="20"/>
                <w:szCs w:val="20"/>
                <w:color w:val="auto"/>
              </w:rPr>
            </w:pPr>
            <w:r>
              <w:rPr>
                <w:rFonts w:ascii="Arial" w:cs="Arial" w:eastAsia="Arial" w:hAnsi="Arial"/>
                <w:sz w:val="16"/>
                <w:szCs w:val="16"/>
                <w:color w:val="auto"/>
                <w:w w:val="93"/>
              </w:rPr>
              <w:t>- $24</w:t>
            </w:r>
          </w:p>
        </w:tc>
      </w:tr>
      <w:tr>
        <w:trPr>
          <w:trHeight w:val="33"/>
        </w:trPr>
        <w:tc>
          <w:tcPr>
            <w:tcW w:w="2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3"/>
              </w:rPr>
              <w:t>Q2</w:t>
            </w: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FY19 (ending July 31, 2018)</w:t>
            </w:r>
          </w:p>
        </w:tc>
        <w:tc>
          <w:tcPr>
            <w:tcW w:w="5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$15</w:t>
            </w:r>
          </w:p>
        </w:tc>
      </w:tr>
      <w:tr>
        <w:trPr>
          <w:trHeight w:val="224"/>
        </w:trPr>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93"/>
              </w:rPr>
              <w:t>Q3</w:t>
            </w:r>
          </w:p>
        </w:tc>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FY19 (ending October 31, 2018)</w:t>
            </w:r>
          </w:p>
        </w:tc>
        <w:tc>
          <w:tcPr>
            <w:tcW w:w="5880" w:type="dxa"/>
            <w:vAlign w:val="bottom"/>
            <w:gridSpan w:val="2"/>
          </w:tcPr>
          <w:p>
            <w:pPr>
              <w:jc w:val="right"/>
              <w:spacing w:after="0"/>
              <w:rPr>
                <w:sz w:val="20"/>
                <w:szCs w:val="20"/>
                <w:color w:val="auto"/>
              </w:rPr>
            </w:pPr>
            <w:r>
              <w:rPr>
                <w:rFonts w:ascii="Arial" w:cs="Arial" w:eastAsia="Arial" w:hAnsi="Arial"/>
                <w:sz w:val="16"/>
                <w:szCs w:val="16"/>
                <w:color w:val="auto"/>
              </w:rPr>
              <w:t>$8 - $9</w:t>
            </w:r>
          </w:p>
        </w:tc>
      </w:tr>
      <w:tr>
        <w:trPr>
          <w:trHeight w:val="33"/>
        </w:trPr>
        <w:tc>
          <w:tcPr>
            <w:tcW w:w="554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4"/>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Q4 FY19 (ending January 31, 2019)</w:t>
            </w:r>
          </w:p>
        </w:tc>
        <w:tc>
          <w:tcPr>
            <w:tcW w:w="5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6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2017 and 2016” below, future net revenue, operating expenses, recurring revenue, annualized recurring revenue, annualized revenue per subscription, other future financial results (by product type and geography) and subscriptions, the effectiveness of our restructuring efforts,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cloud-based functionality, which provides a device-independent, collaborative design workflow for designers, makers, and their stakeholders. Our cloud service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allow access to a broad set of products and services that exceeds those previously available in suites - simplifying the customer ability to get access to a complete set of tools for their industry. We now offer subscriptions for individual products and industry collections, cloud service offerings, and flexible enterprise business agreements (collectively referred to as "subscription plan" and previously called "new model subscription offerings"). These subscription plan offerings are designed to give our customers more flexibility with how they use our products and service offerings and to attract a broader range of customers, such as project-based users and small businesses.</w:t>
      </w:r>
    </w:p>
    <w:p>
      <w:pPr>
        <w:spacing w:after="0" w:line="17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With the discontinuation of the sale of most perpetual licenses, we have transitioned away from selling a mix of perpetual licenses and term-based product subscriptions toward a single subscription model. On June 15, 2017, we commenced a program to incentivize maintenance plan customers to move to subscription plan offerings. Through this program we offer discounts to those maintenance customers that move to a subscription plan, while at the same time will increase maintenance plan pricing over time for customers that remain on maintenance.</w:t>
      </w:r>
    </w:p>
    <w:p>
      <w:pPr>
        <w:spacing w:after="0" w:line="17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 provide more meaningful information as to the performance of different categories of product and services, we have changed our presentation of revenue and cost of revenue on our Condensed Consolidated Statements of Operations effective the first quarter of fiscal 2018. See Note 1, "Basis of Presentation," for additional information.</w:t>
      </w:r>
    </w:p>
    <w:p>
      <w:pPr>
        <w:spacing w:after="0" w:line="18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During the transition, revenue, margins, EPS, deferred revenue and cash flow from operations have been and will continue to be impacted as more revenue is recognized ratably rather than upfront and as subscription plan offerings generally have a lower initial purchase price.</w:t>
      </w:r>
    </w:p>
    <w:p>
      <w:pPr>
        <w:spacing w:after="0" w:line="14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we progress through the business model transition, reported revenue is less relevant to measure the success of the business as perpetual license sales have been discontinued in favor of subscription offerings, which have considerably lower upfront prices. Annualized recurring revenue ("ARR") and growth of total subscriptions better reflect business momentum and provide additional transparency into the transition. To further analyze progress, we disaggregate our growth in these metrics between the original maintenance model ("maintenance plan") and the subscription plan. Maintenance plan subscriptions peaked in the fourth quarter of our fiscal 2016 as we discontinued selling new maintenance plan subscriptions in fiscal 2017, and we expect them to decline slowly over time as maintenance plan customers continue to convert to our subscription plan.</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order to support our strategic priorities of completing the subscription transition, digitizing the Company, and re-imagining manufacturing, construction, and production, we commenced a world-wide restructuring plan in the fourth quarter of fiscal 2018. Through the restructuring, we seek to reduce our investments in areas not aligned with our strategic priorities, including in areas related to research and development and go-to-market activities. At the same time, we plan to further invest in strategic priority areas related to digital infrastructure, customer success, and construction. By re-balancing resources to better align with our strategic priorities, we are positioning ourselves to meet our long-term goals, while keeping non-GAAP spend flat in fiscal 2019. We anticipate incurring pre-tax restructuring charges of $135 million to $149 million, substantially all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6" w:right="259" w:bottom="144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8"/>
          <w:szCs w:val="18"/>
          <w:color w:val="auto"/>
        </w:rPr>
        <w:t>of which would result in cash expenditures, $124 million to $137 million of which would be for one-time employee termination benefits, and $11 million to $12 million of which would be for facilities-related and other costs. If we are unable to successfully complete our reorganizational efforts we may need to undertake additional restructuring efforts, and our business and operating results may be harmed.</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The following chart shows our split between indirect and direct channels for the three and nine months ended October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255270</wp:posOffset>
            </wp:positionV>
            <wp:extent cx="5154295" cy="3344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5429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584" w:right="29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t>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subscriptions of Autodesk 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Our intention is to make Autodesk software ubiquitous and the design software of choice for those poised to become the next generation of professional users.</w:t>
      </w:r>
    </w:p>
    <w:p>
      <w:pPr>
        <w:spacing w:after="0" w:line="19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2017.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October 31, 2017 as compared to the those disclosed in our Form 10-K for the fiscal year ended January 31, 2017. We believe these policies are the most critical to aid in fully understanding and evaluating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 of the Three and Nine Months Ended October 31, 2017 and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40"/>
              <w:spacing w:after="0" w:line="145"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ind w:right="88"/>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34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Ended October 31,</w:t>
            </w:r>
          </w:p>
        </w:tc>
        <w:tc>
          <w:tcPr>
            <w:tcW w:w="100" w:type="dxa"/>
            <w:vAlign w:val="bottom"/>
          </w:tcPr>
          <w:p>
            <w:pPr>
              <w:spacing w:after="0"/>
              <w:rPr>
                <w:sz w:val="4"/>
                <w:szCs w:val="4"/>
                <w:color w:val="auto"/>
              </w:rPr>
            </w:pPr>
          </w:p>
        </w:tc>
        <w:tc>
          <w:tcPr>
            <w:tcW w:w="15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As a % of Net</w:t>
            </w: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October 31,</w:t>
            </w:r>
          </w:p>
        </w:tc>
        <w:tc>
          <w:tcPr>
            <w:tcW w:w="120" w:type="dxa"/>
            <w:vAlign w:val="bottom"/>
          </w:tcPr>
          <w:p>
            <w:pPr>
              <w:spacing w:after="0"/>
              <w:rPr>
                <w:sz w:val="4"/>
                <w:szCs w:val="4"/>
                <w:color w:val="auto"/>
              </w:rPr>
            </w:pP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515.3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77.5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537.8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528.0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77"/>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6"/>
                <w:szCs w:val="16"/>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a % of Net</w:t>
            </w: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October 31, 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1,502.8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230.3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259.0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1,293.2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1,599.7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1,625.7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We are undergoing a business model transition in which we have discontinued selling new perpetual licenses for most of our products in favor of subscriptions. During the transition, revenue, margins, EPS, deferred revenue and cash flow from operations have been and will continue to be impacted as more revenue is recognized ratably rather than upfront and as subscription plan offerings generally have a lower initial purchase price.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revenue increased during the three months ended October 31, 2017, as compared to the same period in the prior fiscal year, primarily due to a 106% increase in subscription revenue, partially offset by a 62% decrease in license and other revenue. Net revenue decreased during the nine months ended October 31, 2017, as compared to the same period in the prior fiscal year, primarily due to a 68% decrease in license and other revenue, partially offset by a 100% increase in subscription revenue.</w:t>
      </w:r>
    </w:p>
    <w:p>
      <w:pPr>
        <w:spacing w:after="0" w:line="18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The increases in the respective three and nine months ended October 31, 2017 within subscription revenue were driven by increases in the number of subscriptions across all subscription plan types, primarily led by product subscription. The decreases in license and other revenue in the respective three and nine months ended October 31, 2017 were primarily a result of the discontinuation of new perpetual licenses of suites effective August 1, 2016.</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Total sales to Tech Data accounted for 32% and 31% of Autodesk’s total net revenue for the three and nine months ended October 31, 2017, respectively. Total sales to Tech Data accounted for 31% and 30% of Autodesk’s total net revenue for the three and nine months ended October 31, 2016, respectively. Our customers through Tech Data are the resellers and end users who purchase our software licenses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operating margin increased to (19)% for the three months ended October 31, 2017 from (24)% for the three months ended October 31, 2016. The increase in operating margin was primarily driven by an increase in revenue partially offset by an increase in total spend during the three months ended October 31, 2017. Our operating margin decreased to (22)% for the nine months ended October 31, 2017 from (21)% for the nine months ended October 31, 2016, primarily driven by a decrease in revenue, partially offset by a decrease in total spend during the nine months ended October 31, 2017. Further discussion regarding the spend drivers are discussed below under the heading “Results of Operations.” In addition, during November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ind w:right="200"/>
        <w:spacing w:after="0" w:line="342" w:lineRule="auto"/>
        <w:rPr>
          <w:sz w:val="20"/>
          <w:szCs w:val="20"/>
          <w:color w:val="auto"/>
        </w:rPr>
      </w:pPr>
      <w:r>
        <w:rPr>
          <w:rFonts w:ascii="Arial" w:cs="Arial" w:eastAsia="Arial" w:hAnsi="Arial"/>
          <w:sz w:val="16"/>
          <w:szCs w:val="16"/>
          <w:color w:val="auto"/>
        </w:rPr>
        <w:t>2017, our Board of Directions approved a world-wide restructuring plan that will result in material restructuring charges or other non-recurring charges that will have the effect of reducing our operating margins and increasing our net loss for the remainder of fiscal 2018 and into fiscal 2019 on a GAAP basis.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In order to help better understand our financial performance during and after the business model transition, we use several metrics including recurring revenue, total subscriptions, ARR, and annualized revenue per subscription ("ARPS"). ARR, ARPS, and recurring revenue are performance metrics and should be viewed independently of revenue and deferred revenue as ARR, ARPS, and recurring revenue are not intended to be combined with those items. Our determination and presentation may differ from that of other companies. Please refer to the Glossary of Terms for the definitions of these metrics.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nine months ended October 31, 2017 and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31, 2016 (1)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475.5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5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510"/>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31, 2016 (1)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1,368.8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1,130.4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20" w:hanging="412"/>
        <w:spacing w:after="0" w:line="25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The following table outlines our ARR, subscriptions and ARPS metrics as of October 31, 2017, July 31, 2017, and January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Balances,</w:t>
            </w:r>
          </w:p>
        </w:tc>
        <w:tc>
          <w:tcPr>
            <w:tcW w:w="220" w:type="dxa"/>
            <w:vAlign w:val="bottom"/>
          </w:tcPr>
          <w:p>
            <w:pPr>
              <w:spacing w:after="0"/>
              <w:rPr>
                <w:sz w:val="14"/>
                <w:szCs w:val="14"/>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Balances,</w:t>
            </w:r>
          </w:p>
        </w:tc>
        <w:tc>
          <w:tcPr>
            <w:tcW w:w="22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right"/>
              <w:ind w:right="500"/>
              <w:spacing w:after="0" w:line="145" w:lineRule="exact"/>
              <w:rPr>
                <w:sz w:val="20"/>
                <w:szCs w:val="20"/>
                <w:color w:val="auto"/>
              </w:rPr>
            </w:pPr>
            <w:r>
              <w:rPr>
                <w:rFonts w:ascii="Arial" w:cs="Arial" w:eastAsia="Arial" w:hAnsi="Arial"/>
                <w:sz w:val="14"/>
                <w:szCs w:val="14"/>
                <w:b w:val="1"/>
                <w:bCs w:val="1"/>
                <w:color w:val="auto"/>
              </w:rPr>
              <w:t>prior quarter end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ind w:left="12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Balances,</w:t>
            </w:r>
          </w:p>
        </w:tc>
        <w:tc>
          <w:tcPr>
            <w:tcW w:w="100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65"/>
        </w:trPr>
        <w:tc>
          <w:tcPr>
            <w:tcW w:w="350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2017</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2017 (1)</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924.0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140.3</w:t>
            </w:r>
          </w:p>
        </w:tc>
        <w:tc>
          <w:tcPr>
            <w:tcW w:w="88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783.7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924.0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352.6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1,068.0</w:t>
            </w: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1,901.8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72.1</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1,829.7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1,901.8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1,639.4</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808.9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1,693.2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(160.8)</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1,854.0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1,693.2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2,018.0</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subscriptions</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146.0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484.1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3500" w:type="dxa"/>
            <w:vAlign w:val="bottom"/>
          </w:tcPr>
          <w:p>
            <w:pPr>
              <w:ind w:left="360"/>
              <w:spacing w:after="0"/>
              <w:rPr>
                <w:sz w:val="20"/>
                <w:szCs w:val="20"/>
                <w:color w:val="auto"/>
              </w:rPr>
            </w:pPr>
            <w:r>
              <w:rPr>
                <w:rFonts w:ascii="Arial" w:cs="Arial" w:eastAsia="Arial" w:hAnsi="Arial"/>
                <w:sz w:val="16"/>
                <w:szCs w:val="16"/>
                <w:color w:val="auto"/>
              </w:rPr>
              <w:t>Total ARPS (3)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49"/>
        </w:trPr>
        <w:tc>
          <w:tcPr>
            <w:tcW w:w="35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80" w:hanging="412"/>
        <w:spacing w:after="0" w:line="24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40" w:hanging="412"/>
        <w:spacing w:after="0" w:line="25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Total ARR increased 4%, as of October 31, 2017 as compared to the three months ended July 31, 2017, and 16%, as compared to the end of fiscal 2017, primarily due to a 18% and 62% increase, in the respective periods, in subscription plan ARR driven by growth in all subscription plan types, led by product subscription. The increase was partially offset by a 7% and 8% decrease, in the respective periods, in maintenance plan ARR driven by the migration from maintenance plan subscriptions to subscription plan subscriptions.</w:t>
      </w:r>
    </w:p>
    <w:p>
      <w:pPr>
        <w:spacing w:after="0" w:line="187"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Subscription plan subscriptions increased 19% or approximately 306,800 as compared to the previous quarter and 74% or approximately 808,900 as compared to the end of fiscal 2017, driven by growth in all subscription plan types, led by new product subscriptions. Subscription plan subscriptions benefited from approximately 110,300 and 173,500 maintenance subscribers that were converted to product subscription under the maintenance-to-subscription program during the three and nine months ended October 31, 2017, respectively.</w:t>
      </w:r>
    </w:p>
    <w:p>
      <w:pPr>
        <w:spacing w:after="0" w:line="144"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Maintenance plan subscriptions decreased 9% or approximately 160,800 from the previous quarter and 16% or approximately 324,800 from the end of fiscal 2017, primarily as a result of the discontinuation of new maintenance agreement sales as well as the maintenance-to-subscription program in which approximately 110,300 and 173,500 maintenance plan subscriptions converted to product subscription during the three and nine months ended October 31, 2017, respectively. The net decrease is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enterprise business agreements ("EBAs") or product subscriptions.</w:t>
      </w:r>
    </w:p>
    <w:p>
      <w:pPr>
        <w:spacing w:after="0" w:line="16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ARPS as of October 31, 2017 was $530, a slight decrease compared to the previous quarter primarily driven by a decrease in subscription plan ARPS. The decrease in subscription plan ARPS was driven by a decrease in both EBA and cloud subscription ARPS, partially offset by a growth in product subscription ARPS. Offsetting the decline in subscription plan ARPS was growth in maintenance plan ARPS driven by the maintenance-to-subscription program.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2" w:name="page33"/>
    <w:bookmarkEnd w:id="32"/>
    <w:p>
      <w:pPr>
        <w:ind w:right="240" w:firstLine="405"/>
        <w:spacing w:after="0" w:line="264" w:lineRule="auto"/>
        <w:rPr>
          <w:sz w:val="20"/>
          <w:szCs w:val="20"/>
          <w:color w:val="auto"/>
        </w:rPr>
      </w:pPr>
      <w:r>
        <w:rPr>
          <w:rFonts w:ascii="Arial" w:cs="Arial" w:eastAsia="Arial" w:hAnsi="Arial"/>
          <w:sz w:val="18"/>
          <w:szCs w:val="18"/>
          <w:color w:val="auto"/>
        </w:rPr>
        <w:t>ARPS had a slight increase compared to the end of fiscal 2017 due to an increase in maintenance plan ARPS primarily driven by the maintenance-to-subscription program. ARPS also benefited from an increase in product subscription ARPS, partially offset by decreases in both EBAs and cloud service offerings ARPS.</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When adjusted for the impact of the maintenance-to-subscription program, subscription plan ARPS and maintenance plan ARPS would have been $496 and $561, respectively.</w:t>
      </w:r>
    </w:p>
    <w:p>
      <w:pPr>
        <w:spacing w:after="0" w:line="19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Our ARPS is currently, and will continue to be, affected by various factors including subscription term-length, migration from maintenance plan subscriptions, geography and product mix, promotions, sales linearity within a quarter, pricing changes, and foreign currency. We expect to see ARPS fluctuate up or down on a quarterly basis. As we progress on our business model transition, we expect all of the impacts of these factors to start to stabilize.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exchanges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506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Three Months Ended October 31, 2017</w:t>
            </w:r>
          </w:p>
        </w:tc>
        <w:tc>
          <w:tcPr>
            <w:tcW w:w="120" w:type="dxa"/>
            <w:vAlign w:val="bottom"/>
          </w:tcPr>
          <w:p>
            <w:pPr>
              <w:spacing w:after="0"/>
              <w:rPr>
                <w:sz w:val="16"/>
                <w:szCs w:val="16"/>
                <w:color w:val="auto"/>
              </w:rPr>
            </w:pPr>
          </w:p>
        </w:tc>
        <w:tc>
          <w:tcPr>
            <w:tcW w:w="5180" w:type="dxa"/>
            <w:vAlign w:val="bottom"/>
            <w:tcBorders>
              <w:bottom w:val="single" w:sz="8" w:color="auto"/>
            </w:tcBorders>
            <w:gridSpan w:val="5"/>
          </w:tcPr>
          <w:p>
            <w:pPr>
              <w:ind w:left="1440"/>
              <w:spacing w:after="0"/>
              <w:rPr>
                <w:sz w:val="20"/>
                <w:szCs w:val="20"/>
                <w:color w:val="auto"/>
              </w:rPr>
            </w:pPr>
            <w:r>
              <w:rPr>
                <w:rFonts w:ascii="Arial" w:cs="Arial" w:eastAsia="Arial" w:hAnsi="Arial"/>
                <w:sz w:val="14"/>
                <w:szCs w:val="14"/>
                <w:b w:val="1"/>
                <w:bCs w:val="1"/>
                <w:color w:val="auto"/>
              </w:rPr>
              <w:t>Nine Months Ended October 31, 2017</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18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Positive/Negative/Neutral</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Constant Currency percent</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percent</w:t>
            </w:r>
          </w:p>
        </w:tc>
        <w:tc>
          <w:tcPr>
            <w:tcW w:w="17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(2)</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Negative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6"/>
                <w:szCs w:val="16"/>
                <w:color w:val="auto"/>
              </w:rPr>
              <w:t>Spend (1)</w:t>
            </w: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Negative</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Neutral</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Revenue and Unbilled Deferred Revenue</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deferred revenue balance at October 31, 2017 was $1.76 billion and primarily relates to subscription and maintenance agreements invoiced for which the revenue has not yet been recognized but will be recognized as revenue ratably over the life of the contracts. The term of our subscription contracts is typically between one and three years.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define unbilled deferred revenue as contractually stated or committed orders under multi-year billing plans for subscription, services, license and maintenance for which the associated revenue has not been recognized and the customer has not been invoiced. Unbilled deferred revenue is not included on our Condensed Consolidated Balance Sheet until invoiced to the customer.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October 31, 2017</w:t>
            </w:r>
          </w:p>
        </w:tc>
        <w:tc>
          <w:tcPr>
            <w:tcW w:w="0" w:type="dxa"/>
            <w:vAlign w:val="bottom"/>
          </w:tcPr>
          <w:p>
            <w:pPr>
              <w:spacing w:after="0"/>
              <w:rPr>
                <w:sz w:val="1"/>
                <w:szCs w:val="1"/>
                <w:color w:val="auto"/>
              </w:rPr>
            </w:pPr>
          </w:p>
        </w:tc>
      </w:tr>
      <w:tr>
        <w:trPr>
          <w:trHeight w:val="236"/>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1,763.9</w:t>
            </w:r>
          </w:p>
        </w:tc>
        <w:tc>
          <w:tcPr>
            <w:tcW w:w="0" w:type="dxa"/>
            <w:vAlign w:val="bottom"/>
          </w:tcPr>
          <w:p>
            <w:pPr>
              <w:spacing w:after="0"/>
              <w:rPr>
                <w:sz w:val="1"/>
                <w:szCs w:val="1"/>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Unbilled deferred revenue (1)</w:t>
            </w:r>
          </w:p>
        </w:tc>
        <w:tc>
          <w:tcPr>
            <w:tcW w:w="1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33"/>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1,911.8</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0" w:hanging="412"/>
        <w:spacing w:after="0" w:line="26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is our first year presenting this metric and we are not able to provide historical information at this time. Comparative information will not be available until our first quarter of fiscal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280" w:firstLine="405"/>
        <w:spacing w:after="0" w:line="286" w:lineRule="auto"/>
        <w:rPr>
          <w:sz w:val="20"/>
          <w:szCs w:val="20"/>
          <w:color w:val="auto"/>
        </w:rPr>
      </w:pPr>
      <w:r>
        <w:rPr>
          <w:rFonts w:ascii="Arial" w:cs="Arial" w:eastAsia="Arial" w:hAnsi="Arial"/>
          <w:sz w:val="17"/>
          <w:szCs w:val="17"/>
          <w:color w:val="auto"/>
        </w:rPr>
        <w:t>We expect that the amount of unbilled deferred revenue and deferred revenue will change from quarter to quarter for several reasons, including the specific timing, duration and size of large customer subscription and support agreements, varying billing cycles of such agreements, the specific timing of customer renewals, foreign currency fluctuations and the timing of when unbilled deferred revenue is recognized as revenue.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300" w:firstLine="405"/>
        <w:spacing w:after="0" w:line="255" w:lineRule="auto"/>
        <w:rPr>
          <w:sz w:val="20"/>
          <w:szCs w:val="20"/>
          <w:color w:val="auto"/>
        </w:rPr>
      </w:pPr>
      <w:r>
        <w:rPr>
          <w:rFonts w:ascii="Arial" w:cs="Arial" w:eastAsia="Arial" w:hAnsi="Arial"/>
          <w:sz w:val="18"/>
          <w:szCs w:val="18"/>
          <w:color w:val="auto"/>
        </w:rPr>
        <w:t>At October 31, 2017, we had $1.72 billion in cash, cash equivalents and marketable securities. This amount includes the aggregate net proceeds of $492.0 million, after deducting the underwriting discounts and related offering expenses, from our June 2017 registered underwritten public offering of $500.0 million aggregate principal amount of 3.5% notes due June 15, 2027. On July 27, 2017, we redeemed in full $400.0 million in aggregate principal amount of outstanding 1.95% senior notes due December 15, 2017. To redeem the notes, we used a portion of the proceeds of the 2017 notes to pay a redemption price of approximately $400.9 million, plus accrued and unpaid interest from June 15, 2017 to, but excluding, the redemption date. Total cash repayment was $401.8 million.</w:t>
      </w:r>
    </w:p>
    <w:p>
      <w:pPr>
        <w:spacing w:after="0" w:line="19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completed the nine months ended October 31, 2017 with lower accounts receivable and deferred revenue balances as compared to the fiscal year ended January 31, 2017.</w:t>
      </w:r>
    </w:p>
    <w:p>
      <w:pPr>
        <w:spacing w:after="0" w:line="17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Our cash flow used in operations was $78.4 million, a decrease of 151% for the nine months ended October 31, 2017 compared to $154.1 million of cash flow provided by operations in the nine months ended October 31,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balance sheet and cash flow activities are discussed below under the heading “Liquidity and Capital Resources.”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over the term of the agreements, generally between one and three years. Subscription revenue consists of our term-based product subscriptions, cloud service offerings, and flexible enterprise business arrangements. Note that with the change in our presentation of revenue in our condensed consolidated statement of operations in the first quarter of fiscal 2018, our term-based product subscriptions and flexible enterprise business arrangements are classified and presented in a single line item. Revenue from these arrangements is recognized ratably over the contract term. Revenue for our cloud service offerings is recognized ratably over the contract term commencing with the date our service is made available to customers.</w:t>
      </w:r>
    </w:p>
    <w:p>
      <w:pPr>
        <w:spacing w:after="0" w:line="16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License and other revenue consists of (1) perpetual license revenue and (2) other revenue. Perpetual license revenue includes software license revenue from the sale of perpetual licenses and Creative Finishing. Other revenue includes revenue such as consulting and training, and is recognized over time as the services are performed.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273.2</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0"/>
              </w:rPr>
              <w:t>The decrease in maintenance revenue is driven by</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the discontinuation of new maintenance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2"/>
              </w:rPr>
              <w:t>agreements. We expect maintenance revenue will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8"/>
              </w:rPr>
              <w:t>slowly decline; however, the rate of decline will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vary based on the number of renewals,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renewal rate, and our ability to incentivize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maintenance plan customers to switch over to</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subscription plan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The increase in subscription revenue is primarily</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 result of the business model transition. We saw</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growth across all subscription plan types, led by</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subscriptions and enterprise business</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maintenance and subscription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89.9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 (2)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104.0</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The decrease in license revenue is driven by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business model transition and the discontinuation</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perpetual suite license sales in fiscal 2017,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resulting in a decrease in revenue from perpetual</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licenses.</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25.7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12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6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769.8</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(65.3)</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835.1</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0"/>
              </w:rPr>
              <w:t>The decrease in maintenance revenue is driven by</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the discontinuation of new maintenance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2"/>
              </w:rPr>
              <w:t>agreements. We expect maintenance revenue will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8"/>
              </w:rPr>
              <w:t>slowly decline; however, the rate of decline will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vary based on the number of renewals,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renewal rate, and our ability to incentivize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maintenance plan customers to switch over to</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subscription plan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299.7</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The increase in subscription revenue is primarily</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 result of the business model transition. We saw</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growth across all subscription plan types, led by</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subscriptions and enterprise business</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maintenance and subscription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1,370.4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235.6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1,134.8</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 (2)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417.4</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The decrease in license revenue is driven by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business model transition, and the discontinuation</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of suite license sales, resulting in a decrease in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from perpetual license.</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1,502.8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1,552.2</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49"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ind w:left="420" w:right="40" w:hanging="412"/>
        <w:spacing w:after="0" w:line="25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Within license and other revenue, there was a 16% decrease and 19% decrease in other revenue during the three and nine months ended October 31, 2017, respectively, as compared to the same periods in the prior fiscal year. Other revenue represented 5% of total net revenue for both the three and nine months ended October 31, 2017 as compared to 6% for both the three and nine months ended October 31, 2016,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26"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product offerings are focused in four primary product families: AEC, MFG, ACAD, and M&amp;E. During the business model transition, revenue has been and will be negatively impacted as more revenue is recognized ratably rather than upfront and as new product offerings generally have a lower initial purchase price. As noted in the discussion under the heading "Strategy," we discontinued selling new perpetual licenses of most individual software products in fiscal 2017 and we discontinued selling new perpetual licenses of suites as of August 1, 2016 with the introduction of industry collections. These broad impacts are reflected in the summary below.</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60" w:type="dxa"/>
            <w:vAlign w:val="bottom"/>
          </w:tcPr>
          <w:p>
            <w:pPr>
              <w:spacing w:after="0"/>
              <w:rPr>
                <w:sz w:val="14"/>
                <w:szCs w:val="14"/>
                <w:color w:val="auto"/>
              </w:rPr>
            </w:pPr>
          </w:p>
        </w:tc>
        <w:tc>
          <w:tcPr>
            <w:tcW w:w="1540" w:type="dxa"/>
            <w:vAlign w:val="bottom"/>
            <w:gridSpan w:val="4"/>
            <w:vMerge w:val="restart"/>
          </w:tcPr>
          <w:p>
            <w:pPr>
              <w:jc w:val="center"/>
              <w:ind w:left="148"/>
              <w:spacing w:after="0"/>
              <w:rPr>
                <w:sz w:val="20"/>
                <w:szCs w:val="20"/>
                <w:color w:val="auto"/>
              </w:rPr>
            </w:pPr>
            <w:r>
              <w:rPr>
                <w:rFonts w:ascii="Arial" w:cs="Arial" w:eastAsia="Arial" w:hAnsi="Arial"/>
                <w:sz w:val="14"/>
                <w:szCs w:val="14"/>
                <w:b w:val="1"/>
                <w:bCs w:val="1"/>
                <w:color w:val="auto"/>
                <w:w w:val="91"/>
              </w:rPr>
              <w:t>Change compared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26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9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60" w:type="dxa"/>
            <w:vAlign w:val="bottom"/>
          </w:tcPr>
          <w:p>
            <w:pPr>
              <w:spacing w:after="0"/>
              <w:rPr>
                <w:sz w:val="13"/>
                <w:szCs w:val="13"/>
                <w:color w:val="auto"/>
              </w:rPr>
            </w:pP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0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8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360"/>
              <w:spacing w:after="0"/>
              <w:rPr>
                <w:sz w:val="20"/>
                <w:szCs w:val="20"/>
                <w:color w:val="auto"/>
              </w:rPr>
            </w:pPr>
            <w:r>
              <w:rPr>
                <w:rFonts w:ascii="Arial" w:cs="Arial" w:eastAsia="Arial" w:hAnsi="Arial"/>
                <w:sz w:val="16"/>
                <w:szCs w:val="16"/>
                <w:color w:val="auto"/>
                <w:w w:val="96"/>
              </w:rPr>
              <w:t>Architecture, Engineering and Construction ("AEC")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w w:val="98"/>
              </w:rPr>
              <w:t>Driven by an increase in revenue from AEC</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EBAs, partially offset by a net decrease in</w:t>
            </w: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AEC collections and legacy suites.</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Manufacturing ("MFG")</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Driven by an increase in revenue from MFG</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partially offset by a net decrease in</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MFG collections and legacy suites.</w:t>
            </w:r>
          </w:p>
        </w:tc>
        <w:tc>
          <w:tcPr>
            <w:tcW w:w="0" w:type="dxa"/>
            <w:vAlign w:val="bottom"/>
          </w:tcPr>
          <w:p>
            <w:pPr>
              <w:spacing w:after="0"/>
              <w:rPr>
                <w:sz w:val="1"/>
                <w:szCs w:val="1"/>
                <w:color w:val="auto"/>
              </w:rPr>
            </w:pPr>
          </w:p>
        </w:tc>
      </w:tr>
      <w:tr>
        <w:trPr>
          <w:trHeight w:val="220"/>
        </w:trPr>
        <w:tc>
          <w:tcPr>
            <w:tcW w:w="3880" w:type="dxa"/>
            <w:vAlign w:val="bottom"/>
          </w:tcPr>
          <w:p>
            <w:pPr>
              <w:ind w:left="360"/>
              <w:spacing w:after="0"/>
              <w:rPr>
                <w:sz w:val="20"/>
                <w:szCs w:val="20"/>
                <w:color w:val="auto"/>
              </w:rPr>
            </w:pPr>
            <w:r>
              <w:rPr>
                <w:rFonts w:ascii="Arial" w:cs="Arial" w:eastAsia="Arial" w:hAnsi="Arial"/>
                <w:sz w:val="16"/>
                <w:szCs w:val="16"/>
                <w:color w:val="auto"/>
              </w:rPr>
              <w:t>AutoCAD and AutoCAD LT ("ACAD")</w:t>
            </w: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w w:val="95"/>
              </w:rPr>
              <w:t>Driven by increases in both AutoCAD LT and</w:t>
            </w: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AutoCAD.</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Media and Entertainment ("M&amp;E")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Driven by an increase in Animation, partially</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offset by a decrease in Creative Finishing.</w:t>
            </w:r>
          </w:p>
        </w:tc>
        <w:tc>
          <w:tcPr>
            <w:tcW w:w="0" w:type="dxa"/>
            <w:vAlign w:val="bottom"/>
          </w:tcPr>
          <w:p>
            <w:pPr>
              <w:spacing w:after="0"/>
              <w:rPr>
                <w:sz w:val="1"/>
                <w:szCs w:val="1"/>
                <w:color w:val="auto"/>
              </w:rPr>
            </w:pPr>
          </w:p>
        </w:tc>
      </w:tr>
      <w:tr>
        <w:trPr>
          <w:trHeight w:val="224"/>
        </w:trPr>
        <w:tc>
          <w:tcPr>
            <w:tcW w:w="38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880" w:type="dxa"/>
            <w:vAlign w:val="bottom"/>
          </w:tcPr>
          <w:p>
            <w:pPr>
              <w:spacing w:after="0"/>
              <w:rPr>
                <w:sz w:val="24"/>
                <w:szCs w:val="2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24"/>
                <w:szCs w:val="24"/>
                <w:color w:val="auto"/>
              </w:rPr>
            </w:pPr>
          </w:p>
        </w:tc>
        <w:tc>
          <w:tcPr>
            <w:tcW w:w="15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1"/>
              </w:rPr>
              <w:t>Change compared 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9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6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360"/>
              <w:spacing w:after="0"/>
              <w:rPr>
                <w:sz w:val="20"/>
                <w:szCs w:val="20"/>
                <w:color w:val="auto"/>
              </w:rPr>
            </w:pPr>
            <w:r>
              <w:rPr>
                <w:rFonts w:ascii="Arial" w:cs="Arial" w:eastAsia="Arial" w:hAnsi="Arial"/>
                <w:sz w:val="16"/>
                <w:szCs w:val="16"/>
                <w:color w:val="auto"/>
                <w:w w:val="96"/>
              </w:rPr>
              <w:t>Architecture, Engineering and Construction ("AEC")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0"/>
              </w:rPr>
              <w:t>(55.7)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684.4</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w w:val="97"/>
              </w:rPr>
              <w:t>Driven by a net decrease in AEC collections</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and legacy suites, partially offset by an</w:t>
            </w: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increase in revenue from AEC EBAs.</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Manufacturing ("MFG")</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(45.5)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481.5</w:t>
            </w:r>
          </w:p>
        </w:tc>
        <w:tc>
          <w:tcPr>
            <w:tcW w:w="10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Driven by a net decrease in MFG collections</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legacy suites, partially offset by an</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revenue from MFG EBAs.</w:t>
            </w:r>
          </w:p>
        </w:tc>
        <w:tc>
          <w:tcPr>
            <w:tcW w:w="0" w:type="dxa"/>
            <w:vAlign w:val="bottom"/>
          </w:tcPr>
          <w:p>
            <w:pPr>
              <w:spacing w:after="0"/>
              <w:rPr>
                <w:sz w:val="1"/>
                <w:szCs w:val="1"/>
                <w:color w:val="auto"/>
              </w:rPr>
            </w:pPr>
          </w:p>
        </w:tc>
      </w:tr>
      <w:tr>
        <w:trPr>
          <w:trHeight w:val="220"/>
        </w:trPr>
        <w:tc>
          <w:tcPr>
            <w:tcW w:w="3880" w:type="dxa"/>
            <w:vAlign w:val="bottom"/>
          </w:tcPr>
          <w:p>
            <w:pPr>
              <w:ind w:left="360"/>
              <w:spacing w:after="0"/>
              <w:rPr>
                <w:sz w:val="20"/>
                <w:szCs w:val="20"/>
                <w:color w:val="auto"/>
              </w:rPr>
            </w:pPr>
            <w:r>
              <w:rPr>
                <w:rFonts w:ascii="Arial" w:cs="Arial" w:eastAsia="Arial" w:hAnsi="Arial"/>
                <w:sz w:val="16"/>
                <w:szCs w:val="16"/>
                <w:color w:val="auto"/>
              </w:rPr>
              <w:t>AutoCAD and AutoCAD LT ("ACAD")</w:t>
            </w: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w w:val="95"/>
              </w:rPr>
              <w:t>Driven by increases in both AutoCAD LT and</w:t>
            </w: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AutoCAD.</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Media and Entertainment ("M&amp;E")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Driven by an increase in Animation, partially</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offset by a decrease in Creative Finishing.</w:t>
            </w:r>
          </w:p>
        </w:tc>
        <w:tc>
          <w:tcPr>
            <w:tcW w:w="0" w:type="dxa"/>
            <w:vAlign w:val="bottom"/>
          </w:tcPr>
          <w:p>
            <w:pPr>
              <w:spacing w:after="0"/>
              <w:rPr>
                <w:sz w:val="1"/>
                <w:szCs w:val="1"/>
                <w:color w:val="auto"/>
              </w:rPr>
            </w:pPr>
          </w:p>
        </w:tc>
      </w:tr>
      <w:tr>
        <w:trPr>
          <w:trHeight w:val="224"/>
        </w:trPr>
        <w:tc>
          <w:tcPr>
            <w:tcW w:w="38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3"/>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1,552.2</w:t>
            </w:r>
          </w:p>
        </w:tc>
        <w:tc>
          <w:tcPr>
            <w:tcW w:w="10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73"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Constant Currency</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Change compared to prior</w:t>
            </w:r>
          </w:p>
        </w:tc>
        <w:tc>
          <w:tcPr>
            <w:tcW w:w="140" w:type="dxa"/>
            <w:vAlign w:val="bottom"/>
          </w:tcPr>
          <w:p>
            <w:pPr>
              <w:spacing w:after="0"/>
              <w:rPr>
                <w:sz w:val="12"/>
                <w:szCs w:val="12"/>
                <w:color w:val="auto"/>
              </w:rPr>
            </w:pPr>
          </w:p>
        </w:tc>
        <w:tc>
          <w:tcPr>
            <w:tcW w:w="12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tcPr>
          <w:p>
            <w:pPr>
              <w:ind w:left="20"/>
              <w:spacing w:after="0" w:line="145"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fiscal year</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5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October 31,</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680" w:type="dxa"/>
            <w:vAlign w:val="bottom"/>
            <w:vMerge w:val="restart"/>
          </w:tcPr>
          <w:p>
            <w:pPr>
              <w:jc w:val="right"/>
              <w:ind w:right="7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October 31, 2017</w:t>
            </w: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Americas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U.S.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rPr>
              <w:t>— %</w:t>
            </w:r>
          </w:p>
        </w:tc>
        <w:tc>
          <w:tcPr>
            <w:tcW w:w="16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Americas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6"/>
                <w:szCs w:val="16"/>
                <w:color w:val="auto"/>
              </w:rPr>
              <w:t>Total Americas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Europe, Middle East and Africa ("EMEA")</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60"/>
              <w:spacing w:after="0"/>
              <w:rPr>
                <w:sz w:val="20"/>
                <w:szCs w:val="20"/>
                <w:color w:val="auto"/>
              </w:rPr>
            </w:pPr>
            <w:r>
              <w:rPr>
                <w:rFonts w:ascii="Arial" w:cs="Arial" w:eastAsia="Arial" w:hAnsi="Arial"/>
                <w:sz w:val="16"/>
                <w:szCs w:val="16"/>
                <w:color w:val="auto"/>
              </w:rPr>
              <w:t>Asia Pacific ("APAC")</w:t>
            </w: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Emerging Economies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Constant currency change</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compared to prior fiscal</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6"/>
                <w:szCs w:val="16"/>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prior fiscal year</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Net Revenue:</w:t>
            </w: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October 31, 2017</w:t>
            </w:r>
          </w:p>
        </w:tc>
        <w:tc>
          <w:tcPr>
            <w:tcW w:w="200" w:type="dxa"/>
            <w:vAlign w:val="bottom"/>
          </w:tcPr>
          <w:p>
            <w:pPr>
              <w:spacing w:after="0"/>
              <w:rPr>
                <w:sz w:val="12"/>
                <w:szCs w:val="12"/>
                <w:color w:val="auto"/>
              </w:rPr>
            </w:pPr>
          </w:p>
        </w:tc>
        <w:tc>
          <w:tcPr>
            <w:tcW w:w="5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80" w:type="dxa"/>
            <w:vAlign w:val="bottom"/>
            <w:vMerge w:val="restart"/>
          </w:tcPr>
          <w:p>
            <w:pPr>
              <w:jc w:val="right"/>
              <w:ind w:right="7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2"/>
              </w:rPr>
              <w:t>October 31, 2016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Americas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U.S.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546.8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Americas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6"/>
                <w:szCs w:val="16"/>
                <w:color w:val="auto"/>
              </w:rPr>
              <w:t>Total Americas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EMEA</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60"/>
              <w:spacing w:after="0"/>
              <w:rPr>
                <w:sz w:val="20"/>
                <w:szCs w:val="20"/>
                <w:color w:val="auto"/>
              </w:rPr>
            </w:pPr>
            <w:r>
              <w:rPr>
                <w:rFonts w:ascii="Arial" w:cs="Arial" w:eastAsia="Arial" w:hAnsi="Arial"/>
                <w:sz w:val="16"/>
                <w:szCs w:val="16"/>
                <w:color w:val="auto"/>
              </w:rPr>
              <w:t>APAC</w:t>
            </w: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Emerging Economies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400" w:val="left"/>
        </w:tabs>
        <w:rPr>
          <w:sz w:val="20"/>
          <w:szCs w:val="20"/>
          <w:color w:val="auto"/>
        </w:rPr>
      </w:pPr>
      <w:r>
        <w:rPr>
          <w:rFonts w:ascii="Arial" w:cs="Arial" w:eastAsia="Arial" w:hAnsi="Arial"/>
          <w:sz w:val="16"/>
          <w:szCs w:val="16"/>
          <w:color w:val="auto"/>
        </w:rPr>
        <w:t>(1)</w:t>
        <w:tab/>
        <w:t>Totals may not sum due to rounding.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 Additionally, during the business model transition, revenue has been and will be negatively impacted as more revenue is recognized ratably rather than upfront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jc w:val="both"/>
        <w:ind w:right="260" w:firstLine="432"/>
        <w:spacing w:after="0" w:line="259" w:lineRule="auto"/>
        <w:rPr>
          <w:sz w:val="20"/>
          <w:szCs w:val="20"/>
          <w:color w:val="auto"/>
        </w:rPr>
      </w:pPr>
      <w:r>
        <w:rPr>
          <w:rFonts w:ascii="Arial" w:cs="Arial" w:eastAsia="Arial" w:hAnsi="Arial"/>
          <w:sz w:val="18"/>
          <w:szCs w:val="18"/>
          <w:color w:val="auto"/>
        </w:rPr>
        <w:t>Cost of maintenance and subscription revenue includes the labor costs of providing product support to our maintenance and subscription customers, including allocated IT and facilities costs, shipping and handling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jc w:val="both"/>
        <w:ind w:right="240" w:firstLine="432"/>
        <w:spacing w:after="0" w:line="27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for perpetual licenses and costs of consulting and training services contracts and collaborative project management services contracts. Cost of license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540"/>
        <w:spacing w:after="0" w:line="342" w:lineRule="auto"/>
        <w:rPr>
          <w:sz w:val="20"/>
          <w:szCs w:val="20"/>
          <w:color w:val="auto"/>
        </w:rPr>
      </w:pPr>
      <w:r>
        <w:rPr>
          <w:rFonts w:ascii="Arial" w:cs="Arial" w:eastAsia="Arial" w:hAnsi="Arial"/>
          <w:sz w:val="16"/>
          <w:szCs w:val="16"/>
          <w:color w:val="auto"/>
        </w:rPr>
        <w:t>and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24"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3"/>
                <w:szCs w:val="13"/>
                <w:color w:val="auto"/>
              </w:rPr>
            </w:pPr>
          </w:p>
        </w:tc>
        <w:tc>
          <w:tcPr>
            <w:tcW w:w="5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Maintenance and subscription (1)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Up due to an increase in employee-related costs driven by increased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 associated with maintenance and subscription services in</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support of the business model transition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associated with license and other revenue products and services as a result</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our move to a subscription based business model</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previously acquired developed technologies continue to become</w:t>
            </w:r>
          </w:p>
        </w:tc>
        <w:tc>
          <w:tcPr>
            <w:tcW w:w="0" w:type="dxa"/>
            <w:vAlign w:val="bottom"/>
          </w:tcPr>
          <w:p>
            <w:pPr>
              <w:spacing w:after="0"/>
              <w:rPr>
                <w:sz w:val="1"/>
                <w:szCs w:val="1"/>
                <w:color w:val="auto"/>
              </w:rPr>
            </w:pPr>
          </w:p>
        </w:tc>
      </w:tr>
      <w:tr>
        <w:trPr>
          <w:trHeight w:val="206"/>
        </w:trPr>
        <w:tc>
          <w:tcPr>
            <w:tcW w:w="3080" w:type="dxa"/>
            <w:vAlign w:val="bottom"/>
          </w:tcPr>
          <w:p>
            <w:pPr>
              <w:ind w:left="5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fully amortized and there were no acquisitions in the current period</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Up due to an increase in employee-related costs as a result of increased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headcount as well as an increase in stock-based compensation expense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due to a higher fair value of awards granted</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192.6</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Down due to a decrease in employee-related costs and in stock-based</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expense as a result of reduced headcount</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1"/>
              </w:rPr>
              <w:t>Down due to a decrease in professional fees, partially offset by an increase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in stock-based compensation expense due to an increase in the fair value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of awards granted</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and there were no acquisitions in the current period</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6"/>
              </w:rPr>
              <w:t>Restructuring charges and other facility</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Down as the majority of the Fiscal 2017 Plan was recognized during the</w:t>
            </w:r>
          </w:p>
        </w:tc>
        <w:tc>
          <w:tcPr>
            <w:tcW w:w="0" w:type="dxa"/>
            <w:vAlign w:val="bottom"/>
          </w:tcPr>
          <w:p>
            <w:pPr>
              <w:spacing w:after="0"/>
              <w:rPr>
                <w:sz w:val="1"/>
                <w:szCs w:val="1"/>
                <w:color w:val="auto"/>
              </w:rPr>
            </w:pPr>
          </w:p>
        </w:tc>
      </w:tr>
      <w:tr>
        <w:trPr>
          <w:trHeight w:val="206"/>
        </w:trPr>
        <w:tc>
          <w:tcPr>
            <w:tcW w:w="3080" w:type="dxa"/>
            <w:vAlign w:val="bottom"/>
          </w:tcPr>
          <w:p>
            <w:pPr>
              <w:ind w:left="540"/>
              <w:spacing w:after="0"/>
              <w:rPr>
                <w:sz w:val="20"/>
                <w:szCs w:val="20"/>
                <w:color w:val="auto"/>
              </w:rPr>
            </w:pPr>
            <w:r>
              <w:rPr>
                <w:rFonts w:ascii="Arial" w:cs="Arial" w:eastAsia="Arial" w:hAnsi="Arial"/>
                <w:sz w:val="16"/>
                <w:szCs w:val="16"/>
                <w:color w:val="auto"/>
              </w:rPr>
              <w:t>exit costs, net (2) (3)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first half of fiscal 2017</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528.0</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Nine</w:t>
            </w:r>
          </w:p>
        </w:tc>
        <w:tc>
          <w:tcPr>
            <w:tcW w:w="14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3"/>
                <w:szCs w:val="13"/>
                <w:color w:val="auto"/>
              </w:rPr>
            </w:pPr>
          </w:p>
        </w:tc>
        <w:tc>
          <w:tcPr>
            <w:tcW w:w="5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Maintenance and subscription (1)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Up due to an increase in employee-related costs driven by increased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 associated with maintenance and subscription services in</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support of the business model transition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associated with license and other revenue products and services as a result</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the business model transition</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(19.3)</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previously acquired developed technologies continue to become</w:t>
            </w:r>
          </w:p>
        </w:tc>
        <w:tc>
          <w:tcPr>
            <w:tcW w:w="0" w:type="dxa"/>
            <w:vAlign w:val="bottom"/>
          </w:tcPr>
          <w:p>
            <w:pPr>
              <w:spacing w:after="0"/>
              <w:rPr>
                <w:sz w:val="1"/>
                <w:szCs w:val="1"/>
                <w:color w:val="auto"/>
              </w:rPr>
            </w:pPr>
          </w:p>
        </w:tc>
      </w:tr>
      <w:tr>
        <w:trPr>
          <w:trHeight w:val="206"/>
        </w:trPr>
        <w:tc>
          <w:tcPr>
            <w:tcW w:w="3080" w:type="dxa"/>
            <w:vAlign w:val="bottom"/>
          </w:tcPr>
          <w:p>
            <w:pPr>
              <w:ind w:left="5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fully amortized and there were no acquisitions in the current period</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785.8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46.9</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738.9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Driven by employee-related costs on increased headcount and increased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stock-based compensation expense due to an increase in fair value of</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awards granted, partially offset by a decrease in advertising and</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promotional costs.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Driven by a decrease in employee-related costs on lower headcount</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11.4</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213.7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Driven by costs associated with the CEO transition and an increase in</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stock-based compensation expense on a higher fair value of awards</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granted, partially offset by a decrease in professional fees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and there were no acquisitions in the current period</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6"/>
              </w:rPr>
              <w:t>Restructuring charges and other facility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(71.3)</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the majority of the Fiscal 2017 Plan was recognized during fiscal</w:t>
            </w:r>
          </w:p>
        </w:tc>
        <w:tc>
          <w:tcPr>
            <w:tcW w:w="0" w:type="dxa"/>
            <w:vAlign w:val="bottom"/>
          </w:tcPr>
          <w:p>
            <w:pPr>
              <w:spacing w:after="0"/>
              <w:rPr>
                <w:sz w:val="1"/>
                <w:szCs w:val="1"/>
                <w:color w:val="auto"/>
              </w:rPr>
            </w:pPr>
          </w:p>
        </w:tc>
      </w:tr>
      <w:tr>
        <w:trPr>
          <w:trHeight w:val="206"/>
        </w:trPr>
        <w:tc>
          <w:tcPr>
            <w:tcW w:w="3080" w:type="dxa"/>
            <w:vAlign w:val="bottom"/>
          </w:tcPr>
          <w:p>
            <w:pPr>
              <w:ind w:left="540"/>
              <w:spacing w:after="0"/>
              <w:rPr>
                <w:sz w:val="20"/>
                <w:szCs w:val="20"/>
                <w:color w:val="auto"/>
              </w:rPr>
            </w:pPr>
            <w:r>
              <w:rPr>
                <w:rFonts w:ascii="Arial" w:cs="Arial" w:eastAsia="Arial" w:hAnsi="Arial"/>
                <w:sz w:val="16"/>
                <w:szCs w:val="16"/>
                <w:color w:val="auto"/>
              </w:rPr>
              <w:t>exit costs, net (2) (3)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20" w:type="dxa"/>
            <w:vAlign w:val="bottom"/>
            <w:gridSpan w:val="2"/>
          </w:tcPr>
          <w:p>
            <w:pPr>
              <w:ind w:left="140"/>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7"/>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7"/>
              </w:rPr>
              <w:t>1,625.7</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49"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ind w:left="420" w:hanging="412"/>
        <w:spacing w:after="0"/>
        <w:tabs>
          <w:tab w:leader="none" w:pos="4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See Note 13, "Restructuring charges and other facility exit costs, net" in the Notes to Condensed Consolidated Financial Statements for additional information.</w:t>
      </w:r>
    </w:p>
    <w:p>
      <w:pPr>
        <w:spacing w:after="0" w:line="16" w:lineRule="exact"/>
        <w:rPr>
          <w:rFonts w:ascii="Arial" w:cs="Arial" w:eastAsia="Arial" w:hAnsi="Arial"/>
          <w:sz w:val="15"/>
          <w:szCs w:val="15"/>
          <w:color w:val="auto"/>
        </w:rPr>
      </w:pPr>
    </w:p>
    <w:p>
      <w:pPr>
        <w:ind w:left="420" w:right="560" w:hanging="412"/>
        <w:spacing w:after="0" w:line="252"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November 27, 2017, our Board of Directors approved a world-wide restructuring plan that includes a reduction in force that will result in the termination of approximately 13% of the Company’s workforce, or approximately 1,150 employees, and the consolidation of certain leased facilities. See Note 19, "Subsequent Events," for further discussion regarding the anticipated amount and timing of the expenditures related to this action.</w:t>
      </w:r>
    </w:p>
    <w:p>
      <w:pPr>
        <w:spacing w:after="0" w:line="18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fourth quarter of fiscal 2018, as compared to the fourth quarter of fiscal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23"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(Loss) gain on foreign currency</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and 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Interest and other expense, net increased $1.8 million during the three months ended October 31, 2017, as compared to the same period in the prior fiscal year, primarily due to impairment losses on certain of our privately-held strategic investments.</w:t>
      </w:r>
    </w:p>
    <w:p>
      <w:pPr>
        <w:spacing w:after="0" w:line="17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Interest and other expense, net increased $8.7 million during the nine months ended October 31, 2017, as compared to the same period in the prior fiscal year, primarily due to non-recurring realized losses on certain dispositions and impairment losses on certain of our privately-held strategic investments.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5" w:lineRule="exact"/>
        <w:rPr>
          <w:sz w:val="20"/>
          <w:szCs w:val="20"/>
          <w:color w:val="auto"/>
        </w:rPr>
      </w:pPr>
    </w:p>
    <w:p>
      <w:pPr>
        <w:jc w:val="both"/>
        <w:ind w:right="180" w:firstLine="432"/>
        <w:spacing w:after="0" w:line="274" w:lineRule="auto"/>
        <w:rPr>
          <w:sz w:val="20"/>
          <w:szCs w:val="20"/>
          <w:color w:val="auto"/>
        </w:rPr>
      </w:pPr>
      <w:r>
        <w:rPr>
          <w:rFonts w:ascii="Arial" w:cs="Arial" w:eastAsia="Arial" w:hAnsi="Arial"/>
          <w:sz w:val="18"/>
          <w:szCs w:val="18"/>
          <w:color w:val="auto"/>
        </w:rPr>
        <w:t>Income tax expense was $8.6 million and $13.5 million for the three months ended October 31, 2017 and 2016, respectively. Income tax expense was $34.4 million and $53.1 million for the nine months ended October 31, 2017 and 2016, respectively. Income tax expense consists primarily of foreign taxes, U.S. tax expense related to indefinite-lived intangibles</w:t>
      </w:r>
      <w:r>
        <w:rPr>
          <w:rFonts w:ascii="Arial" w:cs="Arial" w:eastAsia="Arial" w:hAnsi="Arial"/>
          <w:sz w:val="19"/>
          <w:szCs w:val="19"/>
          <w:color w:val="auto"/>
        </w:rPr>
        <w:t>, and withholding taxes</w:t>
      </w:r>
      <w:r>
        <w:rPr>
          <w:rFonts w:ascii="Arial" w:cs="Arial" w:eastAsia="Arial" w:hAnsi="Arial"/>
          <w:sz w:val="18"/>
          <w:szCs w:val="18"/>
          <w:color w:val="auto"/>
        </w:rPr>
        <w:t>.</w:t>
      </w:r>
    </w:p>
    <w:p>
      <w:pPr>
        <w:spacing w:after="0" w:line="169"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of October 31, 2017, we had $291.4 million of gross unrecognized tax benefits, excluding interest, of which approximately $277.4 million represents the amount of unrecognized tax benefits that would impact the effective tax rate, if recognized. However, this rate impact would be $30.8 million to the extent that recognition of unrecognized tax benefits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240"/>
        <w:spacing w:after="0" w:line="308" w:lineRule="auto"/>
        <w:rPr>
          <w:sz w:val="20"/>
          <w:szCs w:val="20"/>
          <w:color w:val="auto"/>
        </w:rPr>
      </w:pPr>
      <w:r>
        <w:rPr>
          <w:rFonts w:ascii="Arial" w:cs="Arial" w:eastAsia="Arial" w:hAnsi="Arial"/>
          <w:sz w:val="17"/>
          <w:szCs w:val="17"/>
          <w:color w:val="auto"/>
        </w:rPr>
        <w:t>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nine months ended October 31, 2017 and 2016, our gross profit, gross margin, loss from operations, operating margin, net loss, diluted net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200" w:type="dxa"/>
            <w:vAlign w:val="bottom"/>
          </w:tcPr>
          <w:p>
            <w:pPr>
              <w:spacing w:after="0"/>
              <w:rPr>
                <w:sz w:val="16"/>
                <w:szCs w:val="16"/>
                <w:color w:val="auto"/>
              </w:rPr>
            </w:pPr>
          </w:p>
        </w:tc>
        <w:tc>
          <w:tcPr>
            <w:tcW w:w="2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62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19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437.8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1,272.5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1,293.2</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445.7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1,296.8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1,335.5</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85 %</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85 %</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86 %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86 %</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(327.2)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(332.5)</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loss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(26.2)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(94.5)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(44.0)</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(119.8)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(393.4)</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(408.7)</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(50.1)</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(0.55)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(1.79)</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(1.83)</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diluted net loss per share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(0.12)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(0.39)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(0.22)</w:t>
            </w:r>
          </w:p>
        </w:tc>
      </w:tr>
      <w:tr>
        <w:trPr>
          <w:trHeight w:val="33"/>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219.6</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219.7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223.3</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180" w:type="dxa"/>
            <w:vAlign w:val="bottom"/>
          </w:tcPr>
          <w:p>
            <w:pPr>
              <w:spacing w:after="0"/>
              <w:rPr>
                <w:sz w:val="20"/>
                <w:szCs w:val="20"/>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219.6</w:t>
            </w:r>
          </w:p>
        </w:tc>
        <w:tc>
          <w:tcPr>
            <w:tcW w:w="3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219.7</w:t>
            </w:r>
          </w:p>
        </w:tc>
        <w:tc>
          <w:tcPr>
            <w:tcW w:w="34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223.3</w:t>
            </w:r>
          </w:p>
        </w:tc>
      </w:tr>
      <w:tr>
        <w:trPr>
          <w:trHeight w:val="249"/>
        </w:trPr>
        <w:tc>
          <w:tcPr>
            <w:tcW w:w="6240" w:type="dxa"/>
            <w:vAlign w:val="bottom"/>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420" w:right="200" w:hanging="412"/>
        <w:spacing w:after="0" w:line="263"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177"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60"/>
        <w:spacing w:after="0" w:line="302" w:lineRule="auto"/>
        <w:rPr>
          <w:sz w:val="20"/>
          <w:szCs w:val="20"/>
          <w:color w:val="auto"/>
        </w:rPr>
      </w:pPr>
      <w:r>
        <w:rPr>
          <w:rFonts w:ascii="Arial" w:cs="Arial" w:eastAsia="Arial" w:hAnsi="Arial"/>
          <w:sz w:val="16"/>
          <w:szCs w:val="16"/>
          <w:color w:val="auto"/>
        </w:rPr>
        <w:t>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5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584"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6240" w:type="dxa"/>
        <w:tblCellMar>
          <w:top w:w="0" w:type="dxa"/>
          <w:left w:w="0" w:type="dxa"/>
          <w:bottom w:w="0" w:type="dxa"/>
          <w:right w:w="0" w:type="dxa"/>
        </w:tblCellMar>
      </w:tblPr>
      <w:tr>
        <w:trPr>
          <w:trHeight w:val="192"/>
        </w:trPr>
        <w:tc>
          <w:tcPr>
            <w:tcW w:w="2640" w:type="dxa"/>
            <w:vAlign w:val="bottom"/>
            <w:gridSpan w:val="3"/>
          </w:tcPr>
          <w:p>
            <w:pPr>
              <w:ind w:left="240"/>
              <w:spacing w:after="0"/>
              <w:rPr>
                <w:sz w:val="20"/>
                <w:szCs w:val="20"/>
                <w:color w:val="auto"/>
              </w:rPr>
            </w:pPr>
            <w:r>
              <w:rPr>
                <w:rFonts w:ascii="Arial" w:cs="Arial" w:eastAsia="Arial" w:hAnsi="Arial"/>
                <w:sz w:val="14"/>
                <w:szCs w:val="14"/>
                <w:b w:val="1"/>
                <w:bCs w:val="1"/>
                <w:color w:val="auto"/>
              </w:rPr>
              <w:t>Three Months Ended October 31,</w:t>
            </w:r>
          </w:p>
        </w:tc>
        <w:tc>
          <w:tcPr>
            <w:tcW w:w="25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12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190"/>
        </w:trPr>
        <w:tc>
          <w:tcPr>
            <w:tcW w:w="1260" w:type="dxa"/>
            <w:vAlign w:val="bottom"/>
          </w:tcPr>
          <w:p>
            <w:pPr>
              <w:spacing w:after="0"/>
              <w:rPr>
                <w:sz w:val="16"/>
                <w:szCs w:val="16"/>
                <w:color w:val="auto"/>
              </w:rPr>
            </w:pPr>
          </w:p>
        </w:tc>
        <w:tc>
          <w:tcPr>
            <w:tcW w:w="266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 (2)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loss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(gain) on strategic investments and dispositions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items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437.8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1,272.5</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1,293.2</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10.3</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32.0</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1,296.8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1,335.5</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(332.5)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162.5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32.0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22.5</w:t>
            </w:r>
          </w:p>
        </w:tc>
      </w:tr>
      <w:tr>
        <w:trPr>
          <w:trHeight w:val="270"/>
        </w:trPr>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71.5</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(44.0)</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(408.7)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162.5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32.0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22.5</w:t>
            </w:r>
          </w:p>
        </w:tc>
      </w:tr>
      <w:tr>
        <w:trPr>
          <w:trHeight w:val="270"/>
        </w:trPr>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71.5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66.7</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(50.1)</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-5239385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-4887595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-4535805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-4184650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-3832860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-3489960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-3146425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-2786380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-2443480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-2100580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-1748790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-1397000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-1054100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-711200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-368300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58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Nine Months Ended October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diluted net loss per share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and 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Discrete tax items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Non-GAAP diluted net loss per share (3)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6520" w:type="dxa"/>
            <w:vAlign w:val="bottom"/>
            <w:gridSpan w:val="2"/>
            <w:vMerge w:val="restart"/>
          </w:tcPr>
          <w:p>
            <w:pPr>
              <w:jc w:val="right"/>
              <w:ind w:right="4639"/>
              <w:spacing w:after="0"/>
              <w:rPr>
                <w:sz w:val="20"/>
                <w:szCs w:val="20"/>
                <w:color w:val="auto"/>
              </w:rPr>
            </w:pPr>
            <w:r>
              <w:rPr>
                <w:rFonts w:ascii="Arial" w:cs="Arial" w:eastAsia="Arial" w:hAnsi="Arial"/>
                <w:sz w:val="18"/>
                <w:szCs w:val="18"/>
                <w:color w:val="auto"/>
                <w:w w:val="88"/>
              </w:rPr>
              <w:t>____________________</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CEO transition costs include stock-based compensation of $16.6 million related to the acceleration of eligible stock awards in the nine months ended October 31, 2017.</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20" w:right="18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6" w:right="259" w:bottom="1440" w:gutter="0" w:footer="0" w:header="0"/>
        </w:sectPr>
      </w:pPr>
    </w:p>
    <w:bookmarkStart w:id="44" w:name="page45"/>
    <w:bookmarkEnd w:id="44"/>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At October 31, 2017, our principal sources of liquidity were cash, cash equivalents and marketable securities totaling $1.72 billion and net accounts receivable of $307.8 million. Net of our senior notes, we have cash, cash equivalents, and marketable securities totaling $132.8 million at October 31, 2017.</w:t>
      </w:r>
    </w:p>
    <w:p>
      <w:pPr>
        <w:spacing w:after="0" w:line="12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five series of notes collectively, the “Notes”). On July 27, 2017, we redeemed in full $400.0 million in aggregate principal amount of outstanding 1.95% senior notes due December 15, 2017 . The redemption was completed pursuant to the optional redemption provisions of the first supplemental indenture dated December 13, 2012. To redeem the notes, we used a portion of the proceeds of the 2017 Notes to pay a redemption price of approximately $400.9 million, plus accrued and unpaid interest. Total cash repayment was $401.8 million. The Company did not incur any additional early termination penalties in connection with such redemption.</w:t>
      </w:r>
    </w:p>
    <w:p>
      <w:pPr>
        <w:spacing w:after="0" w:line="17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As of October 31, 2017, we have $1.6 billion aggregate principal amount of Notes outstanding. In addition, we have a line of credit facility that permits unsecured short-term borrowings of up to $400.0 million with a May 2020 maturity date. This credit agreement contains customary covenants that could restrict the imposition of liens on our assets, and restrict the Company’s ability to incur additional indebtedness or make dispositions of assets if we fail to maintain the financial covenants. The financial covenants consist of a maximum debt to total cash ratio, a fixed charge coverage ratio through April 30, 2018, and after April 30, 2018, a minimum interest coverage ratio. As of December 5, 2017, we have no amounts outstanding under the credit facility. Borrowings under the credit facility and the net proceeds from the offering of the Notes are available for general corporate purposes.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As of October 31, 2017, other than what was previously discussed in this section regarding our latest debt issuance and repayment,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2017.</w:t>
      </w:r>
    </w:p>
    <w:p>
      <w:pPr>
        <w:spacing w:after="0" w:line="16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October 31, 2017, approximately 80%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Our intent is that amounts related to foreign earnings permanently reinvested outside the U.S. will remain outside the United States. We expect to meet our U.S. liquidity needs through ongoing cash flows, foreign cash for which U.S. federal income taxes have been provided,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154.1</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80" w:type="dxa"/>
            <w:vAlign w:val="bottom"/>
          </w:tcPr>
          <w:p>
            <w:pPr>
              <w:spacing w:after="0"/>
              <w:rPr>
                <w:sz w:val="20"/>
                <w:szCs w:val="20"/>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285.8</w:t>
            </w:r>
          </w:p>
        </w:tc>
      </w:tr>
      <w:tr>
        <w:trPr>
          <w:trHeight w:val="33"/>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w:t>
            </w:r>
          </w:p>
        </w:tc>
      </w:tr>
      <w:tr>
        <w:trPr>
          <w:trHeight w:val="33"/>
        </w:trPr>
        <w:tc>
          <w:tcPr>
            <w:tcW w:w="9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Net cash used in operating activities of $78.4 million for the nine months ended October 31, 2017 consisted of our net loss of $393.4 million, partially offset by $288.3 million of non-cash expenses, including stock-based compensation expense, depreciation, amortization and accretion expense.</w:t>
      </w:r>
    </w:p>
    <w:p>
      <w:pPr>
        <w:spacing w:after="0" w:line="124"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primary working capital source of cash was a decrease in accounts receivable from $452.3 million as of January 31, 2017 to $307.8 million as of October 31, 2017. The primary working capital uses of cash were decreases in accrued compensation and other accrued liabilities.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420" w:firstLine="405"/>
        <w:spacing w:after="0" w:line="308" w:lineRule="auto"/>
        <w:rPr>
          <w:sz w:val="20"/>
          <w:szCs w:val="20"/>
          <w:color w:val="auto"/>
        </w:rPr>
      </w:pPr>
      <w:r>
        <w:rPr>
          <w:rFonts w:ascii="Arial" w:cs="Arial" w:eastAsia="Arial" w:hAnsi="Arial"/>
          <w:sz w:val="17"/>
          <w:szCs w:val="17"/>
          <w:color w:val="auto"/>
        </w:rPr>
        <w:t>Net cash provided by investing was $258.9 million for the nine months ended October 31, 2017 and was primarily due to the sale and maturities of marketable securities. These cash inflows were partially offset by purchases of marketable securities and capital expenditures.</w:t>
      </w:r>
    </w:p>
    <w:p>
      <w:pPr>
        <w:spacing w:after="0" w:line="14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At October 31, 2017, our short-term investment portfolio had an estimated fair value of $428.7 million and a cost basis of $421.3 million. The portfolio fair value consists of $218.7 million invested in corporate debt securities, $58.8 million invested in U.S. government securities, $31.3 million invested in commercial paper, $30.4 million invested in asset backed securities, $15.5 million invested in municipal bonds, $7.5 million invested in agency bonds, $6.0 million invested in sovereign debt, and $4.0 million invested in certificates of deposit.</w:t>
      </w:r>
    </w:p>
    <w:p>
      <w:pPr>
        <w:spacing w:after="0" w:line="187"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At October 31, 2017, $56.5 million of short-term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Net cash used in financing activities was $374.2 million for the nine months ended October 31, 2017 and was primarily due to repurchases of common stock and the repayment of debt noted earlier in this section. These cash outflows were offset in part by cash proceeds from the issuance of debt also noted earlier in this section.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the three and nine months ended October 31, 2017, we repurchased 1.0 million and 4.4 million shares of our common stock, respectively. At October 31, 2017, 22.1 million shares remained available for repurchase under the repurchase program approved by the Board of Directors. These programs do not have a fixed expiration date. See Note 15, “Common Stock Repurchase Program,” in the Notes to Condensed Consolidated Financial Statements for further discussion.</w:t>
      </w:r>
    </w:p>
    <w:p>
      <w:pPr>
        <w:spacing w:after="0" w:line="18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109.66</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112.59</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0.3</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117.47</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112.97</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260" w:hanging="412"/>
        <w:spacing w:after="0" w:line="257"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September 2016 that authorized the repurchase of 30.0 million shares. The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2017, we did not have any significant off-balance sheet arrangements, as defined in Item 303(a)(4)(ii) of Regulation S-K.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Annualized Recurring Revenue (ARR)—</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jc w:val="both"/>
        <w:ind w:right="50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We introduced industry collections effective August 1, 2016 to replace our suites.</w:t>
      </w:r>
    </w:p>
    <w:p>
      <w:pPr>
        <w:spacing w:after="0" w:line="143" w:lineRule="exact"/>
        <w:rPr>
          <w:sz w:val="20"/>
          <w:szCs w:val="20"/>
          <w:color w:val="auto"/>
        </w:rPr>
      </w:pPr>
    </w:p>
    <w:p>
      <w:pPr>
        <w:jc w:val="both"/>
        <w:ind w:right="540" w:firstLine="405"/>
        <w:spacing w:after="0" w:line="266"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Represents (1) perpetual license revenue and (2) other revenue. Perpetual license revenue includes software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 sale of perpetual licenses, and Creative Finishing. Other revenue includes revenue such as standalone consulting and training, and is recognized over time as the services are performed.</w:t>
      </w:r>
    </w:p>
    <w:p>
      <w:pPr>
        <w:spacing w:after="0" w:line="176" w:lineRule="exact"/>
        <w:rPr>
          <w:sz w:val="20"/>
          <w:szCs w:val="20"/>
          <w:color w:val="auto"/>
        </w:rPr>
      </w:pPr>
    </w:p>
    <w:p>
      <w:pPr>
        <w:ind w:right="280" w:firstLine="405"/>
        <w:spacing w:after="0" w:line="314" w:lineRule="auto"/>
        <w:rPr>
          <w:sz w:val="20"/>
          <w:szCs w:val="20"/>
          <w:color w:val="auto"/>
        </w:rPr>
      </w:pPr>
      <w:r>
        <w:rPr>
          <w:rFonts w:ascii="Arial" w:cs="Arial" w:eastAsia="Arial" w:hAnsi="Arial"/>
          <w:sz w:val="16"/>
          <w:szCs w:val="16"/>
          <w:i w:val="1"/>
          <w:iCs w:val="1"/>
          <w:color w:val="auto"/>
        </w:rPr>
        <w:t>Subscription Plans</w:t>
      </w:r>
      <w:r>
        <w:rPr>
          <w:rFonts w:ascii="Arial" w:cs="Arial" w:eastAsia="Arial" w:hAnsi="Arial"/>
          <w:sz w:val="16"/>
          <w:szCs w:val="16"/>
          <w:b w:val="1"/>
          <w:bCs w:val="1"/>
          <w:color w:val="auto"/>
        </w:rPr>
        <w:t>—</w:t>
      </w:r>
      <w:r>
        <w:rPr>
          <w:rFonts w:ascii="Arial" w:cs="Arial" w:eastAsia="Arial" w:hAnsi="Arial"/>
          <w:sz w:val="16"/>
          <w:szCs w:val="16"/>
          <w:color w:val="auto"/>
        </w:rPr>
        <w:t>Comprises our term-based product subscriptions, cloud service offerings, and enterprise business agreements (EBAs).</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Subscriptions represent a hybrid of desktop and SaaS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Plans</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right="600" w:firstLine="392"/>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term-based product subscriptions, flexible enterprise business arrangements and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as part of a bundled subscription agreement accounted for as a single unit of accounting. (</w:t>
      </w:r>
      <w:r>
        <w:rPr>
          <w:rFonts w:ascii="Arial" w:cs="Arial" w:eastAsia="Arial" w:hAnsi="Arial"/>
          <w:sz w:val="16"/>
          <w:szCs w:val="16"/>
          <w:i w:val="1"/>
          <w:iCs w:val="1"/>
          <w:color w:val="auto"/>
        </w:rPr>
        <w:t>i.e.</w:t>
      </w:r>
      <w:r>
        <w:rPr>
          <w:rFonts w:ascii="Arial" w:cs="Arial" w:eastAsia="Arial" w:hAnsi="Arial"/>
          <w:sz w:val="16"/>
          <w:szCs w:val="16"/>
          <w:color w:val="auto"/>
        </w:rPr>
        <w:t xml:space="preserve"> cloud services, maintenance, and consulting).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quarter end</w:t>
      </w:r>
      <w:r>
        <w:rPr>
          <w:rFonts w:ascii="Arial" w:cs="Arial" w:eastAsia="Arial" w:hAnsi="Arial"/>
          <w:sz w:val="16"/>
          <w:szCs w:val="16"/>
          <w:i w:val="1"/>
          <w:iCs w:val="1"/>
          <w:color w:val="auto"/>
        </w:rPr>
        <w:t xml:space="preserve"> </w:t>
      </w:r>
      <w:r>
        <w:rPr>
          <w:rFonts w:ascii="Arial" w:cs="Arial" w:eastAsia="Arial" w:hAnsi="Arial"/>
          <w:sz w:val="16"/>
          <w:szCs w:val="16"/>
          <w:color w:val="auto"/>
        </w:rPr>
        <w:t>date. For certain cloud service offerings and flexible enterprise business arrangements,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Unbilled deferred revenue</w:t>
      </w:r>
      <w:r>
        <w:rPr>
          <w:rFonts w:ascii="Arial" w:cs="Arial" w:eastAsia="Arial" w:hAnsi="Arial"/>
          <w:sz w:val="18"/>
          <w:szCs w:val="18"/>
          <w:b w:val="1"/>
          <w:bCs w:val="1"/>
          <w:color w:val="auto"/>
        </w:rPr>
        <w:t>—</w:t>
      </w:r>
      <w:r>
        <w:rPr>
          <w:rFonts w:ascii="Arial" w:cs="Arial" w:eastAsia="Arial" w:hAnsi="Arial"/>
          <w:sz w:val="18"/>
          <w:szCs w:val="18"/>
          <w:color w:val="auto"/>
        </w:rPr>
        <w:t>Unbilled deferred revenue represents contractually stated or committed orders under multi-year billing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services, license and maintenance for which the associated revenue has not been recognized and the customer has not been invoiced. Unbilled deferred revenue is not included on our Consolidated Balance Sheet until invoiced to the customer.</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2017 and January 31, 2017,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$802.6 million and $640.0 million at October 31, 2017 and January 31, 2017, respectively.</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October 31, 2017 indicated that a hypothetical 10% appreciation of the U.S. dollar from its value at October 31, 2017 and January 31, 2017 would increase the fair value of our foreign currency contracts by $58.2 million and $60.9 million, respectively. A hypothetical 10% depreciation of the dollar from its value at October 31, 2017 and January 31, 2017 would decrease the fair value of our foreign currency contracts by $60.8 million and $32.5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October 31, 2017, we had $1.33 billion of cash equivalents and marketable securities, including $428.7 million classified as short-term marketable securities and $264.3 million classified as long-term marketable securities. If interest rates were to move up or down by 50 or 100 basis points over a twelve month period, the market value change of our marketable securities would have an unrealized gain or loss of $2.4 million and $4.7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96" w:right="25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October 31,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right="6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will increase maintenance plan pricing over time for customers that remain on maintenance.</w:t>
      </w:r>
    </w:p>
    <w:p>
      <w:pPr>
        <w:spacing w:after="0" w:line="158"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1" w:name="page52"/>
    <w:bookmarkEnd w:id="51"/>
    <w:p>
      <w:pPr>
        <w:ind w:right="180"/>
        <w:spacing w:after="0" w:line="279" w:lineRule="auto"/>
        <w:rPr>
          <w:sz w:val="20"/>
          <w:szCs w:val="20"/>
          <w:color w:val="auto"/>
        </w:rPr>
      </w:pPr>
      <w:r>
        <w:rPr>
          <w:rFonts w:ascii="Arial" w:cs="Arial" w:eastAsia="Arial" w:hAnsi="Arial"/>
          <w:sz w:val="17"/>
          <w:szCs w:val="17"/>
          <w:color w:val="auto"/>
        </w:rPr>
        <w:t>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upfront and as new offerings bring a wider variety of price points.</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maintenance attach opportunities.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our subscriptions, our future revenue and financial results will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 On June 15, 2017, we commenced a program to incentivize maintenance plan customers to move to subscription plan offerings. As a result, we expect our maintenance revenue to decline over time, but it may decline more quickly than anticipated due to low maintenance renewals. At the same time, our subscription (formerly new model)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that we are taking to restructure our business in alignment with our strategic priorities may not be as effective as anticipated.</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fourth quarter of fiscal 2018, we commenced a world-wide restructuring plan to support the Company's strategic priorities of completing the subscription transition; digitizing the Company; and re-imagining manufacturing, construction, and production. Through the restructuring, we seek to reduce our investment in areas not aligned with our strategic priorities, including in areas related to research and development and go to market activities. At the same time, we plan to further invest in strategic priority areas related to as digital infrastructure, customer success, and construction.</w:t>
      </w:r>
    </w:p>
    <w:p>
      <w:pPr>
        <w:spacing w:after="0" w:line="154"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may encounter challenges in the execution of these efforts, and these challenges could impact our financial results. If we are unable to successfully complete our restructuring efforts, our business and operating results may be harmed. As a result of these actions, we will incur additional costs in the short term that will have the effect of reducing our GAAP operating margins.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64% of our net revenue for both the nine months ended October 31, 2017 and 2016.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w:t>
      </w:r>
    </w:p>
    <w:p>
      <w:pPr>
        <w:spacing w:after="0" w:line="167"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4" w:name="page55"/>
    <w:bookmarkEnd w:id="54"/>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20" w:hanging="88"/>
        <w:spacing w:after="0" w:line="563" w:lineRule="auto"/>
        <w:tabs>
          <w:tab w:leader="none" w:pos="6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$284,582 or twice the value of the transaction, whichever is greater, per violation. In the event of criminal knowing and willful violations of these laws, fines of up to $1 million per violation and possible incarceration for responsible employees and managers could be imposed.</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5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584" w:right="29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t>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For example, the June 23, 2016 announcement of Brexit caused significant volatility in global stock markets and currency exchange rate 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5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For example, cyber attacks could make our customers hesitant to adopt our cloud-based hosted subscription services, which could negatively impact our business model transition. If any of the foregoing were to occur, our reputation may suffer, customers may stop buying our products or services, we could face lawsuits and potential liability, and our financial performance could be negatively impacted.</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7"/>
          <w:szCs w:val="17"/>
          <w:color w:val="auto"/>
        </w:rPr>
        <w:t>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8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193" w:lineRule="exact"/>
        <w:rPr>
          <w:sz w:val="20"/>
          <w:szCs w:val="20"/>
          <w:color w:val="auto"/>
        </w:rPr>
      </w:pPr>
    </w:p>
    <w:p>
      <w:pPr>
        <w:ind w:right="220" w:firstLine="392"/>
        <w:spacing w:after="0" w:line="297" w:lineRule="auto"/>
        <w:rPr>
          <w:sz w:val="20"/>
          <w:szCs w:val="20"/>
          <w:color w:val="auto"/>
        </w:rPr>
      </w:pPr>
      <w:r>
        <w:rPr>
          <w:rFonts w:ascii="Arial" w:cs="Arial" w:eastAsia="Arial" w:hAnsi="Arial"/>
          <w:sz w:val="16"/>
          <w:szCs w:val="16"/>
          <w:color w:val="auto"/>
        </w:rPr>
        <w:t>In addition, in October 2015 the European Court of Justice issued a ruling immediately invalidating the U.S.-EU Safe Harbor Framework, which facilitated personal data transfers to the U.S. in compliance with applicable EU data protection laws. In February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increasingly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nine months ended October 31,</w:t>
      </w:r>
    </w:p>
    <w:p>
      <w:pPr>
        <w:spacing w:after="0" w:line="4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2017 and 2016, approximately 70% and 74%,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31% and 30% of our total net revenue for the nine months ended October 31, 2017 and October 31, 2016,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maintenance to subscription program;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8"/>
          </w:cols>
          <w:pgMar w:left="572" w:top="584" w:right="379" w:bottom="1440" w:gutter="0" w:footer="0" w:header="0"/>
        </w:sectPr>
      </w:pPr>
    </w:p>
    <w:bookmarkStart w:id="59" w:name="page60"/>
    <w:bookmarkEnd w:id="59"/>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800" w:right="319" w:bottom="1440" w:gutter="0" w:footer="0" w:header="0"/>
        </w:sectPr>
      </w:pPr>
    </w:p>
    <w:bookmarkStart w:id="60" w:name="page61"/>
    <w:bookmarkEnd w:id="60"/>
    <w:p>
      <w:pPr>
        <w:ind w:right="240"/>
        <w:spacing w:after="0" w:line="264" w:lineRule="auto"/>
        <w:rPr>
          <w:sz w:val="20"/>
          <w:szCs w:val="20"/>
          <w:color w:val="auto"/>
        </w:rPr>
      </w:pPr>
      <w:r>
        <w:rPr>
          <w:rFonts w:ascii="Arial" w:cs="Arial" w:eastAsia="Arial" w:hAnsi="Arial"/>
          <w:sz w:val="18"/>
          <w:szCs w:val="18"/>
          <w:color w:val="auto"/>
        </w:rPr>
        <w:t>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2017, combined revenue from our AutoCAD and AutoCAD LT products, not including collections (formerly suites) having AutoCAD or AutoCAD LT as a component, represented 19% of total net revenue compared to 15% during the nine months ended October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ind w:right="18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7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As of April 30, 2017, management believed it had sufficient evidence to conclude that the changes, initiated over the preceding 18 months that were designed to remediate the material weakness, had been completely implemented and the material weakness had been remediated.</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shortfalls in our expected financial results, including net revenue, ARR, ARPS, earnings, subscriptions, or other key performance metrics;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2" w:name="page63"/>
    <w:bookmarkEnd w:id="62"/>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For example, in the U.S. corporate taxation proposals are being considered by the U.S. Congress the outcome of which is uncertain.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Furthermore, in May 2014, FASB issued ASU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FASB subsequently issued ASU 2015-14, which deferred the effectiveness of ASU 2014-09, so that it will now be effective for annual reporting periods beginning after December 15, 2017, including interim periods within that reporting period. The revised effective date for the Company under the new standard will be the beginning of fiscal 2019. We are assessing the impact on our consolidated financial statements, defining our operational requirements, and implementing changes to our policies, procedures and systems.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Adoption of ASU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69"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tax assets in fiscal 2017 and increased the amount of the valuation allowance to include deferred tax assets generated in fiscal 2017, including deferred tax assets that were established as a result of the adoption of ASU 2016-09 in the second quarter of fiscal 2017.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$1.6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3.125% notes due</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repayment of $401.8 million by using the proceeds the from the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94"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2017,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20" w:firstLine="392"/>
        <w:spacing w:after="0" w:line="312" w:lineRule="auto"/>
        <w:rPr>
          <w:sz w:val="20"/>
          <w:szCs w:val="20"/>
          <w:color w:val="auto"/>
        </w:rPr>
      </w:pPr>
      <w:r>
        <w:rPr>
          <w:rFonts w:ascii="Arial" w:cs="Arial" w:eastAsia="Arial" w:hAnsi="Arial"/>
          <w:sz w:val="16"/>
          <w:szCs w:val="16"/>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maximum debt to total cash ratio, a fixed charge coverage ratio through April 30, 2018, and after April 30, 2018 a minimum interest coverage ratio.</w:t>
      </w:r>
    </w:p>
    <w:p>
      <w:pPr>
        <w:spacing w:after="0" w:line="147"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2017.</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67" w:name="page68"/>
    <w:bookmarkEnd w:id="6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840" w:type="dxa"/>
            <w:vAlign w:val="bottom"/>
          </w:tcPr>
          <w:p>
            <w:pPr>
              <w:spacing w:after="0"/>
              <w:rPr>
                <w:sz w:val="17"/>
                <w:szCs w:val="17"/>
                <w:color w:val="auto"/>
              </w:rPr>
            </w:pPr>
          </w:p>
        </w:tc>
        <w:tc>
          <w:tcPr>
            <w:tcW w:w="7880" w:type="dxa"/>
            <w:vAlign w:val="bottom"/>
            <w:gridSpan w:val="5"/>
          </w:tcPr>
          <w:p>
            <w:pPr>
              <w:ind w:left="2820"/>
              <w:spacing w:after="0"/>
              <w:rPr>
                <w:sz w:val="20"/>
                <w:szCs w:val="20"/>
                <w:color w:val="auto"/>
              </w:rPr>
            </w:pPr>
            <w:r>
              <w:rPr>
                <w:rFonts w:ascii="Arial" w:cs="Arial" w:eastAsia="Arial" w:hAnsi="Arial"/>
                <w:sz w:val="16"/>
                <w:szCs w:val="16"/>
                <w:color w:val="auto"/>
              </w:rPr>
              <w:t>Description</w:t>
            </w:r>
          </w:p>
        </w:tc>
      </w:tr>
      <w:tr>
        <w:trPr>
          <w:trHeight w:val="331"/>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560" w:type="dxa"/>
            <w:vAlign w:val="bottom"/>
          </w:tcPr>
          <w:p>
            <w:pPr>
              <w:spacing w:after="0"/>
              <w:rPr>
                <w:sz w:val="24"/>
                <w:szCs w:val="24"/>
                <w:color w:val="auto"/>
              </w:rPr>
            </w:pPr>
          </w:p>
        </w:tc>
        <w:tc>
          <w:tcPr>
            <w:tcW w:w="672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Separation Agreement, dated as of September 30, 2017, by and between Autodesk, Inc. and Jan Becker.</w:t>
              </w:r>
            </w:hyperlink>
          </w:p>
        </w:tc>
        <w:tc>
          <w:tcPr>
            <w:tcW w:w="3000" w:type="dxa"/>
            <w:vAlign w:val="bottom"/>
            <w:gridSpan w:val="4"/>
          </w:tcPr>
          <w:p>
            <w:pPr>
              <w:spacing w:after="0"/>
              <w:rPr>
                <w:sz w:val="24"/>
                <w:szCs w:val="24"/>
                <w:color w:val="auto"/>
              </w:rPr>
            </w:pPr>
          </w:p>
        </w:tc>
      </w:tr>
      <w:tr>
        <w:trPr>
          <w:trHeight w:val="534"/>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24"/>
                <w:szCs w:val="24"/>
                <w:color w:val="auto"/>
              </w:rPr>
            </w:pPr>
          </w:p>
        </w:tc>
        <w:tc>
          <w:tcPr>
            <w:tcW w:w="696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77">
              <w:r>
                <w:rPr>
                  <w:rFonts w:ascii="Arial" w:cs="Arial" w:eastAsia="Arial" w:hAnsi="Arial"/>
                  <w:sz w:val="16"/>
                  <w:szCs w:val="16"/>
                  <w:color w:val="0000FF"/>
                  <w:w w:val="93"/>
                </w:rPr>
                <w:t>Certification of Chief Executive Officer pursuant to Rule 13a-14(a) of the Securities Exchange Act of 1934</w:t>
              </w:r>
            </w:hyperlink>
          </w:p>
        </w:tc>
        <w:tc>
          <w:tcPr>
            <w:tcW w:w="2760" w:type="dxa"/>
            <w:vAlign w:val="bottom"/>
            <w:gridSpan w:val="2"/>
          </w:tcPr>
          <w:p>
            <w:pPr>
              <w:spacing w:after="0"/>
              <w:rPr>
                <w:sz w:val="24"/>
                <w:szCs w:val="24"/>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9720" w:type="dxa"/>
            <w:vAlign w:val="bottom"/>
            <w:gridSpan w:val="6"/>
          </w:tcPr>
          <w:p>
            <w:pPr>
              <w:ind w:left="40"/>
              <w:spacing w:after="0"/>
              <w:rPr>
                <w:rFonts w:ascii="Arial" w:cs="Arial" w:eastAsia="Arial" w:hAnsi="Arial"/>
                <w:sz w:val="16"/>
                <w:szCs w:val="16"/>
                <w:color w:val="0000FF"/>
              </w:rPr>
            </w:pPr>
            <w:hyperlink w:anchor="page78">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79">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2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720" w:type="dxa"/>
            <w:vAlign w:val="bottom"/>
            <w:gridSpan w:val="6"/>
          </w:tcPr>
          <w:p>
            <w:pPr>
              <w:spacing w:after="0" w:line="183" w:lineRule="exact"/>
              <w:rPr>
                <w:rFonts w:ascii="Arial" w:cs="Arial" w:eastAsia="Arial" w:hAnsi="Arial"/>
                <w:sz w:val="16"/>
                <w:szCs w:val="16"/>
                <w:color w:val="0000FF"/>
              </w:rPr>
            </w:pPr>
            <w:hyperlink w:anchor="page79">
              <w:r>
                <w:rPr>
                  <w:rFonts w:ascii="Arial" w:cs="Arial" w:eastAsia="Arial" w:hAnsi="Arial"/>
                  <w:sz w:val="16"/>
                  <w:szCs w:val="16"/>
                  <w:color w:val="0000FF"/>
                </w:rPr>
                <w:t>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r>
      <w:tr>
        <w:trPr>
          <w:trHeight w:val="389"/>
        </w:trPr>
        <w:tc>
          <w:tcPr>
            <w:tcW w:w="126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20" w:type="dxa"/>
            <w:vAlign w:val="bottom"/>
            <w:gridSpan w:val="6"/>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gridSpan w:val="6"/>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2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2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20" w:type="dxa"/>
            <w:vAlign w:val="bottom"/>
            <w:gridSpan w:val="6"/>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2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2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hanging="685"/>
        <w:spacing w:after="0" w:line="335" w:lineRule="auto"/>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68</w:t>
      </w:r>
    </w:p>
    <w:p>
      <w:pPr>
        <w:sectPr>
          <w:pgSz w:w="11900" w:h="16838" w:orient="portrait"/>
          <w:cols w:equalWidth="0" w:num="1">
            <w:col w:w="11280"/>
          </w:cols>
          <w:pgMar w:left="240" w:top="580" w:right="379" w:bottom="1440" w:gutter="0" w:footer="0" w:header="0"/>
        </w:sectPr>
      </w:pPr>
    </w:p>
    <w:bookmarkStart w:id="68" w:name="page69"/>
    <w:bookmarkEnd w:id="68"/>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20"/>
          </w:cols>
          <w:pgMar w:left="240" w:top="580" w:right="9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Exhibit 10.1</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Jan Becker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Autodesk, Inc.</w:t>
      </w:r>
    </w:p>
    <w:p>
      <w:pPr>
        <w:spacing w:after="0"/>
        <w:rPr>
          <w:sz w:val="20"/>
          <w:szCs w:val="20"/>
          <w:color w:val="auto"/>
        </w:rPr>
      </w:pPr>
      <w:r>
        <w:rPr>
          <w:rFonts w:ascii="Arial" w:cs="Arial" w:eastAsia="Arial" w:hAnsi="Arial"/>
          <w:sz w:val="20"/>
          <w:szCs w:val="20"/>
          <w:color w:val="auto"/>
        </w:rPr>
        <w:t>111 McInnis Parkway</w:t>
      </w:r>
    </w:p>
    <w:p>
      <w:pPr>
        <w:spacing w:after="0"/>
        <w:rPr>
          <w:sz w:val="20"/>
          <w:szCs w:val="20"/>
          <w:color w:val="auto"/>
        </w:rPr>
      </w:pPr>
      <w:r>
        <w:rPr>
          <w:rFonts w:ascii="Arial" w:cs="Arial" w:eastAsia="Arial" w:hAnsi="Arial"/>
          <w:sz w:val="20"/>
          <w:szCs w:val="20"/>
          <w:color w:val="auto"/>
        </w:rPr>
        <w:t>San Rafael, California 94903</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u w:val="single" w:color="auto"/>
          <w:color w:val="auto"/>
        </w:rPr>
        <w:t>Separation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Jan,</w:t>
      </w:r>
    </w:p>
    <w:p>
      <w:pPr>
        <w:spacing w:after="0" w:line="229"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This Separation Agreement (“Agreement”) is to confirm your agreement with Autodesk, Inc. (“Autodesk” or the “Company”) about your separation from the Company. In consideration of the mutual promises and agreements described herein you and the Company agree as follows.</w:t>
      </w:r>
    </w:p>
    <w:p>
      <w:pPr>
        <w:spacing w:after="0" w:line="91" w:lineRule="exact"/>
        <w:rPr>
          <w:sz w:val="20"/>
          <w:szCs w:val="20"/>
          <w:color w:val="auto"/>
        </w:rPr>
      </w:pPr>
    </w:p>
    <w:p>
      <w:pPr>
        <w:jc w:val="both"/>
        <w:ind w:left="340" w:hanging="332"/>
        <w:spacing w:after="0" w:line="248"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Employment</w:t>
      </w:r>
      <w:r>
        <w:rPr>
          <w:rFonts w:ascii="Arial" w:cs="Arial" w:eastAsia="Arial" w:hAnsi="Arial"/>
          <w:sz w:val="20"/>
          <w:szCs w:val="20"/>
          <w:color w:val="auto"/>
        </w:rPr>
        <w:t>. Your last day of employment with the Company will be October 9, 2017 (“Termination Date”). You may not be employed</w:t>
      </w:r>
      <w:r>
        <w:rPr>
          <w:rFonts w:ascii="Arial" w:cs="Arial" w:eastAsia="Arial" w:hAnsi="Arial"/>
          <w:sz w:val="20"/>
          <w:szCs w:val="20"/>
          <w:b w:val="1"/>
          <w:bCs w:val="1"/>
          <w:color w:val="auto"/>
        </w:rPr>
        <w:t xml:space="preserve"> </w:t>
      </w:r>
      <w:r>
        <w:rPr>
          <w:rFonts w:ascii="Arial" w:cs="Arial" w:eastAsia="Arial" w:hAnsi="Arial"/>
          <w:sz w:val="20"/>
          <w:szCs w:val="20"/>
          <w:color w:val="auto"/>
        </w:rPr>
        <w:t>by another company or perform work which would be a conflict of interest with your work at Autodesk while employed by Autodesk. You and Autodesk may agree to an earlier Termination Date (such date, the “Early Termination Date”) and this will be reflected in a written addendum to this Agreement.</w:t>
      </w:r>
    </w:p>
    <w:p>
      <w:pPr>
        <w:spacing w:after="0" w:line="197" w:lineRule="exact"/>
        <w:rPr>
          <w:rFonts w:ascii="Arial" w:cs="Arial" w:eastAsia="Arial" w:hAnsi="Arial"/>
          <w:sz w:val="20"/>
          <w:szCs w:val="20"/>
          <w:color w:val="auto"/>
        </w:rPr>
      </w:pPr>
    </w:p>
    <w:p>
      <w:pPr>
        <w:jc w:val="both"/>
        <w:ind w:left="340" w:hanging="332"/>
        <w:spacing w:after="0" w:line="260" w:lineRule="auto"/>
        <w:tabs>
          <w:tab w:leader="none" w:pos="34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Transition</w:t>
      </w:r>
      <w:r>
        <w:rPr>
          <w:rFonts w:ascii="Arial" w:cs="Arial" w:eastAsia="Arial" w:hAnsi="Arial"/>
          <w:sz w:val="19"/>
          <w:szCs w:val="19"/>
          <w:color w:val="auto"/>
        </w:rPr>
        <w:t>. To aid in the transition, you agree to do the following before your Termination Date: (a) Work with the Human Resources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Partner to transition your work in an orderly and timely manner; (b) Submit all of your business expenses in accordance with Company policies; (c) Return all Company assets to the Company, including your Company-provided computer and personal device and any Company documents or intellectual property you may have to the Human Resources Business Partner; (d) Provide the Human Resources Business Partner with any passwords he/she requests or will need so that the Company can ensure that work is handled properly after you leave; and (e) Participate in an exit interview, if requested.</w:t>
      </w:r>
    </w:p>
    <w:p>
      <w:pPr>
        <w:spacing w:after="0" w:line="186" w:lineRule="exact"/>
        <w:rPr>
          <w:rFonts w:ascii="Arial" w:cs="Arial" w:eastAsia="Arial" w:hAnsi="Arial"/>
          <w:sz w:val="19"/>
          <w:szCs w:val="19"/>
          <w:color w:val="auto"/>
        </w:rPr>
      </w:pPr>
    </w:p>
    <w:p>
      <w:pPr>
        <w:jc w:val="both"/>
        <w:ind w:left="340" w:hanging="332"/>
        <w:spacing w:after="0" w:line="253"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 You will receive your regular compensation through your Termination Date. If you have an Early Termination Date, you</w:t>
      </w:r>
      <w:r>
        <w:rPr>
          <w:rFonts w:ascii="Arial" w:cs="Arial" w:eastAsia="Arial" w:hAnsi="Arial"/>
          <w:sz w:val="20"/>
          <w:szCs w:val="20"/>
          <w:b w:val="1"/>
          <w:bCs w:val="1"/>
          <w:color w:val="auto"/>
        </w:rPr>
        <w:t xml:space="preserve"> </w:t>
      </w:r>
      <w:r>
        <w:rPr>
          <w:rFonts w:ascii="Arial" w:cs="Arial" w:eastAsia="Arial" w:hAnsi="Arial"/>
          <w:sz w:val="20"/>
          <w:szCs w:val="20"/>
          <w:color w:val="auto"/>
        </w:rPr>
        <w:t>will receive the balance of what would have been owed to you in compensation from the Early Termination Date through your original Termination Date.</w:t>
      </w:r>
    </w:p>
    <w:p>
      <w:pPr>
        <w:spacing w:after="0" w:line="191" w:lineRule="exact"/>
        <w:rPr>
          <w:rFonts w:ascii="Arial" w:cs="Arial" w:eastAsia="Arial" w:hAnsi="Arial"/>
          <w:sz w:val="20"/>
          <w:szCs w:val="20"/>
          <w:color w:val="auto"/>
        </w:rPr>
      </w:pPr>
    </w:p>
    <w:p>
      <w:pPr>
        <w:jc w:val="both"/>
        <w:ind w:left="340" w:hanging="332"/>
        <w:spacing w:after="0" w:line="253"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Health Benefits</w:t>
      </w:r>
      <w:r>
        <w:rPr>
          <w:rFonts w:ascii="Arial" w:cs="Arial" w:eastAsia="Arial" w:hAnsi="Arial"/>
          <w:sz w:val="20"/>
          <w:szCs w:val="20"/>
          <w:color w:val="auto"/>
        </w:rPr>
        <w:t>. If you participate in the Company’s health benefit programs, you will continue to be covered by the Company’s health</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plans through the end of the month in which your Termination Date falls. You may be eligible to obtain continued group health insurance coverage after your termination under the Consolidated Omnibus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5F5F5E"/>
        </w:rPr>
        <w:t>Autodesk, Inc.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5F5F5E"/>
        </w:rPr>
        <w:t>111 McInnis Parkway, San Rafael, California 94903</w:t>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b w:val="1"/>
          <w:bCs w:val="1"/>
          <w:color w:val="5F5F5E"/>
        </w:rPr>
        <w:t xml:space="preserve">PHONE </w:t>
      </w:r>
      <w:r>
        <w:rPr>
          <w:rFonts w:ascii="Arial" w:cs="Arial" w:eastAsia="Arial" w:hAnsi="Arial"/>
          <w:sz w:val="12"/>
          <w:szCs w:val="12"/>
          <w:color w:val="5F5F5E"/>
        </w:rPr>
        <w:t>+1 415 507-5000 |</w:t>
      </w:r>
      <w:r>
        <w:rPr>
          <w:rFonts w:ascii="Arial" w:cs="Arial" w:eastAsia="Arial" w:hAnsi="Arial"/>
          <w:sz w:val="10"/>
          <w:szCs w:val="10"/>
          <w:b w:val="1"/>
          <w:bCs w:val="1"/>
          <w:color w:val="5F5F5E"/>
        </w:rPr>
        <w:t xml:space="preserve"> FAX </w:t>
      </w:r>
      <w:r>
        <w:rPr>
          <w:rFonts w:ascii="Arial" w:cs="Arial" w:eastAsia="Arial" w:hAnsi="Arial"/>
          <w:sz w:val="12"/>
          <w:szCs w:val="12"/>
          <w:color w:val="5F5F5E"/>
        </w:rPr>
        <w:t>+1 415 507-5100 | www.autodesk.com</w:t>
      </w:r>
    </w:p>
    <w:p>
      <w:pPr>
        <w:sectPr>
          <w:pgSz w:w="11900" w:h="16838" w:orient="portrait"/>
          <w:cols w:equalWidth="0" w:num="1">
            <w:col w:w="11420"/>
          </w:cols>
          <w:pgMar w:left="240" w:top="1283"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Budget Reconciliation Act (“COBRA”). You will receive more information on COBRA through a separate notice.</w:t>
      </w:r>
    </w:p>
    <w:p>
      <w:pPr>
        <w:spacing w:after="0" w:line="23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Equity Benefits.</w:t>
      </w:r>
    </w:p>
    <w:p>
      <w:pPr>
        <w:spacing w:after="0" w:line="221" w:lineRule="exact"/>
        <w:rPr>
          <w:rFonts w:ascii="Arial" w:cs="Arial" w:eastAsia="Arial" w:hAnsi="Arial"/>
          <w:sz w:val="20"/>
          <w:szCs w:val="20"/>
          <w:color w:val="auto"/>
        </w:rPr>
      </w:pPr>
    </w:p>
    <w:p>
      <w:pPr>
        <w:jc w:val="both"/>
        <w:ind w:left="340"/>
        <w:spacing w:after="0" w:line="257" w:lineRule="auto"/>
        <w:rPr>
          <w:rFonts w:ascii="Arial" w:cs="Arial" w:eastAsia="Arial" w:hAnsi="Arial"/>
          <w:sz w:val="20"/>
          <w:szCs w:val="20"/>
          <w:color w:val="auto"/>
        </w:rPr>
      </w:pPr>
      <w:r>
        <w:rPr>
          <w:rFonts w:ascii="Arial" w:cs="Arial" w:eastAsia="Arial" w:hAnsi="Arial"/>
          <w:sz w:val="19"/>
          <w:szCs w:val="19"/>
          <w:color w:val="auto"/>
        </w:rPr>
        <w:t>The portion of any time-based restricted stock units that you currently hold which would have vested if you had remained continuously employed through July 1, 2018, plus the final tranche of the time-based restricted stock units granted on March 10, 2016 which otherwise would have vested on March 25, 2019, will become fully vested as of your Termination Date (and any remaining time-based restricted stock units will be cancelled as of your Termination Date). The portion of any performance-based restricted stock units that you currently hold which would have vested if you had remained continuously employed through March 26, 2018 will remain outstanding and eligible to vest as if you remained employed continuously employed through March 26, 2018 based on the extent to which the underlying performance criteria are satisfied for awards with a performance period ending on January 31, 2018 (and any remaining performance-based restricted stock units will be cancelled as of your Termination Date).</w:t>
      </w:r>
    </w:p>
    <w:p>
      <w:pPr>
        <w:spacing w:after="0" w:line="181"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You will have three (3) months after your Termination Date to exercise any stock options that were vested as of that date.</w:t>
      </w:r>
    </w:p>
    <w:p>
      <w:pPr>
        <w:spacing w:after="0" w:line="215" w:lineRule="exact"/>
        <w:rPr>
          <w:rFonts w:ascii="Arial" w:cs="Arial" w:eastAsia="Arial" w:hAnsi="Arial"/>
          <w:sz w:val="20"/>
          <w:szCs w:val="20"/>
          <w:color w:val="auto"/>
        </w:rPr>
      </w:pPr>
    </w:p>
    <w:p>
      <w:pPr>
        <w:ind w:left="340" w:right="20"/>
        <w:spacing w:after="0" w:line="260" w:lineRule="auto"/>
        <w:rPr>
          <w:rFonts w:ascii="Arial" w:cs="Arial" w:eastAsia="Arial" w:hAnsi="Arial"/>
          <w:sz w:val="20"/>
          <w:szCs w:val="20"/>
          <w:color w:val="auto"/>
        </w:rPr>
      </w:pPr>
      <w:r>
        <w:rPr>
          <w:rFonts w:ascii="Arial" w:cs="Arial" w:eastAsia="Arial" w:hAnsi="Arial"/>
          <w:sz w:val="20"/>
          <w:szCs w:val="20"/>
          <w:color w:val="auto"/>
        </w:rPr>
        <w:t>If you have contributed to the Autodesk Employee Stock Purchase Plan (“ESPP”), but these contributions were not used to purchase stock as of your Termination Date, your contributions for the current ESPP period will be returned to you.</w:t>
      </w:r>
    </w:p>
    <w:p>
      <w:pPr>
        <w:spacing w:after="0" w:line="170" w:lineRule="exact"/>
        <w:rPr>
          <w:rFonts w:ascii="Arial" w:cs="Arial" w:eastAsia="Arial" w:hAnsi="Arial"/>
          <w:sz w:val="20"/>
          <w:szCs w:val="20"/>
          <w:color w:val="auto"/>
        </w:rPr>
      </w:pPr>
    </w:p>
    <w:p>
      <w:pPr>
        <w:ind w:left="340" w:right="20" w:hanging="332"/>
        <w:spacing w:after="0" w:line="267"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You will receive a severance payment in the amount of $453,000, minus all legally applicable deductions and 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which amount represents 1.0 times your annual base salary, payable in a single lump-sum.</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jc w:val="both"/>
        <w:ind w:left="340" w:hanging="332"/>
        <w:spacing w:after="0" w:line="253"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COBRA Payment</w:t>
      </w:r>
      <w:r>
        <w:rPr>
          <w:rFonts w:ascii="Arial" w:cs="Arial" w:eastAsia="Arial" w:hAnsi="Arial"/>
          <w:sz w:val="20"/>
          <w:szCs w:val="20"/>
          <w:color w:val="auto"/>
        </w:rPr>
        <w:t>. The Company will pay you a lump-sum payment in an amount equal to five months of what your estimated COBRA</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would be, grossed up for taxes. If you timely elect COBRA, you will be entitled to your rights under COBRA at your own expense for your COBRA eligibility period.</w:t>
      </w:r>
    </w:p>
    <w:p>
      <w:pPr>
        <w:spacing w:after="0" w:line="191" w:lineRule="exact"/>
        <w:rPr>
          <w:rFonts w:ascii="Arial" w:cs="Arial" w:eastAsia="Arial" w:hAnsi="Arial"/>
          <w:sz w:val="20"/>
          <w:szCs w:val="20"/>
          <w:color w:val="auto"/>
        </w:rPr>
      </w:pPr>
    </w:p>
    <w:p>
      <w:pPr>
        <w:jc w:val="both"/>
        <w:ind w:left="340" w:hanging="332"/>
        <w:spacing w:after="0" w:line="258" w:lineRule="auto"/>
        <w:tabs>
          <w:tab w:leader="none" w:pos="340"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Release of Claims</w:t>
      </w:r>
      <w:r>
        <w:rPr>
          <w:rFonts w:ascii="Arial" w:cs="Arial" w:eastAsia="Arial" w:hAnsi="Arial"/>
          <w:sz w:val="19"/>
          <w:szCs w:val="19"/>
          <w:color w:val="auto"/>
        </w:rPr>
        <w:t>. You agree that this Agreement represents settlement in full of all outstanding obligations owed to you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as a result of your employment with and termination of your employment with the Company. You, on behalf of yourself and your descendants, heirs and successors (“Releasors”), hereby fully release and discharge the Company, its subsidiaries, divisions and affiliated entities and their respective directors, officers, agents, servants, stockholders, employees, representatives, successors and assigns (“Releasees”), from any and all claims, duties, obligations, actions, or causes of action whatsoever, whether presently known or unknown, asserted or unasserted, which are based on, arise from or relate in any way to your employment with the Company or the termination thereof including, but not limited to, claims for (i) wrongful termination, interference with contract, breach of contract, fraud, misrepresentation and infliction of emotional distress under statutory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217" w:right="239" w:bottom="1440" w:gutter="0" w:footer="0" w:header="0"/>
        </w:sectPr>
      </w:pPr>
    </w:p>
    <w:bookmarkStart w:id="71" w:name="page72"/>
    <w:bookmarkEnd w:id="71"/>
    <w:p>
      <w:pPr>
        <w:jc w:val="both"/>
        <w:ind w:left="340"/>
        <w:spacing w:after="0" w:line="29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or common law, (ii) discrimination, harassment or retaliation under state or federal law including the federal Civil Rights Act of 1964, the Age Discrimination in Employment Act, the Older Workers Benefit Protection Act and the Americans With Disabilities Act (where applicable), (iii) claims for wages or penalties under state or federal law and (iv) attorneys’ fees and costs (together “Claims”).</w:t>
      </w:r>
    </w:p>
    <w:p>
      <w:pPr>
        <w:spacing w:after="0" w:line="163" w:lineRule="exact"/>
        <w:rPr>
          <w:sz w:val="20"/>
          <w:szCs w:val="20"/>
          <w:color w:val="auto"/>
        </w:rPr>
      </w:pPr>
    </w:p>
    <w:p>
      <w:pPr>
        <w:jc w:val="both"/>
        <w:ind w:left="340" w:hanging="332"/>
        <w:spacing w:after="0" w:line="27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Claims Not Released</w:t>
      </w:r>
      <w:r>
        <w:rPr>
          <w:rFonts w:ascii="Arial" w:cs="Arial" w:eastAsia="Arial" w:hAnsi="Arial"/>
          <w:sz w:val="18"/>
          <w:szCs w:val="18"/>
          <w:color w:val="auto"/>
        </w:rPr>
        <w:t>. This release of claims does not apply to any rights or claims that you cannot release as a matter of law, nor does it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any Claims that first arise after the date on which you sign this Agreement. In addition, this Agreement does not prohibit you from</w:t>
      </w:r>
    </w:p>
    <w:p>
      <w:pPr>
        <w:spacing w:after="0" w:line="1" w:lineRule="exact"/>
        <w:rPr>
          <w:rFonts w:ascii="Arial" w:cs="Arial" w:eastAsia="Arial" w:hAnsi="Arial"/>
          <w:sz w:val="18"/>
          <w:szCs w:val="18"/>
          <w:color w:val="auto"/>
        </w:rPr>
      </w:pPr>
    </w:p>
    <w:p>
      <w:pPr>
        <w:jc w:val="both"/>
        <w:ind w:left="340" w:hanging="8"/>
        <w:spacing w:after="0" w:line="241" w:lineRule="auto"/>
        <w:tabs>
          <w:tab w:leader="none" w:pos="588" w:val="left"/>
        </w:tabs>
        <w:numPr>
          <w:ilvl w:val="1"/>
          <w:numId w:val="40"/>
        </w:numPr>
        <w:rPr>
          <w:rFonts w:ascii="Arial" w:cs="Arial" w:eastAsia="Arial" w:hAnsi="Arial"/>
          <w:sz w:val="20"/>
          <w:szCs w:val="20"/>
          <w:color w:val="auto"/>
        </w:rPr>
      </w:pPr>
      <w:r>
        <w:rPr>
          <w:rFonts w:ascii="Arial" w:cs="Arial" w:eastAsia="Arial" w:hAnsi="Arial"/>
          <w:sz w:val="20"/>
          <w:szCs w:val="20"/>
          <w:color w:val="auto"/>
        </w:rPr>
        <w:t>filing a charge or complaint with the Equal Employment Opportunity Commission (“EEOC”), (ii) participating in any investigation or other process conducted by the EEOC, or (iii) filing an action challenging the validity of this release. You understand and acknowledge that by reason of your execution of this release of Claims you are receiving from the Company pay and benefits that are in addition to anything of value to which you were already entitled.</w:t>
      </w:r>
    </w:p>
    <w:p>
      <w:pPr>
        <w:spacing w:after="0" w:line="202" w:lineRule="exact"/>
        <w:rPr>
          <w:rFonts w:ascii="Arial" w:cs="Arial" w:eastAsia="Arial" w:hAnsi="Arial"/>
          <w:sz w:val="20"/>
          <w:szCs w:val="20"/>
          <w:color w:val="auto"/>
        </w:rPr>
      </w:pPr>
    </w:p>
    <w:p>
      <w:pPr>
        <w:jc w:val="both"/>
        <w:ind w:left="340" w:hanging="332"/>
        <w:spacing w:after="0" w:line="245"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Unknown Claims Released</w:t>
      </w:r>
      <w:r>
        <w:rPr>
          <w:rFonts w:ascii="Arial" w:cs="Arial" w:eastAsia="Arial" w:hAnsi="Arial"/>
          <w:sz w:val="20"/>
          <w:szCs w:val="20"/>
          <w:color w:val="auto"/>
        </w:rPr>
        <w:t>. California Civil Code section 1542 provides: A GENERAL RELEASE DOES NOT EXTEND TO CLAIMS</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CREDITOR DOES NOT KNOW OR SUSPECT TO EXIST IN HIS OR HER FAVOR AT THE TIME OF EXECUTING THE RELEASE WHICH IF KNOWN BY HIM OR HER MUST HAVE MATERIALLY AFFECTED HIS OR HER SETTLEMENT WITH THE DEBTOR. You have read and understand this provision. Pursuant to this provision and, if you are not employed in California, any similar state law provision in the state in which you are employed, you are aware that you are waiving unknown claims that arise before or on the date you sign this Agreement and agree to do so.</w:t>
      </w:r>
    </w:p>
    <w:p>
      <w:pPr>
        <w:spacing w:after="0" w:line="198" w:lineRule="exact"/>
        <w:rPr>
          <w:rFonts w:ascii="Arial" w:cs="Arial" w:eastAsia="Arial" w:hAnsi="Arial"/>
          <w:sz w:val="20"/>
          <w:szCs w:val="20"/>
          <w:color w:val="auto"/>
        </w:rPr>
      </w:pPr>
    </w:p>
    <w:p>
      <w:pPr>
        <w:jc w:val="both"/>
        <w:ind w:left="340" w:hanging="332"/>
        <w:spacing w:after="0" w:line="285"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Covenant Not to Sue</w:t>
      </w:r>
      <w:r>
        <w:rPr>
          <w:rFonts w:ascii="Arial" w:cs="Arial" w:eastAsia="Arial" w:hAnsi="Arial"/>
          <w:sz w:val="18"/>
          <w:szCs w:val="18"/>
          <w:color w:val="auto"/>
        </w:rPr>
        <w:t>. You represent and agree that you have not already, and will not at any time in the future, file any lawsuit,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proceeding, or other legal action against the Company or any of the Releasees that is based upon, in whole or in part, any of the Claims released in this Agreement. In the event that you file any such legal action, the Company and any Releasees against which you bring that legal action will be entitled to recover from you it’s/their attorneys’ fees and costs incurred in defending that action.</w:t>
      </w:r>
    </w:p>
    <w:p>
      <w:pPr>
        <w:spacing w:after="0" w:line="164"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Future Relationship</w:t>
      </w:r>
      <w:r>
        <w:rPr>
          <w:rFonts w:ascii="Arial" w:cs="Arial" w:eastAsia="Arial" w:hAnsi="Arial"/>
          <w:sz w:val="18"/>
          <w:szCs w:val="18"/>
          <w:color w:val="auto"/>
        </w:rPr>
        <w:t>. The Company will provide job references for you in accordance with its reference policy, which allows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verify your job title and dates of employment only. The Company will not object to any claim for unemployment benefits filed by you, but will respond truthfully to any such claims or related inquiries, including inquiries about post-termination compensation.</w:t>
      </w:r>
    </w:p>
    <w:p>
      <w:pPr>
        <w:spacing w:after="0" w:line="157" w:lineRule="exact"/>
        <w:rPr>
          <w:rFonts w:ascii="Arial" w:cs="Arial" w:eastAsia="Arial" w:hAnsi="Arial"/>
          <w:sz w:val="18"/>
          <w:szCs w:val="18"/>
          <w:color w:val="auto"/>
        </w:rPr>
      </w:pPr>
    </w:p>
    <w:p>
      <w:pPr>
        <w:jc w:val="both"/>
        <w:ind w:left="340" w:hanging="332"/>
        <w:spacing w:after="0" w:line="3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Non-Disparagement</w:t>
      </w:r>
      <w:r>
        <w:rPr>
          <w:rFonts w:ascii="Arial" w:cs="Arial" w:eastAsia="Arial" w:hAnsi="Arial"/>
          <w:sz w:val="16"/>
          <w:szCs w:val="16"/>
          <w:color w:val="auto"/>
        </w:rPr>
        <w:t>. You agree not to disparage the Company or its officers, directors, employees, shareholders and agents, in any manner</w:t>
      </w:r>
      <w:r>
        <w:rPr>
          <w:rFonts w:ascii="Arial" w:cs="Arial" w:eastAsia="Arial" w:hAnsi="Arial"/>
          <w:sz w:val="16"/>
          <w:szCs w:val="16"/>
          <w:b w:val="1"/>
          <w:bCs w:val="1"/>
          <w:color w:val="auto"/>
        </w:rPr>
        <w:t xml:space="preserve"> </w:t>
      </w:r>
      <w:r>
        <w:rPr>
          <w:rFonts w:ascii="Arial" w:cs="Arial" w:eastAsia="Arial" w:hAnsi="Arial"/>
          <w:sz w:val="16"/>
          <w:szCs w:val="16"/>
          <w:color w:val="auto"/>
        </w:rPr>
        <w:t>likely to be harmful to them or their business, business reputation or personal reputation. However, you may respond accurately and fully to any question, inquiry, or request for information when required to do so by legal process (see also Permitted Disclosures below).</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217" w:right="239" w:bottom="1440" w:gutter="0" w:footer="0" w:header="0"/>
        </w:sectPr>
      </w:pPr>
    </w:p>
    <w:bookmarkStart w:id="72" w:name="page73"/>
    <w:bookmarkEnd w:id="72"/>
    <w:p>
      <w:pPr>
        <w:ind w:left="340" w:right="20" w:hanging="332"/>
        <w:spacing w:after="0" w:line="267" w:lineRule="auto"/>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 xml:space="preserve">Non-Solicitation. </w:t>
      </w:r>
      <w:r>
        <w:rPr>
          <w:rFonts w:ascii="Arial" w:cs="Arial" w:eastAsia="Arial" w:hAnsi="Arial"/>
          <w:sz w:val="20"/>
          <w:szCs w:val="20"/>
          <w:color w:val="auto"/>
        </w:rPr>
        <w:t>During your employment with the Company and for the twelve month period following your Termination Date, you</w:t>
      </w:r>
      <w:r>
        <w:rPr>
          <w:rFonts w:ascii="Arial" w:cs="Arial" w:eastAsia="Arial" w:hAnsi="Arial"/>
          <w:sz w:val="20"/>
          <w:szCs w:val="20"/>
          <w:b w:val="1"/>
          <w:bCs w:val="1"/>
          <w:color w:val="auto"/>
        </w:rPr>
        <w:t xml:space="preserve"> </w:t>
      </w:r>
      <w:r>
        <w:rPr>
          <w:rFonts w:ascii="Arial" w:cs="Arial" w:eastAsia="Arial" w:hAnsi="Arial"/>
          <w:sz w:val="20"/>
          <w:szCs w:val="20"/>
          <w:color w:val="auto"/>
        </w:rPr>
        <w:t>agree that you will not do the following:</w:t>
      </w:r>
    </w:p>
    <w:p>
      <w:pPr>
        <w:spacing w:after="0" w:line="183" w:lineRule="exact"/>
        <w:rPr>
          <w:rFonts w:ascii="Arial" w:cs="Arial" w:eastAsia="Arial" w:hAnsi="Arial"/>
          <w:sz w:val="20"/>
          <w:szCs w:val="20"/>
          <w:color w:val="auto"/>
        </w:rPr>
      </w:pPr>
    </w:p>
    <w:p>
      <w:pPr>
        <w:ind w:left="980" w:right="560" w:hanging="324"/>
        <w:spacing w:after="0" w:line="260" w:lineRule="auto"/>
        <w:tabs>
          <w:tab w:leader="none" w:pos="980" w:val="left"/>
        </w:tabs>
        <w:numPr>
          <w:ilvl w:val="1"/>
          <w:numId w:val="41"/>
        </w:numPr>
        <w:rPr>
          <w:rFonts w:ascii="Arial" w:cs="Arial" w:eastAsia="Arial" w:hAnsi="Arial"/>
          <w:sz w:val="20"/>
          <w:szCs w:val="20"/>
          <w:b w:val="1"/>
          <w:bCs w:val="1"/>
          <w:i w:val="1"/>
          <w:iCs w:val="1"/>
          <w:color w:val="auto"/>
        </w:rPr>
      </w:pPr>
      <w:r>
        <w:rPr>
          <w:rFonts w:ascii="Arial" w:cs="Arial" w:eastAsia="Arial" w:hAnsi="Arial"/>
          <w:sz w:val="20"/>
          <w:szCs w:val="20"/>
          <w:color w:val="auto"/>
        </w:rPr>
        <w:t>Solicit or encourage any employee of Autodesk, Inc. or any of its subsidiaries (collectively, “Autodesk” and individually “an Autodesk company”) to terminate his or her employment within Autodesk, or</w:t>
      </w:r>
    </w:p>
    <w:p>
      <w:pPr>
        <w:spacing w:after="0" w:line="190" w:lineRule="exact"/>
        <w:rPr>
          <w:rFonts w:ascii="Arial" w:cs="Arial" w:eastAsia="Arial" w:hAnsi="Arial"/>
          <w:sz w:val="20"/>
          <w:szCs w:val="20"/>
          <w:b w:val="1"/>
          <w:bCs w:val="1"/>
          <w:i w:val="1"/>
          <w:iCs w:val="1"/>
          <w:color w:val="auto"/>
        </w:rPr>
      </w:pPr>
    </w:p>
    <w:p>
      <w:pPr>
        <w:ind w:left="980" w:hanging="324"/>
        <w:spacing w:after="0"/>
        <w:tabs>
          <w:tab w:leader="none" w:pos="980" w:val="left"/>
        </w:tabs>
        <w:numPr>
          <w:ilvl w:val="1"/>
          <w:numId w:val="41"/>
        </w:numPr>
        <w:rPr>
          <w:rFonts w:ascii="Arial" w:cs="Arial" w:eastAsia="Arial" w:hAnsi="Arial"/>
          <w:sz w:val="20"/>
          <w:szCs w:val="20"/>
          <w:b w:val="1"/>
          <w:bCs w:val="1"/>
          <w:i w:val="1"/>
          <w:iCs w:val="1"/>
          <w:color w:val="auto"/>
        </w:rPr>
      </w:pPr>
      <w:r>
        <w:rPr>
          <w:rFonts w:ascii="Arial" w:cs="Arial" w:eastAsia="Arial" w:hAnsi="Arial"/>
          <w:sz w:val="20"/>
          <w:szCs w:val="20"/>
          <w:color w:val="auto"/>
        </w:rPr>
        <w:t>Solicit or encourage any Customer to purchase goods or services from a Competitor.</w:t>
      </w:r>
    </w:p>
    <w:p>
      <w:pPr>
        <w:spacing w:after="0" w:line="229" w:lineRule="exact"/>
        <w:rPr>
          <w:sz w:val="20"/>
          <w:szCs w:val="20"/>
          <w:color w:val="auto"/>
        </w:rPr>
      </w:pPr>
    </w:p>
    <w:p>
      <w:pPr>
        <w:ind w:left="340"/>
        <w:spacing w:after="0" w:line="243" w:lineRule="auto"/>
        <w:rPr>
          <w:sz w:val="20"/>
          <w:szCs w:val="20"/>
          <w:color w:val="auto"/>
        </w:rPr>
      </w:pPr>
      <w:r>
        <w:rPr>
          <w:rFonts w:ascii="Arial" w:cs="Arial" w:eastAsia="Arial" w:hAnsi="Arial"/>
          <w:sz w:val="20"/>
          <w:szCs w:val="20"/>
          <w:color w:val="auto"/>
        </w:rPr>
        <w:t>For purposes of this provision, “Solicit” means to lure or approach with a request or invitation. A “Customer” is an individual, company, or entity that has purchased or purchases products or services from an Autodesk company and about which you obtained confidential or proprietary information during your employment with the Company, or for which you were responsible for or assigned to during the last one (1) year of your employment with the Company. "Solicit" does not include sending a professional announcement stating that you have started employment with another employer, provided that no confidential information or proprietary information of Autodesk is used in the distribution of such announcement.</w:t>
      </w:r>
    </w:p>
    <w:p>
      <w:pPr>
        <w:spacing w:after="0" w:line="210" w:lineRule="exact"/>
        <w:rPr>
          <w:sz w:val="20"/>
          <w:szCs w:val="20"/>
          <w:color w:val="auto"/>
        </w:rPr>
      </w:pPr>
    </w:p>
    <w:p>
      <w:pPr>
        <w:ind w:left="340" w:right="180"/>
        <w:spacing w:after="0" w:line="244" w:lineRule="auto"/>
        <w:rPr>
          <w:sz w:val="20"/>
          <w:szCs w:val="20"/>
          <w:color w:val="auto"/>
        </w:rPr>
      </w:pPr>
      <w:r>
        <w:rPr>
          <w:rFonts w:ascii="Arial" w:cs="Arial" w:eastAsia="Arial" w:hAnsi="Arial"/>
          <w:sz w:val="20"/>
          <w:szCs w:val="20"/>
          <w:color w:val="auto"/>
        </w:rPr>
        <w:t>A ”Competitor” includes any business that develops, markets, sells or licenses products and services similar to, or which otherwise compete with, an Autodesk company’s products and services. By way of example only, some of the Competitors include, but are not limited to, Dassault Systemes, Inc. and its subsidiaries DS Solidworks Corp., DS Enovia Corp. and Parametric Technology Corporation. This list is meant to be illustrative only and the parties expressly agree that application of the non-solicitation covenant will not be limited to enforcement against only these companies.</w:t>
      </w:r>
    </w:p>
    <w:p>
      <w:pPr>
        <w:spacing w:after="0" w:line="202" w:lineRule="exact"/>
        <w:rPr>
          <w:sz w:val="20"/>
          <w:szCs w:val="20"/>
          <w:color w:val="auto"/>
        </w:rPr>
      </w:pPr>
    </w:p>
    <w:p>
      <w:pPr>
        <w:jc w:val="both"/>
        <w:ind w:left="340" w:hanging="332"/>
        <w:spacing w:after="0" w:line="256" w:lineRule="auto"/>
        <w:tabs>
          <w:tab w:leader="none" w:pos="3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Permitted Disclosures</w:t>
      </w:r>
      <w:r>
        <w:rPr>
          <w:rFonts w:ascii="Arial" w:cs="Arial" w:eastAsia="Arial" w:hAnsi="Arial"/>
          <w:sz w:val="19"/>
          <w:szCs w:val="19"/>
          <w:color w:val="auto"/>
        </w:rPr>
        <w:t>. Notwithstanding anything to the contrary in this Agreement, pursuant to 18 U.S.C. § 1833(b), you understand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be held criminally or civilly liable under any Federal or State trade secret law for the disclosure of a trade secret of the Company that (i) is made (A) in confidence to a Federal, State, or local government official, either directly or indirectly, or to your attorney and (B) solely for the purpose of reporting or investigating a suspected violation of law; or (ii) is made in a complaint or other document that is filed under seal in a lawsuit or other proceeding. You understand that if you file a lawsuit for retaliation by the Company for reporting a suspected violation of law, you may disclose the trade secret to your attorney and use the trade secret information in the court proceeding if you (x) file any document containing the trade secret under seal, and (y) do not disclose the trade secret, except pursuant to court order. Nothing in this Agreement, or any other agreement that you have with the Company, is intended to conflict with 18 U.S.C. § 1833(b) or create liability for disclosures of trade secrets that are expressly allowed by such section. Further, nothing in this Agreement or any other agreement that you have with the Company shall prohibit or restrict you from making any voluntary disclosure of information or documents concerning possible violations of law to, or seek 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197" w:right="239" w:bottom="1440" w:gutter="0" w:footer="0" w:header="0"/>
        </w:sectPr>
      </w:pPr>
    </w:p>
    <w:bookmarkStart w:id="73" w:name="page74"/>
    <w:bookmarkEnd w:id="73"/>
    <w:p>
      <w:pPr>
        <w:ind w:left="340" w:right="20"/>
        <w:spacing w:after="0" w:line="28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whistleblower award from, any governmental agency or legislative body, or any self-regulatory organization, in each case, without advance notice to the Company.</w:t>
      </w:r>
    </w:p>
    <w:p>
      <w:pPr>
        <w:spacing w:after="0" w:line="16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35" w:lineRule="exact"/>
        <w:rPr>
          <w:sz w:val="20"/>
          <w:szCs w:val="20"/>
          <w:color w:val="auto"/>
        </w:rPr>
      </w:pPr>
    </w:p>
    <w:p>
      <w:pPr>
        <w:jc w:val="both"/>
        <w:ind w:left="660" w:hanging="652"/>
        <w:spacing w:after="0" w:line="260" w:lineRule="auto"/>
        <w:tabs>
          <w:tab w:leader="none" w:pos="660"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You have forty-five (45) calendar days to consider this Agreement and the attached Older Workers Benefit Protection Act Notice and to sign this Agreement. You have seven calendar days from the date you sign the Agreement to revoke it. If you choose to revoke it, you must do so in writing and send the revocation to Autodesk, General Counsel, 111 McInnis Parkway, San Rafael, CA 94903. This must be received within the seven calendar day revocation period. If you do not properly revoke the Agreement, it will be effective eight calendar days after you sign it (the “Effective Date of the Agreement”).</w:t>
      </w:r>
    </w:p>
    <w:p>
      <w:pPr>
        <w:spacing w:after="0" w:line="208" w:lineRule="exact"/>
        <w:rPr>
          <w:sz w:val="20"/>
          <w:szCs w:val="20"/>
          <w:color w:val="auto"/>
        </w:rPr>
      </w:pPr>
    </w:p>
    <w:p>
      <w:pPr>
        <w:jc w:val="both"/>
        <w:ind w:left="660" w:hanging="328"/>
        <w:spacing w:after="0" w:line="265" w:lineRule="auto"/>
        <w:tabs>
          <w:tab w:leader="none" w:pos="660" w:val="left"/>
        </w:tabs>
        <w:numPr>
          <w:ilvl w:val="1"/>
          <w:numId w:val="45"/>
        </w:numPr>
        <w:rPr>
          <w:rFonts w:ascii="Arial" w:cs="Arial" w:eastAsia="Arial" w:hAnsi="Arial"/>
          <w:sz w:val="22"/>
          <w:szCs w:val="22"/>
          <w:b w:val="1"/>
          <w:bCs w:val="1"/>
          <w:color w:val="auto"/>
        </w:rPr>
      </w:pPr>
      <w:r>
        <w:rPr>
          <w:rFonts w:ascii="Arial" w:cs="Arial" w:eastAsia="Arial" w:hAnsi="Arial"/>
          <w:sz w:val="20"/>
          <w:szCs w:val="20"/>
          <w:color w:val="auto"/>
        </w:rPr>
        <w:t>If the above requirements are not met, this Agreement will not be effective. If you choose to sign this Agreement prior to the expiration of the applicable time period above, it is with the understanding that you voluntarily choose to do so. If you accept another job at the Company to start prior to your Termination Date, this Agreement will be null and void.</w:t>
      </w:r>
    </w:p>
    <w:p>
      <w:pPr>
        <w:spacing w:after="0" w:line="192" w:lineRule="exact"/>
        <w:rPr>
          <w:rFonts w:ascii="Arial" w:cs="Arial" w:eastAsia="Arial" w:hAnsi="Arial"/>
          <w:sz w:val="22"/>
          <w:szCs w:val="22"/>
          <w:b w:val="1"/>
          <w:bCs w:val="1"/>
          <w:color w:val="auto"/>
        </w:rPr>
      </w:pPr>
    </w:p>
    <w:p>
      <w:pPr>
        <w:jc w:val="both"/>
        <w:ind w:left="340" w:hanging="332"/>
        <w:spacing w:after="0" w:line="27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This Agreement constitutes the entire understanding and agreement between you and the Company with regards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your employment with the Company and the termination of your employment. It supersedes and replaces any and all prior representations, promises or agreements (written, verbal or otherwise) between you and the Company regarding the terms described in this Agreement, except for any agreements you signed about your continuing obligations to the Company after you terminate, such as your Employee Nondisclosure and Inventions Agreement, all of which survive the termination of your employment in accordance with the terms of each of those respective agreements. This Agreement may only be amended in a writing signed by you and a duly authorized officer of the Company. This Agreement shall be governed by the laws of the state in which you are employed by Autodesk. Copies of this letter and attachments, including those transmitted electronically, are effective as originals.</w:t>
      </w:r>
    </w:p>
    <w:p>
      <w:pPr>
        <w:spacing w:after="0" w:line="175" w:lineRule="exact"/>
        <w:rPr>
          <w:rFonts w:ascii="Arial" w:cs="Arial" w:eastAsia="Arial" w:hAnsi="Arial"/>
          <w:sz w:val="18"/>
          <w:szCs w:val="18"/>
          <w:color w:val="auto"/>
        </w:rPr>
      </w:pPr>
    </w:p>
    <w:p>
      <w:pPr>
        <w:jc w:val="both"/>
        <w:ind w:left="340" w:hanging="332"/>
        <w:spacing w:after="0" w:line="246"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Payments. </w:t>
      </w:r>
      <w:r>
        <w:rPr>
          <w:rFonts w:ascii="Arial" w:cs="Arial" w:eastAsia="Arial" w:hAnsi="Arial"/>
          <w:sz w:val="20"/>
          <w:szCs w:val="20"/>
          <w:color w:val="auto"/>
        </w:rPr>
        <w:t>All lump-sum payments described in Sections 6 and 7 of this Agreement will be paid to you within fifteen (15) business days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Effective Date of the Agreement or your Termination Date, whichever is later. The severance payments described in Section 6 of this Agreement will be paid to you on the first regularly scheduled payroll date that occurs after the Effective Date of the Agreement or your Termination Date, whichever is later (and such installment will include all payments that would otherwise have been paid prior to such date).</w:t>
      </w:r>
    </w:p>
    <w:p>
      <w:pPr>
        <w:spacing w:after="0" w:line="198" w:lineRule="exact"/>
        <w:rPr>
          <w:rFonts w:ascii="Arial" w:cs="Arial" w:eastAsia="Arial" w:hAnsi="Arial"/>
          <w:sz w:val="20"/>
          <w:szCs w:val="20"/>
          <w:color w:val="auto"/>
        </w:rPr>
      </w:pPr>
    </w:p>
    <w:p>
      <w:pPr>
        <w:ind w:left="340" w:hanging="332"/>
        <w:spacing w:after="0" w:line="293" w:lineRule="auto"/>
        <w:tabs>
          <w:tab w:leader="none" w:pos="340"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In the event that one or more provisions of this Agreement are determined to be invalid or unenforceable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remainder of the Agreement shall remain in full force and effect. Copies of this Agreement are as valid as the original.</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217" w:right="239" w:bottom="1440" w:gutter="0" w:footer="0" w:header="0"/>
        </w:sectPr>
      </w:pPr>
    </w:p>
    <w:bookmarkStart w:id="74" w:name="page75"/>
    <w:bookmarkEnd w:id="74"/>
    <w:p>
      <w:pPr>
        <w:ind w:left="340" w:hanging="332"/>
        <w:spacing w:after="0" w:line="32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Understanding</w:t>
      </w:r>
      <w:r>
        <w:rPr>
          <w:rFonts w:ascii="Arial" w:cs="Arial" w:eastAsia="Arial" w:hAnsi="Arial"/>
          <w:sz w:val="18"/>
          <w:szCs w:val="18"/>
          <w:color w:val="auto"/>
        </w:rPr>
        <w:t>. You are advised to seek legal counsel before signing this Agreement. By signing below, you are acknowledging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read and understand this Agreement and are knowingly, willingly and voluntarily agreeing to all the terms of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date this Agreement, in the spaces provided below and send the complete, signed copy to Pascal Di Fronzo by 10:00 a.m.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(Pacific Time) on October 5, 2017.</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197" w:right="23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53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31495"/>
                    </a:xfrm>
                    <a:prstGeom prst="rect">
                      <a:avLst/>
                    </a:prstGeom>
                    <a:noFill/>
                  </pic:spPr>
                </pic:pic>
              </a:graphicData>
            </a:graphic>
          </wp:anchor>
        </w:drawing>
        <w:t>Very truly yours,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AUTODESK, INC.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/s/_ Andrew Anagnost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Andrew Anagnost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rPr>
          <w:sz w:val="20"/>
          <w:szCs w:val="20"/>
          <w:color w:val="auto"/>
        </w:rPr>
      </w:pPr>
      <w:r>
        <w:rPr>
          <w:rFonts w:ascii="Arial" w:cs="Arial" w:eastAsia="Arial" w:hAnsi="Arial"/>
          <w:sz w:val="20"/>
          <w:szCs w:val="20"/>
          <w:color w:val="auto"/>
        </w:rPr>
        <w:t>Autodesk,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 signing below, I accept and agree to the terms of this Agreement.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6"/>
              </w:rPr>
              <w:t>/s/ Jan Becker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October 3, 2017</w:t>
            </w:r>
          </w:p>
        </w:tc>
      </w:tr>
      <w:tr>
        <w:trPr>
          <w:trHeight w:val="254"/>
        </w:trPr>
        <w:tc>
          <w:tcPr>
            <w:tcW w:w="1200" w:type="dxa"/>
            <w:vAlign w:val="bottom"/>
            <w:gridSpan w:val="2"/>
          </w:tcPr>
          <w:p>
            <w:pPr>
              <w:spacing w:after="0"/>
              <w:rPr>
                <w:sz w:val="20"/>
                <w:szCs w:val="20"/>
                <w:color w:val="auto"/>
              </w:rPr>
            </w:pPr>
            <w:r>
              <w:rPr>
                <w:rFonts w:ascii="Arial" w:cs="Arial" w:eastAsia="Arial" w:hAnsi="Arial"/>
                <w:sz w:val="20"/>
                <w:szCs w:val="20"/>
                <w:color w:val="auto"/>
              </w:rPr>
              <w:t>Jan Becker</w:t>
            </w:r>
          </w:p>
        </w:tc>
        <w:tc>
          <w:tcPr>
            <w:tcW w:w="1640" w:type="dxa"/>
            <w:vAlign w:val="bottom"/>
            <w:gridSpan w:val="2"/>
          </w:tcPr>
          <w:p>
            <w:pPr>
              <w:ind w:left="8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 Separation Agreement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 Becker</w:t>
      </w:r>
    </w:p>
    <w:p>
      <w:pPr>
        <w:sectPr>
          <w:pgSz w:w="11900" w:h="16838" w:orient="portrait"/>
          <w:cols w:equalWidth="0" w:num="1">
            <w:col w:w="11420"/>
          </w:cols>
          <w:pgMar w:left="240" w:top="1433"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2017</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5"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2017</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5"/>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7"/>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lowerRoman"/>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5"/>
    </w:lvl>
  </w:abstractNum>
  <w:abstractNum w:abstractNumId="39">
    <w:nsid w:val="2CD89A32"/>
    <w:multiLevelType w:val="hybridMultilevel"/>
    <w:lvl w:ilvl="0">
      <w:lvlJc w:val="left"/>
      <w:lvlText w:val="%1."/>
      <w:numFmt w:val="decimal"/>
      <w:start w:val="9"/>
    </w:lvl>
    <w:lvl w:ilvl="1">
      <w:lvlJc w:val="left"/>
      <w:lvlText w:val="(%2)"/>
      <w:numFmt w:val="lowerRoman"/>
      <w:start w:val="1"/>
    </w:lvl>
  </w:abstractNum>
  <w:abstractNum w:abstractNumId="40">
    <w:nsid w:val="57E4CCAF"/>
    <w:multiLevelType w:val="hybridMultilevel"/>
    <w:lvl w:ilvl="0">
      <w:lvlJc w:val="left"/>
      <w:lvlText w:val="%1."/>
      <w:numFmt w:val="decimal"/>
      <w:start w:val="14"/>
    </w:lvl>
    <w:lvl w:ilvl="1">
      <w:lvlJc w:val="left"/>
      <w:lvlText w:val="•"/>
      <w:numFmt w:val="bullet"/>
      <w:start w:val="1"/>
    </w:lvl>
  </w:abstractNum>
  <w:abstractNum w:abstractNumId="41">
    <w:nsid w:val="7A6D8D3C"/>
    <w:multiLevelType w:val="hybridMultilevel"/>
    <w:lvl w:ilvl="0">
      <w:lvlJc w:val="left"/>
      <w:lvlText w:val="%1."/>
      <w:numFmt w:val="decimal"/>
      <w:start w:val="15"/>
    </w:lvl>
  </w:abstractNum>
  <w:abstractNum w:abstractNumId="42">
    <w:nsid w:val="4B588F54"/>
    <w:multiLevelType w:val="hybridMultilevel"/>
    <w:lvl w:ilvl="0">
      <w:lvlJc w:val="left"/>
      <w:lvlText w:val="%1."/>
      <w:numFmt w:val="decimal"/>
      <w:start w:val="16"/>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2"/>
    </w:lvl>
  </w:abstractNum>
  <w:abstractNum w:abstractNumId="45">
    <w:nsid w:val="38437FDB"/>
    <w:multiLevelType w:val="hybridMultilevel"/>
    <w:lvl w:ilvl="0">
      <w:lvlJc w:val="left"/>
      <w:lvlText w:val="%1."/>
      <w:numFmt w:val="decimal"/>
      <w:start w:val="17"/>
    </w:lvl>
    <w:lvl w:ilvl="1">
      <w:lvlJc w:val="left"/>
      <w:lvlText w:val="%2"/>
      <w:numFmt w:val="lowerLetter"/>
      <w:start w:val="1"/>
    </w:lvl>
  </w:abstractNum>
  <w:abstractNum w:abstractNumId="46">
    <w:nsid w:val="7644A45C"/>
    <w:multiLevelType w:val="hybridMultilevel"/>
    <w:lvl w:ilvl="0">
      <w:lvlJc w:val="left"/>
      <w:lvlText w:val="%1."/>
      <w:numFmt w:val="decimal"/>
      <w:start w:val="20"/>
    </w:lvl>
  </w:abstractNum>
  <w:abstractNum w:abstractNumId="4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2019-12-29T02:56:25Z</dcterms:created>
  <dcterms:modified xsi:type="dcterms:W3CDTF">2019-12-29T02:56:25Z</dcterms:modified>
</cp:coreProperties>
</file>