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22, 2017</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Autodesk,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4"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100" w:type="dxa"/>
            <w:vAlign w:val="bottom"/>
          </w:tcPr>
          <w:p>
            <w:pPr>
              <w:spacing w:after="0"/>
              <w:rPr>
                <w:sz w:val="17"/>
                <w:szCs w:val="17"/>
                <w:color w:val="auto"/>
              </w:rPr>
            </w:pPr>
          </w:p>
        </w:tc>
        <w:tc>
          <w:tcPr>
            <w:tcW w:w="5100" w:type="dxa"/>
            <w:vAlign w:val="bottom"/>
            <w:gridSpan w:val="3"/>
          </w:tcPr>
          <w:p>
            <w:pPr>
              <w:jc w:val="right"/>
              <w:ind w:right="2440"/>
              <w:spacing w:after="0"/>
              <w:rPr>
                <w:sz w:val="20"/>
                <w:szCs w:val="20"/>
                <w:color w:val="auto"/>
              </w:rPr>
            </w:pPr>
            <w:r>
              <w:rPr>
                <w:rFonts w:ascii="Arial" w:cs="Arial" w:eastAsia="Arial" w:hAnsi="Arial"/>
                <w:sz w:val="18"/>
                <w:szCs w:val="18"/>
                <w:b w:val="1"/>
                <w:bCs w:val="1"/>
                <w:color w:val="auto"/>
              </w:rPr>
              <w:t>000-14338</w:t>
            </w:r>
          </w:p>
        </w:tc>
        <w:tc>
          <w:tcPr>
            <w:tcW w:w="16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94-2819853</w:t>
            </w:r>
          </w:p>
        </w:tc>
      </w:tr>
      <w:tr>
        <w:trPr>
          <w:trHeight w:val="20"/>
        </w:trPr>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6"/>
        </w:trPr>
        <w:tc>
          <w:tcPr>
            <w:tcW w:w="25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(State or other jurisdiction of</w:t>
            </w:r>
          </w:p>
        </w:tc>
        <w:tc>
          <w:tcPr>
            <w:tcW w:w="510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62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50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incorporation)</w:t>
            </w:r>
          </w:p>
        </w:tc>
        <w:tc>
          <w:tcPr>
            <w:tcW w:w="1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2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111 McInnis Parkway</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0"/>
        </w:trPr>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1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4"/>
              </w:rPr>
              <w:t>San Rafael, California 94903</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0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8"/>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(415) 507-5000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(Registrant’s telephone number, including area code)</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20" w:hanging="14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98" w:lineRule="exact"/>
        <w:rPr>
          <w:rFonts w:ascii="Arial" w:cs="Arial" w:eastAsia="Arial" w:hAnsi="Arial"/>
          <w:sz w:val="18"/>
          <w:szCs w:val="18"/>
          <w:color w:val="auto"/>
        </w:rPr>
      </w:pPr>
    </w:p>
    <w:p>
      <w:pPr>
        <w:ind w:left="420" w:hanging="14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98" w:lineRule="exact"/>
        <w:rPr>
          <w:rFonts w:ascii="Arial" w:cs="Arial" w:eastAsia="Arial" w:hAnsi="Arial"/>
          <w:sz w:val="18"/>
          <w:szCs w:val="18"/>
          <w:color w:val="auto"/>
        </w:rPr>
      </w:pPr>
    </w:p>
    <w:p>
      <w:pPr>
        <w:ind w:left="420" w:hanging="14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8" w:lineRule="exact"/>
        <w:rPr>
          <w:sz w:val="24"/>
          <w:szCs w:val="24"/>
          <w:color w:val="auto"/>
        </w:rPr>
      </w:pPr>
    </w:p>
    <w:p>
      <w:pPr>
        <w:ind w:left="280"/>
        <w:spacing w:after="0"/>
        <w:rPr>
          <w:sz w:val="20"/>
          <w:szCs w:val="20"/>
          <w:color w:val="auto"/>
        </w:rPr>
      </w:pPr>
      <w:r>
        <w:rPr>
          <w:rFonts w:ascii="Arial" w:cs="Arial" w:eastAsia="Arial" w:hAnsi="Arial"/>
          <w:sz w:val="18"/>
          <w:szCs w:val="18"/>
          <w:color w:val="auto"/>
        </w:rPr>
        <w:t>[ ] Pre-commencement communications pursuant to Rule 13e-4(c) under the Exchange Act (17 CFR 240.13e-4(c))</w:t>
      </w:r>
    </w:p>
    <w:p>
      <w:pPr>
        <w:spacing w:after="0" w:line="90" w:lineRule="exact"/>
        <w:rPr>
          <w:sz w:val="24"/>
          <w:szCs w:val="24"/>
          <w:color w:val="auto"/>
        </w:rPr>
      </w:pPr>
    </w:p>
    <w:p>
      <w:pPr>
        <w:ind w:right="20"/>
        <w:spacing w:after="0" w:line="3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4"/>
          <w:szCs w:val="24"/>
          <w:color w:val="auto"/>
        </w:rPr>
      </w:pPr>
    </w:p>
    <w:p>
      <w:pPr>
        <w:spacing w:after="0" w:line="214" w:lineRule="exact"/>
        <w:rPr>
          <w:sz w:val="24"/>
          <w:szCs w:val="24"/>
          <w:color w:val="auto"/>
        </w:rPr>
      </w:pPr>
    </w:p>
    <w:p>
      <w:pPr>
        <w:ind w:right="20"/>
        <w:spacing w:after="0" w:line="3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21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November 28, 2017, Autodesk, Inc. (“Autodesk” or the “Company”) issued a press release and prepared remarks reporting financial results for the third quarter ended October 31, 2017. The press release and prepared remarks are furnished herewith as Exhibit 99.1 and Exhibit 99.2, respectively, and are incorporated herein by reference.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exhibits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To supplement Autodesk’s consolidated financial statements presented on a GAAP basis, the press release and prepared remarks furnished herewith as Exhibit 99.1 and Exhibit 99.2, respectively, provide investors with certain non-GAAP measures, including but not limited to historical non-GAAP net earnings and historical and future non-GAAP net earnings per diluted share. For our internal budgeting and resource allocation process and as a means to evaluate period-to-period comparisons, Autodesk uses non-GAAP measures to supplement our consolidated financial statements presented on a GAAP basis. These non-GAAP measures do not include certain items that may have a material impact upon our reported financial results. Autodesk uses non-GAAP measures in making operating decisions because Autodesk believes those measures provide meaningful supplemental information regarding our earning potential and performance for management by excluding certain expenses and charges that may not be indicative of our core business operating results. For the reasons set forth below, Autodesk believes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Autodesk also uses some of these measures for purposes of determining company-wide incentive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Autodesk may exclude the following items from its non-GAAP measures: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Stock-based compensation expenses.</w:t>
      </w:r>
      <w:r>
        <w:rPr>
          <w:rFonts w:ascii="Arial" w:cs="Arial" w:eastAsia="Arial" w:hAnsi="Arial"/>
          <w:sz w:val="16"/>
          <w:szCs w:val="16"/>
          <w:color w:val="auto"/>
        </w:rPr>
        <w:t xml:space="preserve"> Autodesk excludes stock-based compensation expenses from its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Autodesk believes excluding stock-based compensation expenses allows investors to make meaningful comparisons between our recurring core business operating results and those of other companies.</w:t>
      </w:r>
    </w:p>
    <w:p>
      <w:pPr>
        <w:spacing w:after="0" w:line="15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Amortization of developed technologies and purchased intangibles.</w:t>
      </w:r>
      <w:r>
        <w:rPr>
          <w:rFonts w:ascii="Arial" w:cs="Arial" w:eastAsia="Arial" w:hAnsi="Arial"/>
          <w:sz w:val="17"/>
          <w:szCs w:val="17"/>
          <w:color w:val="auto"/>
        </w:rPr>
        <w:t xml:space="preserve"> Autodesk incurs amortization of acquisition-related developed technology and 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CEO transition costs.</w:t>
      </w:r>
      <w:r>
        <w:rPr>
          <w:rFonts w:ascii="Arial" w:cs="Arial" w:eastAsia="Arial" w:hAnsi="Arial"/>
          <w:sz w:val="18"/>
          <w:szCs w:val="18"/>
          <w:color w:val="auto"/>
        </w:rPr>
        <w:t xml:space="preserve"> Autodesk excludes amounts paid to the Company's former CEOs, upon departure under the terms of their transition agreements, 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 Goodwill impairment.</w:t>
      </w:r>
      <w:r>
        <w:rPr>
          <w:rFonts w:ascii="Arial" w:cs="Arial" w:eastAsia="Arial" w:hAnsi="Arial"/>
          <w:sz w:val="18"/>
          <w:szCs w:val="18"/>
          <w:color w:val="auto"/>
        </w:rPr>
        <w:t xml:space="preserve"> This is a non-cash charge to write-down goodwill to fair value when there was an indication that the asset was impaired. As explained above, management finds it useful to exclude certain non-cash charges to assess the appropriate level of various operating expenses to assist in budgeting, planning and forecasting future periods.</w:t>
      </w:r>
    </w:p>
    <w:p>
      <w:pPr>
        <w:sectPr>
          <w:pgSz w:w="11900" w:h="16838" w:orient="portrait"/>
          <w:cols w:equalWidth="0" w:num="1">
            <w:col w:w="11420"/>
          </w:cols>
          <w:pgMar w:left="240" w:top="580" w:right="239" w:bottom="1440" w:gutter="0" w:footer="0" w:header="0"/>
        </w:sectPr>
      </w:pPr>
    </w:p>
    <w:bookmarkStart w:id="2" w:name="page3"/>
    <w:bookmarkEnd w:id="2"/>
    <w:p>
      <w:pPr>
        <w:ind w:right="40" w:firstLine="648"/>
        <w:spacing w:after="0" w:line="25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Restructuring charges and other facility exit costs (benefits), net.</w:t>
      </w:r>
      <w:r>
        <w:rPr>
          <w:rFonts w:ascii="Arial" w:cs="Arial" w:eastAsia="Arial" w:hAnsi="Arial"/>
          <w:sz w:val="18"/>
          <w:szCs w:val="18"/>
          <w:color w:val="auto"/>
        </w:rPr>
        <w:t xml:space="preserve"> These expenses are associated with realigning our business strategies based on current economic conditions. In connection with these restructuring actions or other exit actions, Autodesk recognizes costs related to termination benefits for former employees whose positions were eliminated, the closure of facilities and cancellation of certain contracts. Autodesk excludes these charges because these expenses are not reflective of ongoing business and operating results. Autodesk believes it is useful for investors to understand the effects of these items on our total operating expenses.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Loss (gain) on strategic investments and dispositions.</w:t>
      </w:r>
      <w:r>
        <w:rPr>
          <w:rFonts w:ascii="Arial" w:cs="Arial" w:eastAsia="Arial" w:hAnsi="Arial"/>
          <w:sz w:val="18"/>
          <w:szCs w:val="18"/>
          <w:color w:val="auto"/>
        </w:rPr>
        <w:t xml:space="preserve"> Autodesk excludes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realized gains and losses on the sales or losses on the impairment of these investments and dispositions. Autodesk believes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xml:space="preserve"> This is a non-cash charge to record a valuation 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H</w:t>
      </w:r>
      <w:r>
        <w:rPr>
          <w:rFonts w:ascii="Arial" w:cs="Arial" w:eastAsia="Arial" w:hAnsi="Arial"/>
          <w:sz w:val="16"/>
          <w:szCs w:val="16"/>
          <w:i w:val="1"/>
          <w:iCs w:val="1"/>
          <w:color w:val="auto"/>
        </w:rPr>
        <w:t>. Discrete tax items</w:t>
      </w:r>
      <w:r>
        <w:rPr>
          <w:rFonts w:ascii="Arial" w:cs="Arial" w:eastAsia="Arial" w:hAnsi="Arial"/>
          <w:sz w:val="16"/>
          <w:szCs w:val="16"/>
          <w:color w:val="auto"/>
        </w:rPr>
        <w:t>. Autodesk excludes the GAAP tax provision, including discrete items, from the non-GAAP measure of income, and includes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Autodesk believes the exclusion of these discrete tax items provides investors with useful supplemental information about the Company's operational performance.</w:t>
      </w:r>
    </w:p>
    <w:p>
      <w:pPr>
        <w:spacing w:after="0" w:line="1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Income tax effects on the difference between GAAP and non-GAAP costs and expenses</w:t>
      </w:r>
      <w:r>
        <w:rPr>
          <w:rFonts w:ascii="Arial" w:cs="Arial" w:eastAsia="Arial" w:hAnsi="Arial"/>
          <w:sz w:val="17"/>
          <w:szCs w:val="17"/>
          <w:color w:val="auto"/>
        </w:rPr>
        <w:t>. The income tax effects that are excluded from the non-GAAP measures relate to the tax impact on the difference between GAAP and non-GAAP expenses, primarily due to stock-based compensation, amortization of purchased intangibles and restructuring charges and other facilities costs (benefits) for GAAP and non-GAAP measures.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Autodesk compensates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Autodesk urges investors to review the reconciliation of our non-GAAP financial measures to the comparable GAAP financial measures included below, and not to rely on any single financial measure to evaluate our business.</w:t>
      </w:r>
    </w:p>
    <w:p>
      <w:pPr>
        <w:spacing w:after="0" w:line="3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a review of its business, on November 22, 2017, the Board of Directors (the “Board”) of the Company approved a world-wide restructuring plan that includes a reduction in force that will result in the termination of approximately 13% of the Company’s workforce, or approximately 1,150 employees, and the consolidation of certain leased facilities. The Company expects to substantially complete the reduction in force and the facilities consolidation by the end of its fourth quarter of fiscal 2019 (which fiscal quarter ends January 31, 2019). The Company anticipates incurring pre-tax restructuring charges of $135 million to $149 million, substantially all of which would result in cash expenditures, of which $124 million to $137 million would be for one-time employee termination benefits and $11 million to $12 million would be for facilities-related and other costs. The Company expects to expense these pre-tax charges in the following periods:</w:t>
      </w:r>
    </w:p>
    <w:p>
      <w:pPr>
        <w:sectPr>
          <w:pgSz w:w="11900" w:h="16838" w:orient="portrait"/>
          <w:cols w:equalWidth="0" w:num="1">
            <w:col w:w="11420"/>
          </w:cols>
          <w:pgMar w:left="240" w:top="368" w:right="239" w:bottom="1440" w:gutter="0" w:footer="0" w:header="0"/>
        </w:sectPr>
      </w:pPr>
    </w:p>
    <w:bookmarkStart w:id="3" w:name="page4"/>
    <w:bookmarkEnd w:id="3"/>
    <w:tbl>
      <w:tblPr>
        <w:tblLayout w:type="fixed"/>
        <w:tblInd w:w="66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0" w:type="dxa"/>
            <w:vAlign w:val="bottom"/>
          </w:tcPr>
          <w:p>
            <w:pPr>
              <w:ind w:left="2820"/>
              <w:spacing w:after="0"/>
              <w:rPr>
                <w:sz w:val="20"/>
                <w:szCs w:val="20"/>
                <w:color w:val="auto"/>
              </w:rPr>
            </w:pPr>
            <w:r>
              <w:rPr>
                <w:rFonts w:ascii="Arial" w:cs="Arial" w:eastAsia="Arial" w:hAnsi="Arial"/>
                <w:sz w:val="16"/>
                <w:szCs w:val="16"/>
                <w:b w:val="1"/>
                <w:bCs w:val="1"/>
                <w:color w:val="auto"/>
              </w:rPr>
              <w:t>Approximate pre-tax</w:t>
            </w:r>
          </w:p>
        </w:tc>
      </w:tr>
      <w:tr>
        <w:trPr>
          <w:trHeight w:val="203"/>
        </w:trPr>
        <w:tc>
          <w:tcPr>
            <w:tcW w:w="2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0" w:type="dxa"/>
            <w:vAlign w:val="bottom"/>
          </w:tcPr>
          <w:p>
            <w:pPr>
              <w:ind w:left="2820"/>
              <w:spacing w:after="0"/>
              <w:rPr>
                <w:sz w:val="20"/>
                <w:szCs w:val="20"/>
                <w:color w:val="auto"/>
              </w:rPr>
            </w:pPr>
            <w:r>
              <w:rPr>
                <w:rFonts w:ascii="Arial" w:cs="Arial" w:eastAsia="Arial" w:hAnsi="Arial"/>
                <w:sz w:val="16"/>
                <w:szCs w:val="16"/>
                <w:b w:val="1"/>
                <w:bCs w:val="1"/>
                <w:color w:val="auto"/>
              </w:rPr>
              <w:t>restructuring charge (in</w:t>
            </w:r>
          </w:p>
        </w:tc>
      </w:tr>
      <w:tr>
        <w:trPr>
          <w:trHeight w:val="210"/>
        </w:trPr>
        <w:tc>
          <w:tcPr>
            <w:tcW w:w="53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Quarter</w:t>
            </w:r>
          </w:p>
        </w:tc>
        <w:tc>
          <w:tcPr>
            <w:tcW w:w="4800" w:type="dxa"/>
            <w:vAlign w:val="bottom"/>
          </w:tcPr>
          <w:p>
            <w:pPr>
              <w:ind w:left="2820"/>
              <w:spacing w:after="0"/>
              <w:rPr>
                <w:sz w:val="20"/>
                <w:szCs w:val="20"/>
                <w:color w:val="auto"/>
              </w:rPr>
            </w:pPr>
            <w:r>
              <w:rPr>
                <w:rFonts w:ascii="Arial" w:cs="Arial" w:eastAsia="Arial" w:hAnsi="Arial"/>
                <w:sz w:val="16"/>
                <w:szCs w:val="16"/>
                <w:b w:val="1"/>
                <w:bCs w:val="1"/>
                <w:color w:val="auto"/>
              </w:rPr>
              <w:t>millions)</w:t>
            </w:r>
          </w:p>
        </w:tc>
      </w:tr>
      <w:tr>
        <w:trPr>
          <w:trHeight w:val="33"/>
        </w:trPr>
        <w:tc>
          <w:tcPr>
            <w:tcW w:w="5300" w:type="dxa"/>
            <w:vAlign w:val="bottom"/>
            <w:gridSpan w:val="2"/>
          </w:tcPr>
          <w:p>
            <w:pPr>
              <w:spacing w:after="0"/>
              <w:rPr>
                <w:sz w:val="2"/>
                <w:szCs w:val="2"/>
                <w:color w:val="auto"/>
              </w:rPr>
            </w:pPr>
          </w:p>
        </w:tc>
        <w:tc>
          <w:tcPr>
            <w:tcW w:w="4800" w:type="dxa"/>
            <w:vAlign w:val="bottom"/>
          </w:tcPr>
          <w:p>
            <w:pPr>
              <w:spacing w:after="0"/>
              <w:rPr>
                <w:sz w:val="2"/>
                <w:szCs w:val="2"/>
                <w:color w:val="auto"/>
              </w:rPr>
            </w:pPr>
          </w:p>
        </w:tc>
      </w:tr>
      <w:tr>
        <w:trPr>
          <w:trHeight w:val="23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Q4 FY18 (ending January 31, 2018)</w:t>
            </w:r>
          </w:p>
        </w:tc>
        <w:tc>
          <w:tcPr>
            <w:tcW w:w="4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 $100</w:t>
            </w:r>
          </w:p>
        </w:tc>
      </w:tr>
      <w:tr>
        <w:trPr>
          <w:trHeight w:val="224"/>
        </w:trPr>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93"/>
              </w:rPr>
              <w:t>Q1</w:t>
            </w:r>
          </w:p>
        </w:tc>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FY19 (ending April 30, 2018)</w:t>
            </w:r>
          </w:p>
        </w:tc>
        <w:tc>
          <w:tcPr>
            <w:tcW w:w="4800" w:type="dxa"/>
            <w:vAlign w:val="bottom"/>
          </w:tcPr>
          <w:p>
            <w:pPr>
              <w:jc w:val="right"/>
              <w:spacing w:after="0"/>
              <w:rPr>
                <w:sz w:val="20"/>
                <w:szCs w:val="20"/>
                <w:color w:val="auto"/>
              </w:rPr>
            </w:pPr>
            <w:r>
              <w:rPr>
                <w:rFonts w:ascii="Arial" w:cs="Arial" w:eastAsia="Arial" w:hAnsi="Arial"/>
                <w:sz w:val="16"/>
                <w:szCs w:val="16"/>
                <w:color w:val="auto"/>
              </w:rPr>
              <w:t>$21 - $24</w:t>
            </w:r>
          </w:p>
        </w:tc>
      </w:tr>
      <w:tr>
        <w:trPr>
          <w:trHeight w:val="33"/>
        </w:trPr>
        <w:tc>
          <w:tcPr>
            <w:tcW w:w="2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37"/>
        </w:trPr>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3"/>
              </w:rPr>
              <w:t>Q2</w:t>
            </w: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FY19 (ending July 31, 2018)</w:t>
            </w:r>
          </w:p>
        </w:tc>
        <w:tc>
          <w:tcPr>
            <w:tcW w:w="4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 $15</w:t>
            </w:r>
          </w:p>
        </w:tc>
      </w:tr>
      <w:tr>
        <w:trPr>
          <w:trHeight w:val="224"/>
        </w:trPr>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93"/>
              </w:rPr>
              <w:t>Q3</w:t>
            </w:r>
          </w:p>
        </w:tc>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FY19 (ending October 31, 2018)</w:t>
            </w:r>
          </w:p>
        </w:tc>
        <w:tc>
          <w:tcPr>
            <w:tcW w:w="4800" w:type="dxa"/>
            <w:vAlign w:val="bottom"/>
          </w:tcPr>
          <w:p>
            <w:pPr>
              <w:jc w:val="right"/>
              <w:spacing w:after="0"/>
              <w:rPr>
                <w:sz w:val="20"/>
                <w:szCs w:val="20"/>
                <w:color w:val="auto"/>
              </w:rPr>
            </w:pPr>
            <w:r>
              <w:rPr>
                <w:rFonts w:ascii="Arial" w:cs="Arial" w:eastAsia="Arial" w:hAnsi="Arial"/>
                <w:sz w:val="16"/>
                <w:szCs w:val="16"/>
                <w:color w:val="auto"/>
              </w:rPr>
              <w:t>$8 - $9</w:t>
            </w:r>
          </w:p>
        </w:tc>
      </w:tr>
      <w:tr>
        <w:trPr>
          <w:trHeight w:val="33"/>
        </w:trPr>
        <w:tc>
          <w:tcPr>
            <w:tcW w:w="5300" w:type="dxa"/>
            <w:vAlign w:val="bottom"/>
            <w:gridSpan w:val="2"/>
          </w:tcPr>
          <w:p>
            <w:pPr>
              <w:spacing w:after="0"/>
              <w:rPr>
                <w:sz w:val="2"/>
                <w:szCs w:val="2"/>
                <w:color w:val="auto"/>
              </w:rPr>
            </w:pPr>
          </w:p>
        </w:tc>
        <w:tc>
          <w:tcPr>
            <w:tcW w:w="4800" w:type="dxa"/>
            <w:vAlign w:val="bottom"/>
          </w:tcPr>
          <w:p>
            <w:pPr>
              <w:spacing w:after="0"/>
              <w:rPr>
                <w:sz w:val="2"/>
                <w:szCs w:val="2"/>
                <w:color w:val="auto"/>
              </w:rPr>
            </w:pPr>
          </w:p>
        </w:tc>
      </w:tr>
      <w:tr>
        <w:trPr>
          <w:trHeight w:val="224"/>
        </w:trPr>
        <w:tc>
          <w:tcPr>
            <w:tcW w:w="53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Q4 FY19 (ending January 31, 2019)</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6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taking these actions to accomplish the Company's strategic priorities of completing the subscription transition; digitizing the Company; and re-imagining manufacturing, construction, and production. Through the restructuring, Autodesk seeks to streamline the organization and re-balance resources to better align with the Company’s priorities. By realigning its investments, Autodesk is positioning itself to meet its long-term goals, including keeping non-GAAP spend flat in fiscal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Pr>
          <w:p>
            <w:pPr>
              <w:spacing w:after="0"/>
              <w:rPr>
                <w:sz w:val="17"/>
                <w:szCs w:val="17"/>
                <w:color w:val="auto"/>
              </w:rPr>
            </w:pPr>
          </w:p>
        </w:tc>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3600" w:type="dxa"/>
            <w:vAlign w:val="bottom"/>
            <w:gridSpan w:val="3"/>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Press release dated as of November 28, 2017.</w:t>
              </w:r>
            </w:hyperlink>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1"/>
                <w:szCs w:val="21"/>
                <w:color w:val="auto"/>
              </w:rPr>
            </w:pPr>
          </w:p>
        </w:tc>
        <w:tc>
          <w:tcPr>
            <w:tcW w:w="36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9">
              <w:r>
                <w:rPr>
                  <w:rFonts w:ascii="Arial" w:cs="Arial" w:eastAsia="Arial" w:hAnsi="Arial"/>
                  <w:sz w:val="18"/>
                  <w:szCs w:val="18"/>
                  <w:color w:val="0000FF"/>
                  <w:w w:val="88"/>
                </w:rPr>
                <w:t>Prepared remarks dated as of November 28, 2017.</w:t>
              </w:r>
            </w:hyperlink>
          </w:p>
        </w:tc>
      </w:tr>
    </w:tbl>
    <w:p>
      <w:pPr>
        <w:sectPr>
          <w:pgSz w:w="11900" w:h="16838" w:orient="portrait"/>
          <w:cols w:equalWidth="0" w:num="1">
            <w:col w:w="11420"/>
          </w:cols>
          <w:pgMar w:left="240" w:top="53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AUTODESK, INC.</w:t>
      </w: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126365</wp:posOffset>
            </wp:positionV>
            <wp:extent cx="1771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25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Paul Underwood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Vice President and Corporate Controller (Principal Accounting</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28, 2017</w:t>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0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50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Press release dated as of November 28, 2017.</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3"/>
                <w:szCs w:val="23"/>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Prepared remarks dated as of November 28, 2017.</w:t>
            </w:r>
          </w:p>
        </w:tc>
      </w:tr>
    </w:tbl>
    <w:p>
      <w:pPr>
        <w:sectPr>
          <w:pgSz w:w="11900" w:h="16838" w:orient="portrait"/>
          <w:cols w:equalWidth="0" w:num="1">
            <w:col w:w="10179"/>
          </w:cols>
          <w:pgMar w:left="280" w:top="364"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Investors: David Gennarelli, 415-507-6033</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0000FF"/>
        </w:rPr>
        <w:t>david.gennarelli@autodesk.com</w:t>
      </w:r>
    </w:p>
    <w:p>
      <w:pPr>
        <w:spacing w:after="0" w:line="200" w:lineRule="exact"/>
        <w:rPr>
          <w:sz w:val="20"/>
          <w:szCs w:val="20"/>
          <w:color w:val="auto"/>
        </w:rPr>
      </w:pP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Press:</w:t>
      </w:r>
      <w:r>
        <w:rPr>
          <w:sz w:val="20"/>
          <w:szCs w:val="20"/>
          <w:color w:val="auto"/>
        </w:rPr>
        <w:tab/>
      </w:r>
      <w:r>
        <w:rPr>
          <w:rFonts w:ascii="Arial" w:cs="Arial" w:eastAsia="Arial" w:hAnsi="Arial"/>
          <w:sz w:val="19"/>
          <w:szCs w:val="19"/>
          <w:color w:val="auto"/>
        </w:rPr>
        <w:t>Stacy Doyle, 971-238-5722</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0000FF"/>
        </w:rPr>
        <w:t>stacy.doyle@autodesk.com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STRONG ARR GROWTH HIGHLIGHTS AUTODESK THIRD QUARTER RESULTS</w:t>
      </w:r>
    </w:p>
    <w:p>
      <w:pPr>
        <w:spacing w:after="0" w:line="28"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Company Announces Restructuring Plan to Focus on Strategic Priorities</w:t>
      </w:r>
    </w:p>
    <w:p>
      <w:pPr>
        <w:spacing w:after="0" w:line="371" w:lineRule="exact"/>
        <w:rPr>
          <w:sz w:val="20"/>
          <w:szCs w:val="20"/>
          <w:color w:val="auto"/>
        </w:rPr>
      </w:pPr>
    </w:p>
    <w:p>
      <w:pPr>
        <w:ind w:right="140"/>
        <w:spacing w:after="0" w:line="269" w:lineRule="auto"/>
        <w:rPr>
          <w:sz w:val="20"/>
          <w:szCs w:val="20"/>
          <w:color w:val="auto"/>
        </w:rPr>
      </w:pPr>
      <w:r>
        <w:rPr>
          <w:rFonts w:ascii="Arial" w:cs="Arial" w:eastAsia="Arial" w:hAnsi="Arial"/>
          <w:sz w:val="22"/>
          <w:szCs w:val="22"/>
          <w:b w:val="1"/>
          <w:bCs w:val="1"/>
          <w:color w:val="auto"/>
        </w:rPr>
        <w:t>SAN RAFAEL, Calif., NOVEMBER 28, 2017</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0000FF"/>
        </w:rPr>
        <w:t>Autodesk,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ADSK) today reported financial results for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2018.</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Fiscal 2018</w:t>
      </w:r>
    </w:p>
    <w:p>
      <w:pPr>
        <w:spacing w:after="0" w:line="266" w:lineRule="exact"/>
        <w:rPr>
          <w:sz w:val="20"/>
          <w:szCs w:val="20"/>
          <w:color w:val="auto"/>
        </w:rPr>
      </w:pPr>
    </w:p>
    <w:p>
      <w:pPr>
        <w:ind w:left="660" w:hanging="328"/>
        <w:spacing w:after="0" w:line="343"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Subscription plan (formerly known as new model) annualized recurring revenue (ARR) was $924 million and increased 106 percent compared to the third quarter last year as reported, and 108 percent on a constant currency basis.</w:t>
      </w:r>
    </w:p>
    <w:p>
      <w:pPr>
        <w:spacing w:after="0" w:line="145" w:lineRule="exact"/>
        <w:rPr>
          <w:rFonts w:ascii="Arial" w:cs="Arial" w:eastAsia="Arial" w:hAnsi="Arial"/>
          <w:sz w:val="19"/>
          <w:szCs w:val="19"/>
          <w:color w:val="auto"/>
        </w:rPr>
      </w:pPr>
    </w:p>
    <w:p>
      <w:pPr>
        <w:ind w:left="660" w:right="24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ARR was $1.90 billion, an increase of 24 percent compared to the third quarter last year as reported, and 25 percent on a constant currency basis.</w:t>
      </w:r>
    </w:p>
    <w:p>
      <w:pPr>
        <w:spacing w:after="0" w:line="215" w:lineRule="exact"/>
        <w:rPr>
          <w:rFonts w:ascii="Arial" w:cs="Arial" w:eastAsia="Arial" w:hAnsi="Arial"/>
          <w:sz w:val="22"/>
          <w:szCs w:val="22"/>
          <w:color w:val="auto"/>
        </w:rPr>
      </w:pPr>
    </w:p>
    <w:p>
      <w:pPr>
        <w:jc w:val="both"/>
        <w:ind w:left="660" w:right="38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Subscription plan subscriptions increased 307,000 from the second quarter of fiscal 2018 to 1.9 million at the end of the third quarter. Subscription plan subscriptions benefited from 110,000 maintenance subscribers that converted to product subscription under the maintenance-to-subscription program.</w:t>
      </w:r>
    </w:p>
    <w:p>
      <w:pPr>
        <w:spacing w:after="0" w:line="22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subscriptions increased 146,000 from the second quarter of fiscal 2018 to 3.6 million at the end of the third quarter.</w:t>
      </w:r>
    </w:p>
    <w:p>
      <w:pPr>
        <w:spacing w:after="0" w:line="294" w:lineRule="exact"/>
        <w:rPr>
          <w:rFonts w:ascii="Arial" w:cs="Arial" w:eastAsia="Arial" w:hAnsi="Arial"/>
          <w:sz w:val="19"/>
          <w:szCs w:val="19"/>
          <w:color w:val="auto"/>
        </w:rPr>
      </w:pPr>
    </w:p>
    <w:p>
      <w:pPr>
        <w:ind w:left="660" w:right="520" w:hanging="328"/>
        <w:spacing w:after="0" w:line="276"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Deferred revenue increased 15 percent to $1.76 billion</w:t>
      </w:r>
      <w:r>
        <w:rPr>
          <w:rFonts w:ascii="Arial" w:cs="Arial" w:eastAsia="Arial" w:hAnsi="Arial"/>
          <w:sz w:val="18"/>
          <w:szCs w:val="18"/>
          <w:color w:val="auto"/>
        </w:rPr>
        <w:t>,</w:t>
      </w:r>
      <w:r>
        <w:rPr>
          <w:rFonts w:ascii="Arial" w:cs="Arial" w:eastAsia="Arial" w:hAnsi="Arial"/>
          <w:sz w:val="22"/>
          <w:szCs w:val="22"/>
          <w:color w:val="auto"/>
        </w:rPr>
        <w:t xml:space="preserve"> compared to 1.53 billion in the third quarter last year. Unbilled deferred revenue at the end of the third quarter was $148 million.</w:t>
      </w:r>
    </w:p>
    <w:p>
      <w:pPr>
        <w:spacing w:after="0" w:line="201" w:lineRule="exact"/>
        <w:rPr>
          <w:rFonts w:ascii="Arial" w:cs="Arial" w:eastAsia="Arial" w:hAnsi="Arial"/>
          <w:sz w:val="22"/>
          <w:szCs w:val="22"/>
          <w:color w:val="auto"/>
        </w:rPr>
      </w:pPr>
    </w:p>
    <w:p>
      <w:pPr>
        <w:ind w:left="660" w:right="22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was $515 million, an increase of 5 percent compared to the third quarter last year as reported, and 6 percent on a constant currency basis.</w:t>
      </w:r>
    </w:p>
    <w:p>
      <w:pPr>
        <w:spacing w:after="0" w:line="174" w:lineRule="exact"/>
        <w:rPr>
          <w:rFonts w:ascii="Arial" w:cs="Arial" w:eastAsia="Arial" w:hAnsi="Arial"/>
          <w:sz w:val="22"/>
          <w:szCs w:val="22"/>
          <w:color w:val="auto"/>
        </w:rPr>
      </w:pPr>
    </w:p>
    <w:p>
      <w:pPr>
        <w:ind w:left="660" w:right="30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GAAP spend (cost of revenue plus operating expenses) was $615 million, an increase of 1 percent compared to the third quarter last year.</w:t>
      </w:r>
    </w:p>
    <w:p>
      <w:pPr>
        <w:spacing w:after="0" w:line="215" w:lineRule="exact"/>
        <w:rPr>
          <w:rFonts w:ascii="Arial" w:cs="Arial" w:eastAsia="Arial" w:hAnsi="Arial"/>
          <w:sz w:val="22"/>
          <w:szCs w:val="22"/>
          <w:color w:val="auto"/>
        </w:rPr>
      </w:pPr>
    </w:p>
    <w:p>
      <w:pPr>
        <w:ind w:left="660" w:right="14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non-GAAP spend was $542 million, an increase of 2 percent compared to the third quarter last year. A reconciliation of GAAP to non-GAAP results is provided in the accompanying tables.</w:t>
      </w:r>
    </w:p>
    <w:p>
      <w:pPr>
        <w:spacing w:after="0" w:line="215" w:lineRule="exact"/>
        <w:rPr>
          <w:rFonts w:ascii="Arial" w:cs="Arial" w:eastAsia="Arial" w:hAnsi="Arial"/>
          <w:sz w:val="22"/>
          <w:szCs w:val="22"/>
          <w:color w:val="auto"/>
        </w:rPr>
      </w:pPr>
    </w:p>
    <w:p>
      <w:pPr>
        <w:ind w:left="660" w:right="2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diluted net loss per share was $(0.55), compared to GAAP diluted net loss per share of $(0.64) in the third quarter last year.</w:t>
      </w:r>
    </w:p>
    <w:p>
      <w:pPr>
        <w:spacing w:after="0" w:line="215" w:lineRule="exact"/>
        <w:rPr>
          <w:rFonts w:ascii="Arial" w:cs="Arial" w:eastAsia="Arial" w:hAnsi="Arial"/>
          <w:sz w:val="22"/>
          <w:szCs w:val="22"/>
          <w:color w:val="auto"/>
        </w:rPr>
      </w:pPr>
    </w:p>
    <w:p>
      <w:pPr>
        <w:ind w:left="660" w:right="10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diluted net loss per share was $(0.12), compared to non-GAAP diluted net loss per share of $(0.18) in the third quarter last year.</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45" w:right="259" w:bottom="1440" w:gutter="0" w:footer="0" w:header="0"/>
        </w:sectPr>
      </w:pPr>
    </w:p>
    <w:bookmarkStart w:id="7" w:name="page8"/>
    <w:bookmarkEnd w:id="7"/>
    <w:p>
      <w:pPr>
        <w:ind w:right="260"/>
        <w:spacing w:after="0" w:line="294" w:lineRule="auto"/>
        <w:rPr>
          <w:sz w:val="20"/>
          <w:szCs w:val="20"/>
          <w:color w:val="auto"/>
        </w:rPr>
      </w:pPr>
      <w:r>
        <w:rPr>
          <w:rFonts w:ascii="Arial" w:cs="Arial" w:eastAsia="Arial" w:hAnsi="Arial"/>
          <w:sz w:val="19"/>
          <w:szCs w:val="19"/>
          <w:color w:val="auto"/>
        </w:rPr>
        <w:t>"We are pleased with another solid quarter of execution and progress on our business model transition," said Andrew Anagnost, Autodesk president and CEO. "We're experiencing healthy trends in several key transition metrics, including ARR and deferred revenue growth, as customers continue to embrace our new subscription offerings. As we enter the growth phase of our model transition, we need to re-balance investments to focus on our strategic priorities. This includes divesting from some areas and increasing our investment in others. We're taking this restructuring action from a position of strength. This is not a cost reduction activity as we maintain our commitment to keep total non-GAAP spend flat this year and next."</w:t>
      </w:r>
    </w:p>
    <w:p>
      <w:pPr>
        <w:spacing w:after="0" w:line="190"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“Our third quarter results mark our return to revenue growth as we reached the one year mark of subscription-only sales,” said Scott Herren, Autodesk CFO. "We are excited to have reached a significant milestone where the base of subscription plan subscriptions has surpassed the base of maintenance plan subscriptions for the first time. We are also experiencing early success with the maintenance-to-subscription program, which is a winning combination for both our customers and Autodesk. Our solid third quarter results and stable macro operating environment keep us confident in our near-term and long-term goals.”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Operational Overview</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Subscription plan ARR was $924 million and increased 106 percent compared to the third quarter last year as reported, and 108 percent on a constant currency basis. Subscription plan ARR includes $70 million related to the maintenance-to-subscription program. Maintenance plan ARR was $978 million and decreased 10 percent compared to the third quarter last year as reported, and on a constant currency basis. Total ARR for the third quarter increased 24 percent to $1.90 billion compared to the third quarter last year as reported, and 25 percent on a constant currency basis.</w:t>
      </w:r>
    </w:p>
    <w:p>
      <w:pPr>
        <w:spacing w:after="0" w:line="216"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Subscription plan subscriptions (product, EBA, and cloud) were 1.90 million, a net increase of 307,000 from the second quarter of fiscal 2018, led by new product subscriptions and 110,000 product subscriptions that migrated from maintenance plan subscriptions. Maintenance plan subscriptions were 1.69 million, a net decrease of 161,000 from the second quarter of fiscal 2018, which includes the 110,000 that migrated to product subscription. Total subscriptions were 3.59 million, a net increase of 146,000 from the second quarter of fiscal 2018.</w:t>
      </w:r>
    </w:p>
    <w:p>
      <w:pPr>
        <w:spacing w:after="0" w:line="233"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Total recurring revenue in the third quarter was 92 percent of total revenue compared to 78 percent of total revenue in the third quarter last year.</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Revenue in the Americas was $215 million, an increase of 1 percent compared to the third quarter last year. Revenue in EMEA was $205 million, an increase of 8 percent compared to the third quarter last year as reported, and 10 percent on a constant currency basis. Revenue in APAC was $95 million, an increase of 12 percent compared to the third quarter last year as reported, and 10 percent on a constant currency basis.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Restructuring</w:t>
      </w:r>
    </w:p>
    <w:p>
      <w:pPr>
        <w:spacing w:after="0" w:line="266"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Autodesk today announced a restructuring plan to focus on the company's strategic priorities of completing the subscription transition; digitizing the company; and re-imagining manufacturing, construction, and production. Through the restructuring, Autodesk seeks to streamline the organization and re-balance resources to better align with the company’s priorities. By realigning its investments, Autodesk is positioning itself to meet its long-term goals, including keeping non-GAAP spend flat in fiscal 2019.</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1" w:right="259" w:bottom="1440" w:gutter="0" w:footer="0" w:header="0"/>
        </w:sectPr>
      </w:pPr>
    </w:p>
    <w:bookmarkStart w:id="8" w:name="page9"/>
    <w:bookmarkEnd w:id="8"/>
    <w:p>
      <w:pPr>
        <w:ind w:right="120"/>
        <w:spacing w:after="0" w:line="253" w:lineRule="auto"/>
        <w:rPr>
          <w:sz w:val="20"/>
          <w:szCs w:val="20"/>
          <w:color w:val="auto"/>
        </w:rPr>
      </w:pPr>
      <w:r>
        <w:rPr>
          <w:rFonts w:ascii="Arial" w:cs="Arial" w:eastAsia="Arial" w:hAnsi="Arial"/>
          <w:sz w:val="22"/>
          <w:szCs w:val="22"/>
          <w:color w:val="auto"/>
        </w:rPr>
        <w:t>The company anticipates taking a pre-tax restructuring charge in the range of $135 million to $149 million. Approximately $91 million to $100 million in pre-tax charges will be taken in the fourth quarter of fiscal 2018. The remaining charge will be taken in fiscal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66"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The following are forward-looking statements based on current expectations and assumptions, and involve risks and uncertainties some of which are set forth below under "Safe Harbor Statement." Autodesk's business outlook for the fourth quarter and full year fiscal 2018 assumes, among other things, a continuation of the current economic environment and foreign exchange currency rate environment. A reconciliation between the fiscal 2018 GAAP and non-GAAP estimates is provided below or in the tables following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Fourth Quarter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480" w:type="dxa"/>
            <w:vAlign w:val="bottom"/>
          </w:tcPr>
          <w:p>
            <w:pPr>
              <w:ind w:left="3480"/>
              <w:spacing w:after="0"/>
              <w:rPr>
                <w:sz w:val="20"/>
                <w:szCs w:val="20"/>
                <w:color w:val="auto"/>
              </w:rPr>
            </w:pPr>
            <w:r>
              <w:rPr>
                <w:rFonts w:ascii="Arial" w:cs="Arial" w:eastAsia="Arial" w:hAnsi="Arial"/>
                <w:sz w:val="20"/>
                <w:szCs w:val="20"/>
                <w:b w:val="1"/>
                <w:bCs w:val="1"/>
                <w:color w:val="auto"/>
              </w:rPr>
              <w:t>Q4 FY18 (ending</w:t>
            </w:r>
          </w:p>
        </w:tc>
      </w:tr>
      <w:tr>
        <w:trPr>
          <w:trHeight w:val="256"/>
        </w:trPr>
        <w:tc>
          <w:tcPr>
            <w:tcW w:w="20" w:type="dxa"/>
            <w:vAlign w:val="bottom"/>
          </w:tcPr>
          <w:p>
            <w:pPr>
              <w:spacing w:after="0"/>
              <w:rPr>
                <w:sz w:val="22"/>
                <w:szCs w:val="22"/>
                <w:color w:val="auto"/>
              </w:rPr>
            </w:pPr>
          </w:p>
        </w:tc>
        <w:tc>
          <w:tcPr>
            <w:tcW w:w="5820" w:type="dxa"/>
            <w:vAlign w:val="bottom"/>
          </w:tcPr>
          <w:p>
            <w:pPr>
              <w:ind w:left="20"/>
              <w:spacing w:after="0"/>
              <w:rPr>
                <w:sz w:val="20"/>
                <w:szCs w:val="20"/>
                <w:color w:val="auto"/>
              </w:rPr>
            </w:pPr>
            <w:r>
              <w:rPr>
                <w:rFonts w:ascii="Arial" w:cs="Arial" w:eastAsia="Arial" w:hAnsi="Arial"/>
                <w:sz w:val="20"/>
                <w:szCs w:val="20"/>
                <w:b w:val="1"/>
                <w:bCs w:val="1"/>
                <w:color w:val="auto"/>
              </w:rPr>
              <w:t>Q4 FY18 Guidance Metrics</w:t>
            </w:r>
          </w:p>
        </w:tc>
        <w:tc>
          <w:tcPr>
            <w:tcW w:w="5480" w:type="dxa"/>
            <w:vAlign w:val="bottom"/>
          </w:tcPr>
          <w:p>
            <w:pPr>
              <w:ind w:left="3480"/>
              <w:spacing w:after="0"/>
              <w:rPr>
                <w:sz w:val="20"/>
                <w:szCs w:val="20"/>
                <w:color w:val="auto"/>
              </w:rPr>
            </w:pPr>
            <w:r>
              <w:rPr>
                <w:rFonts w:ascii="Arial" w:cs="Arial" w:eastAsia="Arial" w:hAnsi="Arial"/>
                <w:sz w:val="20"/>
                <w:szCs w:val="20"/>
                <w:b w:val="1"/>
                <w:bCs w:val="1"/>
                <w:color w:val="auto"/>
              </w:rPr>
              <w:t>January 31, 2018)</w:t>
            </w: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Revenue (in millions)</w:t>
            </w:r>
          </w:p>
        </w:tc>
        <w:tc>
          <w:tcPr>
            <w:tcW w:w="5480" w:type="dxa"/>
            <w:vAlign w:val="bottom"/>
            <w:tcBorders>
              <w:bottom w:val="single" w:sz="8" w:color="CCEEFF"/>
            </w:tcBorders>
            <w:shd w:val="clear" w:color="auto" w:fill="CCEEFF"/>
          </w:tcPr>
          <w:p>
            <w:pPr>
              <w:ind w:left="3480"/>
              <w:spacing w:after="0"/>
              <w:rPr>
                <w:sz w:val="20"/>
                <w:szCs w:val="20"/>
                <w:color w:val="auto"/>
              </w:rPr>
            </w:pPr>
            <w:r>
              <w:rPr>
                <w:rFonts w:ascii="Arial" w:cs="Arial" w:eastAsia="Arial" w:hAnsi="Arial"/>
                <w:sz w:val="20"/>
                <w:szCs w:val="20"/>
                <w:color w:val="auto"/>
              </w:rPr>
              <w:t>$537 - $547</w:t>
            </w:r>
          </w:p>
        </w:tc>
      </w:tr>
      <w:tr>
        <w:trPr>
          <w:trHeight w:val="261"/>
        </w:trPr>
        <w:tc>
          <w:tcPr>
            <w:tcW w:w="20" w:type="dxa"/>
            <w:vAlign w:val="bottom"/>
          </w:tcPr>
          <w:p>
            <w:pPr>
              <w:spacing w:after="0"/>
              <w:rPr>
                <w:sz w:val="22"/>
                <w:szCs w:val="22"/>
                <w:color w:val="auto"/>
              </w:rPr>
            </w:pPr>
          </w:p>
        </w:tc>
        <w:tc>
          <w:tcPr>
            <w:tcW w:w="5820" w:type="dxa"/>
            <w:vAlign w:val="bottom"/>
          </w:tcPr>
          <w:p>
            <w:pPr>
              <w:ind w:left="20"/>
              <w:spacing w:after="0"/>
              <w:rPr>
                <w:sz w:val="20"/>
                <w:szCs w:val="20"/>
                <w:color w:val="auto"/>
              </w:rPr>
            </w:pPr>
            <w:r>
              <w:rPr>
                <w:rFonts w:ascii="Arial" w:cs="Arial" w:eastAsia="Arial" w:hAnsi="Arial"/>
                <w:sz w:val="20"/>
                <w:szCs w:val="20"/>
                <w:b w:val="1"/>
                <w:bCs w:val="1"/>
                <w:color w:val="auto"/>
              </w:rPr>
              <w:t>EPS GAAP</w:t>
            </w:r>
          </w:p>
        </w:tc>
        <w:tc>
          <w:tcPr>
            <w:tcW w:w="5480" w:type="dxa"/>
            <w:vAlign w:val="bottom"/>
          </w:tcPr>
          <w:p>
            <w:pPr>
              <w:ind w:left="3480"/>
              <w:spacing w:after="0"/>
              <w:rPr>
                <w:sz w:val="20"/>
                <w:szCs w:val="20"/>
                <w:color w:val="auto"/>
              </w:rPr>
            </w:pPr>
            <w:r>
              <w:rPr>
                <w:rFonts w:ascii="Arial" w:cs="Arial" w:eastAsia="Arial" w:hAnsi="Arial"/>
                <w:sz w:val="20"/>
                <w:szCs w:val="20"/>
                <w:color w:val="auto"/>
              </w:rPr>
              <w:t>($1.18) - ($1.11)</w:t>
            </w: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EPS non-GAAP (1)</w:t>
            </w:r>
          </w:p>
        </w:tc>
        <w:tc>
          <w:tcPr>
            <w:tcW w:w="5480" w:type="dxa"/>
            <w:vAlign w:val="bottom"/>
            <w:tcBorders>
              <w:bottom w:val="single" w:sz="8" w:color="CCEEFF"/>
            </w:tcBorders>
            <w:shd w:val="clear" w:color="auto" w:fill="CCEEFF"/>
          </w:tcPr>
          <w:p>
            <w:pPr>
              <w:ind w:left="3480"/>
              <w:spacing w:after="0"/>
              <w:rPr>
                <w:sz w:val="20"/>
                <w:szCs w:val="20"/>
                <w:color w:val="auto"/>
              </w:rPr>
            </w:pPr>
            <w:r>
              <w:rPr>
                <w:rFonts w:ascii="Arial" w:cs="Arial" w:eastAsia="Arial" w:hAnsi="Arial"/>
                <w:sz w:val="20"/>
                <w:szCs w:val="20"/>
                <w:color w:val="auto"/>
              </w:rPr>
              <w:t>($0.14) - ($0.10)</w:t>
            </w:r>
          </w:p>
        </w:tc>
      </w:tr>
      <w:tr>
        <w:trPr>
          <w:trHeight w:val="258"/>
        </w:trPr>
        <w:tc>
          <w:tcPr>
            <w:tcW w:w="20" w:type="dxa"/>
            <w:vAlign w:val="bottom"/>
          </w:tcPr>
          <w:p>
            <w:pPr>
              <w:spacing w:after="0"/>
              <w:rPr>
                <w:sz w:val="22"/>
                <w:szCs w:val="22"/>
                <w:color w:val="auto"/>
              </w:rPr>
            </w:pPr>
          </w:p>
        </w:tc>
        <w:tc>
          <w:tcPr>
            <w:tcW w:w="5820" w:type="dxa"/>
            <w:vAlign w:val="bottom"/>
          </w:tcPr>
          <w:p>
            <w:pPr>
              <w:spacing w:after="0"/>
              <w:rPr>
                <w:sz w:val="20"/>
                <w:szCs w:val="20"/>
                <w:color w:val="auto"/>
              </w:rPr>
            </w:pPr>
            <w:r>
              <w:rPr>
                <w:rFonts w:ascii="Arial" w:cs="Arial" w:eastAsia="Arial" w:hAnsi="Arial"/>
                <w:sz w:val="22"/>
                <w:szCs w:val="22"/>
                <w:color w:val="auto"/>
              </w:rPr>
              <w:t>_______________</w:t>
            </w:r>
          </w:p>
        </w:tc>
        <w:tc>
          <w:tcPr>
            <w:tcW w:w="5480" w:type="dxa"/>
            <w:vAlign w:val="bottom"/>
          </w:tcPr>
          <w:p>
            <w:pPr>
              <w:spacing w:after="0"/>
              <w:rPr>
                <w:sz w:val="22"/>
                <w:szCs w:val="22"/>
                <w:color w:val="auto"/>
              </w:rPr>
            </w:pPr>
          </w:p>
        </w:tc>
      </w:tr>
    </w:tbl>
    <w:p>
      <w:pPr>
        <w:ind w:right="340" w:firstLine="8"/>
        <w:spacing w:after="0" w:line="32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earnings per diluted share excludes $0.43 related to restructuring and other facility exit costs, $0.29 related to stock-based compensation expense, between $0.28 and $0.25 related to GAAP-only tax charges, and $0.04 for the amortization of acquisition-related intangibles.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Full Year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3680" w:type="dxa"/>
            <w:vAlign w:val="bottom"/>
          </w:tcPr>
          <w:p>
            <w:pPr>
              <w:ind w:left="1680"/>
              <w:spacing w:after="0"/>
              <w:rPr>
                <w:sz w:val="20"/>
                <w:szCs w:val="20"/>
                <w:color w:val="auto"/>
              </w:rPr>
            </w:pPr>
            <w:r>
              <w:rPr>
                <w:rFonts w:ascii="Arial" w:cs="Arial" w:eastAsia="Arial" w:hAnsi="Arial"/>
                <w:sz w:val="20"/>
                <w:szCs w:val="20"/>
                <w:b w:val="1"/>
                <w:bCs w:val="1"/>
                <w:color w:val="auto"/>
                <w:w w:val="95"/>
              </w:rPr>
              <w:t>FY18 (ending January</w:t>
            </w:r>
          </w:p>
        </w:tc>
      </w:tr>
      <w:tr>
        <w:trPr>
          <w:trHeight w:val="256"/>
        </w:trPr>
        <w:tc>
          <w:tcPr>
            <w:tcW w:w="2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20"/>
                <w:szCs w:val="20"/>
                <w:b w:val="1"/>
                <w:bCs w:val="1"/>
                <w:color w:val="auto"/>
              </w:rPr>
              <w:t>FY18 Guidance Metrics</w:t>
            </w:r>
          </w:p>
        </w:tc>
        <w:tc>
          <w:tcPr>
            <w:tcW w:w="3680" w:type="dxa"/>
            <w:vAlign w:val="bottom"/>
          </w:tcPr>
          <w:p>
            <w:pPr>
              <w:ind w:left="1680"/>
              <w:spacing w:after="0"/>
              <w:rPr>
                <w:sz w:val="20"/>
                <w:szCs w:val="20"/>
                <w:color w:val="auto"/>
              </w:rPr>
            </w:pPr>
            <w:r>
              <w:rPr>
                <w:rFonts w:ascii="Arial" w:cs="Arial" w:eastAsia="Arial" w:hAnsi="Arial"/>
                <w:sz w:val="20"/>
                <w:szCs w:val="20"/>
                <w:b w:val="1"/>
                <w:bCs w:val="1"/>
                <w:color w:val="auto"/>
              </w:rPr>
              <w:t>31, 2018)</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Revenue (in millions) (1)</w:t>
            </w:r>
          </w:p>
        </w:tc>
        <w:tc>
          <w:tcPr>
            <w:tcW w:w="36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20"/>
                <w:szCs w:val="20"/>
                <w:color w:val="auto"/>
              </w:rPr>
              <w:t>$2,040 - $2,050</w:t>
            </w:r>
          </w:p>
        </w:tc>
      </w:tr>
      <w:tr>
        <w:trPr>
          <w:trHeight w:val="261"/>
        </w:trPr>
        <w:tc>
          <w:tcPr>
            <w:tcW w:w="2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20"/>
                <w:szCs w:val="20"/>
                <w:b w:val="1"/>
                <w:bCs w:val="1"/>
                <w:color w:val="auto"/>
              </w:rPr>
              <w:t>GAAP spend growth (cost of revenue plus operating expenses)</w:t>
            </w:r>
          </w:p>
        </w:tc>
        <w:tc>
          <w:tcPr>
            <w:tcW w:w="3680" w:type="dxa"/>
            <w:vAlign w:val="bottom"/>
          </w:tcPr>
          <w:p>
            <w:pPr>
              <w:ind w:left="1680"/>
              <w:spacing w:after="0"/>
              <w:rPr>
                <w:sz w:val="20"/>
                <w:szCs w:val="20"/>
                <w:color w:val="auto"/>
              </w:rPr>
            </w:pPr>
            <w:r>
              <w:rPr>
                <w:rFonts w:ascii="Arial" w:cs="Arial" w:eastAsia="Arial" w:hAnsi="Arial"/>
                <w:sz w:val="20"/>
                <w:szCs w:val="20"/>
                <w:color w:val="auto"/>
              </w:rPr>
              <w:t>Approx. +1%</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Non-GAAP spend growth (cost of revenue plus operating expenses) (2)</w:t>
            </w:r>
          </w:p>
        </w:tc>
        <w:tc>
          <w:tcPr>
            <w:tcW w:w="36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20"/>
                <w:szCs w:val="20"/>
                <w:color w:val="auto"/>
              </w:rPr>
              <w:t>Approx. flat</w:t>
            </w:r>
          </w:p>
        </w:tc>
      </w:tr>
      <w:tr>
        <w:trPr>
          <w:trHeight w:val="261"/>
        </w:trPr>
        <w:tc>
          <w:tcPr>
            <w:tcW w:w="2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20"/>
                <w:szCs w:val="20"/>
                <w:b w:val="1"/>
                <w:bCs w:val="1"/>
                <w:color w:val="auto"/>
              </w:rPr>
              <w:t>EPS GAAP</w:t>
            </w:r>
          </w:p>
        </w:tc>
        <w:tc>
          <w:tcPr>
            <w:tcW w:w="3680" w:type="dxa"/>
            <w:vAlign w:val="bottom"/>
          </w:tcPr>
          <w:p>
            <w:pPr>
              <w:ind w:left="1680"/>
              <w:spacing w:after="0"/>
              <w:rPr>
                <w:sz w:val="20"/>
                <w:szCs w:val="20"/>
                <w:color w:val="auto"/>
              </w:rPr>
            </w:pPr>
            <w:r>
              <w:rPr>
                <w:rFonts w:ascii="Arial" w:cs="Arial" w:eastAsia="Arial" w:hAnsi="Arial"/>
                <w:sz w:val="20"/>
                <w:szCs w:val="20"/>
                <w:color w:val="auto"/>
              </w:rPr>
              <w:t>($2.98) - ($2.93)</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EPS non-GAAP (3)</w:t>
            </w:r>
          </w:p>
        </w:tc>
        <w:tc>
          <w:tcPr>
            <w:tcW w:w="36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20"/>
                <w:szCs w:val="20"/>
                <w:color w:val="auto"/>
              </w:rPr>
              <w:t>($0.53) - ($0.49)</w:t>
            </w:r>
          </w:p>
        </w:tc>
      </w:tr>
      <w:tr>
        <w:trPr>
          <w:trHeight w:val="261"/>
        </w:trPr>
        <w:tc>
          <w:tcPr>
            <w:tcW w:w="2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20"/>
                <w:szCs w:val="20"/>
                <w:b w:val="1"/>
                <w:bCs w:val="1"/>
                <w:color w:val="auto"/>
              </w:rPr>
              <w:t>Net subscription additions</w:t>
            </w:r>
          </w:p>
        </w:tc>
        <w:tc>
          <w:tcPr>
            <w:tcW w:w="3680" w:type="dxa"/>
            <w:vAlign w:val="bottom"/>
          </w:tcPr>
          <w:p>
            <w:pPr>
              <w:ind w:left="1680"/>
              <w:spacing w:after="0"/>
              <w:rPr>
                <w:sz w:val="20"/>
                <w:szCs w:val="20"/>
                <w:color w:val="auto"/>
              </w:rPr>
            </w:pPr>
            <w:r>
              <w:rPr>
                <w:rFonts w:ascii="Arial" w:cs="Arial" w:eastAsia="Arial" w:hAnsi="Arial"/>
                <w:sz w:val="20"/>
                <w:szCs w:val="20"/>
                <w:color w:val="auto"/>
              </w:rPr>
              <w:t>625k - 650k</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Total ARR</w:t>
            </w:r>
          </w:p>
        </w:tc>
        <w:tc>
          <w:tcPr>
            <w:tcW w:w="36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20"/>
                <w:szCs w:val="20"/>
                <w:color w:val="auto"/>
              </w:rPr>
              <w:t>24% - 26%</w:t>
            </w:r>
          </w:p>
        </w:tc>
      </w:tr>
      <w:tr>
        <w:trPr>
          <w:trHeight w:val="258"/>
        </w:trPr>
        <w:tc>
          <w:tcPr>
            <w:tcW w:w="2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22"/>
                <w:szCs w:val="22"/>
                <w:color w:val="auto"/>
              </w:rPr>
              <w:t>_______________</w:t>
            </w:r>
          </w:p>
        </w:tc>
        <w:tc>
          <w:tcPr>
            <w:tcW w:w="3680" w:type="dxa"/>
            <w:vAlign w:val="bottom"/>
          </w:tcPr>
          <w:p>
            <w:pPr>
              <w:spacing w:after="0"/>
              <w:rPr>
                <w:sz w:val="22"/>
                <w:szCs w:val="22"/>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the impact of foreign currency exchange rates and hedge gains/losses, revenue guidance would be $2.045 - $2.055 billion.</w:t>
      </w:r>
    </w:p>
    <w:p>
      <w:pPr>
        <w:spacing w:after="0" w:line="7" w:lineRule="exact"/>
        <w:rPr>
          <w:rFonts w:ascii="Arial" w:cs="Arial" w:eastAsia="Arial" w:hAnsi="Arial"/>
          <w:sz w:val="18"/>
          <w:szCs w:val="18"/>
          <w:color w:val="auto"/>
        </w:rPr>
      </w:pPr>
    </w:p>
    <w:p>
      <w:pPr>
        <w:ind w:right="160" w:firstLine="8"/>
        <w:spacing w:after="0" w:line="25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spend excludes $248 million related to stock-based compensation expense, $96 million related to restructuring and other facility exit costs, $36 million for the amortization of acquisition-related intangibles, and $22 million related to CEO transition costs.</w:t>
      </w:r>
    </w:p>
    <w:p>
      <w:pPr>
        <w:ind w:right="10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earnings per diluted share excludes $1.13 related to stock-based compensation expense, between $0.57 and $0.56 related to GAAP-only tax charges, $0.44 related to restructuring and other facility exit costs, $0.17 for the amortization of acquisition-related intangibles, $0.10 related to CEO transition costs, and $0.04 related to losses on strategic investments and dispositions.</w:t>
      </w:r>
    </w:p>
    <w:p>
      <w:pPr>
        <w:spacing w:after="0" w:line="29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fourth quarter and full year fiscal 2018 outlook assume a projected annual effective tax rate of (15) percent and 26 percent for GAAP and non-GAAP results, respectively. Assumptions for the annual effective tax rate are regularly evaluated and may change based on the projected geographic mix of earnings. At this stage of the business model transition, small shifts in geographic profitability significantly impact the annual effective tax rate.</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9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Earnings Conference Call and Webcast</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 xml:space="preserve">Autodesk will host its second quarter conference call today at 5:00 p.m. ET. The live broadcast can be accessed at </w:t>
      </w:r>
      <w:r>
        <w:rPr>
          <w:rFonts w:ascii="Arial" w:cs="Arial" w:eastAsia="Arial" w:hAnsi="Arial"/>
          <w:sz w:val="22"/>
          <w:szCs w:val="22"/>
          <w:u w:val="single" w:color="auto"/>
          <w:color w:val="0000FF"/>
        </w:rPr>
        <w:t>http://www.autodesk.com/investor</w:t>
      </w:r>
      <w:r>
        <w:rPr>
          <w:rFonts w:ascii="Arial" w:cs="Arial" w:eastAsia="Arial" w:hAnsi="Arial"/>
          <w:sz w:val="22"/>
          <w:szCs w:val="22"/>
          <w:color w:val="000000"/>
        </w:rPr>
        <w:t>. Supplemental financial information and prepared remarks for the conference call will be posted</w:t>
      </w:r>
      <w:r>
        <w:rPr>
          <w:rFonts w:ascii="Arial" w:cs="Arial" w:eastAsia="Arial" w:hAnsi="Arial"/>
          <w:sz w:val="22"/>
          <w:szCs w:val="22"/>
          <w:color w:val="0000FF"/>
        </w:rPr>
        <w:t xml:space="preserve"> </w:t>
      </w:r>
      <w:r>
        <w:rPr>
          <w:rFonts w:ascii="Arial" w:cs="Arial" w:eastAsia="Arial" w:hAnsi="Arial"/>
          <w:sz w:val="22"/>
          <w:szCs w:val="22"/>
          <w:color w:val="000000"/>
        </w:rPr>
        <w:t>to the investor relations section of Autodesk's website simultaneously with this press release.</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A replay of the broadcast will be available at 7:00 p.m. ET at </w:t>
      </w:r>
      <w:r>
        <w:rPr>
          <w:rFonts w:ascii="Arial" w:cs="Arial" w:eastAsia="Arial" w:hAnsi="Arial"/>
          <w:sz w:val="22"/>
          <w:szCs w:val="22"/>
          <w:u w:val="single" w:color="auto"/>
          <w:color w:val="0000FF"/>
        </w:rPr>
        <w:t>http://www.autodesk.com/investor</w:t>
      </w:r>
      <w:r>
        <w:rPr>
          <w:rFonts w:ascii="Arial" w:cs="Arial" w:eastAsia="Arial" w:hAnsi="Arial"/>
          <w:sz w:val="22"/>
          <w:szCs w:val="22"/>
          <w:color w:val="auto"/>
        </w:rPr>
        <w:t>. This replay will be maintained on Autodesk's website for at least 12 months.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220"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b w:val="1"/>
          <w:bCs w:val="1"/>
          <w:color w:val="auto"/>
        </w:rPr>
        <w:t xml:space="preserve">Annualized Recurring Revenue (ARR): </w:t>
      </w:r>
      <w:r>
        <w:rPr>
          <w:rFonts w:ascii="Arial" w:cs="Arial" w:eastAsia="Arial" w:hAnsi="Arial"/>
          <w:sz w:val="19"/>
          <w:szCs w:val="19"/>
          <w:color w:val="auto"/>
        </w:rPr>
        <w:t>Represents the annualized value of our average monthly recurring revenue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preceding three months. "Maintenance plan ARR” captures ARR relating to traditional maintenance attached to perpetual licenses. "Subscription plan ARR" captures ARR relating to term-based product subscriptions, cloud service offerings, and flexible enterprise business arrangements. Refer to the definition of recurring revenue below for more details on what is included within ARR. Recurring revenue acquired with the acquisition of a business may cause variability in the comparison of this calculation.</w:t>
      </w:r>
    </w:p>
    <w:p>
      <w:pPr>
        <w:spacing w:after="0" w:line="189"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Constant Currency (CC) Growth Rates: </w:t>
      </w:r>
      <w:r>
        <w:rPr>
          <w:rFonts w:ascii="Arial" w:cs="Arial" w:eastAsia="Arial" w:hAnsi="Arial"/>
          <w:sz w:val="22"/>
          <w:szCs w:val="22"/>
          <w:color w:val="auto"/>
        </w:rPr>
        <w:t>We calculate constant currency growth rates by (i) applying the applicable prior period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rates to current period results and (ii) excluding any gains or losses from foreign currency hedge contracts that are reported in the current and comparative periods.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21"/>
          <w:szCs w:val="21"/>
          <w:b w:val="1"/>
          <w:bCs w:val="1"/>
          <w:color w:val="auto"/>
        </w:rPr>
        <w:t xml:space="preserve">Enterprise Business Agreements (EBAs): </w:t>
      </w:r>
      <w:r>
        <w:rPr>
          <w:rFonts w:ascii="Arial" w:cs="Arial" w:eastAsia="Arial" w:hAnsi="Arial"/>
          <w:sz w:val="21"/>
          <w:szCs w:val="21"/>
          <w:color w:val="auto"/>
        </w:rPr>
        <w:t>These represent programs providing enterprise customers with token-based access or a</w:t>
      </w:r>
      <w:r>
        <w:rPr>
          <w:rFonts w:ascii="Arial" w:cs="Arial" w:eastAsia="Arial" w:hAnsi="Arial"/>
          <w:sz w:val="21"/>
          <w:szCs w:val="21"/>
          <w:b w:val="1"/>
          <w:bCs w:val="1"/>
          <w:color w:val="auto"/>
        </w:rPr>
        <w:t xml:space="preserve"> </w:t>
      </w:r>
      <w:r>
        <w:rPr>
          <w:rFonts w:ascii="Arial" w:cs="Arial" w:eastAsia="Arial" w:hAnsi="Arial"/>
          <w:sz w:val="21"/>
          <w:szCs w:val="21"/>
          <w:color w:val="auto"/>
        </w:rPr>
        <w:t>fixed maximum number of seats to a broad pool of Autodesk products over a defined contract term.</w:t>
      </w:r>
    </w:p>
    <w:p>
      <w:pPr>
        <w:spacing w:after="0" w:line="140" w:lineRule="exact"/>
        <w:rPr>
          <w:sz w:val="20"/>
          <w:szCs w:val="20"/>
          <w:color w:val="auto"/>
        </w:rPr>
      </w:pPr>
    </w:p>
    <w:p>
      <w:pPr>
        <w:ind w:right="160"/>
        <w:spacing w:after="0" w:line="315" w:lineRule="auto"/>
        <w:rPr>
          <w:sz w:val="20"/>
          <w:szCs w:val="20"/>
          <w:color w:val="auto"/>
        </w:rPr>
      </w:pPr>
      <w:r>
        <w:rPr>
          <w:rFonts w:ascii="Arial" w:cs="Arial" w:eastAsia="Arial" w:hAnsi="Arial"/>
          <w:sz w:val="19"/>
          <w:szCs w:val="19"/>
          <w:b w:val="1"/>
          <w:bCs w:val="1"/>
          <w:color w:val="auto"/>
        </w:rPr>
        <w:t xml:space="preserve">License and Other Revenue: </w:t>
      </w:r>
      <w:r>
        <w:rPr>
          <w:rFonts w:ascii="Arial" w:cs="Arial" w:eastAsia="Arial" w:hAnsi="Arial"/>
          <w:sz w:val="19"/>
          <w:szCs w:val="19"/>
          <w:color w:val="auto"/>
        </w:rPr>
        <w:t>Represents (1) perpetual license revenue and (2) other revenue. Perpetual license revenue includes</w:t>
      </w:r>
      <w:r>
        <w:rPr>
          <w:rFonts w:ascii="Arial" w:cs="Arial" w:eastAsia="Arial" w:hAnsi="Arial"/>
          <w:sz w:val="19"/>
          <w:szCs w:val="19"/>
          <w:b w:val="1"/>
          <w:bCs w:val="1"/>
          <w:color w:val="auto"/>
        </w:rPr>
        <w:t xml:space="preserve"> </w:t>
      </w:r>
      <w:r>
        <w:rPr>
          <w:rFonts w:ascii="Arial" w:cs="Arial" w:eastAsia="Arial" w:hAnsi="Arial"/>
          <w:sz w:val="19"/>
          <w:szCs w:val="19"/>
          <w:color w:val="auto"/>
        </w:rPr>
        <w:t>software license revenue from the sale of perpetual licenses, and Creative Finishing. Other revenue includes revenue such as standalone consulting and training, and is recognized over time as the services are performed.</w:t>
      </w:r>
    </w:p>
    <w:p>
      <w:pPr>
        <w:spacing w:after="0" w:line="126" w:lineRule="exact"/>
        <w:rPr>
          <w:sz w:val="20"/>
          <w:szCs w:val="20"/>
          <w:color w:val="auto"/>
        </w:rPr>
      </w:pPr>
    </w:p>
    <w:p>
      <w:pPr>
        <w:ind w:right="40"/>
        <w:spacing w:after="0" w:line="304" w:lineRule="auto"/>
        <w:rPr>
          <w:sz w:val="20"/>
          <w:szCs w:val="20"/>
          <w:color w:val="auto"/>
        </w:rPr>
      </w:pPr>
      <w:r>
        <w:rPr>
          <w:rFonts w:ascii="Arial" w:cs="Arial" w:eastAsia="Arial" w:hAnsi="Arial"/>
          <w:sz w:val="19"/>
          <w:szCs w:val="19"/>
          <w:b w:val="1"/>
          <w:bCs w:val="1"/>
          <w:color w:val="auto"/>
        </w:rPr>
        <w:t xml:space="preserve">Maintenance Plan: </w:t>
      </w:r>
      <w:r>
        <w:rPr>
          <w:rFonts w:ascii="Arial" w:cs="Arial" w:eastAsia="Arial" w:hAnsi="Arial"/>
          <w:sz w:val="19"/>
          <w:szCs w:val="19"/>
          <w:color w:val="auto"/>
        </w:rPr>
        <w:t>Our maintenance plans provide our customers with a cost effective and predictable budgetary option to obtain</w:t>
      </w:r>
      <w:r>
        <w:rPr>
          <w:rFonts w:ascii="Arial" w:cs="Arial" w:eastAsia="Arial" w:hAnsi="Arial"/>
          <w:sz w:val="19"/>
          <w:szCs w:val="19"/>
          <w:b w:val="1"/>
          <w:bCs w:val="1"/>
          <w:color w:val="auto"/>
        </w:rPr>
        <w:t xml:space="preserve"> </w:t>
      </w:r>
      <w:r>
        <w:rPr>
          <w:rFonts w:ascii="Arial" w:cs="Arial" w:eastAsia="Arial" w:hAnsi="Arial"/>
          <w:sz w:val="19"/>
          <w:szCs w:val="19"/>
          <w:color w:val="auto"/>
        </w:rPr>
        <w:t>the 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76" w:lineRule="exact"/>
        <w:rPr>
          <w:sz w:val="20"/>
          <w:szCs w:val="20"/>
          <w:color w:val="auto"/>
        </w:rPr>
      </w:pPr>
    </w:p>
    <w:p>
      <w:pPr>
        <w:ind w:right="240"/>
        <w:spacing w:after="0" w:line="304" w:lineRule="auto"/>
        <w:rPr>
          <w:sz w:val="20"/>
          <w:szCs w:val="20"/>
          <w:color w:val="auto"/>
        </w:rPr>
      </w:pPr>
      <w:r>
        <w:rPr>
          <w:rFonts w:ascii="Arial" w:cs="Arial" w:eastAsia="Arial" w:hAnsi="Arial"/>
          <w:sz w:val="19"/>
          <w:szCs w:val="19"/>
          <w:b w:val="1"/>
          <w:bCs w:val="1"/>
          <w:color w:val="auto"/>
        </w:rPr>
        <w:t xml:space="preserve">Recurring Revenue: </w:t>
      </w:r>
      <w:r>
        <w:rPr>
          <w:rFonts w:ascii="Arial" w:cs="Arial" w:eastAsia="Arial" w:hAnsi="Arial"/>
          <w:sz w:val="19"/>
          <w:szCs w:val="19"/>
          <w:color w:val="auto"/>
        </w:rPr>
        <w:t>Consists of the revenue for the period from our traditional maintenance plans and revenue from our</w:t>
      </w:r>
      <w:r>
        <w:rPr>
          <w:rFonts w:ascii="Arial" w:cs="Arial" w:eastAsia="Arial" w:hAnsi="Arial"/>
          <w:sz w:val="19"/>
          <w:szCs w:val="19"/>
          <w:b w:val="1"/>
          <w:bCs w:val="1"/>
          <w:color w:val="auto"/>
        </w:rPr>
        <w:t xml:space="preserve"> </w:t>
      </w:r>
      <w:r>
        <w:rPr>
          <w:rFonts w:ascii="Arial" w:cs="Arial" w:eastAsia="Arial" w:hAnsi="Arial"/>
          <w:sz w:val="19"/>
          <w:szCs w:val="19"/>
          <w:color w:val="auto"/>
        </w:rPr>
        <w:t>subscription plan offerings. It 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585" w:right="319" w:bottom="1440" w:gutter="0" w:footer="0" w:header="0"/>
        </w:sectPr>
      </w:pPr>
    </w:p>
    <w:bookmarkStart w:id="10" w:name="page11"/>
    <w:bookmarkEnd w:id="10"/>
    <w:p>
      <w:pPr>
        <w:ind w:right="220"/>
        <w:spacing w:after="0" w:line="252" w:lineRule="auto"/>
        <w:rPr>
          <w:sz w:val="20"/>
          <w:szCs w:val="20"/>
          <w:color w:val="auto"/>
        </w:rPr>
      </w:pPr>
      <w:r>
        <w:rPr>
          <w:rFonts w:ascii="Arial" w:cs="Arial" w:eastAsia="Arial" w:hAnsi="Arial"/>
          <w:sz w:val="22"/>
          <w:szCs w:val="22"/>
          <w:b w:val="1"/>
          <w:bCs w:val="1"/>
          <w:color w:val="auto"/>
        </w:rPr>
        <w:t xml:space="preserve">Subscription Plan: </w:t>
      </w:r>
      <w:r>
        <w:rPr>
          <w:rFonts w:ascii="Arial" w:cs="Arial" w:eastAsia="Arial" w:hAnsi="Arial"/>
          <w:sz w:val="22"/>
          <w:szCs w:val="22"/>
          <w:color w:val="auto"/>
        </w:rPr>
        <w:t>Comprises our term-based product subscriptions, cloud service offerings, and enterprise business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(EBAs). Subscriptions represent a hybrid of desktop and SaaS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21"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b w:val="1"/>
          <w:bCs w:val="1"/>
          <w:color w:val="auto"/>
        </w:rPr>
        <w:t xml:space="preserve">Subscription Revenue: </w:t>
      </w:r>
      <w:r>
        <w:rPr>
          <w:rFonts w:ascii="Arial" w:cs="Arial" w:eastAsia="Arial" w:hAnsi="Arial"/>
          <w:sz w:val="22"/>
          <w:szCs w:val="22"/>
          <w:color w:val="auto"/>
        </w:rPr>
        <w:t>Includes subscription fees from term-based product subscriptions, flexible enterprise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arrangements and all other services as part of a bundled subscription agreement accounted for as a single unit of accounting. (</w:t>
      </w:r>
      <w:r>
        <w:rPr>
          <w:rFonts w:ascii="Arial" w:cs="Arial" w:eastAsia="Arial" w:hAnsi="Arial"/>
          <w:sz w:val="22"/>
          <w:szCs w:val="22"/>
          <w:i w:val="1"/>
          <w:iCs w:val="1"/>
          <w:color w:val="auto"/>
        </w:rPr>
        <w:t>i.e.</w:t>
      </w:r>
      <w:r>
        <w:rPr>
          <w:rFonts w:ascii="Arial" w:cs="Arial" w:eastAsia="Arial" w:hAnsi="Arial"/>
          <w:sz w:val="22"/>
          <w:szCs w:val="22"/>
          <w:color w:val="auto"/>
        </w:rPr>
        <w:t xml:space="preserve"> cloud services, maintenance, and consulting).</w:t>
      </w:r>
    </w:p>
    <w:p>
      <w:pPr>
        <w:spacing w:after="0" w:line="217"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b w:val="1"/>
          <w:bCs w:val="1"/>
          <w:color w:val="auto"/>
        </w:rPr>
        <w:t xml:space="preserve">Total Subscriptions: </w:t>
      </w:r>
      <w:r>
        <w:rPr>
          <w:rFonts w:ascii="Arial" w:cs="Arial" w:eastAsia="Arial" w:hAnsi="Arial"/>
          <w:sz w:val="19"/>
          <w:szCs w:val="19"/>
          <w:color w:val="auto"/>
        </w:rPr>
        <w:t>Consists of subscriptions from our maintenance plans and subscription plan offerings that are active and paid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quarter end date. For certain cloud service offerings and flexible enterprise business arrangements,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Unbilled deferred revenue: </w:t>
      </w:r>
      <w:r>
        <w:rPr>
          <w:rFonts w:ascii="Arial" w:cs="Arial" w:eastAsia="Arial" w:hAnsi="Arial"/>
          <w:sz w:val="22"/>
          <w:szCs w:val="22"/>
          <w:color w:val="auto"/>
        </w:rPr>
        <w:t>Unbilled deferred revenue represents contractually stated or committed orders under multi-year billing</w:t>
      </w:r>
      <w:r>
        <w:rPr>
          <w:rFonts w:ascii="Arial" w:cs="Arial" w:eastAsia="Arial" w:hAnsi="Arial"/>
          <w:sz w:val="22"/>
          <w:szCs w:val="22"/>
          <w:b w:val="1"/>
          <w:bCs w:val="1"/>
          <w:color w:val="auto"/>
        </w:rPr>
        <w:t xml:space="preserve"> </w:t>
      </w:r>
      <w:r>
        <w:rPr>
          <w:rFonts w:ascii="Arial" w:cs="Arial" w:eastAsia="Arial" w:hAnsi="Arial"/>
          <w:sz w:val="22"/>
          <w:szCs w:val="22"/>
          <w:color w:val="auto"/>
        </w:rPr>
        <w:t>plans for subscription, services, license and maintenance for which the associated revenue has not been recognized and the customer has not been invoiced. Unbilled deferred revenue is not included on our Consolidated Balance Sheet until invoiced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266"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This press release contains forward-looking statements that involve risks and uncertainties, including statements regarding the effectiveness of efforts to maintain our spend, statements in the paragraphs under “Restructuring” and “Business Outlook” above, other statements about our short-term and long-term targets, statements regarding the impacts and results of our business model transition, expectations regarding the transition of product offerings to subscription and acceptance by our customers and partners of subscriptions, expectations for subscriptions and ARR, statements about the expansion of our market opportunity, statements about our restructuring activities, and other statements regarding our strategies, market and product positions, performance, and results. There are a significant number of factors that could cause actual results to differ materially from statements made in this press release, including: failure to achieve our revenue and profitability objectives; failure to successfully manage transitions to new business models and markets; failure to maintain cost reductions or otherwise control our expenses; the success of our restructuring activities; difficulty in predicting revenue from new businesses and the potential impact on our financial results from changes in our business models; general market, political, economic, and business conditions; any imposition of new tariffs or trade barriers; the impact of non-cash charges on our financial results; fluctuation in foreign currency exchange rates; the success of our foreign currency hedging program; our performance in particular geographies, including emerging economies; the ability of governments around the world to meet their financial and debt obligations, and finance infrastructure projects; weak or negative growth in the industries we serve; slowing momentum in subscription billings or revenues; difficulties encountered in integrating new or acquired businesses and technologies; the inability to identify and realize the anticipated benefits of acquisitions; the financial and business condition of our reseller and distribution channels; dependence on and the timing of large transactions; failure to achieve sufficient sell-through in our channels for new or existing products; pricing pressure; unexpected fluctuations in our annual effective tax rate; the timing and degree of expected investments in growth and efficiency opportunities; changes in the timing of product releases and retirements; and any unanticipated accounting charges.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11" w:name="page12"/>
    <w:bookmarkEnd w:id="11"/>
    <w:p>
      <w:pPr>
        <w:ind w:right="120"/>
        <w:spacing w:after="0" w:line="248" w:lineRule="auto"/>
        <w:rPr>
          <w:sz w:val="20"/>
          <w:szCs w:val="20"/>
          <w:color w:val="auto"/>
        </w:rPr>
      </w:pPr>
      <w:r>
        <w:rPr>
          <w:rFonts w:ascii="Arial" w:cs="Arial" w:eastAsia="Arial" w:hAnsi="Arial"/>
          <w:sz w:val="22"/>
          <w:szCs w:val="22"/>
          <w:color w:val="auto"/>
        </w:rPr>
        <w:t>Further information on potential factors that could affect the financial results of Autodesk are included in Autodesk's Annual Report on Form 10-K for the fiscal year ended January 31, 2017 and Quarterly Report on Form 10-Q for the fiscal quarter ended July 31, 2017, which are on file with the U.S. Securities and Exchange Commission. Autodesk disclaims any obligation to update the forward-looking statements provided to reflect events that occur or circumstances that exist after the date on which they were made.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Autodesk</w:t>
      </w:r>
    </w:p>
    <w:p>
      <w:pPr>
        <w:spacing w:after="0" w:line="26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Autodesk makes software for people who make things. If you’ve ever driven a high-performance car, admired a towering skyscraper, used a smartphone, or watched a great film, chances are you’ve experienced what millions of Autodesk customers are doing with our software. Autodesk gives you the power to make anything. For more information visit autodesk.com or follow @autodesk.</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9"/>
          <w:szCs w:val="19"/>
          <w:i w:val="1"/>
          <w:iCs w:val="1"/>
          <w:color w:val="auto"/>
        </w:rPr>
        <w:t>Autodesk, AutoCAD, AutoCAD LT, BIM 360 and Fusion 360 are registered trademarks of Autodesk, Inc., and/or its subsidiaries and/or affiliates in the USA and/or other countries. All other brand names, product names or trademarks belong to their respective holders. Autodesk reserves the right to alter product and service offerings, and specifications and pricing at any time without notice, and is not responsible for typographical or graphical errors that may appear in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2017 Autodesk, Inc. All rights reserved.</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847" w:right="31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t>Autodesk,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Condensed Consolidated Statements of Operations (1)</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 except per share data)</w:t>
      </w:r>
    </w:p>
    <w:p>
      <w:pPr>
        <w:spacing w:after="0" w:line="164" w:lineRule="exact"/>
        <w:rPr>
          <w:sz w:val="20"/>
          <w:szCs w:val="20"/>
          <w:color w:val="auto"/>
        </w:rPr>
      </w:pPr>
    </w:p>
    <w:tbl>
      <w:tblPr>
        <w:tblLayout w:type="fixed"/>
        <w:tblInd w:w="7900" w:type="dxa"/>
        <w:tblCellMar>
          <w:top w:w="0" w:type="dxa"/>
          <w:left w:w="0" w:type="dxa"/>
          <w:bottom w:w="0" w:type="dxa"/>
          <w:right w:w="0" w:type="dxa"/>
        </w:tblCellMar>
      </w:tblPr>
      <w:tr>
        <w:trPr>
          <w:trHeight w:val="161"/>
        </w:trPr>
        <w:tc>
          <w:tcPr>
            <w:tcW w:w="1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1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October 31,</w:t>
            </w: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October 31,</w:t>
            </w:r>
          </w:p>
        </w:tc>
      </w:tr>
      <w:tr>
        <w:trPr>
          <w:trHeight w:val="258"/>
        </w:trPr>
        <w:tc>
          <w:tcPr>
            <w:tcW w:w="8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84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7620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1413" w:right="239" w:bottom="1440" w:gutter="0" w:footer="0" w:header="0"/>
        </w:sect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maintenance and subscription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maintenance and subscription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license and other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(benefits) charges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   244.4</w:t>
            </w: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   273.2</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   769.8</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   835.1</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231.1</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600.6</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299.7</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1,370.4</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1,134.8</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417.4</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1,502.8</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1,552.2</w:t>
            </w:r>
          </w:p>
        </w:tc>
      </w:tr>
      <w:tr>
        <w:trPr>
          <w:trHeight w:val="54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140.2</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259.0</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437.8</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1,272.5</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1,293.2</w:t>
            </w:r>
          </w:p>
        </w:tc>
      </w:tr>
      <w:tr>
        <w:trPr>
          <w:trHeight w:val="54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738.9</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573.3</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579.1</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213.7</w:t>
            </w:r>
          </w:p>
        </w:tc>
      </w:tr>
      <w:tr>
        <w:trPr>
          <w:trHeight w:val="270"/>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
              <w:spacing w:after="0"/>
              <w:rPr>
                <w:sz w:val="20"/>
                <w:szCs w:val="20"/>
                <w:color w:val="auto"/>
              </w:rPr>
            </w:pPr>
            <w:r>
              <w:rPr>
                <w:rFonts w:ascii="Arial" w:cs="Arial" w:eastAsia="Arial" w:hAnsi="Arial"/>
                <w:sz w:val="16"/>
                <w:szCs w:val="16"/>
                <w:color w:val="auto"/>
              </w:rPr>
              <w:t>537.8</w:t>
            </w: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1,599.7</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1,625.7</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(332.5)</w:t>
            </w:r>
          </w:p>
        </w:tc>
      </w:tr>
      <w:tr>
        <w:trPr>
          <w:trHeight w:val="270"/>
        </w:trPr>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(355.6)</w:t>
            </w:r>
          </w:p>
        </w:tc>
      </w:tr>
      <w:tr>
        <w:trPr>
          <w:trHeight w:val="270"/>
        </w:trPr>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(53.1)</w:t>
            </w:r>
          </w:p>
        </w:tc>
      </w:tr>
    </w:tbl>
    <w:p>
      <w:pPr>
        <w:spacing w:after="0" w:line="13" w:lineRule="exact"/>
        <w:rPr>
          <w:sz w:val="20"/>
          <w:szCs w:val="20"/>
          <w:color w:val="auto"/>
        </w:rPr>
      </w:pPr>
    </w:p>
    <w:p>
      <w:pPr>
        <w:sectPr>
          <w:pgSz w:w="11900" w:h="16838" w:orient="portrait"/>
          <w:cols w:equalWidth="0" w:num="2">
            <w:col w:w="7180" w:space="720"/>
            <w:col w:w="3520"/>
          </w:cols>
          <w:pgMar w:left="240" w:top="141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9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right="40" w:firstLine="8"/>
        <w:spacing w:after="0" w:line="268" w:lineRule="auto"/>
        <w:tabs>
          <w:tab w:leader="none" w:pos="23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first quarter of fiscal 2018, in order to improve the transparency of our revenue reporting, we updated our Condensed Consolidated Statement of Operations to include three lines of revenue: maintenance revenue, subscription revenue, and license and other revenue. In this format, all subscription revenue is reported in the subscription line and all maintenance revenue is reported in the maintenance line. All remaining non-recurring revenue is reported as license and other revenue. Cost of revenue was updated consistent with the changes noted in revenue and to separately state the amount of amortization from developed technology to be consistent with the presentation of the amortization of purchased intangibles within operating expenses. This simplified the reconciliation between the income statement presentation and recurring revenue, and improved the link between our financial statements and our business model transition.</w:t>
      </w:r>
    </w:p>
    <w:p>
      <w:pPr>
        <w:sectPr>
          <w:pgSz w:w="11900" w:h="16838" w:orient="portrait"/>
          <w:cols w:equalWidth="0" w:num="1">
            <w:col w:w="11420"/>
          </w:cols>
          <w:pgMar w:left="240" w:top="14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13" w:right="23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t>Autodesk,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19" w:lineRule="exact"/>
        <w:rPr>
          <w:sz w:val="20"/>
          <w:szCs w:val="20"/>
          <w:color w:val="auto"/>
        </w:rPr>
      </w:pPr>
    </w:p>
    <w:p>
      <w:pPr>
        <w:jc w:val="right"/>
        <w:ind w:right="140"/>
        <w:spacing w:after="0"/>
        <w:tabs>
          <w:tab w:leader="none" w:pos="1040" w:val="left"/>
        </w:tabs>
        <w:rPr>
          <w:sz w:val="20"/>
          <w:szCs w:val="20"/>
          <w:color w:val="auto"/>
        </w:rPr>
      </w:pPr>
      <w:r>
        <w:rPr>
          <w:rFonts w:ascii="Arial" w:cs="Arial" w:eastAsia="Arial" w:hAnsi="Arial"/>
          <w:sz w:val="14"/>
          <w:szCs w:val="14"/>
          <w:b w:val="1"/>
          <w:bCs w:val="1"/>
          <w:color w:val="auto"/>
        </w:rPr>
        <w:t>October 31, 2017</w:t>
      </w:r>
      <w:r>
        <w:rPr>
          <w:sz w:val="20"/>
          <w:szCs w:val="20"/>
          <w:color w:val="auto"/>
        </w:rPr>
        <w:tab/>
      </w:r>
      <w:r>
        <w:rPr>
          <w:rFonts w:ascii="Arial" w:cs="Arial" w:eastAsia="Arial" w:hAnsi="Arial"/>
          <w:sz w:val="13"/>
          <w:szCs w:val="13"/>
          <w:b w:val="1"/>
          <w:bCs w:val="1"/>
          <w:color w:val="auto"/>
        </w:rPr>
        <w:t>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3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6"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notes payable,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notes payable,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and additional 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1,213.1</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686.8</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452.3</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2,460.6</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306.2</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158.6</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1,561.1</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202.0</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4,152.0</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4,798.1</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58"/>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93.5</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1,270.1</w:t>
            </w:r>
          </w:p>
        </w:tc>
      </w:tr>
      <w:tr>
        <w:trPr>
          <w:trHeight w:val="270"/>
        </w:trPr>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398.7</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2,185.4</w:t>
            </w:r>
          </w:p>
        </w:tc>
      </w:tr>
      <w:tr>
        <w:trPr>
          <w:trHeight w:val="33"/>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517.9</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91.5</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1,092.0</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540"/>
        </w:trPr>
        <w:tc>
          <w:tcPr>
            <w:tcW w:w="4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1,930.8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1,876.3</w:t>
            </w:r>
          </w:p>
        </w:tc>
      </w:tr>
      <w:tr>
        <w:trPr>
          <w:trHeight w:val="270"/>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70"/>
        </w:trPr>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(964.2)</w:t>
            </w:r>
          </w:p>
        </w:tc>
      </w:tr>
    </w:tbl>
    <w:p>
      <w:pPr>
        <w:spacing w:after="0" w:line="13" w:lineRule="exact"/>
        <w:rPr>
          <w:sz w:val="20"/>
          <w:szCs w:val="20"/>
          <w:color w:val="auto"/>
        </w:rPr>
      </w:pPr>
    </w:p>
    <w:p>
      <w:pPr>
        <w:sectPr>
          <w:pgSz w:w="11900" w:h="16838" w:orient="portrait"/>
          <w:cols w:equalWidth="0" w:num="2">
            <w:col w:w="7860" w:space="720"/>
            <w:col w:w="2840"/>
          </w:cols>
          <w:pgMar w:left="240" w:top="819"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733.6</w:t>
            </w:r>
          </w:p>
        </w:tc>
      </w:tr>
      <w:tr>
        <w:trPr>
          <w:trHeight w:val="33"/>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4,798.1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19" w:right="2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t>Autodesk,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Condensed Consolidated Statements of Cash Flows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w:t>
      </w:r>
    </w:p>
    <w:p>
      <w:pPr>
        <w:spacing w:after="0" w:line="338" w:lineRule="exact"/>
        <w:rPr>
          <w:sz w:val="20"/>
          <w:szCs w:val="20"/>
          <w:color w:val="auto"/>
        </w:rPr>
      </w:pPr>
    </w:p>
    <w:p>
      <w:pPr>
        <w:jc w:val="center"/>
        <w:ind w:left="8840"/>
        <w:spacing w:after="0"/>
        <w:rPr>
          <w:sz w:val="20"/>
          <w:szCs w:val="20"/>
          <w:color w:val="auto"/>
        </w:rPr>
      </w:pPr>
      <w:r>
        <w:rPr>
          <w:rFonts w:ascii="Arial" w:cs="Arial" w:eastAsia="Arial" w:hAnsi="Arial"/>
          <w:sz w:val="13"/>
          <w:szCs w:val="13"/>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31115</wp:posOffset>
            </wp:positionV>
            <wp:extent cx="1663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14" w:lineRule="exact"/>
        <w:rPr>
          <w:sz w:val="20"/>
          <w:szCs w:val="20"/>
          <w:color w:val="auto"/>
        </w:rPr>
      </w:pPr>
    </w:p>
    <w:p>
      <w:pPr>
        <w:ind w:left="9300"/>
        <w:spacing w:after="0"/>
        <w:tabs>
          <w:tab w:leader="none" w:pos="10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Restructuring charges and other facility exit costs,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 net of acquisitions: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provided by operating activities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marketable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Maturities of marketable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Acquisitions, net of cash acquired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investing activities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common stock, net of issuance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Taxes paid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 and retirement of common stock</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debt, net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 of debt</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financing activities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(393.4)</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(408.7)</w:t>
            </w:r>
          </w:p>
        </w:tc>
      </w:tr>
      <w:tr>
        <w:trPr>
          <w:trHeight w:val="540"/>
        </w:trPr>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104.5</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162.5</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540"/>
        </w:trPr>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393.8</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154.1</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(1,106.4)</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544.7</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1,012.6</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70"/>
        </w:trPr>
        <w:tc>
          <w:tcPr>
            <w:tcW w:w="4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285.8</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102.2</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(397.6)</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sectPr>
          <w:pgSz w:w="11900" w:h="16838" w:orient="portrait"/>
          <w:cols w:equalWidth="0" w:num="2">
            <w:col w:w="8080" w:space="720"/>
            <w:col w:w="2620"/>
          </w:cols>
          <w:pgMar w:left="24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(354.3)</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1,353.0</w:t>
            </w: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38" w:right="239"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t>Autodesk,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Reconciliation of GAAP financial measures to non-GAAP financial measures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 except per share data)</w:t>
      </w:r>
    </w:p>
    <w:p>
      <w:pPr>
        <w:spacing w:after="0" w:line="252" w:lineRule="exact"/>
        <w:rPr>
          <w:sz w:val="20"/>
          <w:szCs w:val="20"/>
          <w:color w:val="auto"/>
        </w:rPr>
      </w:pPr>
    </w:p>
    <w:p>
      <w:pPr>
        <w:ind w:left="40" w:right="140"/>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Autodesk provides investors with certain non-GAAP measures including non-GAAP gross margin, non-GAAP operating expenses, non-GAAP operating margin, non-GAAP net income, non-GAAP net income per share, and non-GAAP diluted shares used in per share calculation. These non-GAAP financial measures are adjusted to exclude certain costs, expenses, gains and losses, including stock-based compensation expense, CEO transition costs, restructuring (benefits) charges and other facility exit costs, amortization of developed technology, amortization of purchased intangibles, gain and loss on strategic investments and dispositions, and related income tax expenses. See our reconciliation of GAAP financial measures to non-GAAP financial measures herein. We believe these exclusions are appropriate to enhance an overall understanding of our past financial performance and also our prospects for the future, as well as to facilitate comparisons with our historical operating results. These adjustments to our GAAP results are made with the intent of providing both management and investors a more complete understanding of Autodesk's underlying operational results and trends and our marketplace performance. For example, non-GAAP results are an indication of our baseline performance before gains, losses or other charges that are considered by management to be outside our core operating results. In addition, these non-GAAP financial measures are among the indicators management uses as a basis for our planning and forecasting of future periods.</w:t>
      </w:r>
    </w:p>
    <w:p>
      <w:pPr>
        <w:spacing w:after="0" w:line="11" w:lineRule="exact"/>
        <w:rPr>
          <w:sz w:val="20"/>
          <w:szCs w:val="20"/>
          <w:color w:val="auto"/>
        </w:rPr>
      </w:pPr>
    </w:p>
    <w:p>
      <w:pPr>
        <w:ind w:left="40" w:right="100"/>
        <w:spacing w:after="0" w:line="255" w:lineRule="auto"/>
        <w:rPr>
          <w:sz w:val="20"/>
          <w:szCs w:val="20"/>
          <w:color w:val="auto"/>
        </w:rPr>
      </w:pPr>
      <w:r>
        <w:rPr>
          <w:rFonts w:ascii="Arial" w:cs="Arial" w:eastAsia="Arial" w:hAnsi="Arial"/>
          <w:sz w:val="18"/>
          <w:szCs w:val="18"/>
          <w:color w:val="auto"/>
        </w:rPr>
        <w:t>There are limitations in using non-GAAP financial measures because the non-GAAP financial measures are not prepared in accordance with generally accepted accounting principles and may be different from non-GAAP financial measures used by other companies. The non-GAAP financial measures are limited in value because they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 in the United States. Investors should review the reconciliation of the non-GAAP financial measures to their most directly comparable GAAP financial measures as provided in the tables accompanying this press release.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shows Autodesk's non-GAAP results reconciled to GAAP results included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r>
      <w:tr>
        <w:trPr>
          <w:trHeight w:val="264"/>
        </w:trPr>
        <w:tc>
          <w:tcPr>
            <w:tcW w:w="69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r>
      <w:tr>
        <w:trPr>
          <w:trHeight w:val="244"/>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21"/>
                <w:szCs w:val="21"/>
                <w:color w:val="auto"/>
              </w:rPr>
            </w:pPr>
          </w:p>
        </w:tc>
      </w:tr>
      <w:tr>
        <w:trPr>
          <w:trHeight w:val="174"/>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cost of maintenance and subscription revenue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cost of maintenance and subscription revenue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cost of license and other revenue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cost of license and other revenue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amortization of developed technology</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amortization of developed technology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gross profit</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1,293.2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1,296.8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1,335.5</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GAAP marketing and sales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738.9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Non-GAAP marketing and sales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669.9</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5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954"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GAAP research and development</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research and development</w:t>
            </w:r>
          </w:p>
        </w:tc>
        <w:tc>
          <w:tcPr>
            <w:tcW w:w="1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GAAP general and administrative</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CEO transition costs (1)</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general and administrative</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amortization of purchased intangibles</w:t>
            </w:r>
          </w:p>
        </w:tc>
        <w:tc>
          <w:tcPr>
            <w:tcW w:w="1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amortization of purchased intangibles</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GAAP restructuring (benefits) charges and other facility exit costs, net</w:t>
            </w:r>
          </w:p>
        </w:tc>
        <w:tc>
          <w:tcPr>
            <w:tcW w:w="1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Non-GAAP restructuring (benefits) charges and other facility exit costs, net</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expenses</w:t>
            </w:r>
          </w:p>
        </w:tc>
        <w:tc>
          <w:tcPr>
            <w:tcW w:w="17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1,625.7</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CEO transition costs (1)</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1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operating expenses</w:t>
            </w:r>
          </w:p>
        </w:tc>
        <w:tc>
          <w:tcPr>
            <w:tcW w:w="1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1,379.5</w:t>
            </w: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GAAP Spend</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1,830.0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1,884.7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CEO transition costs (1)</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1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Spend</w:t>
            </w:r>
          </w:p>
        </w:tc>
        <w:tc>
          <w:tcPr>
            <w:tcW w:w="1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1,596.2</w:t>
            </w:r>
          </w:p>
        </w:tc>
        <w:tc>
          <w:tcPr>
            <w:tcW w:w="0" w:type="dxa"/>
            <w:vAlign w:val="bottom"/>
          </w:tcPr>
          <w:p>
            <w:pPr>
              <w:spacing w:after="0"/>
              <w:rPr>
                <w:sz w:val="1"/>
                <w:szCs w:val="1"/>
                <w:color w:val="auto"/>
              </w:rPr>
            </w:pPr>
          </w:p>
        </w:tc>
      </w:tr>
      <w:tr>
        <w:trPr>
          <w:trHeight w:val="284"/>
        </w:trPr>
        <w:tc>
          <w:tcPr>
            <w:tcW w:w="5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GAAP loss from operations</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CEO transition costs (1)</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1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(loss) income from operations</w:t>
            </w:r>
          </w:p>
        </w:tc>
        <w:tc>
          <w:tcPr>
            <w:tcW w:w="1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GAAP interest and other expense, net</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strategic investments and dispositions</w:t>
            </w:r>
          </w:p>
        </w:tc>
        <w:tc>
          <w:tcPr>
            <w:tcW w:w="1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interest and other expense, net</w:t>
            </w:r>
          </w:p>
        </w:tc>
        <w:tc>
          <w:tcPr>
            <w:tcW w:w="14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84"/>
        </w:trPr>
        <w:tc>
          <w:tcPr>
            <w:tcW w:w="5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GAAP provision for income taxes</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Discrete GAAP tax items</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Income tax effect of non-GAAP adjustments</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benefit (provision) for income tax</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071" w:right="239" w:bottom="954"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CEO transition costs (1)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strategic investments and 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Discrete GAAP tax items</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effect of non-GAAP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(loss)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311"/>
        </w:trPr>
        <w:tc>
          <w:tcPr>
            <w:tcW w:w="6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GAAP diluted net loss per share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CEO transition costs (1)</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(benefits) charges and other facility exit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Loss (gain) on strategic investments and dispositions</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Discrete GAAP tax items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effect of non-GAAP adjustments</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net (loss) income per share (2)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diluted shares used in per share calculation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9"/>
        </w:trPr>
        <w:tc>
          <w:tcPr>
            <w:tcW w:w="6980" w:type="dxa"/>
            <w:vAlign w:val="bottom"/>
          </w:tcPr>
          <w:p>
            <w:pPr>
              <w:ind w:left="40"/>
              <w:spacing w:after="0"/>
              <w:rPr>
                <w:sz w:val="20"/>
                <w:szCs w:val="20"/>
                <w:color w:val="auto"/>
              </w:rPr>
            </w:pPr>
            <w:r>
              <w:rPr>
                <w:rFonts w:ascii="Arial" w:cs="Arial" w:eastAsia="Arial" w:hAnsi="Arial"/>
                <w:sz w:val="18"/>
                <w:szCs w:val="18"/>
                <w:color w:val="auto"/>
                <w:w w:val="96"/>
              </w:rPr>
              <w:t>Shares included in non-GAAP net income per share, but excluded from GAAP net loss per</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share as they would have been anti-dilutive</w:t>
            </w:r>
          </w:p>
        </w:tc>
        <w:tc>
          <w:tcPr>
            <w:tcW w:w="3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weighted average shares used in per share calculation</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40" w:hanging="412"/>
        <w:spacing w:after="0" w:line="265" w:lineRule="auto"/>
        <w:tabs>
          <w:tab w:leader="none" w:pos="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CEO transition costs include stock-based compensation of $16.6 million related to the acceleration of eligible stock awards in the nine months ended October 31, 2017. CEO transition costs also include severance payments, legal fees incurred with the CEO transition and recruiting costs related to the search for a new CEO.</w:t>
      </w:r>
    </w:p>
    <w:p>
      <w:pPr>
        <w:spacing w:after="0" w:line="1" w:lineRule="exact"/>
        <w:rPr>
          <w:rFonts w:ascii="Arial" w:cs="Arial" w:eastAsia="Arial" w:hAnsi="Arial"/>
          <w:sz w:val="15"/>
          <w:szCs w:val="15"/>
          <w:color w:val="auto"/>
        </w:rPr>
      </w:pPr>
    </w:p>
    <w:p>
      <w:pPr>
        <w:ind w:left="420" w:right="20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5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AUTODESK, INC. (ADSK)</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FISCAL 2018 EARNINGS ANNOUNCEMENT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NOVEMBER 28,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PREPARED REMARKS</w:t>
      </w:r>
    </w:p>
    <w:p>
      <w:pPr>
        <w:spacing w:after="0" w:line="283"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Autodesk posts its prepared remarks and press release to its IR website to provide shareholders and analysts with additional detail to analyze results prior to its quarterly conference call. The call begins today, November 28, 2017 at 2:00 p.m. PT (5:00 p.m. ET) and will include only brief comments followed by Q&amp;A.</w:t>
      </w:r>
    </w:p>
    <w:p>
      <w:pPr>
        <w:spacing w:after="0" w:line="22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 xml:space="preserve">To access the broadcast of the Q&amp;A session, visit the IR section of our website at </w:t>
      </w:r>
      <w:r>
        <w:rPr>
          <w:rFonts w:ascii="Arial" w:cs="Arial" w:eastAsia="Arial" w:hAnsi="Arial"/>
          <w:sz w:val="22"/>
          <w:szCs w:val="22"/>
          <w:u w:val="single" w:color="auto"/>
          <w:color w:val="0000FF"/>
        </w:rPr>
        <w:t>www.autodesk.com/investor</w:t>
      </w:r>
      <w:r>
        <w:rPr>
          <w:rFonts w:ascii="Arial" w:cs="Arial" w:eastAsia="Arial" w:hAnsi="Arial"/>
          <w:sz w:val="22"/>
          <w:szCs w:val="22"/>
          <w:color w:val="auto"/>
        </w:rPr>
        <w:t>. A reconciliation of GAAP and non-GAAP results is provided in the tables following these prepared remarks.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Model Transition</w:t>
      </w:r>
    </w:p>
    <w:p>
      <w:pPr>
        <w:spacing w:after="0" w:line="64"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Autodesk is undergoing a business model transition in which it has discontinued most new perpetual license sales in favor of subscriptions and flexible license arrangements. As part of this transition, Autodesk discontinued new maintenance agreement sales for most individual products at the end of the fourth quarter of fiscal 2016 and for suites at the end of the second quarter of fiscal 2017. During the transition, revenue, margins, EPS, deferred revenue and cash flow from operations will be impacted as more revenue is recognized ratably rather than up front and as new product offerings generally have a lower initial purchase price. The company has introduced new metrics to help investors understand its financial performance during and after the transition, as shown below.</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Fiscal 2018 Overview (1)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3Q 2018</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YoY %</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YoY CC %</w:t>
            </w:r>
          </w:p>
        </w:tc>
        <w:tc>
          <w:tcPr>
            <w:tcW w:w="5520" w:type="dxa"/>
            <w:vAlign w:val="bottom"/>
          </w:tcPr>
          <w:p>
            <w:pPr>
              <w:ind w:left="1840"/>
              <w:spacing w:after="0"/>
              <w:rPr>
                <w:sz w:val="20"/>
                <w:szCs w:val="20"/>
                <w:color w:val="auto"/>
              </w:rPr>
            </w:pPr>
            <w:r>
              <w:rPr>
                <w:rFonts w:ascii="Arial" w:cs="Arial" w:eastAsia="Arial" w:hAnsi="Arial"/>
                <w:sz w:val="18"/>
                <w:szCs w:val="18"/>
                <w:b w:val="1"/>
                <w:bCs w:val="1"/>
                <w:color w:val="auto"/>
              </w:rPr>
              <w:t>Management Comments</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Subscription plan ARR</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Driven by growth in all subscription plan types, led by product</w:t>
            </w: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924</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106 %</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108 %</w:t>
            </w:r>
          </w:p>
        </w:tc>
        <w:tc>
          <w:tcPr>
            <w:tcW w:w="5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subscriptions.</w:t>
            </w:r>
          </w:p>
        </w:tc>
        <w:tc>
          <w:tcPr>
            <w:tcW w:w="0" w:type="dxa"/>
            <w:vAlign w:val="bottom"/>
          </w:tcPr>
          <w:p>
            <w:pPr>
              <w:spacing w:after="0"/>
              <w:rPr>
                <w:sz w:val="1"/>
                <w:szCs w:val="1"/>
                <w:color w:val="auto"/>
              </w:rPr>
            </w:pPr>
          </w:p>
        </w:tc>
      </w:tr>
      <w:tr>
        <w:trPr>
          <w:trHeight w:val="229"/>
        </w:trPr>
        <w:tc>
          <w:tcPr>
            <w:tcW w:w="2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Maintenance plan ARR</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520" w:type="dxa"/>
            <w:vAlign w:val="bottom"/>
          </w:tcPr>
          <w:p>
            <w:pPr>
              <w:ind w:left="80"/>
              <w:spacing w:after="0"/>
              <w:rPr>
                <w:sz w:val="20"/>
                <w:szCs w:val="20"/>
                <w:color w:val="auto"/>
              </w:rPr>
            </w:pPr>
            <w:r>
              <w:rPr>
                <w:rFonts w:ascii="Arial" w:cs="Arial" w:eastAsia="Arial" w:hAnsi="Arial"/>
                <w:sz w:val="18"/>
                <w:szCs w:val="18"/>
                <w:color w:val="auto"/>
                <w:w w:val="99"/>
              </w:rPr>
              <w:t>Driven by the migration of maintenance plan subscriptions to product</w:t>
            </w:r>
          </w:p>
        </w:tc>
        <w:tc>
          <w:tcPr>
            <w:tcW w:w="0" w:type="dxa"/>
            <w:vAlign w:val="bottom"/>
          </w:tcPr>
          <w:p>
            <w:pPr>
              <w:spacing w:after="0"/>
              <w:rPr>
                <w:sz w:val="1"/>
                <w:szCs w:val="1"/>
                <w:color w:val="auto"/>
              </w:rPr>
            </w:pPr>
          </w:p>
        </w:tc>
      </w:tr>
      <w:tr>
        <w:trPr>
          <w:trHeight w:val="230"/>
        </w:trPr>
        <w:tc>
          <w:tcPr>
            <w:tcW w:w="2060" w:type="dxa"/>
            <w:vAlign w:val="bottom"/>
            <w:vMerge w:val="continue"/>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978</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520" w:type="dxa"/>
            <w:vAlign w:val="bottom"/>
          </w:tcPr>
          <w:p>
            <w:pPr>
              <w:ind w:left="80"/>
              <w:spacing w:after="0"/>
              <w:rPr>
                <w:sz w:val="20"/>
                <w:szCs w:val="20"/>
                <w:color w:val="auto"/>
              </w:rPr>
            </w:pPr>
            <w:r>
              <w:rPr>
                <w:rFonts w:ascii="Arial" w:cs="Arial" w:eastAsia="Arial" w:hAnsi="Arial"/>
                <w:sz w:val="18"/>
                <w:szCs w:val="18"/>
                <w:color w:val="auto"/>
              </w:rPr>
              <w:t>subscriptions.</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ARR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1,902</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24 %</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25 %</w:t>
            </w:r>
          </w:p>
        </w:tc>
        <w:tc>
          <w:tcPr>
            <w:tcW w:w="5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3Q 2018</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QoQ Change</w:t>
            </w:r>
          </w:p>
        </w:tc>
        <w:tc>
          <w:tcPr>
            <w:tcW w:w="5600" w:type="dxa"/>
            <w:vAlign w:val="bottom"/>
          </w:tcPr>
          <w:p>
            <w:pPr>
              <w:ind w:left="1860"/>
              <w:spacing w:after="0"/>
              <w:rPr>
                <w:sz w:val="20"/>
                <w:szCs w:val="20"/>
                <w:color w:val="auto"/>
              </w:rPr>
            </w:pPr>
            <w:r>
              <w:rPr>
                <w:rFonts w:ascii="Arial" w:cs="Arial" w:eastAsia="Arial" w:hAnsi="Arial"/>
                <w:sz w:val="18"/>
                <w:szCs w:val="18"/>
                <w:b w:val="1"/>
                <w:bCs w:val="1"/>
                <w:color w:val="auto"/>
              </w:rPr>
              <w:t>Management Comments</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Driven by growth in all subscription plan types, led by new product</w:t>
            </w:r>
          </w:p>
        </w:tc>
        <w:tc>
          <w:tcPr>
            <w:tcW w:w="0" w:type="dxa"/>
            <w:vAlign w:val="bottom"/>
          </w:tcPr>
          <w:p>
            <w:pPr>
              <w:spacing w:after="0" w:line="20" w:lineRule="exact"/>
              <w:rPr>
                <w:sz w:val="1"/>
                <w:szCs w:val="1"/>
                <w:color w:val="auto"/>
              </w:rPr>
            </w:pPr>
          </w:p>
        </w:tc>
      </w:tr>
      <w:tr>
        <w:trPr>
          <w:trHeight w:val="229"/>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Subscription plan subscriptions</w:t>
            </w: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1,896,000</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307,000</w:t>
            </w:r>
          </w:p>
        </w:tc>
        <w:tc>
          <w:tcPr>
            <w:tcW w:w="5600" w:type="dxa"/>
            <w:vAlign w:val="bottom"/>
          </w:tcPr>
          <w:p>
            <w:pPr>
              <w:ind w:left="40"/>
              <w:spacing w:after="0"/>
              <w:rPr>
                <w:sz w:val="20"/>
                <w:szCs w:val="20"/>
                <w:color w:val="auto"/>
              </w:rPr>
            </w:pPr>
            <w:r>
              <w:rPr>
                <w:rFonts w:ascii="Arial" w:cs="Arial" w:eastAsia="Arial" w:hAnsi="Arial"/>
                <w:sz w:val="18"/>
                <w:szCs w:val="18"/>
                <w:color w:val="auto"/>
              </w:rPr>
              <w:t>subscriptions and migration from maintenance plan subscriptions.</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Maintenance plan subscriptions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1,693,000</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(161,000)</w:t>
            </w:r>
          </w:p>
        </w:tc>
        <w:tc>
          <w:tcPr>
            <w:tcW w:w="5600" w:type="dxa"/>
            <w:vAlign w:val="bottom"/>
          </w:tcPr>
          <w:p>
            <w:pPr>
              <w:ind w:left="40"/>
              <w:spacing w:after="0"/>
              <w:rPr>
                <w:sz w:val="20"/>
                <w:szCs w:val="20"/>
                <w:color w:val="auto"/>
              </w:rPr>
            </w:pPr>
            <w:r>
              <w:rPr>
                <w:rFonts w:ascii="Arial" w:cs="Arial" w:eastAsia="Arial" w:hAnsi="Arial"/>
                <w:sz w:val="18"/>
                <w:szCs w:val="18"/>
                <w:color w:val="auto"/>
              </w:rPr>
              <w:t>Driven by the migration to product subscriptions.</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subscriptions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3,589,000</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146,000</w:t>
            </w:r>
          </w:p>
        </w:tc>
        <w:tc>
          <w:tcPr>
            <w:tcW w:w="5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3Q 2018</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YoY %</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YoY CC %</w:t>
            </w:r>
          </w:p>
        </w:tc>
        <w:tc>
          <w:tcPr>
            <w:tcW w:w="5580" w:type="dxa"/>
            <w:vAlign w:val="bottom"/>
          </w:tcPr>
          <w:p>
            <w:pPr>
              <w:ind w:left="1880"/>
              <w:spacing w:after="0"/>
              <w:rPr>
                <w:sz w:val="20"/>
                <w:szCs w:val="20"/>
                <w:color w:val="auto"/>
              </w:rPr>
            </w:pPr>
            <w:r>
              <w:rPr>
                <w:rFonts w:ascii="Arial" w:cs="Arial" w:eastAsia="Arial" w:hAnsi="Arial"/>
                <w:sz w:val="18"/>
                <w:szCs w:val="18"/>
                <w:b w:val="1"/>
                <w:bCs w:val="1"/>
                <w:color w:val="auto"/>
              </w:rPr>
              <w:t>Management Comments</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revenue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1,764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Driven by subscription plan billings over the past four quarters.</w:t>
            </w:r>
          </w:p>
        </w:tc>
        <w:tc>
          <w:tcPr>
            <w:tcW w:w="0" w:type="dxa"/>
            <w:vAlign w:val="bottom"/>
          </w:tcPr>
          <w:p>
            <w:pPr>
              <w:spacing w:after="0"/>
              <w:rPr>
                <w:sz w:val="1"/>
                <w:szCs w:val="1"/>
                <w:color w:val="auto"/>
              </w:rPr>
            </w:pPr>
          </w:p>
        </w:tc>
      </w:tr>
      <w:tr>
        <w:trPr>
          <w:trHeight w:val="229"/>
        </w:trPr>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w w:val="93"/>
              </w:rPr>
              <w:t>Driven by growth in subscription plan revenue, led by product subscription</w:t>
            </w: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515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5580" w:type="dxa"/>
            <w:vAlign w:val="bottom"/>
          </w:tcPr>
          <w:p>
            <w:pPr>
              <w:ind w:left="8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GAAP spend</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Driven by higher operating expenses and currency impacts, partially offset</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flat</w:t>
            </w:r>
          </w:p>
        </w:tc>
        <w:tc>
          <w:tcPr>
            <w:tcW w:w="5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by lower costs of revenue.</w:t>
            </w:r>
          </w:p>
        </w:tc>
        <w:tc>
          <w:tcPr>
            <w:tcW w:w="0" w:type="dxa"/>
            <w:vAlign w:val="bottom"/>
          </w:tcPr>
          <w:p>
            <w:pPr>
              <w:spacing w:after="0"/>
              <w:rPr>
                <w:sz w:val="1"/>
                <w:szCs w:val="1"/>
                <w:color w:val="auto"/>
              </w:rPr>
            </w:pPr>
          </w:p>
        </w:tc>
      </w:tr>
      <w:tr>
        <w:trPr>
          <w:trHeight w:val="229"/>
        </w:trPr>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Non-GAAP spend</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w w:val="97"/>
              </w:rPr>
              <w:t>Driven by higher operating costs, currency impacts and higher costs of</w:t>
            </w: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542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580" w:type="dxa"/>
            <w:vAlign w:val="bottom"/>
          </w:tcPr>
          <w:p>
            <w:pPr>
              <w:ind w:left="8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33"/>
        </w:trPr>
        <w:tc>
          <w:tcPr>
            <w:tcW w:w="2040" w:type="dxa"/>
            <w:vAlign w:val="bottom"/>
          </w:tcPr>
          <w:p>
            <w:pPr>
              <w:spacing w:after="0"/>
              <w:rPr>
                <w:sz w:val="20"/>
                <w:szCs w:val="20"/>
                <w:color w:val="auto"/>
              </w:rPr>
            </w:pPr>
            <w:r>
              <w:rPr>
                <w:rFonts w:ascii="Arial" w:cs="Arial" w:eastAsia="Arial" w:hAnsi="Arial"/>
                <w:sz w:val="18"/>
                <w:szCs w:val="18"/>
                <w:color w:val="auto"/>
              </w:rPr>
              <w:t>____________________</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840" w:type="dxa"/>
            <w:vAlign w:val="bottom"/>
            <w:gridSpan w:val="5"/>
          </w:tcPr>
          <w:p>
            <w:pPr>
              <w:spacing w:after="0"/>
              <w:rPr>
                <w:sz w:val="20"/>
                <w:szCs w:val="20"/>
                <w:color w:val="auto"/>
              </w:rPr>
            </w:pPr>
            <w:r>
              <w:rPr>
                <w:rFonts w:ascii="Arial" w:cs="Arial" w:eastAsia="Arial" w:hAnsi="Arial"/>
                <w:sz w:val="16"/>
                <w:szCs w:val="16"/>
                <w:color w:val="auto"/>
              </w:rPr>
              <w:t>(1) For definitions, please view the Glossary of Terms later in this document.</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5"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Annualized Recurring Revenue (ARR) Review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40"/>
              <w:spacing w:after="0"/>
              <w:rPr>
                <w:sz w:val="20"/>
                <w:szCs w:val="20"/>
                <w:color w:val="auto"/>
              </w:rPr>
            </w:pPr>
            <w:r>
              <w:rPr>
                <w:rFonts w:ascii="Arial" w:cs="Arial" w:eastAsia="Arial" w:hAnsi="Arial"/>
                <w:sz w:val="16"/>
                <w:szCs w:val="16"/>
                <w:i w:val="1"/>
                <w:iCs w:val="1"/>
                <w:color w:val="auto"/>
              </w:rPr>
              <w:t>(in millions) (1) (2)</w:t>
            </w:r>
          </w:p>
        </w:tc>
        <w:tc>
          <w:tcPr>
            <w:tcW w:w="14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3Q 2017</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4Q 2017</w:t>
            </w:r>
          </w:p>
        </w:tc>
        <w:tc>
          <w:tcPr>
            <w:tcW w:w="1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1Q 2018</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2Q 2018</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3Q 2018</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Subscription plan ARR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Maintenance plan ARR</w:t>
            </w:r>
          </w:p>
        </w:tc>
        <w:tc>
          <w:tcPr>
            <w:tcW w:w="14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1,068</w:t>
            </w:r>
          </w:p>
        </w:tc>
        <w:tc>
          <w:tcPr>
            <w:tcW w:w="1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978</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ARR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1,902</w:t>
            </w:r>
          </w:p>
        </w:tc>
      </w:tr>
      <w:tr>
        <w:trPr>
          <w:trHeight w:val="324"/>
        </w:trPr>
        <w:tc>
          <w:tcPr>
            <w:tcW w:w="5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revenue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Recurring revenue as a percentage of total revenue</w:t>
            </w:r>
          </w:p>
        </w:tc>
        <w:tc>
          <w:tcPr>
            <w:tcW w:w="1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0"/>
        </w:trPr>
        <w:tc>
          <w:tcPr>
            <w:tcW w:w="5260" w:type="dxa"/>
            <w:vAlign w:val="bottom"/>
          </w:tcPr>
          <w:p>
            <w:pPr>
              <w:spacing w:after="0"/>
              <w:rPr>
                <w:sz w:val="20"/>
                <w:szCs w:val="20"/>
                <w:color w:val="auto"/>
              </w:rPr>
            </w:pPr>
            <w:r>
              <w:rPr>
                <w:rFonts w:ascii="Arial" w:cs="Arial" w:eastAsia="Arial" w:hAnsi="Arial"/>
                <w:sz w:val="16"/>
                <w:szCs w:val="16"/>
                <w:color w:val="auto"/>
              </w:rPr>
              <w:t>___________</w:t>
            </w: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ind w:left="560" w:hanging="22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Totals may not agree with the sum of the components due to rounding.</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definitions, please view the Glossary of Terms later in this document.</w:t>
      </w:r>
    </w:p>
    <w:p>
      <w:pPr>
        <w:spacing w:after="0" w:line="209"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Subscription plan ARR was $924 million and increased 106 percent compared to the third quarter last year as reported, and 108 percent on a constant currency basis. Subscription plan ARR includes $70 million related to the maintenance-to-subscription program. Year-over-year growth in subscription plan ARR was primarily driven by growth in all subscription plan types, led by product subscription, including the maintenance-to-subscription program. On a sequential basis, subscription plan ARR increased 18 percent as reported, and on a constant currency basis. Sequential growth in subscription plan ARR was primarily driven by the maintenance-to-subscription program.</w:t>
      </w:r>
    </w:p>
    <w:p>
      <w:pPr>
        <w:spacing w:after="0" w:line="221"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Maintenance plan ARR was $978 million and decreased 10 percent compared to the third quarter last year as reported, and on a constant currency basis. On a sequential basis, maintenance plan ARR decreased 7 percent as reported, and 6 percent on a constant currency basis. Both the year-over-year and sequential decline in maintenance plan ARR was primarily driven by the migration of maintenance plan subscriptions to product subscriptions.</w:t>
      </w:r>
    </w:p>
    <w:p>
      <w:pPr>
        <w:spacing w:after="0" w:line="216"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Total ARR for the third quarter increased 24 percent to $1.90 billion compared to the third quarter last year as reported, and 25 percent on a constant currency basis. On a sequential basis, total ARR increased 4 percent as reported, and on a constant currency basis. Both year-over-year and sequential growth in total ARR was driven by growth in all subscription plan types, led by product subscription, partially offset by a decrease in maintenance plan ARR.</w:t>
      </w:r>
    </w:p>
    <w:p>
      <w:pPr>
        <w:spacing w:after="0" w:line="216" w:lineRule="exact"/>
        <w:rPr>
          <w:sz w:val="20"/>
          <w:szCs w:val="20"/>
          <w:color w:val="auto"/>
        </w:rPr>
      </w:pPr>
    </w:p>
    <w:p>
      <w:pPr>
        <w:ind w:right="1060"/>
        <w:spacing w:after="0" w:line="417" w:lineRule="auto"/>
        <w:rPr>
          <w:sz w:val="20"/>
          <w:szCs w:val="20"/>
          <w:color w:val="auto"/>
        </w:rPr>
      </w:pPr>
      <w:r>
        <w:rPr>
          <w:rFonts w:ascii="Arial" w:cs="Arial" w:eastAsia="Arial" w:hAnsi="Arial"/>
          <w:sz w:val="22"/>
          <w:szCs w:val="22"/>
          <w:color w:val="auto"/>
        </w:rPr>
        <w:t xml:space="preserve">Recurring revenue was 92 percent of total revenue compared to 78 percent of total revenue in the third quarter last year. </w:t>
      </w:r>
      <w:r>
        <w:rPr>
          <w:rFonts w:ascii="Arial" w:cs="Arial" w:eastAsia="Arial" w:hAnsi="Arial"/>
          <w:sz w:val="22"/>
          <w:szCs w:val="22"/>
          <w:b w:val="1"/>
          <w:bCs w:val="1"/>
          <w:color w:val="auto"/>
        </w:rPr>
        <w:t>Subscription Review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(in thousands) (1) (2)</w:t>
            </w:r>
          </w:p>
        </w:tc>
        <w:tc>
          <w:tcPr>
            <w:tcW w:w="2700" w:type="dxa"/>
            <w:vAlign w:val="bottom"/>
          </w:tcPr>
          <w:p>
            <w:pPr>
              <w:jc w:val="right"/>
              <w:ind w:right="230"/>
              <w:spacing w:after="0"/>
              <w:rPr>
                <w:sz w:val="20"/>
                <w:szCs w:val="20"/>
                <w:color w:val="auto"/>
              </w:rPr>
            </w:pPr>
            <w:r>
              <w:rPr>
                <w:rFonts w:ascii="Arial" w:cs="Arial" w:eastAsia="Arial" w:hAnsi="Arial"/>
                <w:sz w:val="18"/>
                <w:szCs w:val="18"/>
                <w:b w:val="1"/>
                <w:bCs w:val="1"/>
                <w:color w:val="auto"/>
              </w:rPr>
              <w:t>3Q 2017</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4Q 2017</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1Q 2018</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2Q 2018</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3Q 2018</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Subscription plan subscriptions</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1,087</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1,320</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Maintenance plan subscriptions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2,089</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1,971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1,854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1,693</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center"/>
              <w:ind w:right="2312"/>
              <w:spacing w:after="0"/>
              <w:rPr>
                <w:sz w:val="20"/>
                <w:szCs w:val="20"/>
                <w:color w:val="auto"/>
              </w:rPr>
            </w:pPr>
            <w:r>
              <w:rPr>
                <w:rFonts w:ascii="Arial" w:cs="Arial" w:eastAsia="Arial" w:hAnsi="Arial"/>
                <w:sz w:val="18"/>
                <w:szCs w:val="18"/>
                <w:b w:val="1"/>
                <w:bCs w:val="1"/>
                <w:color w:val="auto"/>
                <w:w w:val="87"/>
              </w:rPr>
              <w:t>Total subscriptions</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2,948</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3,105</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3,291</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3,443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20"/>
        </w:trPr>
        <w:tc>
          <w:tcPr>
            <w:tcW w:w="20" w:type="dxa"/>
            <w:vAlign w:val="bottom"/>
          </w:tcPr>
          <w:p>
            <w:pPr>
              <w:spacing w:after="0"/>
              <w:rPr>
                <w:sz w:val="19"/>
                <w:szCs w:val="19"/>
                <w:color w:val="auto"/>
              </w:rPr>
            </w:pPr>
          </w:p>
        </w:tc>
        <w:tc>
          <w:tcPr>
            <w:tcW w:w="4220" w:type="dxa"/>
            <w:vAlign w:val="bottom"/>
          </w:tcPr>
          <w:p>
            <w:pPr>
              <w:jc w:val="right"/>
              <w:ind w:right="2352"/>
              <w:spacing w:after="0"/>
              <w:rPr>
                <w:sz w:val="20"/>
                <w:szCs w:val="20"/>
                <w:color w:val="auto"/>
              </w:rPr>
            </w:pPr>
            <w:r>
              <w:rPr>
                <w:rFonts w:ascii="Arial" w:cs="Arial" w:eastAsia="Arial" w:hAnsi="Arial"/>
                <w:sz w:val="18"/>
                <w:szCs w:val="18"/>
                <w:color w:val="auto"/>
                <w:w w:val="87"/>
              </w:rPr>
              <w:t>____________________</w:t>
            </w: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presentation.</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definitions, please view the Glossary of Terms later in this document.</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Subscription plan subscriptions were 1.90 million, a net increase of 307,000 from the second quarter of this year. Growth in subscription plan subscriptions was driven by growth in all subscription plan types, led by product subscription. Subscription plan subscriptions benefited from 110,000 maintenance subscribers that converted to product subscription under the maintenance-to-subscription program, as well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1" w:right="239" w:bottom="1440" w:gutter="0" w:footer="0" w:header="0"/>
        </w:sectPr>
      </w:pPr>
    </w:p>
    <w:bookmarkStart w:id="20" w:name="page21"/>
    <w:bookmarkEnd w:id="20"/>
    <w:p>
      <w:pPr>
        <w:ind w:right="160"/>
        <w:spacing w:after="0" w:line="287" w:lineRule="auto"/>
        <w:rPr>
          <w:sz w:val="20"/>
          <w:szCs w:val="20"/>
          <w:color w:val="auto"/>
        </w:rPr>
      </w:pPr>
      <w:r>
        <w:rPr>
          <w:rFonts w:ascii="Arial" w:cs="Arial" w:eastAsia="Arial" w:hAnsi="Arial"/>
          <w:sz w:val="21"/>
          <w:szCs w:val="21"/>
          <w:color w:val="auto"/>
        </w:rPr>
        <w:t>as a promotion aimed at converting legacy non-subscribers, which added approximately 26,000 product subscriptions. Note: Total subscription plan subscriptions surpassed total maintenance plan subscriptions for the first time.</w:t>
      </w:r>
    </w:p>
    <w:p>
      <w:pPr>
        <w:spacing w:after="0" w:line="192"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Maintenance plan subscriptions were 1.69 million, a net decrease of approximately 161,000 from the second quarter of this year. Maintenance plan subscriptions decreased primarily as a result of the maintenance-to-subscription program in which 110,000 maintenance subscriptions converted to product subscription. The net decrease was expected and we will continue to see ongoing declines in maintenance plan subscriptions going forward. The rate of decline will vary based on the number of subscriptions that come up for renewal, the renewal rate, and our ability to incentivize customers to switch over to subscription plan offerings.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Total subscriptions were 3.59 million, a net increase of approximately 146,000 from the second quarter of this year.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Annualized Revenue Per Subscription (ARPS) Review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ind w:left="40"/>
              <w:spacing w:after="0"/>
              <w:rPr>
                <w:sz w:val="20"/>
                <w:szCs w:val="20"/>
                <w:color w:val="auto"/>
              </w:rPr>
            </w:pPr>
            <w:r>
              <w:rPr>
                <w:rFonts w:ascii="Arial" w:cs="Arial" w:eastAsia="Arial" w:hAnsi="Arial"/>
                <w:sz w:val="16"/>
                <w:szCs w:val="16"/>
                <w:i w:val="1"/>
                <w:iCs w:val="1"/>
                <w:color w:val="auto"/>
              </w:rPr>
              <w:t>(1)</w:t>
            </w:r>
          </w:p>
        </w:tc>
        <w:tc>
          <w:tcPr>
            <w:tcW w:w="8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3Q 2017</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2"/>
              </w:rPr>
              <w:t>4Q 2017</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9"/>
              </w:rPr>
              <w:t>1Q 2018</w:t>
            </w:r>
          </w:p>
        </w:tc>
        <w:tc>
          <w:tcPr>
            <w:tcW w:w="1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2Q 2018</w:t>
            </w:r>
          </w:p>
        </w:tc>
        <w:tc>
          <w:tcPr>
            <w:tcW w:w="1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3Q 2018</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Subscription plan ARPS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2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Maintenance plan ARPS</w:t>
            </w:r>
          </w:p>
        </w:tc>
        <w:tc>
          <w:tcPr>
            <w:tcW w:w="8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ARPS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179"/>
        </w:trPr>
        <w:tc>
          <w:tcPr>
            <w:tcW w:w="20" w:type="dxa"/>
            <w:vAlign w:val="bottom"/>
          </w:tcPr>
          <w:p>
            <w:pPr>
              <w:spacing w:after="0"/>
              <w:rPr>
                <w:sz w:val="15"/>
                <w:szCs w:val="15"/>
                <w:color w:val="auto"/>
              </w:rPr>
            </w:pPr>
          </w:p>
        </w:tc>
        <w:tc>
          <w:tcPr>
            <w:tcW w:w="6100" w:type="dxa"/>
            <w:vAlign w:val="bottom"/>
          </w:tcPr>
          <w:p>
            <w:pPr>
              <w:spacing w:after="0" w:line="179" w:lineRule="exact"/>
              <w:rPr>
                <w:sz w:val="20"/>
                <w:szCs w:val="20"/>
                <w:color w:val="auto"/>
              </w:rPr>
            </w:pPr>
            <w:r>
              <w:rPr>
                <w:rFonts w:ascii="Arial" w:cs="Arial" w:eastAsia="Arial" w:hAnsi="Arial"/>
                <w:sz w:val="16"/>
                <w:szCs w:val="16"/>
                <w:color w:val="auto"/>
              </w:rPr>
              <w:t>___________</w:t>
            </w: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320"/>
              <w:spacing w:after="0"/>
              <w:rPr>
                <w:sz w:val="20"/>
                <w:szCs w:val="20"/>
                <w:color w:val="auto"/>
              </w:rPr>
            </w:pPr>
            <w:r>
              <w:rPr>
                <w:rFonts w:ascii="Arial" w:cs="Arial" w:eastAsia="Arial" w:hAnsi="Arial"/>
                <w:sz w:val="16"/>
                <w:szCs w:val="16"/>
                <w:color w:val="auto"/>
              </w:rPr>
              <w:t>(1) For definitions, please view the Glossary of Terms later in this document.</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1"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Our ARPS is currently, and will be on a go-forward basis, affected by various factors including subscription term-length, migration from maintenance plan subscriptions, geography and product mix, promotions, sales linearity within a quarter, pricing changes, and foreign currency. We expect to see ARPS fluctuate up or down on a quarterly basis. As we progress on our business model transition, we expect all of the impacts of these factors to start to stabilize.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9"/>
          <w:szCs w:val="19"/>
          <w:color w:val="auto"/>
        </w:rPr>
        <w:t>Subscription plan ARPS was $487 and decreased $34 compared to the third quarter last year. On a sequential basis, subscription plan ARPS decreased $6. Both the year-over-year and the sequential decline in subscription plan ARPS is primarily driven by declines in cloud and EBA subscription ARPS, partially offset by growth in product subscription ARPS. When adjusted for the impact of the maintenance-to-subscription program, subscription plan ARPS would have been $496.</w:t>
      </w:r>
    </w:p>
    <w:p>
      <w:pPr>
        <w:spacing w:after="0" w:line="183"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Maintenance plan ARPS was $577 and increased $56 compared to the third quarter last year. Maintenance plan ARPS increased $13 on a sequential basis. Both the year-over-year and the sequential change to maintenance plan ARPS was primarily driven by the maintenance-to-subscription program. When adjusted for the impact of the maintenance-to-subscription program, maintenance plan ARPS would have been $561.</w:t>
      </w:r>
    </w:p>
    <w:p>
      <w:pPr>
        <w:spacing w:after="0" w:line="229"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Total ARPS was $530 an increase of $9 compared to the third quarter last year primarily driven by growth in maintenance plan ARPS, partially offset by a decrease in cloud and EBA subscription ARPS. Total ARPS decreased $1 on a sequential basis primarily driven by a decline in cloud and EBA subscription ARPS, partially offset by growth in maintenance plan and product subscription ARPS.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Review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6"/>
                <w:szCs w:val="16"/>
                <w:i w:val="1"/>
                <w:iCs w:val="1"/>
                <w:color w:val="auto"/>
              </w:rPr>
              <w:t>(in millions) (1) (2)</w:t>
            </w:r>
          </w:p>
        </w:tc>
        <w:tc>
          <w:tcPr>
            <w:tcW w:w="23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3Q 2017</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4Q 2017</w:t>
            </w:r>
          </w:p>
        </w:tc>
        <w:tc>
          <w:tcPr>
            <w:tcW w:w="1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1Q 2018</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2Q 2018</w:t>
            </w: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3Q 2018</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Subscription revenue</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Maintenance revenue</w:t>
            </w:r>
          </w:p>
        </w:tc>
        <w:tc>
          <w:tcPr>
            <w:tcW w:w="23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244</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License and other revenue</w:t>
            </w:r>
          </w:p>
        </w:tc>
        <w:tc>
          <w:tcPr>
            <w:tcW w:w="2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300" w:type="dxa"/>
            <w:vAlign w:val="bottom"/>
          </w:tcPr>
          <w:p>
            <w:pPr>
              <w:ind w:left="180"/>
              <w:spacing w:after="0"/>
              <w:rPr>
                <w:sz w:val="20"/>
                <w:szCs w:val="20"/>
                <w:color w:val="auto"/>
              </w:rPr>
            </w:pPr>
            <w:r>
              <w:rPr>
                <w:rFonts w:ascii="Arial" w:cs="Arial" w:eastAsia="Arial" w:hAnsi="Arial"/>
                <w:sz w:val="18"/>
                <w:szCs w:val="18"/>
                <w:b w:val="1"/>
                <w:bCs w:val="1"/>
                <w:color w:val="auto"/>
              </w:rPr>
              <w:t>Total net revenue</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479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486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515</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Direct Revenue</w:t>
            </w:r>
          </w:p>
        </w:tc>
        <w:tc>
          <w:tcPr>
            <w:tcW w:w="2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Indirect Revenue</w:t>
            </w:r>
          </w:p>
        </w:tc>
        <w:tc>
          <w:tcPr>
            <w:tcW w:w="2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193"/>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___________</w:t>
            </w:r>
          </w:p>
        </w:tc>
        <w:tc>
          <w:tcPr>
            <w:tcW w:w="2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ind w:left="560" w:hanging="228"/>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Totals may not agree with the sum of the components due to rounding.</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definitions, please view the Glossary of Terms later in this document.</w:t>
      </w:r>
    </w:p>
    <w:p>
      <w:pPr>
        <w:spacing w:after="0" w:line="250"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Subscription revenue for the third quarter was $231 million, a 106 percent increase compared to the third quarter last year as reported, and 107 percent on a constant currency basis, primarily related to growth in subscription plan revenue, led by product subscription revenue.</w:t>
      </w:r>
    </w:p>
    <w:p>
      <w:pPr>
        <w:spacing w:after="0" w:line="226" w:lineRule="exact"/>
        <w:rPr>
          <w:sz w:val="20"/>
          <w:szCs w:val="20"/>
          <w:color w:val="auto"/>
        </w:rPr>
      </w:pPr>
    </w:p>
    <w:p>
      <w:pPr>
        <w:ind w:right="600"/>
        <w:spacing w:after="0" w:line="253" w:lineRule="auto"/>
        <w:rPr>
          <w:sz w:val="20"/>
          <w:szCs w:val="20"/>
          <w:color w:val="auto"/>
        </w:rPr>
      </w:pPr>
      <w:r>
        <w:rPr>
          <w:rFonts w:ascii="Arial" w:cs="Arial" w:eastAsia="Arial" w:hAnsi="Arial"/>
          <w:sz w:val="22"/>
          <w:szCs w:val="22"/>
          <w:color w:val="auto"/>
        </w:rPr>
        <w:t>Maintenance revenue for the third quarter was $244 million, an 11 percent decrease compared to the third quarter last year as reported, and 10 percent on a constant currency basis, primarily related to migration of maintenance plan subscriptions to subscription plan.</w:t>
      </w:r>
    </w:p>
    <w:p>
      <w:pPr>
        <w:spacing w:after="0" w:line="22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License and other revenue for the third quarter was $40 million, a 62 percent decrease compared to the third quarter last year as reported, and on a constant currency basis, primarily related to the end of sale of perpetual suite licenses in fiscal 2017. Third quarter fiscal 2017 license and other revenue contained $38 million in license revenue backlog, which was generated at the end of the second quarter of fiscal 2017.</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Total net revenue for the third quarter was $515 million, a 5 percent increase compared to the third quarter last year as reported, and 6 percent on a constant currency basis.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Geography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6"/>
                <w:szCs w:val="16"/>
                <w:i w:val="1"/>
                <w:iCs w:val="1"/>
                <w:color w:val="auto"/>
              </w:rPr>
              <w:t xml:space="preserve">(in millions) </w:t>
            </w:r>
            <w:r>
              <w:rPr>
                <w:rFonts w:ascii="Arial" w:cs="Arial" w:eastAsia="Arial" w:hAnsi="Arial"/>
                <w:sz w:val="16"/>
                <w:szCs w:val="16"/>
                <w:color w:val="auto"/>
              </w:rPr>
              <w:t>(1)</w:t>
            </w:r>
          </w:p>
        </w:tc>
        <w:tc>
          <w:tcPr>
            <w:tcW w:w="4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3Q 2017</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4Q 2017</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1Q 2018</w:t>
            </w:r>
          </w:p>
        </w:tc>
        <w:tc>
          <w:tcPr>
            <w:tcW w:w="1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2Q 2018</w:t>
            </w:r>
          </w:p>
        </w:tc>
        <w:tc>
          <w:tcPr>
            <w:tcW w:w="1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3Q 2018</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Americas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EMEA</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186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205</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Asia Pacific</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r>
      <w:tr>
        <w:trPr>
          <w:trHeight w:val="324"/>
        </w:trPr>
        <w:tc>
          <w:tcPr>
            <w:tcW w:w="5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Emerging Economies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Emerging as a percentage of Total Revenue</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____________________</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w w:val="95"/>
              </w:rPr>
              <w:t>(1) Totals may not agree with the sum of the components due to rounding.</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Revenue in the Americas was $215 million, an increase of 1 percent compared to the third quarter last year as reported.</w:t>
      </w:r>
    </w:p>
    <w:p>
      <w:pPr>
        <w:spacing w:after="0" w:line="272" w:lineRule="exact"/>
        <w:rPr>
          <w:sz w:val="20"/>
          <w:szCs w:val="20"/>
          <w:color w:val="auto"/>
        </w:rPr>
      </w:pPr>
    </w:p>
    <w:p>
      <w:pPr>
        <w:jc w:val="both"/>
        <w:ind w:right="40"/>
        <w:spacing w:after="0" w:line="263" w:lineRule="auto"/>
        <w:rPr>
          <w:sz w:val="20"/>
          <w:szCs w:val="20"/>
          <w:color w:val="auto"/>
        </w:rPr>
      </w:pPr>
      <w:r>
        <w:rPr>
          <w:rFonts w:ascii="Arial" w:cs="Arial" w:eastAsia="Arial" w:hAnsi="Arial"/>
          <w:sz w:val="22"/>
          <w:szCs w:val="22"/>
          <w:color w:val="auto"/>
        </w:rPr>
        <w:t>Revenue in EMEA was $205 million, an increase of 8 percent compared to the third quarter last year as reported, and 10 percent on a constant currency basis.</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Revenue in APAC was $95 million, an increase of 12 percent compared to the third quarter last year as reported, and 10 percent on a constant currency basis.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83" w:right="239" w:bottom="1440" w:gutter="0" w:footer="0" w:header="0"/>
        </w:sectPr>
      </w:pPr>
    </w:p>
    <w:bookmarkStart w:id="22" w:name="page23"/>
    <w:bookmarkEnd w:id="22"/>
    <w:p>
      <w:pPr>
        <w:ind w:right="320"/>
        <w:spacing w:after="0" w:line="253" w:lineRule="auto"/>
        <w:rPr>
          <w:sz w:val="20"/>
          <w:szCs w:val="20"/>
          <w:color w:val="auto"/>
        </w:rPr>
      </w:pPr>
      <w:r>
        <w:rPr>
          <w:rFonts w:ascii="Arial" w:cs="Arial" w:eastAsia="Arial" w:hAnsi="Arial"/>
          <w:sz w:val="22"/>
          <w:szCs w:val="22"/>
          <w:color w:val="auto"/>
        </w:rPr>
        <w:t>Revenue from emerging economies was $58 million, an increase of 2 percent compared to the third quarter last year as reported, and 3 percent on a constant currency basis. As a matter of reference, none of the individual BRIC countries currently represent more than 3 percent of total revenue.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Product Family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6"/>
                <w:szCs w:val="16"/>
                <w:i w:val="1"/>
                <w:iCs w:val="1"/>
                <w:color w:val="auto"/>
              </w:rPr>
              <w:t>(in millions) (1)</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3Q 2017</w:t>
            </w:r>
          </w:p>
        </w:tc>
        <w:tc>
          <w:tcPr>
            <w:tcW w:w="1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4Q 2017</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1Q 2018</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2Q 2018</w:t>
            </w:r>
          </w:p>
        </w:tc>
        <w:tc>
          <w:tcPr>
            <w:tcW w:w="1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3Q 2018</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Architecture, Engineering and Construction (AEC)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20" w:type="dxa"/>
            <w:vAlign w:val="bottom"/>
          </w:tcPr>
          <w:p>
            <w:pPr>
              <w:spacing w:after="0"/>
              <w:rPr>
                <w:sz w:val="21"/>
                <w:szCs w:val="21"/>
                <w:color w:val="auto"/>
              </w:rPr>
            </w:pPr>
          </w:p>
        </w:tc>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Manufacturing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AutoCAD and AutoCAD LT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20" w:type="dxa"/>
            <w:vAlign w:val="bottom"/>
          </w:tcPr>
          <w:p>
            <w:pPr>
              <w:spacing w:after="0"/>
              <w:rPr>
                <w:sz w:val="21"/>
                <w:szCs w:val="21"/>
                <w:color w:val="auto"/>
              </w:rPr>
            </w:pPr>
          </w:p>
        </w:tc>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Media and Entertainment (M&amp;E)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193"/>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___________</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Due to rounding, the sum of the components may not agree to total revenue.</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Revenue from our AEC product family was $215 million, an increase of 1 percent compared to the third quarter last year.</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Revenue from our Manufacturing product family was $147 million, flat compared to the third quarter last year.</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Combined revenue from AutoCAD and AutoCAD LT was $103 million, an increase of 28 percent compared to the third quarter last year.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Revenue from our M&amp;E product family was $38 million, an increase of 10 percent compared to the third quarter last year.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Impact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3Q 2017</w:t>
            </w:r>
          </w:p>
        </w:tc>
        <w:tc>
          <w:tcPr>
            <w:tcW w:w="1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4Q 2017</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1Q 2018</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2Q 2018</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3Q 2018</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Year-on-Year FX Impact on Total ARR</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Year-on-Year FX Impact on Total Revenue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w w:val="91"/>
              </w:rPr>
              <w:t>Year-on-Year FX Benefit (Impact) on Cost of Revenue and Operating Expenses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Year-on-Year FX Impact on 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The year-on-year foreign currency impact represents the U.S. Dollar impact of changes in foreign currency exchange rates on our financial results as well as the impact of gains and losses from our hedging program.</w:t>
      </w:r>
    </w:p>
    <w:p>
      <w:pPr>
        <w:spacing w:after="0" w:line="215"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Compared to the third quarter of last year, the impact of foreign currency exchange rates and hedging was $11 million unfavorable on total ARR. Compared to the second quarter of this year, the impact of foreign currency exchange rates and hedging was $3 million unfavorable on total ARR.</w:t>
      </w:r>
    </w:p>
    <w:p>
      <w:pPr>
        <w:spacing w:after="0" w:line="226" w:lineRule="exact"/>
        <w:rPr>
          <w:sz w:val="20"/>
          <w:szCs w:val="20"/>
          <w:color w:val="auto"/>
        </w:rPr>
      </w:pPr>
    </w:p>
    <w:p>
      <w:pPr>
        <w:ind w:right="560"/>
        <w:spacing w:after="0" w:line="287" w:lineRule="auto"/>
        <w:rPr>
          <w:sz w:val="20"/>
          <w:szCs w:val="20"/>
          <w:color w:val="auto"/>
        </w:rPr>
      </w:pPr>
      <w:r>
        <w:rPr>
          <w:rFonts w:ascii="Arial" w:cs="Arial" w:eastAsia="Arial" w:hAnsi="Arial"/>
          <w:sz w:val="21"/>
          <w:szCs w:val="21"/>
          <w:color w:val="auto"/>
        </w:rPr>
        <w:t>Compared to the third quarter of last year, the impact of foreign currency exchange rates, including the impact of our hedging program, was $3 million unfavorable on both revenue and cost of revenue and operating expenses.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Balance Sheet Items and Cash Review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64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3Q 2017</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4Q 2017</w:t>
            </w:r>
          </w:p>
        </w:tc>
        <w:tc>
          <w:tcPr>
            <w:tcW w:w="2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1Q 2018</w:t>
            </w:r>
          </w:p>
        </w:tc>
        <w:tc>
          <w:tcPr>
            <w:tcW w:w="2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2Q 2018</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3Q 2018</w:t>
            </w:r>
          </w:p>
        </w:tc>
      </w:tr>
      <w:tr>
        <w:trPr>
          <w:trHeight w:val="27"/>
        </w:trPr>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Amortization and Accretion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 Cash and Marketable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1,718</w:t>
            </w:r>
          </w:p>
        </w:tc>
      </w:tr>
      <w:tr>
        <w:trPr>
          <w:trHeight w:val="27"/>
        </w:trPr>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Deferred Revenue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r>
      <w:tr>
        <w:trPr>
          <w:trHeight w:val="27"/>
        </w:trPr>
        <w:tc>
          <w:tcPr>
            <w:tcW w:w="48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jc w:val="both"/>
        <w:ind w:right="440"/>
        <w:spacing w:after="0" w:line="253" w:lineRule="auto"/>
        <w:rPr>
          <w:sz w:val="20"/>
          <w:szCs w:val="20"/>
          <w:color w:val="auto"/>
        </w:rPr>
      </w:pPr>
      <w:r>
        <w:rPr>
          <w:rFonts w:ascii="Arial" w:cs="Arial" w:eastAsia="Arial" w:hAnsi="Arial"/>
          <w:sz w:val="22"/>
          <w:szCs w:val="22"/>
          <w:color w:val="auto"/>
        </w:rPr>
        <w:t>Cash flow from operating activities during the third quarter was $(51) million, a decrease of $59 million compared to the third quarter last year. The year-over-year decrease is primarily related to a decrease in cash collections from billings in the previous quarter as well as changes in billings linearity.</w:t>
      </w:r>
    </w:p>
    <w:p>
      <w:pPr>
        <w:spacing w:after="0" w:line="18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Total cash and investments at the end of the third quarter was approximately $1.72 billion. Total debt at the end of the third quarter was $1.59 billion.</w:t>
      </w:r>
    </w:p>
    <w:p>
      <w:pPr>
        <w:spacing w:after="0" w:line="215"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During the third quarter, Autodesk used $117 million to repurchase approximately 1.0 million shares of common stock at an average repurchase price of $112.97 per share. Through this stock repurchase program, Autodesk remains committed to managing dilution and reducing shares outstanding over time.</w:t>
      </w:r>
    </w:p>
    <w:p>
      <w:pPr>
        <w:spacing w:after="0" w:line="226" w:lineRule="exact"/>
        <w:rPr>
          <w:sz w:val="20"/>
          <w:szCs w:val="20"/>
          <w:color w:val="auto"/>
        </w:rPr>
      </w:pPr>
    </w:p>
    <w:p>
      <w:pPr>
        <w:ind w:right="80"/>
        <w:spacing w:after="0" w:line="287" w:lineRule="auto"/>
        <w:rPr>
          <w:sz w:val="20"/>
          <w:szCs w:val="20"/>
          <w:color w:val="auto"/>
        </w:rPr>
      </w:pPr>
      <w:r>
        <w:rPr>
          <w:rFonts w:ascii="Arial" w:cs="Arial" w:eastAsia="Arial" w:hAnsi="Arial"/>
          <w:sz w:val="21"/>
          <w:szCs w:val="21"/>
          <w:color w:val="auto"/>
        </w:rPr>
        <w:t>Deferred revenue was $1.76 billion, an increase of 15% compared to the third quarter last year. The increase is primarily related to the increase in subscription plan billings over the past four quarters driven by the business model transition.</w:t>
      </w:r>
    </w:p>
    <w:p>
      <w:pPr>
        <w:spacing w:after="0" w:line="19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Unbilled deferred revenue at the end of the second quarter was $148 million, an increase of $85 million compared to the second quarter of fiscal 2018. The increase is related primarily to an increase in annual billing terms for multi-year EBA contracts. We define unbilled deferred revenue as contractually stated or committed orders under multi-year billing plans for subscription, services, license and maintenance for which the associated revenue has not been recognized and the customer has not been invoiced. Unbilled deferred revenue is not included on our Condensed Consolidated Balance Sheet until invoiced to the customer.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5"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Margins and EPS Review(1)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3Q 2017</w:t>
            </w: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4Q 2017</w:t>
            </w: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1Q 2018</w:t>
            </w: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2Q 2018</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3Q 2018</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Gross Margin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Gross Margin - GAAP</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84 %</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85 %</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Margin - Non-GAAP</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324"/>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 - GAAP</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528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527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538</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 - Non-GAAP</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472</w:t>
            </w:r>
          </w:p>
        </w:tc>
      </w:tr>
      <w:tr>
        <w:trPr>
          <w:trHeight w:val="324"/>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Spend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Total Spend - GAAP</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605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609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615</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Spend - Non-GAAP</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542</w:t>
            </w:r>
          </w:p>
        </w:tc>
      </w:tr>
      <w:tr>
        <w:trPr>
          <w:trHeight w:val="324"/>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Margin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Operating Margin - GAAP</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Margin - Non-GAAP</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Basic Net Loss Per Share - GAAP</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(0.78)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(0.66)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(0.55)</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Net Loss Income Per Share - Non-GAAP</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(0.12)</w:t>
            </w:r>
          </w:p>
        </w:tc>
      </w:tr>
      <w:tr>
        <w:trPr>
          <w:trHeight w:val="216"/>
        </w:trPr>
        <w:tc>
          <w:tcPr>
            <w:tcW w:w="4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Loss Per Share - GAAP</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(0.55)</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Diluted Net Loss Income Per Share - Non-GAAP</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(0.12)</w:t>
            </w: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44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Weighted Average Shares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GAAP and Non-GAAP Basic Net Loss Share Count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219.6</w:t>
            </w:r>
          </w:p>
        </w:tc>
      </w:tr>
      <w:tr>
        <w:trPr>
          <w:trHeight w:val="189"/>
        </w:trPr>
        <w:tc>
          <w:tcPr>
            <w:tcW w:w="4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GAAP Diluted Net Loss Share Count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219.6</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Non-GAAP Diluted Net Loss Share Count</w:t>
            </w:r>
          </w:p>
        </w:tc>
        <w:tc>
          <w:tcPr>
            <w:tcW w:w="5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222.3</w:t>
            </w:r>
          </w:p>
        </w:tc>
        <w:tc>
          <w:tcPr>
            <w:tcW w:w="2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219.9</w:t>
            </w:r>
          </w:p>
        </w:tc>
        <w:tc>
          <w:tcPr>
            <w:tcW w:w="2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219.5</w:t>
            </w:r>
          </w:p>
        </w:tc>
        <w:tc>
          <w:tcPr>
            <w:tcW w:w="2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219.6</w:t>
            </w:r>
          </w:p>
        </w:tc>
      </w:tr>
      <w:tr>
        <w:trPr>
          <w:trHeight w:val="218"/>
        </w:trPr>
        <w:tc>
          <w:tcPr>
            <w:tcW w:w="4440" w:type="dxa"/>
            <w:vAlign w:val="bottom"/>
          </w:tcPr>
          <w:p>
            <w:pPr>
              <w:spacing w:after="0"/>
              <w:rPr>
                <w:sz w:val="20"/>
                <w:szCs w:val="20"/>
                <w:color w:val="auto"/>
              </w:rPr>
            </w:pPr>
            <w:r>
              <w:rPr>
                <w:rFonts w:ascii="Arial" w:cs="Arial" w:eastAsia="Arial" w:hAnsi="Arial"/>
                <w:sz w:val="16"/>
                <w:szCs w:val="16"/>
                <w:color w:val="auto"/>
              </w:rPr>
              <w:t>_____________________</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(1) A reconciliation of GAAP and non-GAAP results is provided in the tables following the company's earnings release.</w:t>
      </w:r>
    </w:p>
    <w:p>
      <w:pPr>
        <w:spacing w:after="0" w:line="21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GAAP gross margin in the third quarter was 85 percent, compared to 83 percent in the third quarter last year. The increase is primarily related to the increase in revenue. Non-GAAP gross margin in the third quarter was 86 percent, consistent with the third quarter last year.</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GAAP operating expenses increased 2 percent year-over-year. Non-GAAP operating expenses increased 2 percent year-over-year.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Growth in both GAAP and non-GAAP operating expenses was primarily driven by employee-related costs.</w:t>
      </w:r>
    </w:p>
    <w:p>
      <w:pPr>
        <w:spacing w:after="0" w:line="24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Total GAAP spend (cost of revenue plus operating expenses) was $615 million, an increase of 1 percent compared to the third quarter last year, and flat on a constant currency basis. Total non-GAAP spend was $542 million, an increase of 2 percent compared to the third quarter last year, and 1 percent on a constant currency basis. The changes in GAAP total spend were primarily related to higher operating expenses noted above partially offset by lower costs of revenue. The changes in non-GAAP total spend were primarily related to higher operating expenses noted above and higher costs of revenue.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25" w:right="239" w:bottom="1440" w:gutter="0" w:footer="0" w:header="0"/>
        </w:sectPr>
      </w:pPr>
    </w:p>
    <w:bookmarkStart w:id="25" w:name="page26"/>
    <w:bookmarkEnd w:id="25"/>
    <w:p>
      <w:pPr>
        <w:ind w:right="200"/>
        <w:spacing w:after="0" w:line="263" w:lineRule="auto"/>
        <w:rPr>
          <w:sz w:val="20"/>
          <w:szCs w:val="20"/>
          <w:color w:val="auto"/>
        </w:rPr>
      </w:pPr>
      <w:r>
        <w:rPr>
          <w:rFonts w:ascii="Arial" w:cs="Arial" w:eastAsia="Arial" w:hAnsi="Arial"/>
          <w:sz w:val="22"/>
          <w:szCs w:val="22"/>
          <w:color w:val="auto"/>
        </w:rPr>
        <w:t>GAAP operating margin was (19) percent compared to (24) percent in the third quarter last year. The changes in GAAP operating margin were primarily related to the increase in revenue.</w:t>
      </w:r>
    </w:p>
    <w:p>
      <w:pPr>
        <w:spacing w:after="0" w:line="215"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Non-GAAP operating margin was (5) percent compared to (9) percent in the third quarter last year. The changes in non-GAAP operating margin were primarily related to the increase in revenue.</w:t>
      </w:r>
    </w:p>
    <w:p>
      <w:pPr>
        <w:spacing w:after="0" w:line="215"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The third quarter GAAP effective tax rate was 8 percent. The third quarter non-GAAP effective tax rate was 26 percent. Note: At this stage of the business model transition, small shifts in geographic profitability significantly impact the GAAP effective tax rate.</w:t>
      </w:r>
    </w:p>
    <w:p>
      <w:pPr>
        <w:spacing w:after="0" w:line="14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GAAP diluted net loss per share for the third quarter was $(0.55) and non-GAAP diluted net loss per share for the third quarter was $(0.12).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Restructuring</w:t>
      </w:r>
    </w:p>
    <w:p>
      <w:pPr>
        <w:spacing w:after="0" w:line="64" w:lineRule="exact"/>
        <w:rPr>
          <w:sz w:val="20"/>
          <w:szCs w:val="20"/>
          <w:color w:val="auto"/>
        </w:rPr>
      </w:pPr>
    </w:p>
    <w:p>
      <w:pPr>
        <w:ind w:right="120"/>
        <w:spacing w:after="0" w:line="421" w:lineRule="auto"/>
        <w:rPr>
          <w:sz w:val="20"/>
          <w:szCs w:val="20"/>
          <w:color w:val="auto"/>
        </w:rPr>
      </w:pPr>
      <w:r>
        <w:rPr>
          <w:rFonts w:ascii="Arial" w:cs="Arial" w:eastAsia="Arial" w:hAnsi="Arial"/>
          <w:sz w:val="19"/>
          <w:szCs w:val="19"/>
          <w:color w:val="auto"/>
        </w:rPr>
        <w:t>Autodesk today announced a restructuring plan to focus on the company's strategic priorities of completing the subscription transition; digitizing the company; and re-imagining manufacturing, construction, and production. Through the restructuring, Autodesk seeks to streamline the organization and re-balance resources to better align with the company’s priorities. By realigning its investments, Autodesk is positioning itself to meet its long-term goals, including keeping non-GAAP spend flat in fiscal 2019.</w:t>
      </w:r>
    </w:p>
    <w:p>
      <w:pPr>
        <w:spacing w:after="0" w:line="290" w:lineRule="exact"/>
        <w:rPr>
          <w:sz w:val="20"/>
          <w:szCs w:val="20"/>
          <w:color w:val="auto"/>
        </w:rPr>
      </w:pPr>
    </w:p>
    <w:p>
      <w:pPr>
        <w:ind w:right="180"/>
        <w:spacing w:after="0" w:line="352" w:lineRule="auto"/>
        <w:rPr>
          <w:sz w:val="20"/>
          <w:szCs w:val="20"/>
          <w:color w:val="auto"/>
        </w:rPr>
      </w:pPr>
      <w:r>
        <w:rPr>
          <w:rFonts w:ascii="Arial" w:cs="Arial" w:eastAsia="Arial" w:hAnsi="Arial"/>
          <w:sz w:val="22"/>
          <w:szCs w:val="22"/>
          <w:color w:val="auto"/>
        </w:rPr>
        <w:t>Autodesk plans to reduce staffing levels in the near-term by approximately 13%, or approximately 1,150 positions, and to consolidate certain leased facilities. The company anticipates taking a pre-tax restructuring charge in the range of $135 million to $149 million. Approximately $91 million to $100 million in pre-tax charges will be taken in the fourth quarter of fiscal 2018. The remaining charge will be taken in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66"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The following are forward-looking statements based on current expectations and assumptions, and involve risks and uncertainties some of which are set forth below under "Safe Harbor Statement." Autodesk's business outlook for the fourth quarter and full year fiscal 2018 assumes, among other things, a continuation of the current economic environment and foreign currency exchange rate environment. A reconciliation between the GAAP and non-GAAP estimates for fiscal 2018 is provided below or in the tables following these prepared remarks.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Fourth Quarter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400" w:type="dxa"/>
            <w:vAlign w:val="bottom"/>
          </w:tcPr>
          <w:p>
            <w:pPr>
              <w:ind w:left="5500"/>
              <w:spacing w:after="0"/>
              <w:rPr>
                <w:sz w:val="20"/>
                <w:szCs w:val="20"/>
                <w:color w:val="auto"/>
              </w:rPr>
            </w:pPr>
            <w:r>
              <w:rPr>
                <w:rFonts w:ascii="Arial" w:cs="Arial" w:eastAsia="Arial" w:hAnsi="Arial"/>
                <w:sz w:val="20"/>
                <w:szCs w:val="20"/>
                <w:b w:val="1"/>
                <w:bCs w:val="1"/>
                <w:color w:val="auto"/>
              </w:rPr>
              <w:t>Q4 FY18 (ending</w:t>
            </w:r>
          </w:p>
        </w:tc>
      </w:tr>
      <w:tr>
        <w:trPr>
          <w:trHeight w:val="256"/>
        </w:trPr>
        <w:tc>
          <w:tcPr>
            <w:tcW w:w="2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20"/>
                <w:szCs w:val="20"/>
                <w:b w:val="1"/>
                <w:bCs w:val="1"/>
                <w:color w:val="auto"/>
              </w:rPr>
              <w:t>Q4 FY18 Guidance Metrics</w:t>
            </w:r>
          </w:p>
        </w:tc>
        <w:tc>
          <w:tcPr>
            <w:tcW w:w="7400" w:type="dxa"/>
            <w:vAlign w:val="bottom"/>
          </w:tcPr>
          <w:p>
            <w:pPr>
              <w:ind w:left="5500"/>
              <w:spacing w:after="0"/>
              <w:rPr>
                <w:sz w:val="20"/>
                <w:szCs w:val="20"/>
                <w:color w:val="auto"/>
              </w:rPr>
            </w:pPr>
            <w:r>
              <w:rPr>
                <w:rFonts w:ascii="Arial" w:cs="Arial" w:eastAsia="Arial" w:hAnsi="Arial"/>
                <w:sz w:val="20"/>
                <w:szCs w:val="20"/>
                <w:b w:val="1"/>
                <w:bCs w:val="1"/>
                <w:color w:val="auto"/>
              </w:rPr>
              <w:t>January 31, 2018)</w:t>
            </w: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Revenue (in millions)</w:t>
            </w:r>
          </w:p>
        </w:tc>
        <w:tc>
          <w:tcPr>
            <w:tcW w:w="740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20"/>
                <w:szCs w:val="20"/>
                <w:color w:val="auto"/>
              </w:rPr>
              <w:t>$537 - $547</w:t>
            </w:r>
          </w:p>
        </w:tc>
      </w:tr>
      <w:tr>
        <w:trPr>
          <w:trHeight w:val="261"/>
        </w:trPr>
        <w:tc>
          <w:tcPr>
            <w:tcW w:w="2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20"/>
                <w:szCs w:val="20"/>
                <w:b w:val="1"/>
                <w:bCs w:val="1"/>
                <w:color w:val="auto"/>
              </w:rPr>
              <w:t>EPS GAAP</w:t>
            </w:r>
          </w:p>
        </w:tc>
        <w:tc>
          <w:tcPr>
            <w:tcW w:w="7400" w:type="dxa"/>
            <w:vAlign w:val="bottom"/>
          </w:tcPr>
          <w:p>
            <w:pPr>
              <w:ind w:left="5500"/>
              <w:spacing w:after="0"/>
              <w:rPr>
                <w:sz w:val="20"/>
                <w:szCs w:val="20"/>
                <w:color w:val="auto"/>
              </w:rPr>
            </w:pPr>
            <w:r>
              <w:rPr>
                <w:rFonts w:ascii="Arial" w:cs="Arial" w:eastAsia="Arial" w:hAnsi="Arial"/>
                <w:sz w:val="20"/>
                <w:szCs w:val="20"/>
                <w:color w:val="auto"/>
              </w:rPr>
              <w:t>($1.18) - ($1.11)</w:t>
            </w:r>
          </w:p>
        </w:tc>
      </w:tr>
      <w:tr>
        <w:trPr>
          <w:trHeight w:val="2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EPS non-GAAP (1)</w:t>
            </w:r>
          </w:p>
        </w:tc>
        <w:tc>
          <w:tcPr>
            <w:tcW w:w="740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20"/>
                <w:szCs w:val="20"/>
                <w:color w:val="auto"/>
              </w:rPr>
              <w:t>($0.14) - ($0.10)</w:t>
            </w:r>
          </w:p>
        </w:tc>
      </w:tr>
      <w:tr>
        <w:trPr>
          <w:trHeight w:val="275"/>
        </w:trPr>
        <w:tc>
          <w:tcPr>
            <w:tcW w:w="2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Arial" w:cs="Arial" w:eastAsia="Arial" w:hAnsi="Arial"/>
                <w:sz w:val="22"/>
                <w:szCs w:val="22"/>
                <w:color w:val="auto"/>
              </w:rPr>
              <w:t>_______________</w:t>
            </w:r>
          </w:p>
        </w:tc>
        <w:tc>
          <w:tcPr>
            <w:tcW w:w="7400" w:type="dxa"/>
            <w:vAlign w:val="bottom"/>
          </w:tcPr>
          <w:p>
            <w:pPr>
              <w:spacing w:after="0"/>
              <w:rPr>
                <w:sz w:val="23"/>
                <w:szCs w:val="23"/>
                <w:color w:val="auto"/>
              </w:rPr>
            </w:pPr>
          </w:p>
        </w:tc>
      </w:tr>
      <w:tr>
        <w:trPr>
          <w:trHeight w:val="44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0" w:type="dxa"/>
            <w:vAlign w:val="bottom"/>
          </w:tcPr>
          <w:p>
            <w:pPr>
              <w:ind w:left="16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861" w:right="239" w:bottom="1440" w:gutter="0" w:footer="0" w:header="0"/>
        </w:sectPr>
      </w:pPr>
    </w:p>
    <w:bookmarkStart w:id="26" w:name="page27"/>
    <w:bookmarkEnd w:id="26"/>
    <w:p>
      <w:pPr>
        <w:spacing w:after="0" w:line="41" w:lineRule="exact"/>
        <w:rPr>
          <w:sz w:val="20"/>
          <w:szCs w:val="20"/>
          <w:color w:val="auto"/>
        </w:rPr>
      </w:pPr>
    </w:p>
    <w:p>
      <w:pPr>
        <w:ind w:right="440" w:firstLine="8"/>
        <w:spacing w:after="0" w:line="342"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Non-GAAP earnings per diluted share excludes $0.43 related to restructuring and other facility exit costs, $0.29 related to stock-based compensation expense, between $0.28 and $0.25 related to GAAP-only tax charges, and $0.04 for the amortization of acquisition-related intangibles.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Full Year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3500" w:type="dxa"/>
            <w:vAlign w:val="bottom"/>
          </w:tcPr>
          <w:p>
            <w:pPr>
              <w:ind w:left="1600"/>
              <w:spacing w:after="0"/>
              <w:rPr>
                <w:sz w:val="20"/>
                <w:szCs w:val="20"/>
                <w:color w:val="auto"/>
              </w:rPr>
            </w:pPr>
            <w:r>
              <w:rPr>
                <w:rFonts w:ascii="Arial" w:cs="Arial" w:eastAsia="Arial" w:hAnsi="Arial"/>
                <w:sz w:val="20"/>
                <w:szCs w:val="20"/>
                <w:b w:val="1"/>
                <w:bCs w:val="1"/>
                <w:color w:val="auto"/>
              </w:rPr>
              <w:t>FY18 (ending</w:t>
            </w:r>
          </w:p>
        </w:tc>
      </w:tr>
      <w:tr>
        <w:trPr>
          <w:trHeight w:val="256"/>
        </w:trPr>
        <w:tc>
          <w:tcPr>
            <w:tcW w:w="20" w:type="dxa"/>
            <w:vAlign w:val="bottom"/>
          </w:tcPr>
          <w:p>
            <w:pPr>
              <w:spacing w:after="0"/>
              <w:rPr>
                <w:sz w:val="22"/>
                <w:szCs w:val="22"/>
                <w:color w:val="auto"/>
              </w:rPr>
            </w:pPr>
          </w:p>
        </w:tc>
        <w:tc>
          <w:tcPr>
            <w:tcW w:w="7900" w:type="dxa"/>
            <w:vAlign w:val="bottom"/>
          </w:tcPr>
          <w:p>
            <w:pPr>
              <w:ind w:left="20"/>
              <w:spacing w:after="0"/>
              <w:rPr>
                <w:sz w:val="20"/>
                <w:szCs w:val="20"/>
                <w:color w:val="auto"/>
              </w:rPr>
            </w:pPr>
            <w:r>
              <w:rPr>
                <w:rFonts w:ascii="Arial" w:cs="Arial" w:eastAsia="Arial" w:hAnsi="Arial"/>
                <w:sz w:val="20"/>
                <w:szCs w:val="20"/>
                <w:b w:val="1"/>
                <w:bCs w:val="1"/>
                <w:color w:val="auto"/>
              </w:rPr>
              <w:t>FY18 Guidance Metrics</w:t>
            </w:r>
          </w:p>
        </w:tc>
        <w:tc>
          <w:tcPr>
            <w:tcW w:w="3500" w:type="dxa"/>
            <w:vAlign w:val="bottom"/>
          </w:tcPr>
          <w:p>
            <w:pPr>
              <w:ind w:left="1600"/>
              <w:spacing w:after="0"/>
              <w:rPr>
                <w:sz w:val="20"/>
                <w:szCs w:val="20"/>
                <w:color w:val="auto"/>
              </w:rPr>
            </w:pPr>
            <w:r>
              <w:rPr>
                <w:rFonts w:ascii="Arial" w:cs="Arial" w:eastAsia="Arial" w:hAnsi="Arial"/>
                <w:sz w:val="20"/>
                <w:szCs w:val="20"/>
                <w:b w:val="1"/>
                <w:bCs w:val="1"/>
                <w:color w:val="auto"/>
              </w:rPr>
              <w:t>January 31, 2018)</w:t>
            </w:r>
          </w:p>
        </w:tc>
      </w:tr>
      <w:tr>
        <w:trPr>
          <w:trHeight w:val="23"/>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Revenue (in millions) (1)</w:t>
            </w:r>
          </w:p>
        </w:tc>
        <w:tc>
          <w:tcPr>
            <w:tcW w:w="35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20"/>
                <w:szCs w:val="20"/>
                <w:color w:val="auto"/>
              </w:rPr>
              <w:t>$2,040 - $2,050</w:t>
            </w:r>
          </w:p>
        </w:tc>
      </w:tr>
      <w:tr>
        <w:trPr>
          <w:trHeight w:val="289"/>
        </w:trPr>
        <w:tc>
          <w:tcPr>
            <w:tcW w:w="20" w:type="dxa"/>
            <w:vAlign w:val="bottom"/>
          </w:tcPr>
          <w:p>
            <w:pPr>
              <w:spacing w:after="0"/>
              <w:rPr>
                <w:sz w:val="24"/>
                <w:szCs w:val="24"/>
                <w:color w:val="auto"/>
              </w:rPr>
            </w:pPr>
          </w:p>
        </w:tc>
        <w:tc>
          <w:tcPr>
            <w:tcW w:w="7900" w:type="dxa"/>
            <w:vAlign w:val="bottom"/>
          </w:tcPr>
          <w:p>
            <w:pPr>
              <w:ind w:left="20"/>
              <w:spacing w:after="0"/>
              <w:rPr>
                <w:sz w:val="20"/>
                <w:szCs w:val="20"/>
                <w:color w:val="auto"/>
              </w:rPr>
            </w:pPr>
            <w:r>
              <w:rPr>
                <w:rFonts w:ascii="Arial" w:cs="Arial" w:eastAsia="Arial" w:hAnsi="Arial"/>
                <w:sz w:val="20"/>
                <w:szCs w:val="20"/>
                <w:b w:val="1"/>
                <w:bCs w:val="1"/>
                <w:color w:val="auto"/>
              </w:rPr>
              <w:t xml:space="preserve">GAAP spend growth </w:t>
            </w:r>
            <w:r>
              <w:rPr>
                <w:rFonts w:ascii="Arial" w:cs="Arial" w:eastAsia="Arial" w:hAnsi="Arial"/>
                <w:sz w:val="21"/>
                <w:szCs w:val="21"/>
                <w:b w:val="1"/>
                <w:bCs w:val="1"/>
                <w:color w:val="auto"/>
              </w:rPr>
              <w:t>(cost of revenue plus operating expenses)</w:t>
            </w:r>
          </w:p>
        </w:tc>
        <w:tc>
          <w:tcPr>
            <w:tcW w:w="3500" w:type="dxa"/>
            <w:vAlign w:val="bottom"/>
          </w:tcPr>
          <w:p>
            <w:pPr>
              <w:ind w:left="1600"/>
              <w:spacing w:after="0"/>
              <w:rPr>
                <w:sz w:val="20"/>
                <w:szCs w:val="20"/>
                <w:color w:val="auto"/>
              </w:rPr>
            </w:pPr>
            <w:r>
              <w:rPr>
                <w:rFonts w:ascii="Arial" w:cs="Arial" w:eastAsia="Arial" w:hAnsi="Arial"/>
                <w:sz w:val="20"/>
                <w:szCs w:val="20"/>
                <w:color w:val="auto"/>
              </w:rPr>
              <w:t>Approx. +1%</w:t>
            </w:r>
          </w:p>
        </w:tc>
      </w:tr>
      <w:tr>
        <w:trPr>
          <w:trHeight w:val="305"/>
        </w:trPr>
        <w:tc>
          <w:tcPr>
            <w:tcW w:w="20" w:type="dxa"/>
            <w:vAlign w:val="bottom"/>
          </w:tcPr>
          <w:p>
            <w:pPr>
              <w:spacing w:after="0"/>
              <w:rPr>
                <w:sz w:val="24"/>
                <w:szCs w:val="24"/>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 xml:space="preserve">Non-GAAP spend growth </w:t>
            </w:r>
            <w:r>
              <w:rPr>
                <w:rFonts w:ascii="Arial" w:cs="Arial" w:eastAsia="Arial" w:hAnsi="Arial"/>
                <w:sz w:val="21"/>
                <w:szCs w:val="21"/>
                <w:b w:val="1"/>
                <w:bCs w:val="1"/>
                <w:color w:val="auto"/>
              </w:rPr>
              <w:t>(cost of revenue plus operating expenses) (2)</w:t>
            </w:r>
          </w:p>
        </w:tc>
        <w:tc>
          <w:tcPr>
            <w:tcW w:w="350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Approx. flat</w:t>
            </w:r>
          </w:p>
        </w:tc>
      </w:tr>
      <w:tr>
        <w:trPr>
          <w:trHeight w:val="261"/>
        </w:trPr>
        <w:tc>
          <w:tcPr>
            <w:tcW w:w="20" w:type="dxa"/>
            <w:vAlign w:val="bottom"/>
          </w:tcPr>
          <w:p>
            <w:pPr>
              <w:spacing w:after="0"/>
              <w:rPr>
                <w:sz w:val="22"/>
                <w:szCs w:val="22"/>
                <w:color w:val="auto"/>
              </w:rPr>
            </w:pPr>
          </w:p>
        </w:tc>
        <w:tc>
          <w:tcPr>
            <w:tcW w:w="7900" w:type="dxa"/>
            <w:vAlign w:val="bottom"/>
          </w:tcPr>
          <w:p>
            <w:pPr>
              <w:ind w:left="20"/>
              <w:spacing w:after="0"/>
              <w:rPr>
                <w:sz w:val="20"/>
                <w:szCs w:val="20"/>
                <w:color w:val="auto"/>
              </w:rPr>
            </w:pPr>
            <w:r>
              <w:rPr>
                <w:rFonts w:ascii="Arial" w:cs="Arial" w:eastAsia="Arial" w:hAnsi="Arial"/>
                <w:sz w:val="20"/>
                <w:szCs w:val="20"/>
                <w:b w:val="1"/>
                <w:bCs w:val="1"/>
                <w:color w:val="auto"/>
              </w:rPr>
              <w:t>EPS GAAP</w:t>
            </w:r>
          </w:p>
        </w:tc>
        <w:tc>
          <w:tcPr>
            <w:tcW w:w="3500" w:type="dxa"/>
            <w:vAlign w:val="bottom"/>
          </w:tcPr>
          <w:p>
            <w:pPr>
              <w:ind w:left="1600"/>
              <w:spacing w:after="0"/>
              <w:rPr>
                <w:sz w:val="20"/>
                <w:szCs w:val="20"/>
                <w:color w:val="auto"/>
              </w:rPr>
            </w:pPr>
            <w:r>
              <w:rPr>
                <w:rFonts w:ascii="Arial" w:cs="Arial" w:eastAsia="Arial" w:hAnsi="Arial"/>
                <w:sz w:val="20"/>
                <w:szCs w:val="20"/>
                <w:color w:val="auto"/>
              </w:rPr>
              <w:t>($2.98) - ($2.93)</w:t>
            </w:r>
          </w:p>
        </w:tc>
      </w:tr>
      <w:tr>
        <w:trPr>
          <w:trHeight w:val="23"/>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EPS non-GAAP (3)</w:t>
            </w:r>
          </w:p>
        </w:tc>
        <w:tc>
          <w:tcPr>
            <w:tcW w:w="35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20"/>
                <w:szCs w:val="20"/>
                <w:color w:val="auto"/>
              </w:rPr>
              <w:t>($0.53) - ($0.49)</w:t>
            </w:r>
          </w:p>
        </w:tc>
      </w:tr>
      <w:tr>
        <w:trPr>
          <w:trHeight w:val="261"/>
        </w:trPr>
        <w:tc>
          <w:tcPr>
            <w:tcW w:w="20" w:type="dxa"/>
            <w:vAlign w:val="bottom"/>
          </w:tcPr>
          <w:p>
            <w:pPr>
              <w:spacing w:after="0"/>
              <w:rPr>
                <w:sz w:val="22"/>
                <w:szCs w:val="22"/>
                <w:color w:val="auto"/>
              </w:rPr>
            </w:pPr>
          </w:p>
        </w:tc>
        <w:tc>
          <w:tcPr>
            <w:tcW w:w="7900" w:type="dxa"/>
            <w:vAlign w:val="bottom"/>
          </w:tcPr>
          <w:p>
            <w:pPr>
              <w:ind w:left="20"/>
              <w:spacing w:after="0"/>
              <w:rPr>
                <w:sz w:val="20"/>
                <w:szCs w:val="20"/>
                <w:color w:val="auto"/>
              </w:rPr>
            </w:pPr>
            <w:r>
              <w:rPr>
                <w:rFonts w:ascii="Arial" w:cs="Arial" w:eastAsia="Arial" w:hAnsi="Arial"/>
                <w:sz w:val="20"/>
                <w:szCs w:val="20"/>
                <w:b w:val="1"/>
                <w:bCs w:val="1"/>
                <w:color w:val="auto"/>
              </w:rPr>
              <w:t>Net subscription additions</w:t>
            </w:r>
          </w:p>
        </w:tc>
        <w:tc>
          <w:tcPr>
            <w:tcW w:w="3500" w:type="dxa"/>
            <w:vAlign w:val="bottom"/>
          </w:tcPr>
          <w:p>
            <w:pPr>
              <w:ind w:left="1600"/>
              <w:spacing w:after="0"/>
              <w:rPr>
                <w:sz w:val="20"/>
                <w:szCs w:val="20"/>
                <w:color w:val="auto"/>
              </w:rPr>
            </w:pPr>
            <w:r>
              <w:rPr>
                <w:rFonts w:ascii="Arial" w:cs="Arial" w:eastAsia="Arial" w:hAnsi="Arial"/>
                <w:sz w:val="20"/>
                <w:szCs w:val="20"/>
                <w:color w:val="auto"/>
              </w:rPr>
              <w:t>625k - 650k</w:t>
            </w:r>
          </w:p>
        </w:tc>
      </w:tr>
      <w:tr>
        <w:trPr>
          <w:trHeight w:val="23"/>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Total ARR</w:t>
            </w:r>
          </w:p>
        </w:tc>
        <w:tc>
          <w:tcPr>
            <w:tcW w:w="35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20"/>
                <w:szCs w:val="20"/>
                <w:color w:val="auto"/>
              </w:rPr>
              <w:t>24% - 26%</w:t>
            </w:r>
          </w:p>
        </w:tc>
      </w:tr>
      <w:tr>
        <w:trPr>
          <w:trHeight w:val="258"/>
        </w:trPr>
        <w:tc>
          <w:tcPr>
            <w:tcW w:w="20" w:type="dxa"/>
            <w:vAlign w:val="bottom"/>
          </w:tcPr>
          <w:p>
            <w:pPr>
              <w:spacing w:after="0"/>
              <w:rPr>
                <w:sz w:val="22"/>
                <w:szCs w:val="22"/>
                <w:color w:val="auto"/>
              </w:rPr>
            </w:pPr>
          </w:p>
        </w:tc>
        <w:tc>
          <w:tcPr>
            <w:tcW w:w="7900" w:type="dxa"/>
            <w:vAlign w:val="bottom"/>
          </w:tcPr>
          <w:p>
            <w:pPr>
              <w:spacing w:after="0"/>
              <w:rPr>
                <w:sz w:val="20"/>
                <w:szCs w:val="20"/>
                <w:color w:val="auto"/>
              </w:rPr>
            </w:pPr>
            <w:r>
              <w:rPr>
                <w:rFonts w:ascii="Arial" w:cs="Arial" w:eastAsia="Arial" w:hAnsi="Arial"/>
                <w:sz w:val="22"/>
                <w:szCs w:val="22"/>
                <w:color w:val="auto"/>
              </w:rPr>
              <w:t>_______________</w:t>
            </w:r>
          </w:p>
        </w:tc>
        <w:tc>
          <w:tcPr>
            <w:tcW w:w="3500" w:type="dxa"/>
            <w:vAlign w:val="bottom"/>
          </w:tcPr>
          <w:p>
            <w:pPr>
              <w:spacing w:after="0"/>
              <w:rPr>
                <w:sz w:val="22"/>
                <w:szCs w:val="22"/>
                <w:color w:val="auto"/>
              </w:rPr>
            </w:pPr>
          </w:p>
        </w:tc>
      </w:tr>
    </w:tbl>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the impact of foreign currency exchange rates and hedge gains/losses, revenue guidance would be $2.045 - $2.055 billion.</w:t>
      </w:r>
    </w:p>
    <w:p>
      <w:pPr>
        <w:spacing w:after="0" w:line="7" w:lineRule="exact"/>
        <w:rPr>
          <w:rFonts w:ascii="Arial" w:cs="Arial" w:eastAsia="Arial" w:hAnsi="Arial"/>
          <w:sz w:val="18"/>
          <w:szCs w:val="18"/>
          <w:color w:val="auto"/>
        </w:rPr>
      </w:pPr>
    </w:p>
    <w:p>
      <w:pPr>
        <w:ind w:right="26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spend excludes $248 million related to stock-based compensation expense, $96 million related to restructuring and other facility exit costs, $36 million for the amortization of acquisition-related intangibles, and $22 million related to CEO transition costs.</w:t>
      </w:r>
    </w:p>
    <w:p>
      <w:pPr>
        <w:ind w:right="20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earnings per diluted share excludes $1.13 related to stock-based compensation expense, between $0.57 and $0.56 related to GAAP-only tax charges, $0.44 related to restructuring and other facility exit costs, $0.17 for the amortization of acquisition-related intangibles, $0.10 related to CEO transition costs, and $0.04 related to losses on strategic investments and dispositions.</w:t>
      </w:r>
    </w:p>
    <w:p>
      <w:pPr>
        <w:spacing w:after="0" w:line="237"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fourth quarter and full year fiscal 2018 outlook assume a projected annual effective tax rate of (15) percent and 26 percent for GAAP and non-GAAP results, respectively. Assumptions for the annual effective tax rate are regularly evaluated and may change based on the projected geographic mix of earnings. At this stage of the business model transition, small shifts in geographic profitability significantly impact the annual effective tax rate.</w:t>
      </w:r>
    </w:p>
    <w:p>
      <w:pPr>
        <w:spacing w:after="0" w:line="229"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color w:val="auto"/>
        </w:rPr>
        <w:t>The majority of the euro, yen and Australian dollar denominated billings for our fourth quarter fiscal 2018 have been hedged. This hedging, along with deferred revenue locked-in through prior period billings hedges, will materially reduce the impact of currency fluctuations on our fourth quarter results. However, over an extended period of time, currency fluctuations may increasingly impact our results. We also hedge certain expenses as noted below. We hedge our net cash flow exposures using a four quarter rolling layered hedge program. As such, a portion of the projected euro, yen, and Australian dollar denominated billings for the remainder of fiscal 2018 and through the third quarter of fiscal 2019 have been hedged. The closer to the current time period, the more we are hedged. See below for more details on our foreign currency hedging program.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Autodesk’s Foreign Currency Hedging Program and Calculation of Constant Currency Growth</w:t>
      </w:r>
    </w:p>
    <w:p>
      <w:pPr>
        <w:spacing w:after="0" w:line="266" w:lineRule="exact"/>
        <w:rPr>
          <w:sz w:val="20"/>
          <w:szCs w:val="20"/>
          <w:color w:val="auto"/>
        </w:rPr>
      </w:pPr>
    </w:p>
    <w:p>
      <w:pPr>
        <w:jc w:val="both"/>
        <w:ind w:right="700"/>
        <w:spacing w:after="0" w:line="253" w:lineRule="auto"/>
        <w:rPr>
          <w:sz w:val="20"/>
          <w:szCs w:val="20"/>
          <w:color w:val="auto"/>
        </w:rPr>
      </w:pPr>
      <w:r>
        <w:rPr>
          <w:rFonts w:ascii="Arial" w:cs="Arial" w:eastAsia="Arial" w:hAnsi="Arial"/>
          <w:sz w:val="22"/>
          <w:szCs w:val="22"/>
          <w:color w:val="auto"/>
        </w:rPr>
        <w:t>Given continued foreign currency exchange rate volatility, we provide a brief summary of how we handle foreign currency exchange hedging as well as a description of how we calculate constant currency growth rates. A few points on our hedging program include:</w:t>
      </w:r>
    </w:p>
    <w:p>
      <w:pPr>
        <w:spacing w:after="0" w:line="226" w:lineRule="exact"/>
        <w:rPr>
          <w:sz w:val="20"/>
          <w:szCs w:val="20"/>
          <w:color w:val="auto"/>
        </w:rPr>
      </w:pPr>
    </w:p>
    <w:p>
      <w:pPr>
        <w:jc w:val="both"/>
        <w:ind w:left="660" w:right="20" w:hanging="328"/>
        <w:spacing w:after="0" w:line="25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We do not conduct foreign currency hedging for speculative purposes. The purpose of our hedging program is to reduce risk to foreign denominated cash flows and to partially reduce variability that would otherwise impact our financial results from currency fluctuations.</w:t>
      </w:r>
    </w:p>
    <w:p>
      <w:pPr>
        <w:spacing w:after="0" w:line="226" w:lineRule="exact"/>
        <w:rPr>
          <w:rFonts w:ascii="Arial" w:cs="Arial" w:eastAsia="Arial" w:hAnsi="Arial"/>
          <w:sz w:val="22"/>
          <w:szCs w:val="22"/>
          <w:color w:val="auto"/>
        </w:rPr>
      </w:pPr>
    </w:p>
    <w:p>
      <w:pPr>
        <w:ind w:left="660" w:right="100" w:hanging="328"/>
        <w:spacing w:after="0" w:line="343"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We utilize cash flow hedges on projected billings and certain projected operating expenses in major currencies. We hedge our net exposures using a four quarter rolling layered hedge. The closer to the current time period, the more we are hedged.</w:t>
      </w:r>
    </w:p>
    <w:p>
      <w:pPr>
        <w:spacing w:after="0" w:line="145" w:lineRule="exact"/>
        <w:rPr>
          <w:rFonts w:ascii="Arial" w:cs="Arial" w:eastAsia="Arial" w:hAnsi="Arial"/>
          <w:sz w:val="19"/>
          <w:szCs w:val="19"/>
          <w:color w:val="auto"/>
        </w:rPr>
      </w:pPr>
    </w:p>
    <w:p>
      <w:pPr>
        <w:ind w:left="660" w:right="1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22"/>
          <w:szCs w:val="22"/>
          <w:color w:val="auto"/>
        </w:rPr>
        <w:t>We designate cash flow hedges for deferred and non-deferred billings separately, and reflect associated gains and losses on hedging contracts in our earnings when respective revenue is recognized in earnings.</w:t>
      </w:r>
    </w:p>
    <w:p>
      <w:pPr>
        <w:spacing w:after="0" w:line="215" w:lineRule="exact"/>
        <w:rPr>
          <w:rFonts w:ascii="Arial" w:cs="Arial" w:eastAsia="Arial" w:hAnsi="Arial"/>
          <w:sz w:val="18"/>
          <w:szCs w:val="18"/>
          <w:color w:val="auto"/>
        </w:rPr>
      </w:pPr>
    </w:p>
    <w:p>
      <w:pPr>
        <w:ind w:left="660" w:right="320" w:hanging="328"/>
        <w:spacing w:after="0" w:line="25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On a monthly basis, to mitigate foreign currency exchange rate gains/losses, we hedge net monetary assets and liabilities recorded in non-functional currencies on the books of certain USD functional entities where these exposures are purposefully concentrated.</w:t>
      </w:r>
    </w:p>
    <w:p>
      <w:pPr>
        <w:spacing w:after="0" w:line="226" w:lineRule="exact"/>
        <w:rPr>
          <w:rFonts w:ascii="Arial" w:cs="Arial" w:eastAsia="Arial" w:hAnsi="Arial"/>
          <w:sz w:val="22"/>
          <w:szCs w:val="22"/>
          <w:color w:val="auto"/>
        </w:rPr>
      </w:pPr>
    </w:p>
    <w:p>
      <w:pPr>
        <w:ind w:left="660" w:right="42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From time to time, we hedge strategic exposures which may be related to acquisitions. Such hedges may not qualify for hedge accounting and are marked-to-market and reflected in earnings immediately.</w:t>
      </w:r>
    </w:p>
    <w:p>
      <w:pPr>
        <w:spacing w:after="0" w:line="215" w:lineRule="exact"/>
        <w:rPr>
          <w:rFonts w:ascii="Arial" w:cs="Arial" w:eastAsia="Arial" w:hAnsi="Arial"/>
          <w:sz w:val="22"/>
          <w:szCs w:val="22"/>
          <w:color w:val="auto"/>
        </w:rPr>
      </w:pPr>
    </w:p>
    <w:p>
      <w:pPr>
        <w:ind w:left="660" w:right="66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major currencies in our hedging program include the euro, yen, Swiss franc, British pound, Canadian dollar, and Australian dollar. The euro is the primary exposure for the company.</w:t>
      </w:r>
    </w:p>
    <w:p>
      <w:pPr>
        <w:spacing w:after="0" w:line="215" w:lineRule="exact"/>
        <w:rPr>
          <w:sz w:val="20"/>
          <w:szCs w:val="20"/>
          <w:color w:val="auto"/>
        </w:rPr>
      </w:pPr>
    </w:p>
    <w:p>
      <w:pPr>
        <w:ind w:right="300"/>
        <w:spacing w:after="0" w:line="343" w:lineRule="auto"/>
        <w:rPr>
          <w:sz w:val="20"/>
          <w:szCs w:val="20"/>
          <w:color w:val="auto"/>
        </w:rPr>
      </w:pPr>
      <w:r>
        <w:rPr>
          <w:rFonts w:ascii="Arial" w:cs="Arial" w:eastAsia="Arial" w:hAnsi="Arial"/>
          <w:sz w:val="19"/>
          <w:szCs w:val="19"/>
          <w:color w:val="auto"/>
        </w:rPr>
        <w:t>When we report period-over-period growth rate percentages on a constant currency basis, we attempt to represent the changes in the underlying business operations by eliminating fluctuations caused by changes in foreign currency exchange rates as well as</w:t>
      </w:r>
    </w:p>
    <w:p>
      <w:pPr>
        <w:sectPr>
          <w:pgSz w:w="11900" w:h="16879" w:orient="portrait"/>
          <w:cols w:equalWidth="0" w:num="1">
            <w:col w:w="11420"/>
          </w:cols>
          <w:pgMar w:left="240" w:top="625" w:right="239" w:bottom="0" w:gutter="0" w:footer="0" w:header="0"/>
        </w:sectPr>
      </w:pPr>
    </w:p>
    <w:bookmarkStart w:id="27" w:name="page28"/>
    <w:bookmarkEnd w:id="27"/>
    <w:p>
      <w:pPr>
        <w:spacing w:after="0" w:line="253" w:lineRule="auto"/>
        <w:rPr>
          <w:sz w:val="20"/>
          <w:szCs w:val="20"/>
          <w:color w:val="auto"/>
        </w:rPr>
      </w:pPr>
      <w:r>
        <w:rPr>
          <w:rFonts w:ascii="Arial" w:cs="Arial" w:eastAsia="Arial" w:hAnsi="Arial"/>
          <w:sz w:val="22"/>
          <w:szCs w:val="22"/>
          <w:color w:val="auto"/>
        </w:rPr>
        <w:t>eliminating hedge gains or losses recorded within the current and comparative period. However, when we calculate the foreign currency impact of exchange rates in the current and comparative period on our financial results (see table above in “Foreign Currency Impact” section) we</w:t>
      </w: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240" w:top="132" w:right="699" w:bottom="1440" w:gutter="0" w:footer="0" w:header="0"/>
        </w:sectPr>
      </w:pPr>
    </w:p>
    <w:bookmarkStart w:id="28" w:name="page29"/>
    <w:bookmarkEnd w:id="28"/>
    <w:p>
      <w:pPr>
        <w:ind w:right="80"/>
        <w:spacing w:after="0" w:line="263" w:lineRule="auto"/>
        <w:rPr>
          <w:sz w:val="20"/>
          <w:szCs w:val="20"/>
          <w:color w:val="auto"/>
        </w:rPr>
      </w:pPr>
      <w:r>
        <w:rPr>
          <w:rFonts w:ascii="Arial" w:cs="Arial" w:eastAsia="Arial" w:hAnsi="Arial"/>
          <w:sz w:val="22"/>
          <w:szCs w:val="22"/>
          <w:color w:val="auto"/>
        </w:rPr>
        <w:t>include the U.S. Dollar impact of fluctuations in foreign currency exchange rates as well as the impact of gains and losses recorded as a result of our hedging program.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220" w:lineRule="exact"/>
        <w:rPr>
          <w:sz w:val="20"/>
          <w:szCs w:val="20"/>
          <w:color w:val="auto"/>
        </w:rPr>
      </w:pPr>
    </w:p>
    <w:p>
      <w:pPr>
        <w:ind w:right="100"/>
        <w:spacing w:after="0" w:line="298" w:lineRule="auto"/>
        <w:rPr>
          <w:sz w:val="20"/>
          <w:szCs w:val="20"/>
          <w:color w:val="auto"/>
        </w:rPr>
      </w:pPr>
      <w:r>
        <w:rPr>
          <w:rFonts w:ascii="Arial" w:cs="Arial" w:eastAsia="Arial" w:hAnsi="Arial"/>
          <w:sz w:val="19"/>
          <w:szCs w:val="19"/>
          <w:b w:val="1"/>
          <w:bCs w:val="1"/>
          <w:color w:val="auto"/>
        </w:rPr>
        <w:t xml:space="preserve">Annualized Recurring Revenue (ARR): </w:t>
      </w:r>
      <w:r>
        <w:rPr>
          <w:rFonts w:ascii="Arial" w:cs="Arial" w:eastAsia="Arial" w:hAnsi="Arial"/>
          <w:sz w:val="19"/>
          <w:szCs w:val="19"/>
          <w:color w:val="auto"/>
        </w:rPr>
        <w:t>Represents the annualized value of our average monthly recurring revenue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preceding three months. "Maintenance plan ARR” captures ARR relating to traditional maintenance attached to perpetual licenses. "Subscription plan ARR" captures ARR relating to term-based product subscriptions, cloud service offerings, and flexible enterprise business arrangements. Refer to the definition of recurring revenue below for more details on what is included within ARR. Recurring revenue acquired with the acquisition of a business may cause variability in the comparison of this calculation.</w:t>
      </w:r>
    </w:p>
    <w:p>
      <w:pPr>
        <w:spacing w:after="0" w:line="189" w:lineRule="exact"/>
        <w:rPr>
          <w:sz w:val="20"/>
          <w:szCs w:val="20"/>
          <w:color w:val="auto"/>
        </w:rPr>
      </w:pPr>
    </w:p>
    <w:p>
      <w:pPr>
        <w:jc w:val="both"/>
        <w:ind w:right="360"/>
        <w:spacing w:after="0" w:line="253" w:lineRule="auto"/>
        <w:rPr>
          <w:sz w:val="20"/>
          <w:szCs w:val="20"/>
          <w:color w:val="auto"/>
        </w:rPr>
      </w:pPr>
      <w:r>
        <w:rPr>
          <w:rFonts w:ascii="Arial" w:cs="Arial" w:eastAsia="Arial" w:hAnsi="Arial"/>
          <w:sz w:val="22"/>
          <w:szCs w:val="22"/>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Annualized Revenue Per Subscription (ARPS): </w:t>
      </w:r>
      <w:r>
        <w:rPr>
          <w:rFonts w:ascii="Arial" w:cs="Arial" w:eastAsia="Arial" w:hAnsi="Arial"/>
          <w:sz w:val="19"/>
          <w:szCs w:val="19"/>
          <w:color w:val="auto"/>
        </w:rPr>
        <w:t>Is calculated by dividing our annualized recurring revenue by total subscriptions.</w:t>
      </w:r>
    </w:p>
    <w:p>
      <w:pPr>
        <w:spacing w:after="0" w:line="295"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 xml:space="preserve">Cloud Service Offerings: </w:t>
      </w:r>
      <w:r>
        <w:rPr>
          <w:rFonts w:ascii="Arial" w:cs="Arial" w:eastAsia="Arial" w:hAnsi="Arial"/>
          <w:sz w:val="22"/>
          <w:szCs w:val="22"/>
          <w:color w:val="auto"/>
        </w:rPr>
        <w:t>Represents individual term-based offerings deployed through web browser technologies or in a hybrid</w:t>
      </w:r>
      <w:r>
        <w:rPr>
          <w:rFonts w:ascii="Arial" w:cs="Arial" w:eastAsia="Arial" w:hAnsi="Arial"/>
          <w:sz w:val="22"/>
          <w:szCs w:val="22"/>
          <w:b w:val="1"/>
          <w:bCs w:val="1"/>
          <w:color w:val="auto"/>
        </w:rPr>
        <w:t xml:space="preserve"> </w:t>
      </w:r>
      <w:r>
        <w:rPr>
          <w:rFonts w:ascii="Arial" w:cs="Arial" w:eastAsia="Arial" w:hAnsi="Arial"/>
          <w:sz w:val="22"/>
          <w:szCs w:val="22"/>
          <w:color w:val="auto"/>
        </w:rPr>
        <w:t>software and cloud configuration. Cloud service offerings that are bundled with other product offerings are not captured as a separate cloud service offering.</w:t>
      </w:r>
    </w:p>
    <w:p>
      <w:pPr>
        <w:spacing w:after="0" w:line="217"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b w:val="1"/>
          <w:bCs w:val="1"/>
          <w:color w:val="auto"/>
        </w:rPr>
        <w:t xml:space="preserve">Constant Currency (CC) Growth Rates: </w:t>
      </w:r>
      <w:r>
        <w:rPr>
          <w:rFonts w:ascii="Arial" w:cs="Arial" w:eastAsia="Arial" w:hAnsi="Arial"/>
          <w:sz w:val="22"/>
          <w:szCs w:val="22"/>
          <w:color w:val="auto"/>
        </w:rPr>
        <w:t>We calculate constant currency growth rates by (i) applying the applicable prior period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rates to current period results and (ii) excluding any gains or losses from foreign currency hedge contracts that are reported in the current and comparative periods.</w:t>
      </w: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Enterprise Business Agreements (EBAs): </w:t>
      </w:r>
      <w:r>
        <w:rPr>
          <w:rFonts w:ascii="Arial" w:cs="Arial" w:eastAsia="Arial" w:hAnsi="Arial"/>
          <w:sz w:val="22"/>
          <w:szCs w:val="22"/>
          <w:color w:val="auto"/>
        </w:rPr>
        <w:t>Represents programs providing enterprise customers with token-based access or a fixed</w:t>
      </w:r>
      <w:r>
        <w:rPr>
          <w:rFonts w:ascii="Arial" w:cs="Arial" w:eastAsia="Arial" w:hAnsi="Arial"/>
          <w:sz w:val="22"/>
          <w:szCs w:val="22"/>
          <w:b w:val="1"/>
          <w:bCs w:val="1"/>
          <w:color w:val="auto"/>
        </w:rPr>
        <w:t xml:space="preserve"> </w:t>
      </w:r>
      <w:r>
        <w:rPr>
          <w:rFonts w:ascii="Arial" w:cs="Arial" w:eastAsia="Arial" w:hAnsi="Arial"/>
          <w:sz w:val="22"/>
          <w:szCs w:val="22"/>
          <w:color w:val="auto"/>
        </w:rPr>
        <w:t>maximum number of seats to a broad pool of Autodesk products over a defined contract term.</w:t>
      </w:r>
    </w:p>
    <w:p>
      <w:pPr>
        <w:spacing w:after="0" w:line="203" w:lineRule="exact"/>
        <w:rPr>
          <w:sz w:val="20"/>
          <w:szCs w:val="20"/>
          <w:color w:val="auto"/>
        </w:rPr>
      </w:pPr>
    </w:p>
    <w:p>
      <w:pPr>
        <w:ind w:right="240"/>
        <w:spacing w:after="0" w:line="315" w:lineRule="auto"/>
        <w:rPr>
          <w:sz w:val="20"/>
          <w:szCs w:val="20"/>
          <w:color w:val="auto"/>
        </w:rPr>
      </w:pPr>
      <w:r>
        <w:rPr>
          <w:rFonts w:ascii="Arial" w:cs="Arial" w:eastAsia="Arial" w:hAnsi="Arial"/>
          <w:sz w:val="19"/>
          <w:szCs w:val="19"/>
          <w:b w:val="1"/>
          <w:bCs w:val="1"/>
          <w:color w:val="auto"/>
        </w:rPr>
        <w:t xml:space="preserve">License and Other Revenue: </w:t>
      </w:r>
      <w:r>
        <w:rPr>
          <w:rFonts w:ascii="Arial" w:cs="Arial" w:eastAsia="Arial" w:hAnsi="Arial"/>
          <w:sz w:val="19"/>
          <w:szCs w:val="19"/>
          <w:color w:val="auto"/>
        </w:rPr>
        <w:t>Represents (1) perpetual license revenue and (2) other revenue. Perpetual license revenue includes</w:t>
      </w:r>
      <w:r>
        <w:rPr>
          <w:rFonts w:ascii="Arial" w:cs="Arial" w:eastAsia="Arial" w:hAnsi="Arial"/>
          <w:sz w:val="19"/>
          <w:szCs w:val="19"/>
          <w:b w:val="1"/>
          <w:bCs w:val="1"/>
          <w:color w:val="auto"/>
        </w:rPr>
        <w:t xml:space="preserve"> </w:t>
      </w:r>
      <w:r>
        <w:rPr>
          <w:rFonts w:ascii="Arial" w:cs="Arial" w:eastAsia="Arial" w:hAnsi="Arial"/>
          <w:sz w:val="19"/>
          <w:szCs w:val="19"/>
          <w:color w:val="auto"/>
        </w:rPr>
        <w:t>software license revenue from the sale of perpetual licenses, and Creative Finishing. Other revenue includes revenue such as standalone consulting and training, and is recognized over time as the services are performed.</w:t>
      </w:r>
    </w:p>
    <w:p>
      <w:pPr>
        <w:spacing w:after="0" w:line="166" w:lineRule="exact"/>
        <w:rPr>
          <w:sz w:val="20"/>
          <w:szCs w:val="20"/>
          <w:color w:val="auto"/>
        </w:rPr>
      </w:pPr>
    </w:p>
    <w:p>
      <w:pPr>
        <w:ind w:right="120"/>
        <w:spacing w:after="0" w:line="304" w:lineRule="auto"/>
        <w:rPr>
          <w:sz w:val="20"/>
          <w:szCs w:val="20"/>
          <w:color w:val="auto"/>
        </w:rPr>
      </w:pPr>
      <w:r>
        <w:rPr>
          <w:rFonts w:ascii="Arial" w:cs="Arial" w:eastAsia="Arial" w:hAnsi="Arial"/>
          <w:sz w:val="19"/>
          <w:szCs w:val="19"/>
          <w:b w:val="1"/>
          <w:bCs w:val="1"/>
          <w:color w:val="auto"/>
        </w:rPr>
        <w:t xml:space="preserve">Maintenance Plan: </w:t>
      </w:r>
      <w:r>
        <w:rPr>
          <w:rFonts w:ascii="Arial" w:cs="Arial" w:eastAsia="Arial" w:hAnsi="Arial"/>
          <w:sz w:val="19"/>
          <w:szCs w:val="19"/>
          <w:color w:val="auto"/>
        </w:rPr>
        <w:t>Our maintenance plans provide our customers with a cost effective and predictable budgetary option to obtain</w:t>
      </w:r>
      <w:r>
        <w:rPr>
          <w:rFonts w:ascii="Arial" w:cs="Arial" w:eastAsia="Arial" w:hAnsi="Arial"/>
          <w:sz w:val="19"/>
          <w:szCs w:val="19"/>
          <w:b w:val="1"/>
          <w:bCs w:val="1"/>
          <w:color w:val="auto"/>
        </w:rPr>
        <w:t xml:space="preserve"> </w:t>
      </w:r>
      <w:r>
        <w:rPr>
          <w:rFonts w:ascii="Arial" w:cs="Arial" w:eastAsia="Arial" w:hAnsi="Arial"/>
          <w:sz w:val="19"/>
          <w:szCs w:val="19"/>
          <w:color w:val="auto"/>
        </w:rPr>
        <w:t>the 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76" w:lineRule="exact"/>
        <w:rPr>
          <w:sz w:val="20"/>
          <w:szCs w:val="20"/>
          <w:color w:val="auto"/>
        </w:rPr>
      </w:pPr>
    </w:p>
    <w:p>
      <w:pPr>
        <w:ind w:right="320"/>
        <w:spacing w:after="0" w:line="304" w:lineRule="auto"/>
        <w:rPr>
          <w:sz w:val="20"/>
          <w:szCs w:val="20"/>
          <w:color w:val="auto"/>
        </w:rPr>
      </w:pPr>
      <w:r>
        <w:rPr>
          <w:rFonts w:ascii="Arial" w:cs="Arial" w:eastAsia="Arial" w:hAnsi="Arial"/>
          <w:sz w:val="19"/>
          <w:szCs w:val="19"/>
          <w:b w:val="1"/>
          <w:bCs w:val="1"/>
          <w:color w:val="auto"/>
        </w:rPr>
        <w:t xml:space="preserve">Recurring Revenue: </w:t>
      </w:r>
      <w:r>
        <w:rPr>
          <w:rFonts w:ascii="Arial" w:cs="Arial" w:eastAsia="Arial" w:hAnsi="Arial"/>
          <w:sz w:val="19"/>
          <w:szCs w:val="19"/>
          <w:color w:val="auto"/>
        </w:rPr>
        <w:t>Consists of the revenue for the period from our traditional maintenance plans and revenue from our</w:t>
      </w:r>
      <w:r>
        <w:rPr>
          <w:rFonts w:ascii="Arial" w:cs="Arial" w:eastAsia="Arial" w:hAnsi="Arial"/>
          <w:sz w:val="19"/>
          <w:szCs w:val="19"/>
          <w:b w:val="1"/>
          <w:bCs w:val="1"/>
          <w:color w:val="auto"/>
        </w:rPr>
        <w:t xml:space="preserve"> </w:t>
      </w:r>
      <w:r>
        <w:rPr>
          <w:rFonts w:ascii="Arial" w:cs="Arial" w:eastAsia="Arial" w:hAnsi="Arial"/>
          <w:sz w:val="19"/>
          <w:szCs w:val="19"/>
          <w:color w:val="auto"/>
        </w:rPr>
        <w:t>subscription plan offerings. It 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1" w:right="239" w:bottom="1440" w:gutter="0" w:footer="0" w:header="0"/>
        </w:sectPr>
      </w:pPr>
    </w:p>
    <w:bookmarkStart w:id="29" w:name="page30"/>
    <w:bookmarkEnd w:id="29"/>
    <w:p>
      <w:pPr>
        <w:ind w:right="220"/>
        <w:spacing w:after="0" w:line="252" w:lineRule="auto"/>
        <w:rPr>
          <w:sz w:val="20"/>
          <w:szCs w:val="20"/>
          <w:color w:val="auto"/>
        </w:rPr>
      </w:pPr>
      <w:r>
        <w:rPr>
          <w:rFonts w:ascii="Arial" w:cs="Arial" w:eastAsia="Arial" w:hAnsi="Arial"/>
          <w:sz w:val="22"/>
          <w:szCs w:val="22"/>
          <w:b w:val="1"/>
          <w:bCs w:val="1"/>
          <w:color w:val="auto"/>
        </w:rPr>
        <w:t xml:space="preserve">Subscription Plan: </w:t>
      </w:r>
      <w:r>
        <w:rPr>
          <w:rFonts w:ascii="Arial" w:cs="Arial" w:eastAsia="Arial" w:hAnsi="Arial"/>
          <w:sz w:val="22"/>
          <w:szCs w:val="22"/>
          <w:color w:val="auto"/>
        </w:rPr>
        <w:t>Comprises our term-based product subscriptions, cloud service offerings, and enterprise business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(EBAs). Subscriptions represent a hybrid of desktop and SaaS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21"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b w:val="1"/>
          <w:bCs w:val="1"/>
          <w:color w:val="auto"/>
        </w:rPr>
        <w:t xml:space="preserve">Subscription Revenue: </w:t>
      </w:r>
      <w:r>
        <w:rPr>
          <w:rFonts w:ascii="Arial" w:cs="Arial" w:eastAsia="Arial" w:hAnsi="Arial"/>
          <w:sz w:val="22"/>
          <w:szCs w:val="22"/>
          <w:color w:val="auto"/>
        </w:rPr>
        <w:t>Includes subscription fees from term-based product subscriptions, flexible enterprise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arrangements and all other services as part of a bundled subscription agreement accounted for as a single unit of accounting. (</w:t>
      </w:r>
      <w:r>
        <w:rPr>
          <w:rFonts w:ascii="Arial" w:cs="Arial" w:eastAsia="Arial" w:hAnsi="Arial"/>
          <w:sz w:val="22"/>
          <w:szCs w:val="22"/>
          <w:i w:val="1"/>
          <w:iCs w:val="1"/>
          <w:color w:val="auto"/>
        </w:rPr>
        <w:t>i.e.</w:t>
      </w:r>
      <w:r>
        <w:rPr>
          <w:rFonts w:ascii="Arial" w:cs="Arial" w:eastAsia="Arial" w:hAnsi="Arial"/>
          <w:sz w:val="22"/>
          <w:szCs w:val="22"/>
          <w:color w:val="auto"/>
        </w:rPr>
        <w:t xml:space="preserve"> cloud services, maintenance, and consulting).</w:t>
      </w:r>
    </w:p>
    <w:p>
      <w:pPr>
        <w:spacing w:after="0" w:line="217"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b w:val="1"/>
          <w:bCs w:val="1"/>
          <w:color w:val="auto"/>
        </w:rPr>
        <w:t xml:space="preserve">Total Subscriptions: </w:t>
      </w:r>
      <w:r>
        <w:rPr>
          <w:rFonts w:ascii="Arial" w:cs="Arial" w:eastAsia="Arial" w:hAnsi="Arial"/>
          <w:sz w:val="19"/>
          <w:szCs w:val="19"/>
          <w:color w:val="auto"/>
        </w:rPr>
        <w:t>Consists of subscriptions from our maintenance plans and subscription plan offerings that are active and paid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quarter end date. For certain cloud service offerings and flexible enterprise business arrangements,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Unbilled deferred revenue: </w:t>
      </w:r>
      <w:r>
        <w:rPr>
          <w:rFonts w:ascii="Arial" w:cs="Arial" w:eastAsia="Arial" w:hAnsi="Arial"/>
          <w:sz w:val="22"/>
          <w:szCs w:val="22"/>
          <w:color w:val="auto"/>
        </w:rPr>
        <w:t>Unbilled deferred revenue represents contractually stated or committed orders under multi-year billing</w:t>
      </w:r>
      <w:r>
        <w:rPr>
          <w:rFonts w:ascii="Arial" w:cs="Arial" w:eastAsia="Arial" w:hAnsi="Arial"/>
          <w:sz w:val="22"/>
          <w:szCs w:val="22"/>
          <w:b w:val="1"/>
          <w:bCs w:val="1"/>
          <w:color w:val="auto"/>
        </w:rPr>
        <w:t xml:space="preserve"> </w:t>
      </w:r>
      <w:r>
        <w:rPr>
          <w:rFonts w:ascii="Arial" w:cs="Arial" w:eastAsia="Arial" w:hAnsi="Arial"/>
          <w:sz w:val="22"/>
          <w:szCs w:val="22"/>
          <w:color w:val="auto"/>
        </w:rPr>
        <w:t>plans for subscription, services, license and maintenance for which the associated revenue has not been recognized and the customer has not been invoiced. Unbilled deferred revenue is not included on our Consolidated Balance Sheet until invoiced to the customer.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266"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These prepared remarks contain forward-looking statements that involve risks and uncertainties, including statements in the paragraphs under “Restructuring” and “Business Outlook” above, statements about the impacts of our business model transition, statements about the impact of foreign currency exchange hedges, and statements regarding our strategies, market and product positions, performance and results. There are a significant number of factors that could cause actual results to differ materially from statements made in these remarks, including: failure to successfully manage transitions to new business models and markets, including: the introduction of additional ratable revenue streams and our continuing efforts to attract customers to our cloud-based offerings and expenses related to the transition of our business model; fluctuation in foreign currency exchange rates; the success of our foreign currency hedging program; failure to control our expenses; the success of our restructuring activities; our performance in particular geographies, including emerging economies; the ability of governments around the world to meet their financial and debt obligations, and finance infrastructure projects; weak or negative growth in the industries we serve; slowing momentum in subscription billings or revenues; difficulty in predicting revenue from new businesses and the potential impact on our financial results from changes in our business models; general market, political, economic and business conditions; any imposition of tariffs or trade barriers; the impact of non-cash charges on our financial results; failure to maintain our revenue growth and profitability; difficulties encountered in integrating new or acquired businesses and technologies; the inability to identify and realize the anticipated benefits of acquisitions; the financial and business condition of our reseller and distribution channels; dependence on and the timing of large transactions; failure to achieve sufficient sell-through in our channels for new or existing products; pricing pressure; unexpected fluctuations in our annual effective tax rate; the timing and degree of expected investments in growth and efficiency opportunities; changes in the timing of product releases and retirements; and any unanticipated accounting charges.</w:t>
      </w:r>
    </w:p>
    <w:p>
      <w:pPr>
        <w:spacing w:after="0" w:line="205"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Further information on potential factors that could affect the financial results of Autodesk are included in Autodesk's Annual Report on Form 10-K for the fiscal year ended January 31, 2017 and Quarterly Report on Form 10-Q for the fiscal quarter ended July 31, 2017, which are on file with the U.S. Securities and Exchange Commission. Autodesk disclaims any obligation to update the forward-looking statements provided to reflect events that occur or circumstances that exist after the date on which they were made.</w:t>
      </w:r>
    </w:p>
    <w:p>
      <w:pPr>
        <w:spacing w:after="0" w:line="2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i w:val="1"/>
          <w:iCs w:val="1"/>
          <w:color w:val="auto"/>
        </w:rPr>
        <w:t>Autodesk is a registered trademark of Autodesk, Inc., and/or its subsidiaries and/or affiliates in the USA and/or other countries. All other brand names, product names or trademarks belong to their respective holders. Autodesk reserves the right to alter product and services offerings, and specifications and pricing at any time without notice, and is not responsible for typographical or graphical errors that may appear in this document.</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2017 Autodesk, Inc. All rights reserved.</w:t>
      </w:r>
    </w:p>
    <w:p>
      <w:pPr>
        <w:sectPr>
          <w:pgSz w:w="11900" w:h="16838" w:orient="portrait"/>
          <w:cols w:equalWidth="0" w:num="1">
            <w:col w:w="11420"/>
          </w:cols>
          <w:pgMar w:left="240" w:top="6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25"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25"/>
          <w:szCs w:val="25"/>
          <w:b w:val="1"/>
          <w:bCs w:val="1"/>
          <w:color w:val="auto"/>
        </w:rPr>
        <w:t>Autodesk,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Reconciliation of GAAP financial measures to non-GAAP financial measures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millions, except per share data)</w:t>
      </w:r>
    </w:p>
    <w:p>
      <w:pPr>
        <w:spacing w:after="0" w:line="262" w:lineRule="exact"/>
        <w:rPr>
          <w:sz w:val="20"/>
          <w:szCs w:val="20"/>
          <w:color w:val="auto"/>
        </w:rPr>
      </w:pPr>
    </w:p>
    <w:p>
      <w:pPr>
        <w:ind w:left="40" w:right="120"/>
        <w:spacing w:after="0" w:line="287" w:lineRule="auto"/>
        <w:rPr>
          <w:sz w:val="20"/>
          <w:szCs w:val="20"/>
          <w:color w:val="auto"/>
        </w:rPr>
      </w:pPr>
      <w:r>
        <w:rPr>
          <w:rFonts w:ascii="Arial" w:cs="Arial" w:eastAsia="Arial" w:hAnsi="Arial"/>
          <w:sz w:val="15"/>
          <w:szCs w:val="15"/>
          <w:color w:val="auto"/>
        </w:rPr>
        <w:t>To supplement our consolidated financial statements presented on a GAAP basis, Autodesk provides investors with certain non-GAAP measures including non-GAAP gross margin, non-GAAP operating expenses, non-GAAP operating margin, non-GAAP net income, non-GAAP net income per share, and non-GAAP diluted shares used in per share calculation. These non-GAAP financial measures are adjusted to exclude certain costs, expenses, gains and losses, including stock-based compensation expense, CEO transition costs, restructuring (benefits) charges and other facility exit costs, amortization of developed technology, amortization of purchased intangibles, gain and loss on strategic investments and dispositions, and related income tax expenses. See our reconciliation of GAAP financial measures to non-GAAP financial measures herein. We believe these exclusions are appropriate to enhance an overall understanding of our past financial performance and also our prospects for the future, as well as to facilitate comparisons with our historical operating results. These adjustments to our GAAP results are made with the intent of providing both management and investors a more complete understanding of Autodesk's underlying operational results and trends and our marketplace performance. For example, non-GAAP results are an indication of our baseline performance before gains, losses or other charges that are considered by management to be outside our core operating results. In addition, these non-GAAP financial measures are among the indicators management uses as a basis for our planning and forecasting of future periods.</w:t>
      </w:r>
    </w:p>
    <w:p>
      <w:pPr>
        <w:spacing w:after="0" w:line="17" w:lineRule="exact"/>
        <w:rPr>
          <w:sz w:val="20"/>
          <w:szCs w:val="20"/>
          <w:color w:val="auto"/>
        </w:rPr>
      </w:pPr>
    </w:p>
    <w:p>
      <w:pPr>
        <w:jc w:val="both"/>
        <w:ind w:left="40" w:right="180"/>
        <w:spacing w:after="0" w:line="318" w:lineRule="auto"/>
        <w:rPr>
          <w:sz w:val="20"/>
          <w:szCs w:val="20"/>
          <w:color w:val="auto"/>
        </w:rPr>
      </w:pPr>
      <w:r>
        <w:rPr>
          <w:rFonts w:ascii="Arial" w:cs="Arial" w:eastAsia="Arial" w:hAnsi="Arial"/>
          <w:sz w:val="14"/>
          <w:szCs w:val="14"/>
          <w:color w:val="auto"/>
        </w:rPr>
        <w:t>There are limitations in using non-GAAP financial measures because the non-GAAP financial measures are not prepared in accordance with generally accepted accounting principles and may be different from non-GAAP financial measures used by other companies. The non-GAAP financial measures are limited in value because they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 in the United States. Investors should review the reconciliation of the non-GAAP financial measures to their most directly comparable GAAP financial measures as provided in the tables accompanying this press release.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shows Autodesk's non-GAAP results reconciled to GAAP results included in this release.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54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Three Months Ended October 31,</w:t>
            </w:r>
          </w:p>
        </w:tc>
        <w:tc>
          <w:tcPr>
            <w:tcW w:w="236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Nine Months Ended October 31,</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00" w:type="dxa"/>
            <w:vAlign w:val="bottom"/>
          </w:tcPr>
          <w:p>
            <w:pPr>
              <w:spacing w:after="0"/>
              <w:rPr>
                <w:sz w:val="18"/>
                <w:szCs w:val="18"/>
                <w:color w:val="auto"/>
              </w:rPr>
            </w:pPr>
          </w:p>
        </w:tc>
      </w:tr>
      <w:tr>
        <w:trPr>
          <w:trHeight w:val="195"/>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cost of maintenance and subscription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cost of maintenance and subscription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cost of license and other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cost of license and other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amortization of 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developed technology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amortization of developed technology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gross profit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gross profit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422.0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1,296.8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1,335.5</w:t>
            </w:r>
          </w:p>
        </w:tc>
      </w:tr>
      <w:tr>
        <w:trPr>
          <w:trHeight w:val="31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marketing and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738.9</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marketing and sales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705.7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669.9</w:t>
            </w:r>
          </w:p>
        </w:tc>
      </w:tr>
      <w:tr>
        <w:trPr>
          <w:trHeight w:val="31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research and development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573.3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579.1</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Non-GAAP research and development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519.1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78"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6"/>
        </w:trPr>
        <w:tc>
          <w:tcPr>
            <w:tcW w:w="6520" w:type="dxa"/>
            <w:vAlign w:val="bottom"/>
          </w:tcPr>
          <w:p>
            <w:pPr>
              <w:ind w:left="40"/>
              <w:spacing w:after="0"/>
              <w:rPr>
                <w:sz w:val="20"/>
                <w:szCs w:val="20"/>
                <w:color w:val="auto"/>
              </w:rPr>
            </w:pPr>
            <w:r>
              <w:rPr>
                <w:rFonts w:ascii="Arial" w:cs="Arial" w:eastAsia="Arial" w:hAnsi="Arial"/>
                <w:sz w:val="16"/>
                <w:szCs w:val="16"/>
                <w:color w:val="auto"/>
              </w:rPr>
              <w:t>GAAP general and administrative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213.7</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CEO transition costs (1)</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general and administrative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amortization of purchased intangibles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amortization of purchased intangibles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restructuring (benefits) charges and other facility exit costs,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restructuring (benefits) charges and other facility exit costs,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operating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CEO transition costs (1)</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operating expenses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1,379.5</w:t>
            </w: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Spend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615.3</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609.5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1,884.7</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developed technology</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CEO transition costs (1)</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Spend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541.5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532.5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1,597.3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1,596.2</w:t>
            </w:r>
          </w:p>
        </w:tc>
      </w:tr>
      <w:tr>
        <w:trPr>
          <w:trHeight w:val="28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loss from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(332.5)</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developed technology</w:t>
            </w: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CEO transition costs (1)</w:t>
            </w:r>
          </w:p>
        </w:tc>
        <w:tc>
          <w:tcPr>
            <w:tcW w:w="3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(loss) income from operations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interest and other expense, net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and dispositions</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interest and other expense,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8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provision for income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Discrete GAAP tax items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66.7</w:t>
            </w: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benefit (provision) for income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net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162.5</w:t>
            </w: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6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29" w:right="239" w:bottom="1099"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6"/>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40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CEO transition costs (1)</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and dispositions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Discrete GAAP tax items</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effect of non-GAAP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net (loss) income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GAAP diluted net loss per share (2)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developed technology</w:t>
            </w: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CEO transition costs (1)</w:t>
            </w: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Loss (gain) on strategic investments and dispositions</w:t>
            </w: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Discrete GAAP tax items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Income tax effect of non-GAAP adjustments</w:t>
            </w: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(loss) income per share (2)</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40" w:hanging="412"/>
        <w:spacing w:after="0" w:line="265" w:lineRule="auto"/>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CEO transition costs include stock-based compensation of $16.6 million related to the acceleration of eligible stock awards in the nine months ended October 31, 2017. CEO transition costs also include severance payments, legal fees incurred with the CEO transition and recruiting costs related to the search for a new CEO.</w:t>
      </w:r>
    </w:p>
    <w:p>
      <w:pPr>
        <w:spacing w:after="0" w:line="1" w:lineRule="exact"/>
        <w:rPr>
          <w:rFonts w:ascii="Arial" w:cs="Arial" w:eastAsia="Arial" w:hAnsi="Arial"/>
          <w:sz w:val="15"/>
          <w:szCs w:val="15"/>
          <w:color w:val="auto"/>
        </w:rPr>
      </w:pPr>
    </w:p>
    <w:p>
      <w:pPr>
        <w:ind w:left="420" w:right="200" w:hanging="412"/>
        <w:spacing w:after="0" w:line="25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Q3 FY17</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Q4 FY17</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Q1 FY18</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Q2 FY18</w:t>
            </w:r>
          </w:p>
        </w:tc>
        <w:tc>
          <w:tcPr>
            <w:tcW w:w="18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Q3 FY18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gross margin</w:t>
            </w: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Operating Expenses -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CEO transition costs (1)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Restructuring charges and other facility exit costs, net</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 Non-GAAP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Spend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CEO transition costs (1)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Restructuring charges and other facility exit costs, net</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Spend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CEO transition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Restructuring charges and other facility exit costs, net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margin (2)</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basic and diluted net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CEO transition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Restructuring charges and other facility exit costs, net</w:t>
            </w:r>
          </w:p>
        </w:tc>
        <w:tc>
          <w:tcPr>
            <w:tcW w:w="16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strategic investments and 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Discrete GAAP tax provision items</w:t>
            </w:r>
          </w:p>
        </w:tc>
        <w:tc>
          <w:tcPr>
            <w:tcW w:w="1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effect of non-GAAP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basic and diluted net (loss)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16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Shares included in non-GAAP net income per share, but excluded from GAAP net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per share as they would have been anti-dilutive</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52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40" w:hanging="412"/>
        <w:spacing w:after="0" w:line="265" w:lineRule="auto"/>
        <w:tabs>
          <w:tab w:leader="none" w:pos="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3656330</wp:posOffset>
            </wp:positionH>
            <wp:positionV relativeFrom="page">
              <wp:posOffset>492125</wp:posOffset>
            </wp:positionV>
            <wp:extent cx="3747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7770" cy="8890"/>
                    </a:xfrm>
                    <a:prstGeom prst="rect">
                      <a:avLst/>
                    </a:prstGeom>
                    <a:noFill/>
                  </pic:spPr>
                </pic:pic>
              </a:graphicData>
            </a:graphic>
          </wp:anchor>
        </w:drawing>
        <w:t>CEO transition costs include stock-based compensation of $16.6 million related to the acceleration of eligible stock awards in the nine months ended October 31, 2017. CEO transition costs also include severance payments, legal fees incurred with the CEO transition and recruiting costs related to the search for a new CEO.</w:t>
      </w:r>
    </w:p>
    <w:p>
      <w:pPr>
        <w:spacing w:after="0" w:line="1" w:lineRule="exact"/>
        <w:rPr>
          <w:rFonts w:ascii="Arial" w:cs="Arial" w:eastAsia="Arial" w:hAnsi="Arial"/>
          <w:sz w:val="15"/>
          <w:szCs w:val="15"/>
          <w:color w:val="auto"/>
        </w:rPr>
      </w:pP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814" w:right="23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2019-12-29T02:48:36Z</dcterms:created>
  <dcterms:modified xsi:type="dcterms:W3CDTF">2019-12-29T02:48:36Z</dcterms:modified>
</cp:coreProperties>
</file>