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214630</wp:posOffset>
            </wp:positionH>
            <wp:positionV relativeFrom="page">
              <wp:posOffset>665480</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690245</wp:posOffset>
            </wp:positionV>
            <wp:extent cx="711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111760</wp:posOffset>
            </wp:positionV>
            <wp:extent cx="27825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04" w:lineRule="exact"/>
        <w:rPr>
          <w:sz w:val="24"/>
          <w:szCs w:val="24"/>
          <w:color w:val="auto"/>
        </w:rPr>
      </w:pPr>
    </w:p>
    <w:p>
      <w:pPr>
        <w:ind w:left="680" w:right="300" w:hanging="657"/>
        <w:spacing w:after="0" w:line="247" w:lineRule="auto"/>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April 30, 2024</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91" w:lineRule="exact"/>
        <w:rPr>
          <w:sz w:val="24"/>
          <w:szCs w:val="24"/>
          <w:color w:val="auto"/>
        </w:rPr>
      </w:pPr>
    </w:p>
    <w:p>
      <w:pPr>
        <w:ind w:left="680" w:right="280" w:hanging="657"/>
        <w:spacing w:after="0" w:line="247" w:lineRule="auto"/>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9"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6"/>
          <w:szCs w:val="16"/>
          <w:color w:val="auto"/>
        </w:rPr>
        <w:t>to</w:t>
      </w:r>
    </w:p>
    <w:p>
      <w:pPr>
        <w:spacing w:after="0" w:line="2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Commission File Number: 0-14338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245110</wp:posOffset>
            </wp:positionV>
            <wp:extent cx="27825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525"/>
        </w:trPr>
        <w:tc>
          <w:tcPr>
            <w:tcW w:w="2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60" w:type="dxa"/>
            <w:vAlign w:val="bottom"/>
            <w:gridSpan w:val="3"/>
          </w:tcPr>
          <w:p>
            <w:pPr>
              <w:jc w:val="center"/>
              <w:ind w:right="2820"/>
              <w:spacing w:after="0"/>
              <w:rPr>
                <w:sz w:val="20"/>
                <w:szCs w:val="20"/>
                <w:color w:val="auto"/>
              </w:rPr>
            </w:pPr>
            <w:r>
              <w:rPr>
                <w:rFonts w:ascii="Times New Roman" w:cs="Times New Roman" w:eastAsia="Times New Roman" w:hAnsi="Times New Roman"/>
                <w:sz w:val="42"/>
                <w:szCs w:val="42"/>
                <w:b w:val="1"/>
                <w:bCs w:val="1"/>
                <w:color w:val="auto"/>
                <w:w w:val="99"/>
              </w:rPr>
              <w:t>AUTODESK, INC.</w:t>
            </w:r>
          </w:p>
        </w:tc>
      </w:tr>
      <w:tr>
        <w:trPr>
          <w:trHeight w:val="185"/>
        </w:trPr>
        <w:tc>
          <w:tcPr>
            <w:tcW w:w="2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60" w:type="dxa"/>
            <w:vAlign w:val="bottom"/>
            <w:gridSpan w:val="3"/>
          </w:tcPr>
          <w:p>
            <w:pPr>
              <w:jc w:val="center"/>
              <w:ind w:right="28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28"/>
        </w:trPr>
        <w:tc>
          <w:tcPr>
            <w:tcW w:w="2800" w:type="dxa"/>
            <w:vAlign w:val="bottom"/>
          </w:tcPr>
          <w:p>
            <w:pPr>
              <w:jc w:val="center"/>
              <w:ind w:left="18"/>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8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b w:val="1"/>
                <w:bCs w:val="1"/>
                <w:color w:val="auto"/>
              </w:rPr>
              <w:t>94-2819853</w:t>
            </w:r>
          </w:p>
        </w:tc>
      </w:tr>
      <w:tr>
        <w:trPr>
          <w:trHeight w:val="145"/>
        </w:trPr>
        <w:tc>
          <w:tcPr>
            <w:tcW w:w="2800" w:type="dxa"/>
            <w:vAlign w:val="bottom"/>
          </w:tcPr>
          <w:p>
            <w:pPr>
              <w:jc w:val="center"/>
              <w:ind w:left="18"/>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680" w:type="dxa"/>
            <w:vAlign w:val="bottom"/>
            <w:gridSpan w:val="2"/>
          </w:tcPr>
          <w:p>
            <w:pPr>
              <w:jc w:val="center"/>
              <w:ind w:right="14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85"/>
        </w:trPr>
        <w:tc>
          <w:tcPr>
            <w:tcW w:w="2800" w:type="dxa"/>
            <w:vAlign w:val="bottom"/>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8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0"/>
        </w:trPr>
        <w:tc>
          <w:tcPr>
            <w:tcW w:w="2800" w:type="dxa"/>
            <w:vAlign w:val="bottom"/>
          </w:tcPr>
          <w:p>
            <w:pPr>
              <w:jc w:val="center"/>
              <w:ind w:left="38"/>
              <w:spacing w:after="0"/>
              <w:rPr>
                <w:sz w:val="20"/>
                <w:szCs w:val="20"/>
                <w:color w:val="auto"/>
              </w:rPr>
            </w:pPr>
            <w:r>
              <w:rPr>
                <w:rFonts w:ascii="Times New Roman" w:cs="Times New Roman" w:eastAsia="Times New Roman" w:hAnsi="Times New Roman"/>
                <w:sz w:val="18"/>
                <w:szCs w:val="18"/>
                <w:b w:val="1"/>
                <w:bCs w:val="1"/>
                <w:color w:val="auto"/>
                <w:w w:val="97"/>
              </w:rPr>
              <w:t>One Market Street, Ste. 400</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0"/>
        </w:trPr>
        <w:tc>
          <w:tcPr>
            <w:tcW w:w="2800" w:type="dxa"/>
            <w:vAlign w:val="bottom"/>
          </w:tcPr>
          <w:p>
            <w:pPr>
              <w:jc w:val="center"/>
              <w:ind w:left="18"/>
              <w:spacing w:after="0"/>
              <w:rPr>
                <w:sz w:val="20"/>
                <w:szCs w:val="20"/>
                <w:color w:val="auto"/>
              </w:rPr>
            </w:pPr>
            <w:r>
              <w:rPr>
                <w:rFonts w:ascii="Times New Roman" w:cs="Times New Roman" w:eastAsia="Times New Roman" w:hAnsi="Times New Roman"/>
                <w:sz w:val="18"/>
                <w:szCs w:val="18"/>
                <w:b w:val="1"/>
                <w:bCs w:val="1"/>
                <w:color w:val="auto"/>
                <w:w w:val="97"/>
              </w:rPr>
              <w:t>San Francisco,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780" w:type="dxa"/>
            <w:vAlign w:val="bottom"/>
          </w:tcPr>
          <w:p>
            <w:pPr>
              <w:spacing w:after="0"/>
              <w:rPr>
                <w:sz w:val="19"/>
                <w:szCs w:val="19"/>
                <w:color w:val="auto"/>
              </w:rPr>
            </w:pPr>
          </w:p>
        </w:tc>
        <w:tc>
          <w:tcPr>
            <w:tcW w:w="3680" w:type="dxa"/>
            <w:vAlign w:val="bottom"/>
            <w:gridSpan w:val="2"/>
          </w:tcPr>
          <w:p>
            <w:pPr>
              <w:jc w:val="right"/>
              <w:ind w:right="2340"/>
              <w:spacing w:after="0"/>
              <w:rPr>
                <w:sz w:val="20"/>
                <w:szCs w:val="20"/>
                <w:color w:val="auto"/>
              </w:rPr>
            </w:pPr>
            <w:r>
              <w:rPr>
                <w:rFonts w:ascii="Times New Roman" w:cs="Times New Roman" w:eastAsia="Times New Roman" w:hAnsi="Times New Roman"/>
                <w:sz w:val="18"/>
                <w:szCs w:val="18"/>
                <w:b w:val="1"/>
                <w:bCs w:val="1"/>
                <w:color w:val="auto"/>
              </w:rPr>
              <w:t>94105</w:t>
            </w:r>
          </w:p>
        </w:tc>
      </w:tr>
      <w:tr>
        <w:trPr>
          <w:trHeight w:val="185"/>
        </w:trPr>
        <w:tc>
          <w:tcPr>
            <w:tcW w:w="2800" w:type="dxa"/>
            <w:vAlign w:val="bottom"/>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8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2"/>
        </w:trPr>
        <w:tc>
          <w:tcPr>
            <w:tcW w:w="2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(415) 507-5000</w:t>
            </w: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85"/>
        </w:trPr>
        <w:tc>
          <w:tcPr>
            <w:tcW w:w="2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60" w:type="dxa"/>
            <w:vAlign w:val="bottom"/>
            <w:gridSpan w:val="3"/>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169"/>
        </w:trPr>
        <w:tc>
          <w:tcPr>
            <w:tcW w:w="3440" w:type="dxa"/>
            <w:vAlign w:val="bottom"/>
            <w:gridSpan w:val="2"/>
          </w:tcPr>
          <w:p>
            <w:pPr>
              <w:spacing w:after="0"/>
              <w:rPr>
                <w:sz w:val="14"/>
                <w:szCs w:val="14"/>
                <w:color w:val="auto"/>
              </w:rPr>
            </w:pPr>
          </w:p>
        </w:tc>
        <w:tc>
          <w:tcPr>
            <w:tcW w:w="3140" w:type="dxa"/>
            <w:vAlign w:val="bottom"/>
            <w:tcBorders>
              <w:bottom w:val="single" w:sz="8" w:color="auto"/>
            </w:tcBorders>
            <w:gridSpan w:val="2"/>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440" w:type="dxa"/>
            <w:vAlign w:val="bottom"/>
          </w:tcPr>
          <w:p>
            <w:pPr>
              <w:spacing w:after="0"/>
              <w:rPr>
                <w:sz w:val="14"/>
                <w:szCs w:val="14"/>
                <w:color w:val="auto"/>
              </w:rPr>
            </w:pPr>
          </w:p>
        </w:tc>
      </w:tr>
      <w:tr>
        <w:trPr>
          <w:trHeight w:val="532"/>
        </w:trPr>
        <w:tc>
          <w:tcPr>
            <w:tcW w:w="6580" w:type="dxa"/>
            <w:vAlign w:val="bottom"/>
            <w:gridSpan w:val="4"/>
          </w:tcPr>
          <w:p>
            <w:pPr>
              <w:jc w:val="center"/>
              <w:ind w:right="2438"/>
              <w:spacing w:after="0"/>
              <w:rPr>
                <w:sz w:val="20"/>
                <w:szCs w:val="20"/>
                <w:color w:val="auto"/>
              </w:rPr>
            </w:pPr>
            <w:r>
              <w:rPr>
                <w:rFonts w:ascii="Times New Roman" w:cs="Times New Roman" w:eastAsia="Times New Roman" w:hAnsi="Times New Roman"/>
                <w:sz w:val="18"/>
                <w:szCs w:val="18"/>
                <w:color w:val="auto"/>
                <w:w w:val="97"/>
              </w:rPr>
              <w:t>Securities registered pursuant to Section 12(b) of the Act:</w:t>
            </w: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38"/>
        </w:trPr>
        <w:tc>
          <w:tcPr>
            <w:tcW w:w="2800" w:type="dxa"/>
            <w:vAlign w:val="bottom"/>
          </w:tcPr>
          <w:p>
            <w:pPr>
              <w:jc w:val="center"/>
              <w:ind w:left="1158"/>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jc w:val="center"/>
              <w:ind w:right="198"/>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680" w:type="dxa"/>
            <w:vAlign w:val="bottom"/>
            <w:gridSpan w:val="2"/>
          </w:tcPr>
          <w:p>
            <w:pPr>
              <w:jc w:val="center"/>
              <w:ind w:left="34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8"/>
        </w:trPr>
        <w:tc>
          <w:tcPr>
            <w:tcW w:w="3800" w:type="dxa"/>
            <w:vAlign w:val="bottom"/>
            <w:gridSpan w:val="3"/>
          </w:tcPr>
          <w:p>
            <w:pPr>
              <w:jc w:val="center"/>
              <w:ind w:left="158"/>
              <w:spacing w:after="0"/>
              <w:rPr>
                <w:sz w:val="20"/>
                <w:szCs w:val="20"/>
                <w:color w:val="auto"/>
              </w:rPr>
            </w:pPr>
            <w:r>
              <w:rPr>
                <w:rFonts w:ascii="Times New Roman" w:cs="Times New Roman" w:eastAsia="Times New Roman" w:hAnsi="Times New Roman"/>
                <w:sz w:val="18"/>
                <w:szCs w:val="18"/>
                <w:color w:val="auto"/>
                <w:w w:val="97"/>
              </w:rPr>
              <w:t>Common Stock, par value $0.01 per share</w:t>
            </w:r>
          </w:p>
        </w:tc>
        <w:tc>
          <w:tcPr>
            <w:tcW w:w="2780" w:type="dxa"/>
            <w:vAlign w:val="bottom"/>
          </w:tcPr>
          <w:p>
            <w:pPr>
              <w:jc w:val="center"/>
              <w:ind w:right="198"/>
              <w:spacing w:after="0"/>
              <w:rPr>
                <w:sz w:val="20"/>
                <w:szCs w:val="20"/>
                <w:color w:val="auto"/>
              </w:rPr>
            </w:pPr>
            <w:r>
              <w:rPr>
                <w:rFonts w:ascii="Times New Roman" w:cs="Times New Roman" w:eastAsia="Times New Roman" w:hAnsi="Times New Roman"/>
                <w:sz w:val="18"/>
                <w:szCs w:val="18"/>
                <w:color w:val="auto"/>
                <w:w w:val="97"/>
              </w:rPr>
              <w:t>ADSK</w:t>
            </w:r>
          </w:p>
        </w:tc>
        <w:tc>
          <w:tcPr>
            <w:tcW w:w="3680" w:type="dxa"/>
            <w:vAlign w:val="bottom"/>
            <w:gridSpan w:val="2"/>
          </w:tcPr>
          <w:p>
            <w:pPr>
              <w:jc w:val="center"/>
              <w:ind w:left="340"/>
              <w:spacing w:after="0"/>
              <w:rPr>
                <w:sz w:val="20"/>
                <w:szCs w:val="20"/>
                <w:color w:val="auto"/>
              </w:rPr>
            </w:pPr>
            <w:r>
              <w:rPr>
                <w:rFonts w:ascii="Times New Roman" w:cs="Times New Roman" w:eastAsia="Times New Roman" w:hAnsi="Times New Roman"/>
                <w:sz w:val="18"/>
                <w:szCs w:val="18"/>
                <w:color w:val="auto"/>
                <w:w w:val="97"/>
              </w:rPr>
              <w:t>The Nasdaq Global Select Market</w:t>
            </w:r>
          </w:p>
        </w:tc>
      </w:tr>
    </w:tbl>
    <w:p>
      <w:pPr>
        <w:spacing w:after="0" w:line="298" w:lineRule="exact"/>
        <w:rPr>
          <w:sz w:val="24"/>
          <w:szCs w:val="24"/>
          <w:color w:val="auto"/>
        </w:rPr>
      </w:pPr>
    </w:p>
    <w:p>
      <w:pPr>
        <w:ind w:right="180" w:firstLine="395"/>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3" w:lineRule="exact"/>
        <w:rPr>
          <w:sz w:val="24"/>
          <w:szCs w:val="24"/>
          <w:color w:val="auto"/>
        </w:rPr>
      </w:pPr>
    </w:p>
    <w:p>
      <w:pPr>
        <w:ind w:right="200" w:firstLine="434"/>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522605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8"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7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7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7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5"/>
        </w:trPr>
        <w:tc>
          <w:tcPr>
            <w:tcW w:w="18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0" w:lineRule="exact"/>
        <w:rPr>
          <w:sz w:val="20"/>
          <w:szCs w:val="20"/>
          <w:color w:val="auto"/>
        </w:rPr>
      </w:pPr>
    </w:p>
    <w:p>
      <w:pPr>
        <w:ind w:firstLine="434"/>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May 24, 2024, registrant had outstanding approximately 216 million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728345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106045</wp:posOffset>
            </wp:positionV>
            <wp:extent cx="7118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130810</wp:posOffset>
            </wp:positionV>
            <wp:extent cx="7118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AUTODESK, INC. FORM 10-Q</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1000" w:type="dxa"/>
            <w:vAlign w:val="bottom"/>
          </w:tcPr>
          <w:p>
            <w:pPr>
              <w:spacing w:after="0"/>
              <w:rPr>
                <w:sz w:val="2"/>
                <w:szCs w:val="2"/>
                <w:color w:val="auto"/>
              </w:rPr>
            </w:pPr>
          </w:p>
        </w:tc>
        <w:tc>
          <w:tcPr>
            <w:tcW w:w="6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500" w:type="dxa"/>
            <w:vAlign w:val="bottom"/>
            <w:vMerge w:val="restart"/>
          </w:tcPr>
          <w:p>
            <w:pPr>
              <w:spacing w:after="0"/>
              <w:rPr>
                <w:sz w:val="2"/>
                <w:szCs w:val="2"/>
                <w:color w:val="auto"/>
              </w:rPr>
            </w:pPr>
          </w:p>
        </w:tc>
        <w:tc>
          <w:tcPr>
            <w:tcW w:w="30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 FINANCIAL INFORMATION</w:t>
            </w:r>
          </w:p>
        </w:tc>
        <w:tc>
          <w:tcPr>
            <w:tcW w:w="2900" w:type="dxa"/>
            <w:vAlign w:val="bottom"/>
            <w:gridSpan w:val="5"/>
            <w:vMerge w:val="restart"/>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0" w:type="dxa"/>
            <w:vAlign w:val="bottom"/>
            <w:tcBorders>
              <w:bottom w:val="single" w:sz="8" w:color="0000FF"/>
            </w:tcBorders>
            <w:gridSpan w:val="7"/>
            <w:vMerge w:val="continue"/>
          </w:tcPr>
          <w:p>
            <w:pPr>
              <w:spacing w:after="0"/>
              <w:rPr>
                <w:sz w:val="14"/>
                <w:szCs w:val="14"/>
                <w:color w:val="auto"/>
              </w:rPr>
            </w:pPr>
          </w:p>
        </w:tc>
        <w:tc>
          <w:tcPr>
            <w:tcW w:w="2900" w:type="dxa"/>
            <w:vAlign w:val="bottom"/>
            <w:gridSpan w:val="5"/>
            <w:vMerge w:val="continue"/>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spacing w:after="0"/>
              <w:rPr>
                <w:sz w:val="22"/>
                <w:szCs w:val="22"/>
                <w:color w:val="auto"/>
              </w:rPr>
            </w:pPr>
          </w:p>
        </w:tc>
        <w:tc>
          <w:tcPr>
            <w:tcW w:w="73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Operations for the Three Months Ended April 30, 2024 and 2023</w:t>
            </w:r>
          </w:p>
        </w:tc>
        <w:tc>
          <w:tcPr>
            <w:tcW w:w="1420" w:type="dxa"/>
            <w:vAlign w:val="bottom"/>
            <w:gridSpan w:val="3"/>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82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Comprehensive Income for the Three Months Ended April 30, 2024 and 2023</w:t>
            </w:r>
          </w:p>
        </w:tc>
        <w:tc>
          <w:tcPr>
            <w:tcW w:w="520" w:type="dxa"/>
            <w:vAlign w:val="bottom"/>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58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Condensed Consolidated Balance Sheets as of April 30, 2024 and January 31, 2024</w:t>
            </w:r>
          </w:p>
        </w:tc>
        <w:tc>
          <w:tcPr>
            <w:tcW w:w="2920" w:type="dxa"/>
            <w:vAlign w:val="bottom"/>
            <w:gridSpan w:val="6"/>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April 30, 2024 and 2023</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74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380" w:type="dxa"/>
            <w:vAlign w:val="bottom"/>
            <w:gridSpan w:val="2"/>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w w:val="97"/>
              </w:rPr>
              <w:t>Management’s Discussion and Analysis of Financial Condition and Results of Operations</w:t>
            </w:r>
          </w:p>
        </w:tc>
        <w:tc>
          <w:tcPr>
            <w:tcW w:w="2120" w:type="dxa"/>
            <w:vAlign w:val="bottom"/>
            <w:gridSpan w:val="4"/>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120" w:type="dxa"/>
            <w:vAlign w:val="bottom"/>
            <w:gridSpan w:val="4"/>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4240" w:type="dxa"/>
            <w:vAlign w:val="bottom"/>
            <w:gridSpan w:val="8"/>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900" w:type="dxa"/>
            <w:vAlign w:val="bottom"/>
            <w:gridSpan w:val="12"/>
          </w:tcPr>
          <w:p>
            <w:pPr>
              <w:jc w:val="center"/>
              <w:ind w:right="2900"/>
              <w:spacing w:after="0"/>
              <w:rPr>
                <w:sz w:val="20"/>
                <w:szCs w:val="20"/>
                <w:color w:val="auto"/>
              </w:rPr>
            </w:pPr>
            <w:r>
              <w:rPr>
                <w:rFonts w:ascii="Times New Roman" w:cs="Times New Roman" w:eastAsia="Times New Roman" w:hAnsi="Times New Roman"/>
                <w:sz w:val="18"/>
                <w:szCs w:val="18"/>
                <w:b w:val="1"/>
                <w:bCs w:val="1"/>
                <w:color w:val="0000FF"/>
                <w:w w:val="95"/>
              </w:rPr>
              <w:t>PART II. OTHER INFORMATION</w:t>
            </w:r>
          </w:p>
        </w:tc>
        <w:tc>
          <w:tcPr>
            <w:tcW w:w="126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0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2680" w:type="dxa"/>
            <w:vAlign w:val="bottom"/>
            <w:tcBorders>
              <w:top w:val="single" w:sz="8" w:color="0000FF"/>
            </w:tcBorders>
            <w:gridSpan w:val="4"/>
          </w:tcPr>
          <w:p>
            <w:pPr>
              <w:spacing w:after="0"/>
              <w:rPr>
                <w:sz w:val="22"/>
                <w:szCs w:val="22"/>
                <w:color w:val="auto"/>
              </w:rPr>
            </w:pPr>
          </w:p>
        </w:tc>
        <w:tc>
          <w:tcPr>
            <w:tcW w:w="3060" w:type="dxa"/>
            <w:vAlign w:val="bottom"/>
            <w:gridSpan w:val="7"/>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7420" w:type="dxa"/>
            <w:vAlign w:val="bottom"/>
            <w:gridSpan w:val="18"/>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3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w w:val="96"/>
              </w:rPr>
              <w:t>Defaults Upon Senior Securities</w:t>
            </w:r>
          </w:p>
        </w:tc>
        <w:tc>
          <w:tcPr>
            <w:tcW w:w="2060" w:type="dxa"/>
            <w:vAlign w:val="bottom"/>
            <w:gridSpan w:val="4"/>
          </w:tcPr>
          <w:p>
            <w:pPr>
              <w:spacing w:after="0"/>
              <w:rPr>
                <w:sz w:val="22"/>
                <w:szCs w:val="22"/>
                <w:color w:val="auto"/>
              </w:rPr>
            </w:pPr>
          </w:p>
        </w:tc>
        <w:tc>
          <w:tcPr>
            <w:tcW w:w="4340" w:type="dxa"/>
            <w:vAlign w:val="bottom"/>
            <w:gridSpan w:val="9"/>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00" w:type="dxa"/>
            <w:vAlign w:val="bottom"/>
            <w:gridSpan w:val="1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3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6400" w:type="dxa"/>
            <w:vAlign w:val="bottom"/>
            <w:gridSpan w:val="13"/>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000" w:type="dxa"/>
            <w:vAlign w:val="bottom"/>
            <w:gridSpan w:val="15"/>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380" w:type="dxa"/>
            <w:vAlign w:val="bottom"/>
            <w:gridSpan w:val="1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7380" w:type="dxa"/>
            <w:vAlign w:val="bottom"/>
            <w:gridSpan w:val="17"/>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980" w:type="dxa"/>
            <w:vAlign w:val="bottom"/>
            <w:gridSpan w:val="2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spacing w:after="0"/>
              <w:rPr>
                <w:sz w:val="22"/>
                <w:szCs w:val="22"/>
                <w:color w:val="auto"/>
              </w:rPr>
            </w:pP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0"/>
        </w:trPr>
        <w:tc>
          <w:tcPr>
            <w:tcW w:w="100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7280" w:type="dxa"/>
            <w:vAlign w:val="bottom"/>
          </w:tcPr>
          <w:p>
            <w:pPr>
              <w:jc w:val="center"/>
              <w:ind w:left="1432"/>
              <w:spacing w:after="0"/>
              <w:rPr>
                <w:sz w:val="20"/>
                <w:szCs w:val="20"/>
                <w:color w:val="auto"/>
              </w:rPr>
            </w:pPr>
            <w:r>
              <w:rPr>
                <w:rFonts w:ascii="Times New Roman" w:cs="Times New Roman" w:eastAsia="Times New Roman" w:hAnsi="Times New Roman"/>
                <w:sz w:val="18"/>
                <w:szCs w:val="18"/>
                <w:b w:val="1"/>
                <w:bCs w:val="1"/>
                <w:color w:val="auto"/>
                <w:w w:val="96"/>
              </w:rPr>
              <w:t>PART I. FINANCIAL INFORMATION</w:t>
            </w: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220" w:type="dxa"/>
            <w:vAlign w:val="bottom"/>
          </w:tcPr>
          <w:p>
            <w:pPr>
              <w:spacing w:after="0"/>
              <w:rPr>
                <w:sz w:val="24"/>
                <w:szCs w:val="24"/>
                <w:color w:val="auto"/>
              </w:rPr>
            </w:pPr>
          </w:p>
        </w:tc>
        <w:tc>
          <w:tcPr>
            <w:tcW w:w="7280" w:type="dxa"/>
            <w:vAlign w:val="bottom"/>
          </w:tcPr>
          <w:p>
            <w:pPr>
              <w:jc w:val="center"/>
              <w:ind w:left="1432"/>
              <w:spacing w:after="0"/>
              <w:rPr>
                <w:sz w:val="20"/>
                <w:szCs w:val="20"/>
                <w:color w:val="auto"/>
              </w:rPr>
            </w:pPr>
            <w:r>
              <w:rPr>
                <w:rFonts w:ascii="Times New Roman" w:cs="Times New Roman" w:eastAsia="Times New Roman" w:hAnsi="Times New Roman"/>
                <w:sz w:val="18"/>
                <w:szCs w:val="18"/>
                <w:b w:val="1"/>
                <w:bCs w:val="1"/>
                <w:color w:val="auto"/>
                <w:w w:val="97"/>
              </w:rPr>
              <w:t>AUTODESK, INC.</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7280" w:type="dxa"/>
            <w:vAlign w:val="bottom"/>
          </w:tcPr>
          <w:p>
            <w:pPr>
              <w:jc w:val="center"/>
              <w:ind w:left="1432"/>
              <w:spacing w:after="0"/>
              <w:rPr>
                <w:sz w:val="20"/>
                <w:szCs w:val="20"/>
                <w:color w:val="auto"/>
              </w:rPr>
            </w:pPr>
            <w:r>
              <w:rPr>
                <w:rFonts w:ascii="Times New Roman" w:cs="Times New Roman" w:eastAsia="Times New Roman" w:hAnsi="Times New Roman"/>
                <w:sz w:val="18"/>
                <w:szCs w:val="18"/>
                <w:b w:val="1"/>
                <w:bCs w:val="1"/>
                <w:color w:val="auto"/>
                <w:w w:val="96"/>
              </w:rPr>
              <w:t>CONDENSED CONSOLIDATED STATEMENTS OF OPERATIONS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20" w:type="dxa"/>
            <w:vAlign w:val="bottom"/>
          </w:tcPr>
          <w:p>
            <w:pPr>
              <w:spacing w:after="0"/>
              <w:rPr>
                <w:sz w:val="18"/>
                <w:szCs w:val="18"/>
                <w:color w:val="auto"/>
              </w:rPr>
            </w:pPr>
          </w:p>
        </w:tc>
        <w:tc>
          <w:tcPr>
            <w:tcW w:w="7280" w:type="dxa"/>
            <w:vAlign w:val="bottom"/>
          </w:tcPr>
          <w:p>
            <w:pPr>
              <w:jc w:val="center"/>
              <w:ind w:left="1432"/>
              <w:spacing w:after="0"/>
              <w:rPr>
                <w:sz w:val="20"/>
                <w:szCs w:val="20"/>
                <w:color w:val="auto"/>
              </w:rPr>
            </w:pPr>
            <w:r>
              <w:rPr>
                <w:rFonts w:ascii="Times New Roman" w:cs="Times New Roman" w:eastAsia="Times New Roman" w:hAnsi="Times New Roman"/>
                <w:sz w:val="18"/>
                <w:szCs w:val="18"/>
                <w:color w:val="auto"/>
                <w:w w:val="97"/>
              </w:rPr>
              <w:t>(In millions, except per share data)</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7280" w:type="dxa"/>
            <w:vAlign w:val="bottom"/>
          </w:tcPr>
          <w:p>
            <w:pPr>
              <w:jc w:val="center"/>
              <w:ind w:left="1432"/>
              <w:spacing w:after="0"/>
              <w:rPr>
                <w:sz w:val="20"/>
                <w:szCs w:val="20"/>
                <w:color w:val="auto"/>
              </w:rPr>
            </w:pPr>
            <w:r>
              <w:rPr>
                <w:rFonts w:ascii="Times New Roman" w:cs="Times New Roman" w:eastAsia="Times New Roman" w:hAnsi="Times New Roman"/>
                <w:sz w:val="18"/>
                <w:szCs w:val="18"/>
                <w:color w:val="auto"/>
                <w:w w:val="96"/>
              </w:rPr>
              <w:t>(Unaudited)</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12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220" w:type="dxa"/>
            <w:vAlign w:val="bottom"/>
            <w:tcBorders>
              <w:bottom w:val="single" w:sz="8" w:color="CCEEFF"/>
            </w:tcBorders>
          </w:tcPr>
          <w:p>
            <w:pPr>
              <w:spacing w:after="0"/>
              <w:rPr>
                <w:sz w:val="16"/>
                <w:szCs w:val="16"/>
                <w:color w:val="auto"/>
              </w:rPr>
            </w:pPr>
          </w:p>
        </w:tc>
        <w:tc>
          <w:tcPr>
            <w:tcW w:w="7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7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Subscription</w:t>
            </w:r>
          </w:p>
        </w:tc>
        <w:tc>
          <w:tcPr>
            <w:tcW w:w="7280" w:type="dxa"/>
            <w:vAlign w:val="bottom"/>
          </w:tcPr>
          <w:p>
            <w:pPr>
              <w:spacing w:after="0"/>
              <w:rPr>
                <w:sz w:val="18"/>
                <w:szCs w:val="18"/>
                <w:color w:val="auto"/>
              </w:rPr>
            </w:pPr>
          </w:p>
        </w:tc>
        <w:tc>
          <w:tcPr>
            <w:tcW w:w="860" w:type="dxa"/>
            <w:vAlign w:val="bottom"/>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tcPr>
          <w:p>
            <w:pPr>
              <w:spacing w:after="0"/>
              <w:rPr>
                <w:sz w:val="18"/>
                <w:szCs w:val="18"/>
                <w:color w:val="auto"/>
              </w:rPr>
            </w:pP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1,193</w:t>
            </w:r>
          </w:p>
        </w:tc>
        <w:tc>
          <w:tcPr>
            <w:tcW w:w="0" w:type="dxa"/>
            <w:vAlign w:val="bottom"/>
          </w:tcPr>
          <w:p>
            <w:pPr>
              <w:spacing w:after="0"/>
              <w:rPr>
                <w:sz w:val="1"/>
                <w:szCs w:val="1"/>
                <w:color w:val="auto"/>
              </w:rPr>
            </w:pPr>
          </w:p>
        </w:tc>
      </w:tr>
      <w:tr>
        <w:trPr>
          <w:trHeight w:val="212"/>
        </w:trPr>
        <w:tc>
          <w:tcPr>
            <w:tcW w:w="1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Maintenance</w:t>
            </w:r>
          </w:p>
        </w:tc>
        <w:tc>
          <w:tcPr>
            <w:tcW w:w="7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2"/>
        </w:trPr>
        <w:tc>
          <w:tcPr>
            <w:tcW w:w="85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1,207</w:t>
            </w:r>
          </w:p>
        </w:tc>
        <w:tc>
          <w:tcPr>
            <w:tcW w:w="0" w:type="dxa"/>
            <w:vAlign w:val="bottom"/>
          </w:tcPr>
          <w:p>
            <w:pPr>
              <w:spacing w:after="0"/>
              <w:rPr>
                <w:sz w:val="1"/>
                <w:szCs w:val="1"/>
                <w:color w:val="auto"/>
              </w:rPr>
            </w:pPr>
          </w:p>
        </w:tc>
      </w:tr>
      <w:tr>
        <w:trPr>
          <w:trHeight w:val="212"/>
        </w:trPr>
        <w:tc>
          <w:tcPr>
            <w:tcW w:w="1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7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2"/>
        </w:trPr>
        <w:tc>
          <w:tcPr>
            <w:tcW w:w="85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1,269</w:t>
            </w:r>
          </w:p>
        </w:tc>
        <w:tc>
          <w:tcPr>
            <w:tcW w:w="0" w:type="dxa"/>
            <w:vAlign w:val="bottom"/>
          </w:tcPr>
          <w:p>
            <w:pPr>
              <w:spacing w:after="0"/>
              <w:rPr>
                <w:sz w:val="1"/>
                <w:szCs w:val="1"/>
                <w:color w:val="auto"/>
              </w:rPr>
            </w:pPr>
          </w:p>
        </w:tc>
      </w:tr>
      <w:tr>
        <w:trPr>
          <w:trHeight w:val="192"/>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7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5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Cost of subscription and maintenance revenue</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2"/>
        </w:trPr>
        <w:tc>
          <w:tcPr>
            <w:tcW w:w="8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other revenue</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9"/>
        </w:trPr>
        <w:tc>
          <w:tcPr>
            <w:tcW w:w="85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6"/>
        </w:trPr>
        <w:tc>
          <w:tcPr>
            <w:tcW w:w="85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cost of revenue</w:t>
            </w:r>
          </w:p>
        </w:tc>
        <w:tc>
          <w:tcPr>
            <w:tcW w:w="8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02"/>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7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1,142</w:t>
            </w:r>
          </w:p>
        </w:tc>
        <w:tc>
          <w:tcPr>
            <w:tcW w:w="0" w:type="dxa"/>
            <w:vAlign w:val="bottom"/>
          </w:tcPr>
          <w:p>
            <w:pPr>
              <w:spacing w:after="0"/>
              <w:rPr>
                <w:sz w:val="1"/>
                <w:szCs w:val="1"/>
                <w:color w:val="auto"/>
              </w:rPr>
            </w:pPr>
          </w:p>
        </w:tc>
      </w:tr>
      <w:tr>
        <w:trPr>
          <w:trHeight w:val="212"/>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Marketing and sales</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12"/>
        </w:trPr>
        <w:tc>
          <w:tcPr>
            <w:tcW w:w="8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09"/>
        </w:trPr>
        <w:tc>
          <w:tcPr>
            <w:tcW w:w="85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2"/>
        </w:trPr>
        <w:tc>
          <w:tcPr>
            <w:tcW w:w="8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2"/>
        </w:trPr>
        <w:tc>
          <w:tcPr>
            <w:tcW w:w="85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0" w:type="dxa"/>
            <w:vAlign w:val="bottom"/>
          </w:tcPr>
          <w:p>
            <w:pPr>
              <w:spacing w:after="0"/>
              <w:rPr>
                <w:sz w:val="1"/>
                <w:szCs w:val="1"/>
                <w:color w:val="auto"/>
              </w:rPr>
            </w:pPr>
          </w:p>
        </w:tc>
      </w:tr>
      <w:tr>
        <w:trPr>
          <w:trHeight w:val="206"/>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09"/>
        </w:trPr>
        <w:tc>
          <w:tcPr>
            <w:tcW w:w="8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6"/>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09"/>
        </w:trPr>
        <w:tc>
          <w:tcPr>
            <w:tcW w:w="8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29"/>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00" w:type="dxa"/>
            <w:vAlign w:val="bottom"/>
            <w:gridSpan w:val="2"/>
            <w:vMerge w:val="continue"/>
          </w:tcPr>
          <w:p>
            <w:pPr>
              <w:spacing w:after="0"/>
              <w:rPr>
                <w:sz w:val="15"/>
                <w:szCs w:val="15"/>
                <w:color w:val="auto"/>
              </w:rPr>
            </w:pPr>
          </w:p>
        </w:tc>
        <w:tc>
          <w:tcPr>
            <w:tcW w:w="8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in computing basic net income per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00" w:type="dxa"/>
            <w:vAlign w:val="bottom"/>
            <w:gridSpan w:val="2"/>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in computing diluted net income per share</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60" w:type="dxa"/>
            <w:vAlign w:val="bottom"/>
          </w:tcPr>
          <w:p>
            <w:pPr>
              <w:spacing w:after="0"/>
              <w:rPr>
                <w:sz w:val="16"/>
                <w:szCs w:val="16"/>
                <w:color w:val="auto"/>
              </w:rPr>
            </w:pPr>
          </w:p>
        </w:tc>
        <w:tc>
          <w:tcPr>
            <w:tcW w:w="2400" w:type="dxa"/>
            <w:vAlign w:val="bottom"/>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80" w:type="dxa"/>
            <w:vAlign w:val="bottom"/>
          </w:tcPr>
          <w:p>
            <w:pPr>
              <w:spacing w:after="0"/>
              <w:rPr>
                <w:sz w:val="16"/>
                <w:szCs w:val="16"/>
                <w:color w:val="auto"/>
              </w:rPr>
            </w:pPr>
          </w:p>
        </w:tc>
      </w:tr>
      <w:tr>
        <w:trPr>
          <w:trHeight w:val="24"/>
        </w:trPr>
        <w:tc>
          <w:tcPr>
            <w:tcW w:w="84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84"/>
        </w:trPr>
        <w:tc>
          <w:tcPr>
            <w:tcW w:w="84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09"/>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reclassifications: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2"/>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gain (loss) on derivative instruments (net of tax effect of zero and $2, respectively)</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9"/>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net unrealized (loss) gain on available-for-sale debt securities (net of tax effect of zero for all periods presented)</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change in cumulative foreign currency translation loss (net of tax effect of zero and $5 , respectively)</w:t>
            </w: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2"/>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880" w:type="dxa"/>
            <w:vAlign w:val="bottom"/>
            <w:tcBorders>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80" w:type="dxa"/>
            <w:vAlign w:val="bottom"/>
          </w:tcPr>
          <w:p>
            <w:pPr>
              <w:spacing w:after="0"/>
              <w:rPr>
                <w:sz w:val="16"/>
                <w:szCs w:val="16"/>
                <w:color w:val="auto"/>
              </w:rPr>
            </w:pPr>
          </w:p>
        </w:tc>
        <w:tc>
          <w:tcPr>
            <w:tcW w:w="13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4"/>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800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468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2,810</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w:t>
            </w:r>
          </w:p>
        </w:tc>
        <w:tc>
          <w:tcPr>
            <w:tcW w:w="0" w:type="dxa"/>
            <w:vAlign w:val="bottom"/>
          </w:tcPr>
          <w:p>
            <w:pPr>
              <w:spacing w:after="0"/>
              <w:rPr>
                <w:sz w:val="1"/>
                <w:szCs w:val="1"/>
                <w:color w:val="auto"/>
              </w:rPr>
            </w:pPr>
          </w:p>
        </w:tc>
      </w:tr>
      <w:tr>
        <w:trPr>
          <w:trHeight w:val="202"/>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marketable securities</w:t>
            </w:r>
          </w:p>
        </w:tc>
        <w:tc>
          <w:tcPr>
            <w:tcW w:w="2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software, furniture and leasehold improvements, net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Long-term other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620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9,830</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2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163</w:t>
            </w:r>
          </w:p>
        </w:tc>
        <w:tc>
          <w:tcPr>
            <w:tcW w:w="14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income taxes</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3,362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02"/>
        </w:trPr>
        <w:tc>
          <w:tcPr>
            <w:tcW w:w="80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4,097</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4,351</w:t>
            </w: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income taxes payable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income taxes</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notes payable, net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2,285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other liabilities</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and additional paid-in capital</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2,161</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0" w:type="dxa"/>
            <w:vAlign w:val="bottom"/>
          </w:tcPr>
          <w:p>
            <w:pPr>
              <w:spacing w:after="0"/>
              <w:rPr>
                <w:sz w:val="1"/>
                <w:szCs w:val="1"/>
                <w:color w:val="auto"/>
              </w:rPr>
            </w:pPr>
          </w:p>
        </w:tc>
      </w:tr>
      <w:tr>
        <w:trPr>
          <w:trHeight w:val="202"/>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9,830</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9,912</w:t>
            </w: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2640" w:type="dxa"/>
            <w:vAlign w:val="bottom"/>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2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4"/>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19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Pr>
          <w:p>
            <w:pPr>
              <w:spacing w:after="0"/>
              <w:rPr>
                <w:sz w:val="18"/>
                <w:szCs w:val="18"/>
                <w:color w:val="auto"/>
              </w:rPr>
            </w:pPr>
          </w:p>
        </w:tc>
        <w:tc>
          <w:tcPr>
            <w:tcW w:w="100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costs to obtain a contract with a customer</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business combinations: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09"/>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Accrued income taxes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06"/>
        </w:trPr>
        <w:tc>
          <w:tcPr>
            <w:tcW w:w="8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r>
      <w:tr>
        <w:trPr>
          <w:trHeight w:val="18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Sales and maturities of marketable securities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9"/>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6"/>
        </w:trPr>
        <w:tc>
          <w:tcPr>
            <w:tcW w:w="8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18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02"/>
        </w:trPr>
        <w:tc>
          <w:tcPr>
            <w:tcW w:w="802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r>
      <w:tr>
        <w:trPr>
          <w:trHeight w:val="20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r>
      <w:tr>
        <w:trPr>
          <w:trHeight w:val="202"/>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000" w:type="dxa"/>
            <w:vAlign w:val="bottom"/>
            <w:tcBorders>
              <w:bottom w:val="single" w:sz="8" w:color="auto"/>
            </w:tcBorders>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18"/>
        </w:trPr>
        <w:tc>
          <w:tcPr>
            <w:tcW w:w="8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cash flow disclosure:</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financing activities: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7"/>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Fair value of common stock issued to settle liability-classified restricted common stock</w:t>
            </w:r>
          </w:p>
        </w:tc>
        <w:tc>
          <w:tcPr>
            <w:tcW w:w="1000" w:type="dxa"/>
            <w:vAlign w:val="bottom"/>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00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bl>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share and per share data, or as otherwise noted)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Basis of Presentation</w:t>
      </w:r>
    </w:p>
    <w:p>
      <w:pPr>
        <w:spacing w:after="0" w:line="244" w:lineRule="exact"/>
        <w:rPr>
          <w:sz w:val="20"/>
          <w:szCs w:val="20"/>
          <w:color w:val="auto"/>
        </w:rPr>
      </w:pPr>
    </w:p>
    <w:p>
      <w:pPr>
        <w:jc w:val="both"/>
        <w:ind w:right="80" w:firstLine="434"/>
        <w:spacing w:after="0" w:line="282"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of Autodesk, Inc. (“Autodesk,” “we,” “us,” “our,” or the “Company”) as of April 30, 2024, and for the three months ended April 30, 2024 and 2023, have been prepared in accordance with U.S. generally accepted accounting principles (“GAAP”) for interim financial information along with the instructions to Form 10-Q and Article 10 of Securities and Exchange Commission (“SEC”)</w:t>
      </w:r>
    </w:p>
    <w:p>
      <w:pPr>
        <w:spacing w:after="0" w:line="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months ended April 30, 2024, are not necessarily indicative of the results for the entire fiscal year ending January 31, 2025, or for any other period. Further, the balance sheet as of January 31, 2024,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2024.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2024, filed on June 10,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presentation</w:t>
      </w:r>
    </w:p>
    <w:p>
      <w:pPr>
        <w:spacing w:after="0" w:line="242" w:lineRule="exact"/>
        <w:rPr>
          <w:sz w:val="20"/>
          <w:szCs w:val="20"/>
          <w:color w:val="auto"/>
        </w:rPr>
      </w:pPr>
    </w:p>
    <w:p>
      <w:pPr>
        <w:ind w:right="180" w:firstLine="434"/>
        <w:spacing w:after="0" w:line="249" w:lineRule="auto"/>
        <w:rPr>
          <w:sz w:val="20"/>
          <w:szCs w:val="20"/>
          <w:color w:val="auto"/>
        </w:rPr>
      </w:pPr>
      <w:r>
        <w:rPr>
          <w:rFonts w:ascii="Times New Roman" w:cs="Times New Roman" w:eastAsia="Times New Roman" w:hAnsi="Times New Roman"/>
          <w:sz w:val="18"/>
          <w:szCs w:val="18"/>
          <w:color w:val="auto"/>
        </w:rPr>
        <w:t>During the quarter ended April 30, 2024, the Company changed its presentation of the amortization of costs capitalized to obtain a contract with a customer in our Condensed Consolidated Statements of Cash Flows. Amortization of costs capitalized to obtain a contract with a customer were previously presented in “Changes in operating assets and liabilities, net of business combinations” and are now presented in “Adjustments to reconcile net income to net cash provided by operating activities.” Accordingly, prior period amounts have been reclassified to conform to the current period presentation. These reclassifications did not impact total net cash provided by operating activities. The effect of the change on the Condensed Consolidated Statement of Cash Flows for the quarter ended April 30, 2023 was $30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Recently Issued Accounting Standards</w:t>
      </w:r>
    </w:p>
    <w:p>
      <w:pPr>
        <w:spacing w:after="0" w:line="244" w:lineRule="exact"/>
        <w:rPr>
          <w:sz w:val="20"/>
          <w:szCs w:val="20"/>
          <w:color w:val="auto"/>
        </w:rPr>
      </w:pPr>
    </w:p>
    <w:p>
      <w:pPr>
        <w:ind w:right="460" w:firstLine="434"/>
        <w:spacing w:after="0" w:line="332" w:lineRule="auto"/>
        <w:rPr>
          <w:sz w:val="20"/>
          <w:szCs w:val="20"/>
          <w:color w:val="auto"/>
        </w:rPr>
      </w:pPr>
      <w:r>
        <w:rPr>
          <w:rFonts w:ascii="Times New Roman" w:cs="Times New Roman" w:eastAsia="Times New Roman" w:hAnsi="Times New Roman"/>
          <w:sz w:val="16"/>
          <w:szCs w:val="16"/>
          <w:color w:val="auto"/>
        </w:rPr>
        <w:t>With the exception of those discussed below, there have been no recent changes in accounting pronouncements issued by the Financial Accounting Standards Board (“FASB”) or adopted by the Company during the three months ended April 30, 2024, that are applicable to the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242" w:lineRule="exact"/>
        <w:rPr>
          <w:sz w:val="20"/>
          <w:szCs w:val="20"/>
          <w:color w:val="auto"/>
        </w:rPr>
      </w:pPr>
    </w:p>
    <w:p>
      <w:pPr>
        <w:ind w:right="160" w:firstLine="395"/>
        <w:spacing w:after="0" w:line="249"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 to Income Tax Disclosures” (“ASU 2023-09”), to enhance the transparency and decision usefulness of income tax disclosures. ASU 2023-09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ASU 2023-09 is effective for Autodesk’s fiscal year beginning February 1, 2025 on a prospective basis. Early adoption is permitted. Autodesk is currently evaluating the effect of adopting ASU 2023-09 on its disclosures.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42"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are intended to improve reportable segment disclosure requirements.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All disclosure requirements of ASU 2023-07 are required for entities with a single reportable segment. ASU 2023-07 is effective for Autodesk’s fiscal year beginning February 1, 2024, and interim periods for Autodesk’s fiscal year beginning February 1, 2025, and should be applied on a retrospective basis to all periods presented. Autodesk is currently evaluating the effect of adopting ASU 2023-07 on its fiscal year 2025 disclosures.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Revenue Recognition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Disaggregation</w:t>
      </w:r>
    </w:p>
    <w:p>
      <w:pPr>
        <w:spacing w:after="0" w:line="242" w:lineRule="exact"/>
        <w:rPr>
          <w:sz w:val="20"/>
          <w:szCs w:val="20"/>
          <w:color w:val="auto"/>
        </w:rPr>
      </w:pPr>
    </w:p>
    <w:p>
      <w:pPr>
        <w:ind w:right="220" w:firstLine="434"/>
        <w:spacing w:after="0" w:line="256" w:lineRule="auto"/>
        <w:rPr>
          <w:sz w:val="20"/>
          <w:szCs w:val="20"/>
          <w:color w:val="auto"/>
        </w:rPr>
      </w:pPr>
      <w:r>
        <w:rPr>
          <w:rFonts w:ascii="Times New Roman" w:cs="Times New Roman" w:eastAsia="Times New Roman" w:hAnsi="Times New Roman"/>
          <w:sz w:val="18"/>
          <w:szCs w:val="18"/>
          <w:color w:val="auto"/>
        </w:rPr>
        <w:t>Autodesk recognizes revenue from the sale of (1) product subscriptions, cloud service offerings, and enterprise business agreements (“EBAs”), (2) renewal fees for existing maintenance plan agreements that were initially purchased with a perpetual software license, and (3) consulting and other products and services. The three categories are presented as line items on Autodesk's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9" w:name="page10"/>
    <w:bookmarkEnd w:id="9"/>
    <w:p>
      <w:pPr>
        <w:ind w:right="240" w:firstLine="434"/>
        <w:spacing w:after="0" w:line="268" w:lineRule="auto"/>
        <w:rPr>
          <w:sz w:val="20"/>
          <w:szCs w:val="20"/>
          <w:color w:val="auto"/>
        </w:rPr>
      </w:pPr>
      <w:r>
        <w:rPr>
          <w:rFonts w:ascii="Times New Roman" w:cs="Times New Roman" w:eastAsia="Times New Roman" w:hAnsi="Times New Roman"/>
          <w:sz w:val="18"/>
          <w:szCs w:val="18"/>
          <w:color w:val="auto"/>
        </w:rPr>
        <w:t>Information regarding the components of Autodesk's net revenue from contracts with customers by product family, geographic location, sales channel, and product type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80" w:type="dxa"/>
            <w:vAlign w:val="bottom"/>
          </w:tcPr>
          <w:p>
            <w:pPr>
              <w:spacing w:after="0"/>
              <w:rPr>
                <w:sz w:val="16"/>
                <w:szCs w:val="16"/>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40" w:type="dxa"/>
            <w:vAlign w:val="bottom"/>
          </w:tcPr>
          <w:p>
            <w:pPr>
              <w:spacing w:after="0"/>
              <w:rPr>
                <w:sz w:val="16"/>
                <w:szCs w:val="16"/>
                <w:color w:val="auto"/>
              </w:rPr>
            </w:pPr>
          </w:p>
        </w:tc>
      </w:tr>
      <w:tr>
        <w:trPr>
          <w:trHeight w:val="24"/>
        </w:trPr>
        <w:tc>
          <w:tcPr>
            <w:tcW w:w="84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4"/>
        </w:trPr>
        <w:tc>
          <w:tcPr>
            <w:tcW w:w="84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r>
      <w:tr>
        <w:trPr>
          <w:trHeight w:val="197"/>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09"/>
        </w:trPr>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Architecture, Engineering and Construction</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2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r>
      <w:tr>
        <w:trPr>
          <w:trHeight w:val="212"/>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AutoCAD and AutoCAD LT</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09"/>
        </w:trPr>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Manufacturing</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12"/>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Media and Entertainment</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9"/>
        </w:trPr>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2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1,269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geographic area:</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09"/>
        </w:trPr>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Americas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2"/>
        </w:trPr>
        <w:tc>
          <w:tcPr>
            <w:tcW w:w="8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U.S.</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09"/>
        </w:trPr>
        <w:tc>
          <w:tcPr>
            <w:tcW w:w="84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Americas</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06"/>
        </w:trPr>
        <w:tc>
          <w:tcPr>
            <w:tcW w:w="8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Americas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09"/>
        </w:trPr>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12"/>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Asia Pacific</w:t>
            </w: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02"/>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1,269</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18"/>
        </w:trPr>
        <w:tc>
          <w:tcPr>
            <w:tcW w:w="8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09"/>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2"/>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Indirect</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r>
      <w:tr>
        <w:trPr>
          <w:trHeight w:val="209"/>
        </w:trPr>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Direct</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2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1,269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09"/>
        </w:trPr>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Design</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2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1,086</w:t>
            </w:r>
          </w:p>
        </w:tc>
      </w:tr>
      <w:tr>
        <w:trPr>
          <w:trHeight w:val="212"/>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Make</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09"/>
        </w:trPr>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2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1,269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Payments for product subscriptions, cloud subscriptions, and maintenance subscriptions are typically due in annual installments or up front with payment terms of 30 to 45 days. Payments on EBAs are due upfront or in annual installments over the contract term, with payment terms of 30 to 60 days. Autodesk does not have any material variable consideration, such as obligations for returns, refunds, warranties, or amounts due to customers for which significant estimation or judgment is required as of the reporting date.</w:t>
      </w:r>
    </w:p>
    <w:p>
      <w:pPr>
        <w:spacing w:after="0" w:line="210"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Remaining performance obligations consist of total short-term, long-term, and unbilled deferred revenue. As of April 30, 2024, Autodesk had remaining performance obligations of $5.89 billion, which represents the total contract price allocated to remaining performance obligations, which are generally recognized over the next three years. We expect to recognize $3.92 billion or 66% of our remaining performance obligations as revenue during the next 12 months. We expect to recognize the remaining $1.97 billion or 34% of our remaining performance obligations as revenue thereafter.</w:t>
      </w:r>
    </w:p>
    <w:p>
      <w:pPr>
        <w:spacing w:after="0" w:line="210" w:lineRule="exact"/>
        <w:rPr>
          <w:sz w:val="20"/>
          <w:szCs w:val="20"/>
          <w:color w:val="auto"/>
        </w:rPr>
      </w:pPr>
    </w:p>
    <w:p>
      <w:pPr>
        <w:ind w:right="520" w:firstLine="395"/>
        <w:spacing w:after="0" w:line="268" w:lineRule="auto"/>
        <w:rPr>
          <w:sz w:val="20"/>
          <w:szCs w:val="20"/>
          <w:color w:val="auto"/>
        </w:rPr>
      </w:pPr>
      <w:r>
        <w:rPr>
          <w:rFonts w:ascii="Times New Roman" w:cs="Times New Roman" w:eastAsia="Times New Roman" w:hAnsi="Times New Roman"/>
          <w:sz w:val="18"/>
          <w:szCs w:val="18"/>
          <w:color w:val="auto"/>
        </w:rPr>
        <w:t>The amount of remaining performance obligations may be impacted by the specific timing, duration, and size of customer subscription and support agreements, the specific timing of customer renewals, and foreign currency fluctuations.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42"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We receive payments from customers based on a billing schedule as established in our contracts. Contract assets relate to performance completed in advance of scheduled billings. Contract assets were not material as of April 30, 2024. Deferred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 w:name="page11"/>
    <w:bookmarkEnd w:id="10"/>
    <w:p>
      <w:pPr>
        <w:ind w:right="440"/>
        <w:spacing w:after="0" w:line="268" w:lineRule="auto"/>
        <w:rPr>
          <w:sz w:val="20"/>
          <w:szCs w:val="20"/>
          <w:color w:val="auto"/>
        </w:rPr>
      </w:pPr>
      <w:r>
        <w:rPr>
          <w:rFonts w:ascii="Times New Roman" w:cs="Times New Roman" w:eastAsia="Times New Roman" w:hAnsi="Times New Roman"/>
          <w:sz w:val="18"/>
          <w:szCs w:val="18"/>
          <w:color w:val="auto"/>
        </w:rPr>
        <w:t>revenue relates to billings in advance of performance under the contract. The primary changes in our contract assets and deferred revenues are due to our performance under the contracts and billings.</w:t>
      </w:r>
    </w:p>
    <w:p>
      <w:pPr>
        <w:spacing w:after="0" w:line="196"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Revenue recognized during the three months ended April 30, 2024 and 2023, that was included in the deferred revenue balances at January 31, 2024 and 2023, was $1.19 billion and $1.06 billion, respectively. The satisfaction of performance obligations typically lags behind payments received under revenue contracts from customers.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Concentration of Credit Risk</w:t>
      </w:r>
    </w:p>
    <w:p>
      <w:pPr>
        <w:spacing w:after="0" w:line="218"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$1.5 billion revolving credit facility. See Note 14, “Borrowing Arrangements,” in the Notes to Condensed Consolidated Financial Statements for further discussion.</w:t>
      </w:r>
    </w:p>
    <w:p>
      <w:pPr>
        <w:spacing w:after="0" w:line="212"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Total revenue from the Company's largest distributor TD Synnex Corporation and its global affiliates (“TD Synnex”) accounted for 38% and 40% of Autodesk’s total net revenue during the three months ended April 30, 2024 and 2023, respectively. The majority of the net revenue from sales to TD Synnex is from sales outside of the United States. In addition, TD Synnex accounted for 22% and 18% of trade accounts receivable at April 30, 2024 and January 31, 2024, respectively. No other customer accounted for more than 10% of Autodesk's total net revenue or trade accounts receivable for each of the respective periods.</w:t>
      </w: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7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Financial Instruments</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summarize the Company's financial instruments by significant investment category as of April 30, 2024, and January 31, 2024:</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w w:val="99"/>
              </w:rPr>
              <w:t>April 30, 2024</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80" w:type="dxa"/>
            <w:vAlign w:val="bottom"/>
            <w:gridSpan w:val="3"/>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300" w:type="dxa"/>
            <w:vAlign w:val="bottom"/>
            <w:gridSpan w:val="3"/>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80" w:type="dxa"/>
            <w:vAlign w:val="bottom"/>
          </w:tcPr>
          <w:p>
            <w:pPr>
              <w:spacing w:after="0"/>
              <w:rPr>
                <w:sz w:val="11"/>
                <w:szCs w:val="11"/>
                <w:color w:val="auto"/>
              </w:rPr>
            </w:pPr>
          </w:p>
        </w:tc>
        <w:tc>
          <w:tcPr>
            <w:tcW w:w="100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8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 (1):</w:t>
            </w: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paper</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Agency mortgage backed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Mutual funds (4) (5)</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6"/>
              </w:rPr>
              <w:t>(4)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1" w:lineRule="exact"/>
        <w:rPr>
          <w:sz w:val="20"/>
          <w:szCs w:val="20"/>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agency discount bonds, mortgage-backed securities, agency bonds, and certificates of deposit.</w:t>
      </w: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agency collateralized mortgage obligations, agency bonds, and mortgage-backed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12, “Deferred Compensation” for more information.</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867"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720" w:type="dxa"/>
            <w:vAlign w:val="bottom"/>
          </w:tcPr>
          <w:p>
            <w:pPr>
              <w:jc w:val="center"/>
              <w:ind w:left="185"/>
              <w:spacing w:after="0" w:line="12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80" w:type="dxa"/>
            <w:vAlign w:val="bottom"/>
            <w:gridSpan w:val="3"/>
            <w:vMerge w:val="continue"/>
          </w:tcPr>
          <w:p>
            <w:pPr>
              <w:spacing w:after="0"/>
              <w:rPr>
                <w:sz w:val="12"/>
                <w:szCs w:val="12"/>
                <w:color w:val="auto"/>
              </w:rPr>
            </w:pPr>
          </w:p>
        </w:tc>
        <w:tc>
          <w:tcPr>
            <w:tcW w:w="108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6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720" w:type="dxa"/>
            <w:vAlign w:val="bottom"/>
          </w:tcPr>
          <w:p>
            <w:pPr>
              <w:jc w:val="center"/>
              <w:ind w:left="185"/>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 (1):</w:t>
            </w: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paper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(2)</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Agency mortgage-backed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Mutual funds (5) (6)</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1"/>
        </w:trPr>
        <w:tc>
          <w:tcPr>
            <w:tcW w:w="6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mortgage-backed securities and corporate debt securities.</w:t>
      </w: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discount bonds, U.S. government securities, mortgage-backed securities, certificates of deposit, and agency bonds.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bonds, agency collateralized mortgage obligations, and mortgage-backed securities.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12, “Deferred Compensation” for more information.</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223"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summarizes the fair values of investments classified as marketable debt securities by contractual maturity date as of April 30, 2024:</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
        </w:trPr>
        <w:tc>
          <w:tcPr>
            <w:tcW w:w="9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4"/>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1 year</w:t>
            </w: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09"/>
        </w:trPr>
        <w:tc>
          <w:tcPr>
            <w:tcW w:w="9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in 1 year through 5 years</w:t>
            </w:r>
          </w:p>
        </w:tc>
        <w:tc>
          <w:tcPr>
            <w:tcW w:w="4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12"/>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in 5 years through 10 years</w:t>
            </w:r>
          </w:p>
        </w:tc>
        <w:tc>
          <w:tcPr>
            <w:tcW w:w="4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9"/>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10 years</w:t>
            </w:r>
          </w:p>
        </w:tc>
        <w:tc>
          <w:tcPr>
            <w:tcW w:w="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1"/>
        </w:trPr>
        <w:tc>
          <w:tcPr>
            <w:tcW w:w="9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As of both April 30, 2024, and January 31, 2024, Autodesk had no material unrealized losses, individually and in the aggregate, for marketable debt securities that are in a continuous unrealized loss position for greater than 12 months. Total unrealized gains for securities with net gains in accumulated other comprehensive income were not material for the three months ended April 30, 2024.</w:t>
      </w:r>
    </w:p>
    <w:p>
      <w:pPr>
        <w:spacing w:after="0" w:line="206" w:lineRule="exact"/>
        <w:rPr>
          <w:sz w:val="20"/>
          <w:szCs w:val="20"/>
          <w:color w:val="auto"/>
        </w:rPr>
      </w:pPr>
    </w:p>
    <w:p>
      <w:pPr>
        <w:ind w:right="520" w:firstLine="395"/>
        <w:spacing w:after="0" w:line="268" w:lineRule="auto"/>
        <w:rPr>
          <w:sz w:val="20"/>
          <w:szCs w:val="20"/>
          <w:color w:val="auto"/>
        </w:rPr>
      </w:pPr>
      <w:r>
        <w:rPr>
          <w:rFonts w:ascii="Times New Roman" w:cs="Times New Roman" w:eastAsia="Times New Roman" w:hAnsi="Times New Roman"/>
          <w:sz w:val="18"/>
          <w:szCs w:val="18"/>
          <w:color w:val="auto"/>
        </w:rPr>
        <w:t>Autodesk monitors all marketable debt securities for potential credit losses by reviewing indicators such as, but not limited to, current credit rating, change in credit rating, credit outlook, and default risk. There were no allowances for credit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3" w:name="page14"/>
    <w:bookmarkEnd w:id="13"/>
    <w:p>
      <w:pPr>
        <w:ind w:right="60"/>
        <w:spacing w:after="0" w:line="268" w:lineRule="auto"/>
        <w:rPr>
          <w:sz w:val="20"/>
          <w:szCs w:val="20"/>
          <w:color w:val="auto"/>
        </w:rPr>
      </w:pPr>
      <w:r>
        <w:rPr>
          <w:rFonts w:ascii="Times New Roman" w:cs="Times New Roman" w:eastAsia="Times New Roman" w:hAnsi="Times New Roman"/>
          <w:sz w:val="18"/>
          <w:szCs w:val="18"/>
          <w:color w:val="auto"/>
        </w:rPr>
        <w:t>losses as of both April 30, 2024, and January 31, 2024. There were no write offs of accrued interest receivables for both the three months ended April 30, 2024 and 2023.</w:t>
      </w:r>
    </w:p>
    <w:p>
      <w:pPr>
        <w:spacing w:after="0" w:line="196"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There were no material realized gain or loss for the sales or redemptions of marketable debt securities during both the three months ended April 30, 2024 and 2023. Realized gains and losses from the sales or redemptions of marketable debt securities are recorded in “Interest and other income, net” on the Company's Condensed Consolidated Statements of Operations.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Proceeds from the sale and maturity of marketable debt securities were as follows:</w:t>
      </w:r>
    </w:p>
    <w:p>
      <w:pPr>
        <w:spacing w:after="0" w:line="37"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5417820</wp:posOffset>
            </wp:positionH>
            <wp:positionV relativeFrom="paragraph">
              <wp:posOffset>30480</wp:posOffset>
            </wp:positionV>
            <wp:extent cx="17214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30" w:lineRule="exact"/>
        <w:rPr>
          <w:sz w:val="20"/>
          <w:szCs w:val="20"/>
          <w:color w:val="auto"/>
        </w:rPr>
      </w:pPr>
    </w:p>
    <w:p>
      <w:pPr>
        <w:ind w:left="9040"/>
        <w:spacing w:after="0"/>
        <w:tabs>
          <w:tab w:leader="none" w:pos="104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42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40" w:lineRule="exact"/>
        <w:rPr>
          <w:sz w:val="20"/>
          <w:szCs w:val="20"/>
          <w:color w:val="auto"/>
        </w:rPr>
      </w:pPr>
    </w:p>
    <w:p>
      <w:pPr>
        <w:ind w:left="20"/>
        <w:spacing w:after="0"/>
        <w:tabs>
          <w:tab w:leader="none" w:pos="8520" w:val="left"/>
          <w:tab w:leader="none" w:pos="9520" w:val="left"/>
          <w:tab w:leader="none" w:pos="9940" w:val="left"/>
          <w:tab w:leader="none" w:pos="10920" w:val="left"/>
        </w:tabs>
        <w:rPr>
          <w:sz w:val="20"/>
          <w:szCs w:val="20"/>
          <w:color w:val="auto"/>
        </w:rPr>
      </w:pPr>
      <w:r>
        <w:rPr>
          <w:rFonts w:ascii="Times New Roman" w:cs="Times New Roman" w:eastAsia="Times New Roman" w:hAnsi="Times New Roman"/>
          <w:sz w:val="16"/>
          <w:szCs w:val="16"/>
          <w:color w:val="auto"/>
        </w:rPr>
        <w:t>Marketable debt securities</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262</w:t>
        <w:tab/>
        <w:t>$</w:t>
      </w:r>
      <w:r>
        <w:rPr>
          <w:sz w:val="20"/>
          <w:szCs w:val="20"/>
          <w:color w:val="auto"/>
        </w:rPr>
        <w:tab/>
      </w:r>
      <w:r>
        <w:rPr>
          <w:rFonts w:ascii="Times New Roman" w:cs="Times New Roman" w:eastAsia="Times New Roman" w:hAnsi="Times New Roman"/>
          <w:sz w:val="16"/>
          <w:szCs w:val="16"/>
          <w:color w:val="auto"/>
        </w:rPr>
        <w:t>163</w:t>
      </w:r>
    </w:p>
    <w:p>
      <w:pPr>
        <w:spacing w:after="0" w:line="3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Strategic investments in equity securities</w:t>
      </w:r>
    </w:p>
    <w:p>
      <w:pPr>
        <w:spacing w:after="0" w:line="242"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As of April 30, 2024, and January 31, 2024, Autodesk had $163 million and $162 million, respectively, in direct investments in privately held companies. These strategic investments in equity securities do not have readily determined fair values, and Autodesk uses the measurement alternative to account for the adjustment to these investments in a given quarter. If Autodesk determines that an impairment has occurred, Autodesk writes down the investment to its fair value. These strategic investments in equity securities are generally subject to a security-specific restriction which limits the sale or transfer of the respective equity security during the holding period.</w:t>
      </w:r>
    </w:p>
    <w:p>
      <w:pPr>
        <w:spacing w:after="0" w:line="212" w:lineRule="exact"/>
        <w:rPr>
          <w:sz w:val="20"/>
          <w:szCs w:val="20"/>
          <w:color w:val="auto"/>
        </w:rPr>
      </w:pPr>
    </w:p>
    <w:p>
      <w:pPr>
        <w:jc w:val="both"/>
        <w:ind w:right="220" w:firstLine="395"/>
        <w:spacing w:after="0" w:line="256" w:lineRule="auto"/>
        <w:rPr>
          <w:sz w:val="20"/>
          <w:szCs w:val="20"/>
          <w:color w:val="auto"/>
        </w:rPr>
      </w:pPr>
      <w:r>
        <w:rPr>
          <w:rFonts w:ascii="Times New Roman" w:cs="Times New Roman" w:eastAsia="Times New Roman" w:hAnsi="Times New Roman"/>
          <w:sz w:val="18"/>
          <w:szCs w:val="18"/>
          <w:color w:val="auto"/>
        </w:rPr>
        <w:t>Adjustments to the carrying value of our strategic investment equity securities with no readily determined fair values measured using the measurement alternative are included in “Interest and other income, net” on the Company's Condensed Consolidated Statements of Operations. These adjustments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Cumulative Amount as of</w:t>
            </w:r>
          </w:p>
        </w:tc>
      </w:tr>
      <w:tr>
        <w:trPr>
          <w:trHeight w:val="24"/>
        </w:trPr>
        <w:tc>
          <w:tcPr>
            <w:tcW w:w="68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4"/>
        </w:trPr>
        <w:tc>
          <w:tcPr>
            <w:tcW w:w="68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April 30, 2024</w:t>
            </w: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Upward adjustments</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9"/>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Negative adjustments, including impairments</w:t>
            </w:r>
          </w:p>
        </w:tc>
        <w:tc>
          <w:tcPr>
            <w:tcW w:w="86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6"/>
        </w:trPr>
        <w:tc>
          <w:tcPr>
            <w:tcW w:w="68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unrealized adjustments</w:t>
            </w:r>
          </w:p>
        </w:tc>
        <w:tc>
          <w:tcPr>
            <w:tcW w:w="860" w:type="dxa"/>
            <w:vAlign w:val="bottom"/>
            <w:tcBorders>
              <w:top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Realized gains for the disposition of strategic investment equity securities for both the three months ended April 30, 2024 and 2023 were immaterial.</w:t>
      </w: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42" w:lineRule="exact"/>
        <w:rPr>
          <w:sz w:val="20"/>
          <w:szCs w:val="20"/>
          <w:color w:val="auto"/>
        </w:rPr>
      </w:pPr>
    </w:p>
    <w:p>
      <w:pPr>
        <w:jc w:val="both"/>
        <w:ind w:right="460" w:firstLine="395"/>
        <w:spacing w:after="0" w:line="256" w:lineRule="auto"/>
        <w:rPr>
          <w:sz w:val="20"/>
          <w:szCs w:val="20"/>
          <w:color w:val="auto"/>
        </w:rPr>
      </w:pPr>
      <w:r>
        <w:rPr>
          <w:rFonts w:ascii="Times New Roman" w:cs="Times New Roman" w:eastAsia="Times New Roman" w:hAnsi="Times New Roman"/>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6"/>
          <w:szCs w:val="16"/>
          <w:color w:val="auto"/>
        </w:rPr>
        <w:t>The following tables summarize the Company's financial instruments measured at fair value on a recurring basis by significant investment category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2024, and January 31, 2024:</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
        </w:trPr>
        <w:tc>
          <w:tcPr>
            <w:tcW w:w="6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4"/>
        </w:trPr>
        <w:tc>
          <w:tcPr>
            <w:tcW w:w="6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7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Cash equivalents (1):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r>
      <w:tr>
        <w:trPr>
          <w:trHeight w:val="20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12"/>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0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Other (2)</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7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Agency mortgage backed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2"/>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other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Mutual funds (4)(5)</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2"/>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Derivative contract assets (5)</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2"/>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Derivative contract liabilities (6)</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1"/>
        </w:trPr>
        <w:tc>
          <w:tcPr>
            <w:tcW w:w="7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agency discount bonds, mortgage-backed securities, agency bonds, and certificates of deposit.</w:t>
      </w: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agency collateralized mortgage obligations, agency bonds, and mortgage-backed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12, “Deferred Compensation” for more information.</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
        </w:trPr>
        <w:tc>
          <w:tcPr>
            <w:tcW w:w="7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4"/>
        </w:trPr>
        <w:tc>
          <w:tcPr>
            <w:tcW w:w="7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9"/>
        </w:trPr>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 (1):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r>
      <w:tr>
        <w:trPr>
          <w:trHeight w:val="209"/>
        </w:trPr>
        <w:tc>
          <w:tcPr>
            <w:tcW w:w="7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2"/>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9"/>
        </w:trPr>
        <w:tc>
          <w:tcPr>
            <w:tcW w:w="7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9"/>
        </w:trPr>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Agency bonds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 other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Mutual funds (5) (6)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 contract assets (6)</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 contract liabilities (7)</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1"/>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mortgage-backed securities and corporate debt securities.</w:t>
      </w: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discount bonds, U.S. government securities, mortgage-backed securities, certificates of deposit, and agency bonds.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bonds, agency collateralized mortgage obligations, and mortgage-backed securities.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12, “Deferred Compensation” for more information.</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left="200" w:right="9460" w:hanging="195"/>
        <w:spacing w:after="0" w:line="586" w:lineRule="auto"/>
        <w:tabs>
          <w:tab w:leader="none" w:pos="178" w:val="left"/>
        </w:tabs>
        <w:numPr>
          <w:ilvl w:val="0"/>
          <w:numId w:val="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Equity Compensation </w:t>
      </w:r>
      <w:r>
        <w:rPr>
          <w:rFonts w:ascii="Times New Roman" w:cs="Times New Roman" w:eastAsia="Times New Roman" w:hAnsi="Times New Roman"/>
          <w:sz w:val="16"/>
          <w:szCs w:val="16"/>
          <w:i w:val="1"/>
          <w:iCs w:val="1"/>
          <w:color w:val="auto"/>
        </w:rPr>
        <w:t>Restricted Stock Units</w:t>
      </w:r>
    </w:p>
    <w:p>
      <w:pPr>
        <w:ind w:left="44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A summary of restricted stock activity for the three months ended April 30, 2024,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3"/>
        </w:trPr>
        <w:tc>
          <w:tcPr>
            <w:tcW w:w="82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25"/>
              <w:spacing w:after="0" w:line="143"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5"/>
        </w:trPr>
        <w:tc>
          <w:tcPr>
            <w:tcW w:w="8240" w:type="dxa"/>
            <w:vAlign w:val="bottom"/>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restricted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25"/>
              <w:spacing w:after="0" w:line="145"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1"/>
        </w:trPr>
        <w:tc>
          <w:tcPr>
            <w:tcW w:w="824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units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0" w:type="dxa"/>
            <w:vAlign w:val="bottom"/>
          </w:tcPr>
          <w:p>
            <w:pPr>
              <w:spacing w:after="0"/>
              <w:rPr>
                <w:sz w:val="1"/>
                <w:szCs w:val="1"/>
                <w:color w:val="auto"/>
              </w:rPr>
            </w:pPr>
          </w:p>
        </w:tc>
      </w:tr>
      <w:tr>
        <w:trPr>
          <w:trHeight w:val="191"/>
        </w:trPr>
        <w:tc>
          <w:tcPr>
            <w:tcW w:w="82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at January 31,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203.87</w:t>
            </w:r>
          </w:p>
        </w:tc>
        <w:tc>
          <w:tcPr>
            <w:tcW w:w="0" w:type="dxa"/>
            <w:vAlign w:val="bottom"/>
          </w:tcPr>
          <w:p>
            <w:pPr>
              <w:spacing w:after="0"/>
              <w:rPr>
                <w:sz w:val="1"/>
                <w:szCs w:val="1"/>
                <w:color w:val="auto"/>
              </w:rPr>
            </w:pPr>
          </w:p>
        </w:tc>
      </w:tr>
      <w:tr>
        <w:trPr>
          <w:trHeight w:val="209"/>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239.60</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207.80</w:t>
            </w:r>
          </w:p>
        </w:tc>
        <w:tc>
          <w:tcPr>
            <w:tcW w:w="0" w:type="dxa"/>
            <w:vAlign w:val="bottom"/>
          </w:tcPr>
          <w:p>
            <w:pPr>
              <w:spacing w:after="0"/>
              <w:rPr>
                <w:sz w:val="1"/>
                <w:szCs w:val="1"/>
                <w:color w:val="auto"/>
              </w:rPr>
            </w:pPr>
          </w:p>
        </w:tc>
      </w:tr>
      <w:tr>
        <w:trPr>
          <w:trHeight w:val="209"/>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Canceled/Forfeited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205.06</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Performance Adjustment (1)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194.63</w:t>
            </w: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at April 30,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right="440" w:hanging="395"/>
        <w:spacing w:after="0" w:line="252" w:lineRule="auto"/>
        <w:tabs>
          <w:tab w:leader="none" w:pos="4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Autodesk's financial results and relative total stockholder return for the fiscal 2024 performance period. The performance stock units were attained at rates ranging from 75% to 96% of the target award.</w:t>
      </w:r>
    </w:p>
    <w:p>
      <w:pPr>
        <w:spacing w:after="0" w:line="201"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fair value of the shares vested during the three months ended April 30, 2024 and 2023, was $396 million and $274 million, respectively.</w:t>
      </w:r>
    </w:p>
    <w:p>
      <w:pPr>
        <w:spacing w:after="0" w:line="240"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April 30, 2024, Autodesk granted 2 million restricted stock units. Restricted stock units are not considered outstanding stock at the time of grant, as the holders of these units are not entitled to any of the rights of a stockholder, including voting rights.</w:t>
      </w:r>
    </w:p>
    <w:p>
      <w:pPr>
        <w:spacing w:after="0" w:line="196"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restricted stock units of $127 million and $130 million during the three months ended April 30, 2024 and 2023, respectively.</w:t>
      </w:r>
    </w:p>
    <w:p>
      <w:pPr>
        <w:spacing w:after="0" w:line="196"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April 30, 2024, Autodesk granted 7 thousand performance stock units for which the ultimate number of shares earned is determined based on the achievement of performance criteria at the end of the stated service and performance period.</w:t>
      </w:r>
    </w:p>
    <w:p>
      <w:pPr>
        <w:spacing w:after="0" w:line="196"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The performance criteria for the performance stock units vested during the three months ended April 30, 2024, was based on revenue and free cash flow goals adopted by the Compensation and Human Resource Committee.</w:t>
      </w:r>
    </w:p>
    <w:p>
      <w:pPr>
        <w:spacing w:after="0" w:line="183" w:lineRule="exact"/>
        <w:rPr>
          <w:sz w:val="20"/>
          <w:szCs w:val="20"/>
          <w:color w:val="auto"/>
        </w:rPr>
      </w:pPr>
    </w:p>
    <w:p>
      <w:pPr>
        <w:ind w:right="340" w:firstLine="395"/>
        <w:spacing w:after="0" w:line="253" w:lineRule="auto"/>
        <w:rPr>
          <w:sz w:val="20"/>
          <w:szCs w:val="20"/>
          <w:color w:val="auto"/>
        </w:rPr>
      </w:pPr>
      <w:r>
        <w:rPr>
          <w:rFonts w:ascii="Times New Roman" w:cs="Times New Roman" w:eastAsia="Times New Roman" w:hAnsi="Times New Roman"/>
          <w:sz w:val="18"/>
          <w:szCs w:val="18"/>
          <w:color w:val="auto"/>
        </w:rPr>
        <w:t>Performance stock units are not considered outstanding stock at the time of grant, as the holders of these units are not entitled to any of the rights of a stockholder, including voting rights.</w:t>
      </w:r>
    </w:p>
    <w:p>
      <w:pPr>
        <w:spacing w:after="0" w:line="208"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performance stock units of $6 million and $11 million for the three months ended April 30, 2024 and 2023, respectively.</w:t>
      </w:r>
    </w:p>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42" w:lineRule="exact"/>
        <w:rPr>
          <w:sz w:val="20"/>
          <w:szCs w:val="20"/>
          <w:color w:val="auto"/>
        </w:rPr>
      </w:pPr>
    </w:p>
    <w:p>
      <w:pPr>
        <w:ind w:right="80" w:firstLine="434"/>
        <w:spacing w:after="0" w:line="253"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common stock shares of $1 million and $6 million for the three months ended April 30, 2024 and 2023, respectively.</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1998 Employee Qualified Stock Purchase Plan (“ESPP”)</w:t>
      </w:r>
    </w:p>
    <w:p>
      <w:pPr>
        <w:spacing w:after="0" w:line="242" w:lineRule="exact"/>
        <w:rPr>
          <w:sz w:val="20"/>
          <w:szCs w:val="20"/>
          <w:color w:val="auto"/>
        </w:rPr>
      </w:pPr>
    </w:p>
    <w:p>
      <w:pPr>
        <w:ind w:right="120" w:firstLine="434"/>
        <w:spacing w:after="0" w:line="303" w:lineRule="auto"/>
        <w:rPr>
          <w:sz w:val="20"/>
          <w:szCs w:val="20"/>
          <w:color w:val="auto"/>
        </w:rPr>
      </w:pPr>
      <w:r>
        <w:rPr>
          <w:rFonts w:ascii="Times New Roman" w:cs="Times New Roman" w:eastAsia="Times New Roman" w:hAnsi="Times New Roman"/>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t>A summary of the ESPP activity for the three months ended April 30, 2024 and 2023,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2560" w:type="dxa"/>
            <w:vAlign w:val="bottom"/>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60" w:type="dxa"/>
            <w:vAlign w:val="bottom"/>
          </w:tcPr>
          <w:p>
            <w:pPr>
              <w:spacing w:after="0"/>
              <w:rPr>
                <w:sz w:val="16"/>
                <w:szCs w:val="16"/>
                <w:color w:val="auto"/>
              </w:rPr>
            </w:pPr>
          </w:p>
        </w:tc>
      </w:tr>
      <w:tr>
        <w:trPr>
          <w:trHeight w:val="24"/>
        </w:trPr>
        <w:tc>
          <w:tcPr>
            <w:tcW w:w="8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8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r>
      <w:tr>
        <w:trPr>
          <w:trHeight w:val="21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shares (in thousands)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09"/>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price of issued shares</w:t>
            </w:r>
          </w:p>
        </w:tc>
        <w:tc>
          <w:tcPr>
            <w:tcW w:w="940" w:type="dxa"/>
            <w:vAlign w:val="bottom"/>
          </w:tcPr>
          <w:p>
            <w:pPr>
              <w:jc w:val="right"/>
              <w:ind w:right="785"/>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164.81</w:t>
            </w:r>
          </w:p>
        </w:tc>
        <w:tc>
          <w:tcPr>
            <w:tcW w:w="100" w:type="dxa"/>
            <w:vAlign w:val="bottom"/>
          </w:tcPr>
          <w:p>
            <w:pPr>
              <w:spacing w:after="0"/>
              <w:rPr>
                <w:sz w:val="18"/>
                <w:szCs w:val="18"/>
                <w:color w:val="auto"/>
              </w:rPr>
            </w:pPr>
          </w:p>
        </w:tc>
        <w:tc>
          <w:tcPr>
            <w:tcW w:w="960" w:type="dxa"/>
            <w:vAlign w:val="bottom"/>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163.59</w:t>
            </w:r>
          </w:p>
        </w:tc>
      </w:tr>
      <w:tr>
        <w:trPr>
          <w:trHeight w:val="21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shares granted under the ESPP (1)</w:t>
            </w:r>
          </w:p>
        </w:tc>
        <w:tc>
          <w:tcPr>
            <w:tcW w:w="94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w:t>
            </w:r>
          </w:p>
        </w:tc>
      </w:tr>
    </w:tbl>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of the award grant date using the Black-Scholes Merton (“BSM”) option pricing model.</w:t>
      </w:r>
    </w:p>
    <w:p>
      <w:pPr>
        <w:spacing w:after="0" w:line="2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for the three months ended April 30, 2024 and 2023,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20" w:type="dxa"/>
            <w:vAlign w:val="bottom"/>
          </w:tcPr>
          <w:p>
            <w:pPr>
              <w:spacing w:after="0"/>
              <w:rPr>
                <w:sz w:val="16"/>
                <w:szCs w:val="16"/>
                <w:color w:val="auto"/>
              </w:rPr>
            </w:pPr>
          </w:p>
        </w:tc>
        <w:tc>
          <w:tcPr>
            <w:tcW w:w="2580" w:type="dxa"/>
            <w:vAlign w:val="bottom"/>
            <w:gridSpan w:val="3"/>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40" w:type="dxa"/>
            <w:vAlign w:val="bottom"/>
          </w:tcPr>
          <w:p>
            <w:pPr>
              <w:spacing w:after="0"/>
              <w:rPr>
                <w:sz w:val="16"/>
                <w:szCs w:val="16"/>
                <w:color w:val="auto"/>
              </w:rPr>
            </w:pPr>
          </w:p>
        </w:tc>
      </w:tr>
      <w:tr>
        <w:trPr>
          <w:trHeight w:val="24"/>
        </w:trPr>
        <w:tc>
          <w:tcPr>
            <w:tcW w:w="8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4"/>
        </w:trPr>
        <w:tc>
          <w:tcPr>
            <w:tcW w:w="82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subscription and maintenance revenue</w:t>
            </w: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other revenue</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and sales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2"/>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related to stock awards and ESPP purchases</w:t>
            </w:r>
          </w:p>
        </w:tc>
        <w:tc>
          <w:tcPr>
            <w:tcW w:w="10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0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expense</w:t>
            </w:r>
          </w:p>
        </w:tc>
        <w:tc>
          <w:tcPr>
            <w:tcW w:w="10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2"/>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related to stock awards and ESPP purchases, net of tax</w:t>
            </w:r>
          </w:p>
        </w:tc>
        <w:tc>
          <w:tcPr>
            <w:tcW w:w="1060" w:type="dxa"/>
            <w:vAlign w:val="bottom"/>
            <w:tcBorders>
              <w:bottom w:val="single" w:sz="8" w:color="auto"/>
            </w:tcBorders>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8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
        </w:trPr>
        <w:tc>
          <w:tcPr>
            <w:tcW w:w="8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Stock-based Compensation Expense Assumptions</w:t>
      </w:r>
    </w:p>
    <w:p>
      <w:pPr>
        <w:spacing w:after="0" w:line="242" w:lineRule="exact"/>
        <w:rPr>
          <w:sz w:val="20"/>
          <w:szCs w:val="20"/>
          <w:color w:val="auto"/>
        </w:rPr>
      </w:pPr>
    </w:p>
    <w:p>
      <w:pPr>
        <w:ind w:right="140" w:firstLine="434"/>
        <w:spacing w:after="0" w:line="252" w:lineRule="auto"/>
        <w:rPr>
          <w:sz w:val="20"/>
          <w:szCs w:val="20"/>
          <w:color w:val="auto"/>
        </w:rPr>
      </w:pPr>
      <w:r>
        <w:rPr>
          <w:rFonts w:ascii="Times New Roman" w:cs="Times New Roman" w:eastAsia="Times New Roman" w:hAnsi="Times New Roman"/>
          <w:sz w:val="18"/>
          <w:szCs w:val="18"/>
          <w:color w:val="auto"/>
        </w:rPr>
        <w:t>Autodesk determines the grant date fair value of its share-based payment awards BSM option pricing model or the quoted stock price on the date of grant, unless the awards are subject to market conditions, in which case Autodesk uses the Monte Carlo simulation model. The Monte Carlo simulation model uses multiple input variables to estimate the probability that market conditions will be achieved. Autodesk uses the following assumptions to estimate the fair value of stock-based awards: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26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April 30, 2024</w:t>
            </w:r>
          </w:p>
        </w:tc>
        <w:tc>
          <w:tcPr>
            <w:tcW w:w="31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April 30, 2023</w:t>
            </w: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780" w:type="dxa"/>
            <w:vAlign w:val="bottom"/>
          </w:tcPr>
          <w:p>
            <w:pPr>
              <w:spacing w:after="0"/>
              <w:rPr>
                <w:sz w:val="10"/>
                <w:szCs w:val="10"/>
                <w:color w:val="auto"/>
              </w:rPr>
            </w:pPr>
          </w:p>
        </w:tc>
        <w:tc>
          <w:tcPr>
            <w:tcW w:w="16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6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ESPP</w:t>
            </w:r>
          </w:p>
        </w:tc>
        <w:tc>
          <w:tcPr>
            <w:tcW w:w="162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Performance Stock</w:t>
            </w:r>
          </w:p>
        </w:tc>
        <w:tc>
          <w:tcPr>
            <w:tcW w:w="15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ESPP</w:t>
            </w: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 (1)</w:t>
            </w:r>
          </w:p>
        </w:tc>
        <w:tc>
          <w:tcPr>
            <w:tcW w:w="164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Range of expected volatility</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28.7 - 34.5%</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40.9 - 42.5%</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40.0 - 42.4%</w:t>
            </w:r>
          </w:p>
        </w:tc>
        <w:tc>
          <w:tcPr>
            <w:tcW w:w="0" w:type="dxa"/>
            <w:vAlign w:val="bottom"/>
          </w:tcPr>
          <w:p>
            <w:pPr>
              <w:spacing w:after="0"/>
              <w:rPr>
                <w:sz w:val="1"/>
                <w:szCs w:val="1"/>
                <w:color w:val="auto"/>
              </w:rPr>
            </w:pPr>
          </w:p>
        </w:tc>
      </w:tr>
      <w:tr>
        <w:trPr>
          <w:trHeight w:val="20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expected lives (in years)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0.5- 2.0</w:t>
            </w: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0" w:type="dxa"/>
            <w:vAlign w:val="bottom"/>
          </w:tcPr>
          <w:p>
            <w:pPr>
              <w:spacing w:after="0"/>
              <w:rPr>
                <w:sz w:val="1"/>
                <w:szCs w:val="1"/>
                <w:color w:val="auto"/>
              </w:rPr>
            </w:pPr>
          </w:p>
        </w:tc>
      </w:tr>
      <w:tr>
        <w:trPr>
          <w:trHeight w:val="21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5"/>
              </w:rPr>
              <w:t>—%</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risk-free interest rates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4.6 - 5.4%</w:t>
            </w: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4.3 - 4.7%</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4.3 - 5.0%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00" w:right="480" w:hanging="395"/>
        <w:spacing w:after="0" w:line="268" w:lineRule="auto"/>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 were no performance stock units granted during the three months ended April 30, 2024, where the fair value was estimated by a Monte Carlo simulation.</w:t>
      </w:r>
    </w:p>
    <w:p>
      <w:pPr>
        <w:spacing w:after="0" w:line="51" w:lineRule="exact"/>
        <w:rPr>
          <w:sz w:val="20"/>
          <w:szCs w:val="20"/>
          <w:color w:val="auto"/>
        </w:rPr>
      </w:pPr>
    </w:p>
    <w:p>
      <w:pPr>
        <w:ind w:right="80" w:firstLine="434"/>
        <w:spacing w:after="0" w:line="252" w:lineRule="auto"/>
        <w:rPr>
          <w:sz w:val="20"/>
          <w:szCs w:val="20"/>
          <w:color w:val="auto"/>
        </w:rPr>
      </w:pPr>
      <w:r>
        <w:rPr>
          <w:rFonts w:ascii="Times New Roman" w:cs="Times New Roman" w:eastAsia="Times New Roman" w:hAnsi="Times New Roman"/>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options to purchase shares of the Company’s common stock. The expected volatility for performance stock units subject to market conditions includes the expected volatility of companies within the S&amp;P North American Technology Software Index with a market capitalization over $2.0 billion, depending on the award type.</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range of expected lives of ESPP awards are based upon the four six-month exercise periods within a 24-month offering period.</w:t>
      </w:r>
    </w:p>
    <w:p>
      <w:pPr>
        <w:spacing w:after="0" w:line="240" w:lineRule="exact"/>
        <w:rPr>
          <w:sz w:val="20"/>
          <w:szCs w:val="20"/>
          <w:color w:val="auto"/>
        </w:rPr>
      </w:pPr>
    </w:p>
    <w:p>
      <w:pPr>
        <w:ind w:right="140" w:firstLine="434"/>
        <w:spacing w:after="0" w:line="268" w:lineRule="auto"/>
        <w:rPr>
          <w:sz w:val="20"/>
          <w:szCs w:val="20"/>
          <w:color w:val="auto"/>
        </w:rPr>
      </w:pPr>
      <w:r>
        <w:rPr>
          <w:rFonts w:ascii="Times New Roman" w:cs="Times New Roman" w:eastAsia="Times New Roman" w:hAnsi="Times New Roman"/>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8" w:name="page19"/>
    <w:bookmarkEnd w:id="18"/>
    <w:p>
      <w:pPr>
        <w:jc w:val="both"/>
        <w:ind w:right="140" w:firstLine="434"/>
        <w:spacing w:after="0" w:line="268" w:lineRule="auto"/>
        <w:rPr>
          <w:sz w:val="20"/>
          <w:szCs w:val="20"/>
          <w:color w:val="auto"/>
        </w:rPr>
      </w:pPr>
      <w:r>
        <w:rPr>
          <w:rFonts w:ascii="Times New Roman" w:cs="Times New Roman" w:eastAsia="Times New Roman" w:hAnsi="Times New Roman"/>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96" w:lineRule="exact"/>
        <w:rPr>
          <w:sz w:val="20"/>
          <w:szCs w:val="20"/>
          <w:color w:val="auto"/>
        </w:rPr>
      </w:pPr>
    </w:p>
    <w:p>
      <w:pPr>
        <w:jc w:val="both"/>
        <w:ind w:right="140" w:firstLine="434"/>
        <w:spacing w:after="0" w:line="268" w:lineRule="auto"/>
        <w:rPr>
          <w:sz w:val="20"/>
          <w:szCs w:val="20"/>
          <w:color w:val="auto"/>
        </w:rPr>
      </w:pPr>
      <w:r>
        <w:rPr>
          <w:rFonts w:ascii="Times New Roman" w:cs="Times New Roman" w:eastAsia="Times New Roman" w:hAnsi="Times New Roman"/>
          <w:sz w:val="18"/>
          <w:szCs w:val="18"/>
          <w:color w:val="auto"/>
        </w:rPr>
        <w:t>Autodesk recognizes expense only for the stock-based awards that ultimately vest. Autodesk accounts for forfeitures of our stock-based awards as those forfeitures occur.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Income Tax</w:t>
      </w:r>
    </w:p>
    <w:p>
      <w:pPr>
        <w:spacing w:after="0" w:line="244" w:lineRule="exact"/>
        <w:rPr>
          <w:sz w:val="20"/>
          <w:szCs w:val="20"/>
          <w:color w:val="auto"/>
        </w:rPr>
      </w:pPr>
    </w:p>
    <w:p>
      <w:pPr>
        <w:jc w:val="both"/>
        <w:ind w:right="140" w:firstLine="468"/>
        <w:spacing w:after="0" w:line="252" w:lineRule="auto"/>
        <w:rPr>
          <w:sz w:val="20"/>
          <w:szCs w:val="20"/>
          <w:color w:val="auto"/>
        </w:rPr>
      </w:pPr>
      <w:r>
        <w:rPr>
          <w:rFonts w:ascii="Times New Roman" w:cs="Times New Roman" w:eastAsia="Times New Roman" w:hAnsi="Times New Roman"/>
          <w:sz w:val="18"/>
          <w:szCs w:val="18"/>
          <w:color w:val="auto"/>
        </w:rPr>
        <w:t>Autodesk had income tax expense of $57 million, relative to pre-tax income of $309 million for the three months ended April 30, 2024, and income tax expense of $60 million, relative to pre-tax income of $221 million for the three months ended April 30, 2023. Income tax expense for the three months ended April 30, 2024, reflects U.S. and foreign tax expense, including withholding tax, reduced by tax-deductible stock-based compensation and the foreign derived intangibles tax benefit in the U.S.</w:t>
      </w:r>
    </w:p>
    <w:p>
      <w:pPr>
        <w:spacing w:after="0" w:line="197" w:lineRule="exact"/>
        <w:rPr>
          <w:sz w:val="20"/>
          <w:szCs w:val="20"/>
          <w:color w:val="auto"/>
        </w:rPr>
      </w:pPr>
    </w:p>
    <w:p>
      <w:pPr>
        <w:ind w:firstLine="434"/>
        <w:spacing w:after="0" w:line="269" w:lineRule="auto"/>
        <w:rPr>
          <w:sz w:val="20"/>
          <w:szCs w:val="20"/>
          <w:color w:val="auto"/>
        </w:rPr>
      </w:pPr>
      <w:r>
        <w:rPr>
          <w:rFonts w:ascii="Times New Roman" w:cs="Times New Roman" w:eastAsia="Times New Roman" w:hAnsi="Times New Roman"/>
          <w:sz w:val="16"/>
          <w:szCs w:val="16"/>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continues to retain a valuation allowance against Portugal, New Zealand, California, Massachusetts, and Michigan deferred tax assets and deferred tax assets that will convert to a capital loss upon reversal in Australia and U.S., as we do not have sufficient income of the appropriate character to benefit these deferred tax assets. Autodesk also established a valuation allowance on the remaining deferred tax assets in Australia as it is more-likely-than-not that these deferred tax assets will not be realized.</w:t>
      </w:r>
    </w:p>
    <w:p>
      <w:pPr>
        <w:spacing w:after="0" w:line="184" w:lineRule="exact"/>
        <w:rPr>
          <w:sz w:val="20"/>
          <w:szCs w:val="20"/>
          <w:color w:val="auto"/>
        </w:rPr>
      </w:pPr>
    </w:p>
    <w:p>
      <w:pPr>
        <w:ind w:right="260" w:firstLine="474"/>
        <w:spacing w:after="0" w:line="235" w:lineRule="auto"/>
        <w:rPr>
          <w:sz w:val="20"/>
          <w:szCs w:val="20"/>
          <w:color w:val="auto"/>
        </w:rPr>
      </w:pPr>
      <w:r>
        <w:rPr>
          <w:rFonts w:ascii="Times New Roman" w:cs="Times New Roman" w:eastAsia="Times New Roman" w:hAnsi="Times New Roman"/>
          <w:sz w:val="18"/>
          <w:szCs w:val="18"/>
          <w:color w:val="auto"/>
        </w:rPr>
        <w:t>As of April 30, 2024, the Company had $267 million of gross unrecognized tax benefits, of which $224 million would impact the effective tax rate, if recognized. The remaining $43 million would reduce our valuation allowance, if recognized. The amount of unrecognized tax benefits will immaterially decrease in the next twelve months for statute lapses.</w:t>
      </w:r>
    </w:p>
    <w:p>
      <w:pPr>
        <w:spacing w:after="0" w:line="221"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Signed into law on August 16, 2022 in the U.S., the Inflation Reduction Act contains many revisions to the Internal Revenue Code effective in taxable years beginning after December 31, 2022, including a 15% corporate alternative minimum tax. Autodesk continues to monitor the impact of the Inflation Reduction Act on its consolidated financial statements.</w:t>
      </w:r>
    </w:p>
    <w:p>
      <w:pPr>
        <w:spacing w:after="0" w:line="193" w:lineRule="exact"/>
        <w:rPr>
          <w:sz w:val="20"/>
          <w:szCs w:val="20"/>
          <w:color w:val="auto"/>
        </w:rPr>
      </w:pPr>
    </w:p>
    <w:p>
      <w:pPr>
        <w:ind w:right="160" w:firstLine="395"/>
        <w:spacing w:after="0" w:line="236" w:lineRule="auto"/>
        <w:rPr>
          <w:sz w:val="20"/>
          <w:szCs w:val="20"/>
          <w:color w:val="auto"/>
        </w:rPr>
      </w:pPr>
      <w:r>
        <w:rPr>
          <w:rFonts w:ascii="Times New Roman" w:cs="Times New Roman" w:eastAsia="Times New Roman" w:hAnsi="Times New Roman"/>
          <w:sz w:val="18"/>
          <w:szCs w:val="18"/>
          <w:color w:val="auto"/>
        </w:rPr>
        <w:t>Signed into law on December 18, 2023 in Ireland, the Finance (No. 2) Act 2023 provides legislation to implement tax principles arising from proposals made by the Organization for Economic Co-operation and Development to establish a global minimum tax rate of 15%. The Company’s assessment of this legislation resulted in additional tax expense having a minimal impact to the consolidated financial statements. Other countries have enacted legislation or are actively considering changes to their tax law. The Company will continue to monitor proposed and enacted legislation for potential future impact on its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Acquisitions</w:t>
      </w:r>
    </w:p>
    <w:p>
      <w:pPr>
        <w:spacing w:after="0" w:line="244" w:lineRule="exact"/>
        <w:rPr>
          <w:sz w:val="20"/>
          <w:szCs w:val="20"/>
          <w:color w:val="auto"/>
        </w:rPr>
      </w:pPr>
    </w:p>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following acquisitions are included in the accompanying Condensed Consolidated Statements of Operations since the acquisition date. Pro forma results of operations have not been presented because the effects of the acquisition are not material to Autodesk’s Condensed Consolidated Financial Statements.</w:t>
      </w:r>
    </w:p>
    <w:p>
      <w:pPr>
        <w:spacing w:after="0" w:line="193" w:lineRule="exact"/>
        <w:rPr>
          <w:sz w:val="20"/>
          <w:szCs w:val="20"/>
          <w:color w:val="auto"/>
        </w:rPr>
      </w:pPr>
    </w:p>
    <w:p>
      <w:pPr>
        <w:ind w:right="120" w:firstLine="395"/>
        <w:spacing w:after="0" w:line="231" w:lineRule="auto"/>
        <w:rPr>
          <w:sz w:val="20"/>
          <w:szCs w:val="20"/>
          <w:color w:val="auto"/>
        </w:rPr>
      </w:pPr>
      <w:r>
        <w:rPr>
          <w:rFonts w:ascii="Times New Roman" w:cs="Times New Roman" w:eastAsia="Times New Roman" w:hAnsi="Times New Roman"/>
          <w:sz w:val="18"/>
          <w:szCs w:val="18"/>
          <w:color w:val="auto"/>
        </w:rPr>
        <w:t>On February 20, 2024, Autodesk acquired 100% of the outstanding stock of Payapps Limited (“Payapps”), a leading cloud-based software platform for managing construction-related payments, for total consideration of $387 million in cash. Of the total consideration transferred, $381 million is considered purchase consideration. The remaining amount of $6 million was recorded in “Prepaid expenses and other current assets” and “Long-term other assets” on our Condensed Consolidated Balance Sheets and will be amortized to stock-based compensation expense using the straight-line method over the vesting period. Autodesk expects to deepen Autodesk Construction Cloud’s footprint and provide a robust payment management offering to serve the needs of general contractors and trade contractors. Through automating the application of the payment process, Payapps’ solution provides greater transparency, reduces risk and helps accelerate time-to-payment.</w:t>
      </w:r>
    </w:p>
    <w:p>
      <w:pPr>
        <w:spacing w:after="0" w:line="211" w:lineRule="exact"/>
        <w:rPr>
          <w:sz w:val="20"/>
          <w:szCs w:val="20"/>
          <w:color w:val="auto"/>
        </w:rPr>
      </w:pPr>
    </w:p>
    <w:p>
      <w:pPr>
        <w:jc w:val="both"/>
        <w:ind w:right="440" w:firstLine="395"/>
        <w:spacing w:after="0" w:line="241" w:lineRule="auto"/>
        <w:rPr>
          <w:sz w:val="20"/>
          <w:szCs w:val="20"/>
          <w:color w:val="auto"/>
        </w:rPr>
      </w:pPr>
      <w:r>
        <w:rPr>
          <w:rFonts w:ascii="Times New Roman" w:cs="Times New Roman" w:eastAsia="Times New Roman" w:hAnsi="Times New Roman"/>
          <w:sz w:val="18"/>
          <w:szCs w:val="18"/>
          <w:color w:val="auto"/>
        </w:rPr>
        <w:t>On March 15, 2024, Autodesk acquired 100% of the PIX business of X2X, LLC (“PIX”), a production management solution for secure review and content collaboration in the media and entertainment industry for total consideration of $266 million in cash. The acquisition is expected to foster broader collaboration and communication, as well as help drive greater efficiencies, in the production process.</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9" w:name="page20"/>
    <w:bookmarkEnd w:id="19"/>
    <w:p>
      <w:pPr>
        <w:ind w:right="40" w:firstLine="395"/>
        <w:spacing w:after="0" w:line="280" w:lineRule="auto"/>
        <w:rPr>
          <w:sz w:val="20"/>
          <w:szCs w:val="20"/>
          <w:color w:val="auto"/>
        </w:rPr>
      </w:pPr>
      <w:r>
        <w:rPr>
          <w:rFonts w:ascii="Times New Roman" w:cs="Times New Roman" w:eastAsia="Times New Roman" w:hAnsi="Times New Roman"/>
          <w:sz w:val="16"/>
          <w:szCs w:val="16"/>
          <w:color w:val="auto"/>
        </w:rPr>
        <w:t>The acquisitions were accounted for as business combinations, and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was primarily attributable to synergies expected to arise after the respective acquisition. Goodwill in an approximate range of $180 million to</w:t>
      </w:r>
    </w:p>
    <w:p>
      <w:pPr>
        <w:spacing w:after="0" w:line="1"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$190 million is expected to be deductible for U.S. income tax purposes for PIX. Goodwill expected to be deductible for U.S. income tax purposes for Payapps is pending and not yet finalized. The transaction costs related to the acquisitions were not material.</w:t>
      </w:r>
    </w:p>
    <w:p>
      <w:pPr>
        <w:spacing w:after="0" w:line="212" w:lineRule="exact"/>
        <w:rPr>
          <w:sz w:val="20"/>
          <w:szCs w:val="20"/>
          <w:color w:val="auto"/>
        </w:rPr>
      </w:pPr>
    </w:p>
    <w:p>
      <w:pPr>
        <w:ind w:right="54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by major class for the business combinations that were completed during the three months ended April 30,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Payapps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PIX</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4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technologies</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9"/>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12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9"/>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12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r>
      <w:tr>
        <w:trPr>
          <w:trHeight w:val="21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and long-term deferred revenue</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9"/>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income taxes</w:t>
            </w: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tangible assets</w:t>
            </w:r>
          </w:p>
        </w:tc>
        <w:tc>
          <w:tcPr>
            <w:tcW w:w="1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6"/>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r>
      <w:tr>
        <w:trPr>
          <w:trHeight w:val="20"/>
        </w:trPr>
        <w:tc>
          <w:tcPr>
            <w:tcW w:w="6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For the business combinations, the allocation of purchase price consideration to certain assets and liabilities as well as the final amount of purchase consideration is not yet finalized. For the items not yet finalized, Autodesk's estimates and assumptions are subject to change within the measurement period (up to one year from the acquisition date). The primary areas of the preliminary purchase price allocation that are not yet finalized include, but are not limited to, amounts for intangible assets, tax assets and liabilities, deferred revenue, and residual goodwill.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Intangible Assets, Net</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summarize the Company's intangible assets, net, as of April 30, 2024, and January 31,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1400" w:type="dxa"/>
            <w:vAlign w:val="bottom"/>
            <w:gridSpan w:val="2"/>
          </w:tcPr>
          <w:p>
            <w:pPr>
              <w:jc w:val="right"/>
              <w:ind w:right="4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1"/>
                <w:szCs w:val="11"/>
                <w:color w:val="auto"/>
              </w:rPr>
            </w:pPr>
          </w:p>
        </w:tc>
        <w:tc>
          <w:tcPr>
            <w:tcW w:w="1040" w:type="dxa"/>
            <w:vAlign w:val="bottom"/>
            <w:vMerge w:val="restart"/>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06"/>
        </w:trPr>
        <w:tc>
          <w:tcPr>
            <w:tcW w:w="6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 (1)</w:t>
            </w:r>
          </w:p>
        </w:tc>
        <w:tc>
          <w:tcPr>
            <w:tcW w:w="200" w:type="dxa"/>
            <w:vAlign w:val="bottom"/>
          </w:tcPr>
          <w:p>
            <w:pPr>
              <w:spacing w:after="0"/>
              <w:rPr>
                <w:sz w:val="9"/>
                <w:szCs w:val="9"/>
                <w:color w:val="auto"/>
              </w:rPr>
            </w:pPr>
          </w:p>
        </w:tc>
        <w:tc>
          <w:tcPr>
            <w:tcW w:w="14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6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 and patents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9"/>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(1)</w:t>
        <w:tab/>
        <w:t>Includes the effects of foreign currency translation.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400" w:type="dxa"/>
            <w:vAlign w:val="bottom"/>
            <w:gridSpan w:val="2"/>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1"/>
                <w:szCs w:val="11"/>
                <w:color w:val="auto"/>
              </w:rPr>
            </w:pPr>
          </w:p>
        </w:tc>
        <w:tc>
          <w:tcPr>
            <w:tcW w:w="1120" w:type="dxa"/>
            <w:vAlign w:val="bottom"/>
            <w:vMerge w:val="restart"/>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06"/>
        </w:trPr>
        <w:tc>
          <w:tcPr>
            <w:tcW w:w="6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(1)</w:t>
            </w:r>
          </w:p>
        </w:tc>
        <w:tc>
          <w:tcPr>
            <w:tcW w:w="180" w:type="dxa"/>
            <w:vAlign w:val="bottom"/>
          </w:tcPr>
          <w:p>
            <w:pPr>
              <w:spacing w:after="0"/>
              <w:rPr>
                <w:sz w:val="9"/>
                <w:szCs w:val="9"/>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6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 and patents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effects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10. Cloud Computing Arrangements</w:t>
      </w:r>
    </w:p>
    <w:p>
      <w:pPr>
        <w:spacing w:after="0" w:line="244"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Condensed Consolidated Balance Sheets. Capitalized costs were $271 million and $254 million at April 30, 2024, and January 31, 2024, respectively. Accumulated amortization was $96 million and $83 million at April 30, 2024, and January 31, 2024, respectively. Amortization expense for the three months ended April 30, 2024 and 2023, was $13 million and $9 million,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Goodwill</w:t>
      </w:r>
    </w:p>
    <w:p>
      <w:pPr>
        <w:spacing w:after="0" w:line="244"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Goodwill consists of the excess of the consideration transferred over the fair value of net assets acquired in business combinations. The following table summarizes the changes in the carrying amount of goodwill for the three months ended April 30, 2024,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31, 2024 (1)</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w:t>
            </w:r>
          </w:p>
        </w:tc>
      </w:tr>
      <w:tr>
        <w:trPr>
          <w:trHeight w:val="209"/>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arising from acquisitions during the period</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r>
      <w:tr>
        <w:trPr>
          <w:trHeight w:val="21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currency translation and measurement period adjustments (2)</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2"/>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April 30, 2024 (1)</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4,133</w:t>
            </w:r>
          </w:p>
        </w:tc>
      </w:tr>
      <w:tr>
        <w:trPr>
          <w:trHeight w:val="21"/>
        </w:trPr>
        <w:tc>
          <w:tcPr>
            <w:tcW w:w="9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Accumulated impairment losses as of both </w:t>
      </w:r>
      <w:r>
        <w:rPr>
          <w:rFonts w:ascii="Times New Roman" w:cs="Times New Roman" w:eastAsia="Times New Roman" w:hAnsi="Times New Roman"/>
          <w:sz w:val="17"/>
          <w:szCs w:val="17"/>
          <w:color w:val="auto"/>
        </w:rPr>
        <w:t>January 31, 2024 and April 30, 2024, were $149 million.</w:t>
      </w:r>
    </w:p>
    <w:p>
      <w:pPr>
        <w:spacing w:after="0" w:line="15"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Measurement period adjustments reflect revisions made to the Company's preliminary determination of estimated fair value of assets and liabilities assumed.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Deferred Compensation</w:t>
      </w:r>
    </w:p>
    <w:p>
      <w:pPr>
        <w:spacing w:after="0" w:line="244" w:lineRule="exact"/>
        <w:rPr>
          <w:sz w:val="20"/>
          <w:szCs w:val="20"/>
          <w:color w:val="auto"/>
        </w:rPr>
      </w:pPr>
    </w:p>
    <w:p>
      <w:pPr>
        <w:ind w:right="40" w:firstLine="434"/>
        <w:spacing w:after="0" w:line="248" w:lineRule="auto"/>
        <w:rPr>
          <w:sz w:val="20"/>
          <w:szCs w:val="20"/>
          <w:color w:val="auto"/>
        </w:rPr>
      </w:pPr>
      <w:r>
        <w:rPr>
          <w:rFonts w:ascii="Times New Roman" w:cs="Times New Roman" w:eastAsia="Times New Roman" w:hAnsi="Times New Roman"/>
          <w:sz w:val="18"/>
          <w:szCs w:val="18"/>
          <w:color w:val="auto"/>
        </w:rPr>
        <w:t>At April 30, 2024, Autodesk had investments in debt and equity securities that are held in a rabbi trust under non-qualified deferred compensation plans and a corresponding deferred compensation liability totaling $107 million. Of this amount, $10 million was classified as current and $97 million was classified as non-current in the Condensed Consolidated Balance Sheets. Of the $100 million related to the investments in a rabbi trust as of January 31, 2024, $10 million was classified as current and $90 million was classified as non-current. The current and non-current asset portions of the investments in debt and equity securities that are held in a rabbi trust under non-qualified deferred compensation plans are recorded in the Condensed Consolidated Balance Sheets under “Prepaid expenses and other current assets” and “Long-term other assets,” respectively. The current and non-current portions of the liability are recorded in the Condensed Consolidated Balance Sheets under “Accrued compensation” and “Long-term other liabilities,” respectively.</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Costs to obtain a contract with a customer</w:t>
      </w:r>
    </w:p>
    <w:p>
      <w:pPr>
        <w:spacing w:after="0" w:line="242" w:lineRule="exact"/>
        <w:rPr>
          <w:sz w:val="20"/>
          <w:szCs w:val="20"/>
          <w:color w:val="auto"/>
        </w:rPr>
      </w:pPr>
    </w:p>
    <w:p>
      <w:pPr>
        <w:ind w:right="180" w:firstLine="395"/>
        <w:spacing w:after="0" w:line="280" w:lineRule="auto"/>
        <w:rPr>
          <w:sz w:val="20"/>
          <w:szCs w:val="20"/>
          <w:color w:val="auto"/>
        </w:rPr>
      </w:pPr>
      <w:r>
        <w:rPr>
          <w:rFonts w:ascii="Times New Roman" w:cs="Times New Roman" w:eastAsia="Times New Roman" w:hAnsi="Times New Roman"/>
          <w:sz w:val="16"/>
          <w:szCs w:val="16"/>
          <w:color w:val="auto"/>
        </w:rPr>
        <w:t>Sales commissions earned by our internal sales personnel and our solution providers are considered incremental and recoverable costs of obtaining a contract with a customer. The ending balance of assets recognized from costs to obtain a contract with a customer was $217 million as of April 30, 2024, and $210 million as of January 31, 2024. These assets are recorded in “Prepaid expenses and other current assets” and “Long-term other assets” in the Condensed Consolidated Balance Sheet. Of the total amount as of April 30, 2024, $151 million was recorded in “Prepaid expenses and other current assets” and</w:t>
      </w:r>
    </w:p>
    <w:p>
      <w:pPr>
        <w:spacing w:after="0" w:line="1"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$66 million was recorded in “Long-term other assets” in the Condensed Consolidated Balance Sheets. Amortization expense related to assets recognized from costs to obtain a contract with a customer was $41 million and $30 million during the three months ended April 30, 2024 and 2023, respectively. Autodesk did not recognize any contract cost impairment losses during the three months ended April 30, 2024 and 2023.</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13. Computer Equipment, Software, Furniture, and Leasehold Improvements, Net</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Computer equipment, software, furniture and equipment, and leasehold improvements, and the related accumulated depreciation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60" w:type="dxa"/>
            <w:vAlign w:val="bottom"/>
          </w:tcPr>
          <w:p>
            <w:pPr>
              <w:spacing w:after="0"/>
              <w:rPr>
                <w:sz w:val="16"/>
                <w:szCs w:val="16"/>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4"/>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at cost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software, at cost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 at cost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Leasehold improvements, land and buildings, at cost</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06"/>
        </w:trPr>
        <w:tc>
          <w:tcPr>
            <w:tcW w:w="8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0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software, furniture, and leasehold improvements, net</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Borrowing Arrangements</w:t>
      </w:r>
    </w:p>
    <w:p>
      <w:pPr>
        <w:spacing w:after="0" w:line="244" w:lineRule="exact"/>
        <w:rPr>
          <w:sz w:val="20"/>
          <w:szCs w:val="20"/>
          <w:color w:val="auto"/>
        </w:rPr>
      </w:pPr>
    </w:p>
    <w:p>
      <w:pPr>
        <w:ind w:right="40" w:firstLine="395"/>
        <w:spacing w:after="0" w:line="278" w:lineRule="auto"/>
        <w:rPr>
          <w:sz w:val="20"/>
          <w:szCs w:val="20"/>
          <w:color w:val="auto"/>
        </w:rPr>
      </w:pPr>
      <w:r>
        <w:rPr>
          <w:rFonts w:ascii="Times New Roman" w:cs="Times New Roman" w:eastAsia="Times New Roman" w:hAnsi="Times New Roman"/>
          <w:sz w:val="16"/>
          <w:szCs w:val="16"/>
          <w:color w:val="auto"/>
        </w:rPr>
        <w:t>In November 2022, the Company entered into an Amended and Restated Credit Agreement (the “Credit Agreement”) by and among the Company, the lenders party thereto and Citibank, N.A. (“Citibank”), as administrative agent, which provides for an unsecured revolving loan facility in the aggregate principal amount of $1.5 billion, with an option to be increased up to $2.0 billion. The revolving credit facility is available for working capital or other business needs. The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Credit Agreement requires the Company to maintain a maximum leverage ratio of Consolidated Covenant Debt to Consolidated EBITDA (each as defined in the Credit Agreement) no greater than 3.50:1.00 during the term of the credit facility, subject to adjustment following the consummation of certain acquisitions up to 4.00:1.00 for up to four consecutive fiscal quarters. Per the Credit Agreement, Autodesk is required to issue annual audited consolidated financial statements within 90 days after the end of Autodesk’s fiscal year. On April 26, 2024, Autodesk obtained lender consent to extend the period to provide annual audited consolidated financial statements to June 14, 2024. At April 30, 2024, Autodesk was in compliance with all other Credit Agreement covenants. At April 30, 2024, Autodesk had no outstanding borrowings under the Credit Agreement. Revolving loans under the Credit Agreement will bear interest, at the Company’s option, at either (i) a per annum rate equal to the Base Rate (as defined in the Credit Agreement) plus a margin of between 0.000% and 0.375%, depending on the Company’s Public Debt Rating (as defined in the Credit Agreement), or (ii) a per annum rate equal to the rate at which dollar deposits are offered in the Secured Overnight Financing Rate, plus a margin of between 0.785% and 1.375%, depending on Company’s Public Debt Rating. The interest rates for the revolving credit facility are subject to upward or downward adjustments, on an annual basis, if the Company achieves, or fails to achieve, certain sustainability-linked targets based on two key performance indicator metrics: (i) the amount of scope 1 and 2 greenhouse gas emissions from the global operations of the Company and its subsidiaries during a fiscal year less qualified emissions reduction instruments and (ii) the percentage of employees of the Company and its subsidiaries identifying as female working in technical roles. The maturity date on the Credit Agreement is September 30, 2026.</w:t>
      </w:r>
    </w:p>
    <w:p>
      <w:pPr>
        <w:spacing w:after="0" w:line="200" w:lineRule="exact"/>
        <w:rPr>
          <w:sz w:val="20"/>
          <w:szCs w:val="20"/>
          <w:color w:val="auto"/>
        </w:rPr>
      </w:pPr>
    </w:p>
    <w:p>
      <w:pPr>
        <w:spacing w:after="0" w:line="204"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In October 2021, Autodesk issued $1.0 billion aggregate principal amount of 2.4% notes due December 15, 2031 (“2021 Notes”). Net of a discount of $3 million and issuance costs of $9 million, Autodesk received net proceeds of $988 million from issuance of the 2021 Notes. Both the discount and issuance costs are being amortized to interest expense over the term of the 2021 Notes using the effective interest method. The 2021 Notes were designated as sustainability bonds, the net proceeds of which are used to fund environmentally and socially responsible projects in the following areas: eco-efficient products, production technologies, and processes, sustainable water and wastewater management, renewable energy &amp; energy efficiency, green buildings, pollution prevention and control, and socioeconomic advancement and empowerment.</w:t>
      </w:r>
    </w:p>
    <w:p>
      <w:pPr>
        <w:spacing w:after="0" w:line="212"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 January 2020, Autodesk issued $500 million aggregate principal amount of 2.85% notes due January 15, 2030 (“2020 Notes”). Net of a discount of $1 million and issuance costs of $5 million, Autodesk received net proceeds of $494 million from issuance of the 2020 Notes. Both the discount and issuance costs are being amortized to interest expense over the term of the 2020 Notes using the effective interest method. The proceeds of the 2020 Notes were used for the repayment of $450 million of debt due June 15, 2020, and the remainder is available for general corporate purposes.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2" w:name="page23"/>
    <w:bookmarkEnd w:id="22"/>
    <w:p>
      <w:pPr>
        <w:ind w:firstLine="395"/>
        <w:spacing w:after="0" w:line="252" w:lineRule="auto"/>
        <w:rPr>
          <w:sz w:val="20"/>
          <w:szCs w:val="20"/>
          <w:color w:val="auto"/>
        </w:rPr>
      </w:pPr>
      <w:r>
        <w:rPr>
          <w:rFonts w:ascii="Times New Roman" w:cs="Times New Roman" w:eastAsia="Times New Roman" w:hAnsi="Times New Roman"/>
          <w:sz w:val="18"/>
          <w:szCs w:val="18"/>
          <w:color w:val="auto"/>
        </w:rPr>
        <w:t>In June 2017, Autodesk issued $500 million aggregate principal amount of 3.5% notes due June 15, 2027 (the “2017 Notes”). Net of a discount of $3 million and issuance costs of $5 million, Autodesk received net proceeds of $492 million from issuance of the 2017 Notes. Both the discount and issuance costs are being amortized to interest expense over the term of the 2017 Notes using the effective interest method. The proceeds of the 2017 Notes have been used for the repayment of $400 million of debt due December 15, 2017, and the remainder is available for general corporate purposes.</w:t>
      </w:r>
    </w:p>
    <w:p>
      <w:pPr>
        <w:spacing w:after="0" w:line="210"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In June 2015, Autodesk issued $300 million aggregate principal amount of 4.375% notes due June 15, 2025 (“2015 Notes”). Net of a discount of $1 million, and issuance costs of $3 million, Autodesk received net proceeds of $296 million from issuance of the 2015 Notes. Both the discount and issuance costs are being amortized to interest expense over the respective term of the 2015 Notes using the effective interest method. The proceeds of the 2015 Notes are available for general corporate purposes.</w:t>
      </w:r>
    </w:p>
    <w:p>
      <w:pPr>
        <w:spacing w:after="0" w:line="210" w:lineRule="exact"/>
        <w:rPr>
          <w:sz w:val="20"/>
          <w:szCs w:val="20"/>
          <w:color w:val="auto"/>
        </w:rPr>
      </w:pPr>
    </w:p>
    <w:p>
      <w:pPr>
        <w:ind w:right="120" w:firstLine="434"/>
        <w:spacing w:after="0" w:line="250" w:lineRule="auto"/>
        <w:rPr>
          <w:sz w:val="20"/>
          <w:szCs w:val="20"/>
          <w:color w:val="auto"/>
        </w:rPr>
      </w:pPr>
      <w:r>
        <w:rPr>
          <w:rFonts w:ascii="Times New Roman" w:cs="Times New Roman" w:eastAsia="Times New Roman" w:hAnsi="Times New Roman"/>
          <w:sz w:val="18"/>
          <w:szCs w:val="18"/>
          <w:color w:val="auto"/>
        </w:rPr>
        <w:t>The 2021 Notes, 2020 Notes, 2017 Notes, and the 2015 Notes may all be redeemed at any time, subject to a make whole premium. In addition, upon the occurrence of certain change of control triggering events, Autodesk may be required to repurchase all the aforementioned notes, at a price equal to 101% of their principal amount, plus accrued and unpaid interest to 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the quoted market prices, the approximate fair value of the notes as of April 30, 2024,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300" w:type="dxa"/>
            <w:vAlign w:val="bottom"/>
          </w:tcPr>
          <w:p>
            <w:pPr>
              <w:spacing w:after="0"/>
              <w:rPr>
                <w:sz w:val="13"/>
                <w:szCs w:val="13"/>
                <w:color w:val="auto"/>
              </w:rPr>
            </w:pPr>
          </w:p>
        </w:tc>
        <w:tc>
          <w:tcPr>
            <w:tcW w:w="132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2015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09"/>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2017 Notes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 Notes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0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 Notes</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April 30, 2024, were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(remainder)</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2"/>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2"/>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31"/>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principal outstanding</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Leases</w:t>
      </w:r>
    </w:p>
    <w:p>
      <w:pPr>
        <w:spacing w:after="0" w:line="244" w:lineRule="exact"/>
        <w:rPr>
          <w:sz w:val="20"/>
          <w:szCs w:val="20"/>
          <w:color w:val="auto"/>
        </w:rPr>
      </w:pPr>
    </w:p>
    <w:p>
      <w:pPr>
        <w:ind w:right="40" w:firstLine="395"/>
        <w:spacing w:after="0" w:line="281" w:lineRule="auto"/>
        <w:rPr>
          <w:sz w:val="20"/>
          <w:szCs w:val="20"/>
          <w:color w:val="auto"/>
        </w:rPr>
      </w:pPr>
      <w:r>
        <w:rPr>
          <w:rFonts w:ascii="Times New Roman" w:cs="Times New Roman" w:eastAsia="Times New Roman" w:hAnsi="Times New Roman"/>
          <w:sz w:val="16"/>
          <w:szCs w:val="16"/>
          <w:color w:val="auto"/>
        </w:rPr>
        <w:t>Autodesk has operating leases for real estate and certain equipment. Leases have remaining lease terms of less than 1 year to 66 years, some of which include options to extend the lease with renewal terms from 1 year to 8 years and some of which include options to terminate the leases from less than 1 year to 6 years. Options to extend or terminate the lease are considered in determining the lease term when it is reasonably certain that the option will be exercised. Payments under our lease arrangements are primarily fixed; however, certain lease agreements contain variable payments, which are expensed as incurred and not included in the operating lease assets and liabilities. These amounts include payments affected by the Consumer Price Index, payments for common area maintenance that are subject to annual reconciliation, and payments for maintenance and utilities. The Company’s leases do not contain residual value guarantees or material restrictive covenants. Short-term leases are recognized in the Condensed Consolidated Statements of Operations on a straight-line basis over the lease term. Short-term lease expense was not material for the periods presented. Changes in operating lease right-of-use assets and operating lease liabilities are presented net in the “Accounts payable and other liabilities” line in the Condensed Consolidated Statements of Cash Flows with the exception of “Lease-related asset impairments” which is presented in “Adjustments to reconcile net income to 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April 30, 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3"/>
          </w:tcPr>
          <w:p>
            <w:pPr>
              <w:jc w:val="center"/>
              <w:ind w:right="20"/>
              <w:spacing w:after="0" w:line="127" w:lineRule="exact"/>
              <w:rPr>
                <w:sz w:val="20"/>
                <w:szCs w:val="20"/>
                <w:color w:val="auto"/>
              </w:rPr>
            </w:pPr>
            <w:r>
              <w:rPr>
                <w:rFonts w:ascii="Times New Roman" w:cs="Times New Roman" w:eastAsia="Times New Roman" w:hAnsi="Times New Roman"/>
                <w:sz w:val="14"/>
                <w:szCs w:val="14"/>
                <w:b w:val="1"/>
                <w:bCs w:val="1"/>
                <w:color w:val="auto"/>
              </w:rPr>
              <w:t>Cost of subscription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and maintenance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left="725"/>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left="725"/>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April 30, 2023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Cost of subscription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and maintenance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development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center"/>
              <w:ind w:left="765"/>
              <w:spacing w:after="0"/>
              <w:rPr>
                <w:sz w:val="20"/>
                <w:szCs w:val="20"/>
                <w:color w:val="auto"/>
              </w:rPr>
            </w:pPr>
            <w:r>
              <w:rPr>
                <w:rFonts w:ascii="Times New Roman" w:cs="Times New Roman" w:eastAsia="Times New Roman" w:hAnsi="Times New Roman"/>
                <w:sz w:val="16"/>
                <w:szCs w:val="16"/>
                <w:color w:val="auto"/>
                <w:w w:val="74"/>
              </w:rPr>
              <w:t>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Supplemental operating cash flow information related to leases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258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00" w:type="dxa"/>
            <w:vAlign w:val="bottom"/>
          </w:tcPr>
          <w:p>
            <w:pPr>
              <w:spacing w:after="0"/>
              <w:rPr>
                <w:sz w:val="16"/>
                <w:szCs w:val="16"/>
                <w:color w:val="auto"/>
              </w:rPr>
            </w:pPr>
          </w:p>
        </w:tc>
      </w:tr>
      <w:tr>
        <w:trPr>
          <w:trHeight w:val="24"/>
        </w:trPr>
        <w:tc>
          <w:tcPr>
            <w:tcW w:w="8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4"/>
        </w:trPr>
        <w:tc>
          <w:tcPr>
            <w:tcW w:w="8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 included in operating cash flows (1)</w:t>
            </w:r>
          </w:p>
        </w:tc>
        <w:tc>
          <w:tcPr>
            <w:tcW w:w="1040" w:type="dxa"/>
            <w:vAlign w:val="bottom"/>
            <w:shd w:val="clear" w:color="auto" w:fill="CCEEFF"/>
          </w:tcPr>
          <w:p>
            <w:pPr>
              <w:jc w:val="right"/>
              <w:ind w:right="867"/>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operating lease liabilities arising from obtaining operating lease right-of-use assets</w:t>
            </w:r>
          </w:p>
        </w:tc>
        <w:tc>
          <w:tcPr>
            <w:tcW w:w="1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bl>
    <w:p>
      <w:pPr>
        <w:spacing w:after="0" w:line="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right="20" w:firstLine="5"/>
        <w:spacing w:after="0" w:line="252" w:lineRule="auto"/>
        <w:tabs>
          <w:tab w:leader="none" w:pos="22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 million in variable lease payments for both the three months ended April 30, 2024 and 2023, respectively, not included in “Operating lease liabilities” and “Long-term operating lease liabilities” on the Condensed Consolidated Balance Sheets.</w:t>
      </w:r>
    </w:p>
    <w:p>
      <w:pPr>
        <w:spacing w:after="0" w:line="201" w:lineRule="exact"/>
        <w:rPr>
          <w:sz w:val="20"/>
          <w:szCs w:val="20"/>
          <w:color w:val="auto"/>
        </w:rPr>
      </w:pPr>
    </w:p>
    <w:p>
      <w:pPr>
        <w:ind w:right="160" w:firstLine="395"/>
        <w:spacing w:after="0" w:line="268"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6.0 and 6.2 years at April 30, 2024, and January 31, 2024, respectively. The weighted average discount rate was 2.89% and 2.86% at April 30, 2024, and January 31, 2024, respectively.</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(remainder)</w:t>
            </w:r>
          </w:p>
        </w:tc>
        <w:tc>
          <w:tcPr>
            <w:tcW w:w="78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9"/>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09"/>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9"/>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06"/>
        </w:trPr>
        <w:tc>
          <w:tcPr>
            <w:tcW w:w="9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09"/>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31"/>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78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Autodesk has subleased certain office space to a third party and has classified the sublease as an operating lease. The sublease has a remaining lease term of 7.8 years. Sublease income was $2 million for both the three months ended April 30, 2024 and 2023. Sublease income is recorded as a reduction of lease expense in the Company’s Condensed Consolidated Statements of Operations.</w:t>
      </w:r>
    </w:p>
    <w:p>
      <w:pPr>
        <w:spacing w:after="0" w:line="206" w:lineRule="exact"/>
        <w:rPr>
          <w:sz w:val="20"/>
          <w:szCs w:val="20"/>
          <w:color w:val="auto"/>
        </w:rPr>
      </w:pPr>
    </w:p>
    <w:p>
      <w:pPr>
        <w:ind w:right="560" w:firstLine="395"/>
        <w:spacing w:after="0" w:line="268" w:lineRule="auto"/>
        <w:rPr>
          <w:sz w:val="20"/>
          <w:szCs w:val="20"/>
          <w:color w:val="auto"/>
        </w:rPr>
      </w:pPr>
      <w:r>
        <w:rPr>
          <w:rFonts w:ascii="Times New Roman" w:cs="Times New Roman" w:eastAsia="Times New Roman" w:hAnsi="Times New Roman"/>
          <w:sz w:val="18"/>
          <w:szCs w:val="18"/>
          <w:color w:val="auto"/>
        </w:rPr>
        <w:t>Operating lease amounts in the table above do not include sublease income payments of $70 million. Autodesk expects to receive sublease income payments of approximately $40 million for remaining fiscal 2025 through fiscal 2029 and $30 million thereafter.</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April 30, 2024, Autodesk had no material additional operating lease minimum lease payments for executed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16. Derivative Instruments</w:t>
      </w:r>
    </w:p>
    <w:p>
      <w:pPr>
        <w:spacing w:after="0" w:line="244"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The fair values of derivative instruments in Autodesk’s Condensed Consolidated Balance Sheets were as follows as of April 30, 2024, and January 31, 2024: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1022"/>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4"/>
        </w:trPr>
        <w:tc>
          <w:tcPr>
            <w:tcW w:w="55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580" w:type="dxa"/>
            <w:vAlign w:val="bottom"/>
          </w:tcPr>
          <w:p>
            <w:pPr>
              <w:spacing w:after="0"/>
              <w:rPr>
                <w:sz w:val="22"/>
                <w:szCs w:val="22"/>
                <w:color w:val="auto"/>
              </w:rPr>
            </w:pPr>
          </w:p>
        </w:tc>
        <w:tc>
          <w:tcPr>
            <w:tcW w:w="26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22"/>
                <w:szCs w:val="22"/>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60" w:type="dxa"/>
            <w:vAlign w:val="bottom"/>
          </w:tcPr>
          <w:p>
            <w:pPr>
              <w:spacing w:after="0"/>
              <w:rPr>
                <w:sz w:val="22"/>
                <w:szCs w:val="22"/>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4"/>
        </w:trPr>
        <w:tc>
          <w:tcPr>
            <w:tcW w:w="558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5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Foreign currency contracts designated as cash flow hedges</w:t>
            </w:r>
          </w:p>
        </w:tc>
        <w:tc>
          <w:tcPr>
            <w:tcW w:w="26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Prepaid expenses and other current</w:t>
            </w:r>
          </w:p>
        </w:tc>
        <w:tc>
          <w:tcPr>
            <w:tcW w:w="2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9"/>
        </w:trPr>
        <w:tc>
          <w:tcPr>
            <w:tcW w:w="5580" w:type="dxa"/>
            <w:vAlign w:val="bottom"/>
            <w:vMerge w:val="continue"/>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5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66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Prepaid expenses and other current</w:t>
            </w: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9"/>
        </w:trPr>
        <w:tc>
          <w:tcPr>
            <w:tcW w:w="5580" w:type="dxa"/>
            <w:vAlign w:val="bottom"/>
            <w:vMerge w:val="continue"/>
            <w:shd w:val="clear" w:color="auto" w:fill="CCEEFF"/>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derivative assets</w:t>
            </w: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color w:val="auto"/>
              </w:rPr>
              <w:t>Derivative Liabilities</w:t>
            </w:r>
          </w:p>
        </w:tc>
        <w:tc>
          <w:tcPr>
            <w:tcW w:w="2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currency contracts designated as cash flow hedges</w:t>
            </w:r>
          </w:p>
        </w:tc>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1"/>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6"/>
        </w:trPr>
        <w:tc>
          <w:tcPr>
            <w:tcW w:w="5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right="240" w:firstLine="434"/>
        <w:spacing w:after="0" w:line="263" w:lineRule="auto"/>
        <w:rPr>
          <w:sz w:val="20"/>
          <w:szCs w:val="20"/>
          <w:color w:val="auto"/>
        </w:rPr>
      </w:pPr>
      <w:r>
        <w:rPr>
          <w:rFonts w:ascii="Times New Roman" w:cs="Times New Roman" w:eastAsia="Times New Roman" w:hAnsi="Times New Roman"/>
          <w:sz w:val="18"/>
          <w:szCs w:val="18"/>
          <w:color w:val="auto"/>
        </w:rPr>
        <w:t>The effects of derivatives designated as hedging instruments on Autodesk’s Condensed Consolidated Statements of Operations were as follows for the three months ended April 30, 2024 and 2023 (amounts presented include any income tax effects):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340" w:type="dxa"/>
            <w:vAlign w:val="bottom"/>
            <w:gridSpan w:val="4"/>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7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20" w:type="dxa"/>
            <w:vAlign w:val="bottom"/>
            <w:tcBorders>
              <w:bottom w:val="single" w:sz="8" w:color="CCEEFF"/>
            </w:tcBorders>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8"/>
              </w:rPr>
              <w:t>Amount of gain (loss) recognized in accumulated other comprehensive income, net of tax,</w:t>
            </w: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(effective portion)</w:t>
            </w:r>
          </w:p>
        </w:tc>
        <w:tc>
          <w:tcPr>
            <w:tcW w:w="920" w:type="dxa"/>
            <w:vAlign w:val="bottom"/>
            <w:tcBorders>
              <w:bottom w:val="single" w:sz="8" w:color="auto"/>
            </w:tcBorders>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Amount and location of gain (loss) reclassified from accumulated other comprehensive loss into income (effective portion)</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540" w:type="dxa"/>
            <w:vAlign w:val="bottom"/>
            <w:gridSpan w:val="2"/>
            <w:vMerge w:val="continue"/>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revenue</w:t>
            </w:r>
          </w:p>
        </w:tc>
        <w:tc>
          <w:tcPr>
            <w:tcW w:w="920" w:type="dxa"/>
            <w:vAlign w:val="bottom"/>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9"/>
        </w:trPr>
        <w:tc>
          <w:tcPr>
            <w:tcW w:w="85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9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8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expenses</w:t>
            </w:r>
          </w:p>
        </w:tc>
        <w:tc>
          <w:tcPr>
            <w:tcW w:w="9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6"/>
        </w:trPr>
        <w:tc>
          <w:tcPr>
            <w:tcW w:w="85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jc w:val="right"/>
              <w:ind w:right="765"/>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right="520" w:firstLine="434"/>
        <w:spacing w:after="0" w:line="256" w:lineRule="auto"/>
        <w:rPr>
          <w:sz w:val="20"/>
          <w:szCs w:val="20"/>
          <w:color w:val="auto"/>
        </w:rPr>
      </w:pPr>
      <w:r>
        <w:rPr>
          <w:rFonts w:ascii="Times New Roman" w:cs="Times New Roman" w:eastAsia="Times New Roman" w:hAnsi="Times New Roman"/>
          <w:sz w:val="18"/>
          <w:szCs w:val="18"/>
          <w:color w:val="auto"/>
        </w:rPr>
        <w:t>The amount and location of (loss) gain recognized in net income of derivatives not designated as hedging instruments on Autodesk’s Condensed Consolidated Statements of Operations were as follows for the three months ended April 30, 2024 and 2023, (amounts presented include any income tax effects):</w:t>
      </w:r>
    </w:p>
    <w:p>
      <w:pPr>
        <w:spacing w:after="0" w:line="3"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5417820</wp:posOffset>
            </wp:positionH>
            <wp:positionV relativeFrom="paragraph">
              <wp:posOffset>30480</wp:posOffset>
            </wp:positionV>
            <wp:extent cx="17214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30" w:lineRule="exact"/>
        <w:rPr>
          <w:sz w:val="20"/>
          <w:szCs w:val="20"/>
          <w:color w:val="auto"/>
        </w:rPr>
      </w:pPr>
    </w:p>
    <w:p>
      <w:pPr>
        <w:ind w:left="9040"/>
        <w:spacing w:after="0"/>
        <w:tabs>
          <w:tab w:leader="none" w:pos="104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42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40" w:lineRule="exact"/>
        <w:rPr>
          <w:sz w:val="20"/>
          <w:szCs w:val="20"/>
          <w:color w:val="auto"/>
        </w:rPr>
      </w:pPr>
    </w:p>
    <w:p>
      <w:pPr>
        <w:ind w:left="340"/>
        <w:spacing w:after="0"/>
        <w:tabs>
          <w:tab w:leader="none" w:pos="8520" w:val="left"/>
          <w:tab w:leader="none" w:pos="9600" w:val="left"/>
          <w:tab w:leader="none" w:pos="9940" w:val="left"/>
          <w:tab w:leader="none" w:pos="11080" w:val="left"/>
        </w:tabs>
        <w:rPr>
          <w:sz w:val="20"/>
          <w:szCs w:val="20"/>
          <w:color w:val="auto"/>
        </w:rPr>
      </w:pPr>
      <w:r>
        <w:rPr>
          <w:rFonts w:ascii="Times New Roman" w:cs="Times New Roman" w:eastAsia="Times New Roman" w:hAnsi="Times New Roman"/>
          <w:sz w:val="16"/>
          <w:szCs w:val="16"/>
          <w:color w:val="auto"/>
        </w:rPr>
        <w:t>Interest and other income, net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2</w:t>
      </w:r>
    </w:p>
    <w:p>
      <w:pPr>
        <w:spacing w:after="0" w:line="3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currency contracts designated as cash flow hedges</w:t>
      </w:r>
    </w:p>
    <w:p>
      <w:pPr>
        <w:spacing w:after="0" w:line="242"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$1.48 billion at April 30, 2024, and $1.25 billion at January 31, 2024. Outstanding contracts are recognized as either assets or liabilities on the Company's Condensed Consolidated Balance Sheet at fair value. The majority of the net gain of $25 million remaining in “Accumulated other comprehensive loss” as of April 30, 2024, is expected to be recognized into earnings within the next 24 months.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5" w:name="page26"/>
    <w:bookmarkEnd w:id="25"/>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The location and amount of gain or loss recognized in income on cash flow hedges together with the total amount of income or expense presented in the Company's Condensed Consolidated Statements of Operations where the effects of the hedge are recorded were as follows for the three months ended April 30, 2024 and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April 30, 2024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8"/>
          </w:tcPr>
          <w:p>
            <w:pPr>
              <w:ind w:left="74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48"/>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Subscription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20" w:type="dxa"/>
            <w:vAlign w:val="bottom"/>
          </w:tcPr>
          <w:p>
            <w:pPr>
              <w:spacing w:after="0"/>
              <w:rPr>
                <w:sz w:val="12"/>
                <w:szCs w:val="12"/>
                <w:color w:val="auto"/>
              </w:rPr>
            </w:pPr>
          </w:p>
        </w:tc>
        <w:tc>
          <w:tcPr>
            <w:tcW w:w="1300" w:type="dxa"/>
            <w:vAlign w:val="bottom"/>
            <w:gridSpan w:val="4"/>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subscription 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maintenance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w w:val="98"/>
              </w:rPr>
              <w:t>administrative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300" w:type="dxa"/>
            <w:vAlign w:val="bottom"/>
            <w:tcBorders>
              <w:top w:val="single" w:sz="8" w:color="CCEEFF"/>
            </w:tcBorders>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color w:val="auto"/>
              </w:rPr>
              <w:t>Total amounts of income and expense line items</w:t>
            </w: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 w:type="dxa"/>
            <w:vAlign w:val="bottom"/>
            <w:shd w:val="clear" w:color="auto" w:fill="CCEEFF"/>
          </w:tcPr>
          <w:p>
            <w:pPr>
              <w:spacing w:after="0"/>
              <w:rPr>
                <w:sz w:val="13"/>
                <w:szCs w:val="13"/>
                <w:color w:val="auto"/>
              </w:rPr>
            </w:pPr>
          </w:p>
        </w:tc>
        <w:tc>
          <w:tcPr>
            <w:tcW w:w="324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rPr>
              <w:t>presented in the condensed consolidated</w:t>
            </w:r>
          </w:p>
        </w:tc>
        <w:tc>
          <w:tcPr>
            <w:tcW w:w="1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1,330</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469</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346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155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0" w:type="dxa"/>
            <w:vAlign w:val="bottom"/>
            <w:shd w:val="clear" w:color="auto" w:fill="CCEEFF"/>
          </w:tcPr>
          <w:p>
            <w:pPr>
              <w:spacing w:after="0"/>
              <w:rPr>
                <w:sz w:val="18"/>
                <w:szCs w:val="18"/>
                <w:color w:val="auto"/>
              </w:rPr>
            </w:pPr>
          </w:p>
        </w:tc>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statements of operations</w:t>
            </w:r>
          </w:p>
        </w:tc>
        <w:tc>
          <w:tcPr>
            <w:tcW w:w="18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00" w:type="dxa"/>
            <w:vAlign w:val="bottom"/>
            <w:gridSpan w:val="2"/>
            <w:shd w:val="clear" w:color="auto" w:fill="CCEEFF"/>
          </w:tcPr>
          <w:p>
            <w:pPr>
              <w:jc w:val="center"/>
              <w:ind w:right="61"/>
              <w:spacing w:after="0" w:line="158" w:lineRule="exact"/>
              <w:rPr>
                <w:sz w:val="20"/>
                <w:szCs w:val="20"/>
                <w:color w:val="auto"/>
              </w:rPr>
            </w:pPr>
            <w:r>
              <w:rPr>
                <w:rFonts w:ascii="Times New Roman" w:cs="Times New Roman" w:eastAsia="Times New Roman" w:hAnsi="Times New Roman"/>
                <w:sz w:val="16"/>
                <w:szCs w:val="16"/>
                <w:i w:val="1"/>
                <w:iCs w:val="1"/>
                <w:color w:val="auto"/>
                <w:w w:val="98"/>
              </w:rPr>
              <w:t>Gain (loss) on cash flow hedging relationships in</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0" w:type="dxa"/>
            <w:vAlign w:val="bottom"/>
            <w:shd w:val="clear" w:color="auto" w:fill="CCEEFF"/>
          </w:tcPr>
          <w:p>
            <w:pPr>
              <w:spacing w:after="0"/>
              <w:rPr>
                <w:sz w:val="18"/>
                <w:szCs w:val="18"/>
                <w:color w:val="auto"/>
              </w:rPr>
            </w:pPr>
          </w:p>
        </w:tc>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Subtopic ASC 815-20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24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0" w:type="dxa"/>
            <w:vAlign w:val="bottom"/>
            <w:shd w:val="clear" w:color="auto" w:fill="CCEEFF"/>
          </w:tcPr>
          <w:p>
            <w:pPr>
              <w:spacing w:after="0"/>
              <w:rPr>
                <w:sz w:val="13"/>
                <w:szCs w:val="13"/>
                <w:color w:val="auto"/>
              </w:rPr>
            </w:pPr>
          </w:p>
        </w:tc>
        <w:tc>
          <w:tcPr>
            <w:tcW w:w="3240" w:type="dxa"/>
            <w:vAlign w:val="bottom"/>
            <w:shd w:val="clear" w:color="auto" w:fill="CCEEFF"/>
          </w:tcPr>
          <w:p>
            <w:pPr>
              <w:ind w:left="240"/>
              <w:spacing w:after="0" w:line="159" w:lineRule="exact"/>
              <w:rPr>
                <w:sz w:val="20"/>
                <w:szCs w:val="20"/>
                <w:color w:val="auto"/>
              </w:rPr>
            </w:pPr>
            <w:r>
              <w:rPr>
                <w:rFonts w:ascii="Times New Roman" w:cs="Times New Roman" w:eastAsia="Times New Roman" w:hAnsi="Times New Roman"/>
                <w:sz w:val="16"/>
                <w:szCs w:val="16"/>
                <w:color w:val="auto"/>
              </w:rPr>
              <w:t>Amount of gain (loss) reclassified from</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 w:type="dxa"/>
            <w:vAlign w:val="bottom"/>
            <w:shd w:val="clear" w:color="auto" w:fill="CCEEFF"/>
          </w:tcPr>
          <w:p>
            <w:pPr>
              <w:spacing w:after="0"/>
              <w:rPr>
                <w:sz w:val="13"/>
                <w:szCs w:val="13"/>
                <w:color w:val="auto"/>
              </w:rPr>
            </w:pPr>
          </w:p>
        </w:tc>
        <w:tc>
          <w:tcPr>
            <w:tcW w:w="3240" w:type="dxa"/>
            <w:vAlign w:val="bottom"/>
            <w:shd w:val="clear" w:color="auto" w:fill="CCEEFF"/>
          </w:tcPr>
          <w:p>
            <w:pPr>
              <w:ind w:left="400"/>
              <w:spacing w:after="0" w:line="158" w:lineRule="exact"/>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0" w:type="dxa"/>
            <w:vAlign w:val="bottom"/>
            <w:shd w:val="clear" w:color="auto" w:fill="CCEEFF"/>
          </w:tcPr>
          <w:p>
            <w:pPr>
              <w:spacing w:after="0"/>
              <w:rPr>
                <w:sz w:val="18"/>
                <w:szCs w:val="18"/>
                <w:color w:val="auto"/>
              </w:rPr>
            </w:pPr>
          </w:p>
        </w:tc>
        <w:tc>
          <w:tcPr>
            <w:tcW w:w="3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into income</w:t>
            </w:r>
          </w:p>
        </w:tc>
        <w:tc>
          <w:tcPr>
            <w:tcW w:w="18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140" w:type="dxa"/>
            <w:vAlign w:val="bottom"/>
            <w:gridSpan w:val="3"/>
            <w:vMerge w:val="continue"/>
            <w:shd w:val="clear" w:color="auto" w:fill="CCEEFF"/>
          </w:tcPr>
          <w:p>
            <w:pPr>
              <w:spacing w:after="0"/>
              <w:rPr>
                <w:sz w:val="18"/>
                <w:szCs w:val="18"/>
                <w:color w:val="auto"/>
              </w:rPr>
            </w:pPr>
          </w:p>
        </w:tc>
        <w:tc>
          <w:tcPr>
            <w:tcW w:w="120" w:type="dxa"/>
            <w:vAlign w:val="bottom"/>
            <w:gridSpan w:val="2"/>
            <w:vMerge w:val="continue"/>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9"/>
        </w:trPr>
        <w:tc>
          <w:tcPr>
            <w:tcW w:w="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April 30, 2023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8"/>
          </w:tcPr>
          <w:p>
            <w:pPr>
              <w:ind w:left="76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2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subscription 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180"/>
              <w:spacing w:after="0" w:line="156" w:lineRule="exact"/>
              <w:rPr>
                <w:sz w:val="20"/>
                <w:szCs w:val="20"/>
                <w:color w:val="auto"/>
              </w:rPr>
            </w:pPr>
            <w:r>
              <w:rPr>
                <w:rFonts w:ascii="Times New Roman" w:cs="Times New Roman" w:eastAsia="Times New Roman" w:hAnsi="Times New Roman"/>
                <w:sz w:val="14"/>
                <w:szCs w:val="14"/>
                <w:b w:val="1"/>
                <w:bCs w:val="1"/>
                <w:color w:val="auto"/>
                <w:w w:val="99"/>
              </w:rPr>
              <w:t>Subscription</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4"/>
                <w:szCs w:val="14"/>
                <w:b w:val="1"/>
                <w:bCs w:val="1"/>
                <w:color w:val="auto"/>
              </w:rPr>
              <w:t>Maintenance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200"/>
              <w:spacing w:after="0" w:line="156" w:lineRule="exact"/>
              <w:rPr>
                <w:sz w:val="20"/>
                <w:szCs w:val="20"/>
                <w:color w:val="auto"/>
              </w:rPr>
            </w:pPr>
            <w:r>
              <w:rPr>
                <w:rFonts w:ascii="Times New Roman" w:cs="Times New Roman" w:eastAsia="Times New Roman" w:hAnsi="Times New Roman"/>
                <w:sz w:val="14"/>
                <w:szCs w:val="14"/>
                <w:b w:val="1"/>
                <w:bCs w:val="1"/>
                <w:color w:val="auto"/>
                <w:w w:val="99"/>
              </w:rPr>
              <w:t>maintenance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200"/>
              <w:spacing w:after="0" w:line="156" w:lineRule="exact"/>
              <w:rPr>
                <w:sz w:val="20"/>
                <w:szCs w:val="20"/>
                <w:color w:val="auto"/>
              </w:rPr>
            </w:pPr>
            <w:r>
              <w:rPr>
                <w:rFonts w:ascii="Times New Roman" w:cs="Times New Roman" w:eastAsia="Times New Roman" w:hAnsi="Times New Roman"/>
                <w:sz w:val="14"/>
                <w:szCs w:val="14"/>
                <w:b w:val="1"/>
                <w:bCs w:val="1"/>
                <w:color w:val="auto"/>
              </w:rPr>
              <w:t>Marketing and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center"/>
              <w:ind w:right="200"/>
              <w:spacing w:after="0" w:line="156" w:lineRule="exact"/>
              <w:rPr>
                <w:sz w:val="20"/>
                <w:szCs w:val="20"/>
                <w:color w:val="auto"/>
              </w:rPr>
            </w:pPr>
            <w:r>
              <w:rPr>
                <w:rFonts w:ascii="Times New Roman" w:cs="Times New Roman" w:eastAsia="Times New Roman" w:hAnsi="Times New Roman"/>
                <w:sz w:val="14"/>
                <w:szCs w:val="14"/>
                <w:b w:val="1"/>
                <w:bCs w:val="1"/>
                <w:color w:val="auto"/>
                <w:w w:val="98"/>
              </w:rPr>
              <w:t>Research and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125"/>
              <w:spacing w:after="0" w:line="156" w:lineRule="exact"/>
              <w:rPr>
                <w:sz w:val="20"/>
                <w:szCs w:val="20"/>
                <w:color w:val="auto"/>
              </w:rPr>
            </w:pPr>
            <w:r>
              <w:rPr>
                <w:rFonts w:ascii="Times New Roman" w:cs="Times New Roman" w:eastAsia="Times New Roman" w:hAnsi="Times New Roman"/>
                <w:sz w:val="14"/>
                <w:szCs w:val="14"/>
                <w:b w:val="1"/>
                <w:bCs w:val="1"/>
                <w:color w:val="auto"/>
              </w:rPr>
              <w:t>General and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development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3240" w:type="dxa"/>
            <w:vAlign w:val="bottom"/>
            <w:tcBorders>
              <w:top w:val="single" w:sz="8" w:color="CCEEFF"/>
            </w:tcBorders>
            <w:shd w:val="clear" w:color="auto" w:fill="CCEEFF"/>
          </w:tcPr>
          <w:p>
            <w:pPr>
              <w:jc w:val="center"/>
              <w:ind w:right="101"/>
              <w:spacing w:after="0" w:line="144" w:lineRule="exact"/>
              <w:rPr>
                <w:sz w:val="20"/>
                <w:szCs w:val="20"/>
                <w:color w:val="auto"/>
              </w:rPr>
            </w:pPr>
            <w:r>
              <w:rPr>
                <w:rFonts w:ascii="Times New Roman" w:cs="Times New Roman" w:eastAsia="Times New Roman" w:hAnsi="Times New Roman"/>
                <w:sz w:val="16"/>
                <w:szCs w:val="16"/>
                <w:color w:val="auto"/>
                <w:w w:val="98"/>
              </w:rPr>
              <w:t>Total amounts of income and expense line items</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324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6"/>
                <w:szCs w:val="16"/>
                <w:color w:val="auto"/>
              </w:rPr>
              <w:t>presented in the condensed consolidated</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1,193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96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456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327</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132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statements of operations</w:t>
            </w:r>
          </w:p>
        </w:tc>
        <w:tc>
          <w:tcPr>
            <w:tcW w:w="18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324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6"/>
                <w:szCs w:val="16"/>
                <w:i w:val="1"/>
                <w:iCs w:val="1"/>
                <w:color w:val="auto"/>
              </w:rPr>
              <w:t>Gain (loss) on cash flow hedging relationships</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in Subtopic ASC 815-20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3240" w:type="dxa"/>
            <w:vAlign w:val="bottom"/>
            <w:shd w:val="clear" w:color="auto" w:fill="CCEEFF"/>
          </w:tcPr>
          <w:p>
            <w:pPr>
              <w:jc w:val="center"/>
              <w:ind w:right="101"/>
              <w:spacing w:after="0" w:line="159" w:lineRule="exact"/>
              <w:rPr>
                <w:sz w:val="20"/>
                <w:szCs w:val="20"/>
                <w:color w:val="auto"/>
              </w:rPr>
            </w:pPr>
            <w:r>
              <w:rPr>
                <w:rFonts w:ascii="Times New Roman" w:cs="Times New Roman" w:eastAsia="Times New Roman" w:hAnsi="Times New Roman"/>
                <w:sz w:val="16"/>
                <w:szCs w:val="16"/>
                <w:color w:val="auto"/>
                <w:w w:val="98"/>
              </w:rPr>
              <w:t>Amount of gain (loss) reclassified from</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3240" w:type="dxa"/>
            <w:vAlign w:val="bottom"/>
            <w:shd w:val="clear" w:color="auto" w:fill="CCEEFF"/>
          </w:tcPr>
          <w:p>
            <w:pPr>
              <w:ind w:left="440"/>
              <w:spacing w:after="0" w:line="158" w:lineRule="exact"/>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3"/>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into income</w:t>
            </w:r>
          </w:p>
        </w:tc>
        <w:tc>
          <w:tcPr>
            <w:tcW w:w="18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140" w:type="dxa"/>
            <w:vAlign w:val="bottom"/>
            <w:gridSpan w:val="3"/>
            <w:vMerge w:val="continue"/>
            <w:shd w:val="clear" w:color="auto" w:fill="CCEEFF"/>
          </w:tcPr>
          <w:p>
            <w:pPr>
              <w:spacing w:after="0"/>
              <w:rPr>
                <w:sz w:val="18"/>
                <w:szCs w:val="18"/>
                <w:color w:val="auto"/>
              </w:rPr>
            </w:pPr>
          </w:p>
        </w:tc>
        <w:tc>
          <w:tcPr>
            <w:tcW w:w="120" w:type="dxa"/>
            <w:vAlign w:val="bottom"/>
            <w:gridSpan w:val="2"/>
            <w:vMerge w:val="continue"/>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242"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$325 million at April 30, 2024, and $455 million at January 31, 2024.</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17. Commitments and Contingencies</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42"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2"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0" w:lineRule="exact"/>
        <w:rPr>
          <w:sz w:val="20"/>
          <w:szCs w:val="20"/>
          <w:color w:val="auto"/>
        </w:rPr>
      </w:pPr>
    </w:p>
    <w:p>
      <w:pPr>
        <w:ind w:right="80" w:firstLine="434"/>
        <w:spacing w:after="0" w:line="250" w:lineRule="auto"/>
        <w:rPr>
          <w:sz w:val="20"/>
          <w:szCs w:val="20"/>
          <w:color w:val="auto"/>
        </w:rPr>
      </w:pPr>
      <w:r>
        <w:rPr>
          <w:rFonts w:ascii="Times New Roman" w:cs="Times New Roman" w:eastAsia="Times New Roman" w:hAnsi="Times New Roman"/>
          <w:sz w:val="18"/>
          <w:szCs w:val="18"/>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42"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Autodesk is involved in a variety of claims, suits, investigations, inquiries,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06" w:lineRule="exact"/>
        <w:rPr>
          <w:sz w:val="20"/>
          <w:szCs w:val="20"/>
          <w:color w:val="auto"/>
        </w:rPr>
      </w:pPr>
    </w:p>
    <w:p>
      <w:pPr>
        <w:ind w:right="100" w:firstLine="434"/>
        <w:spacing w:after="0" w:line="234" w:lineRule="auto"/>
        <w:rPr>
          <w:sz w:val="20"/>
          <w:szCs w:val="20"/>
          <w:color w:val="auto"/>
        </w:rPr>
      </w:pPr>
      <w:r>
        <w:rPr>
          <w:rFonts w:ascii="Times New Roman" w:cs="Times New Roman" w:eastAsia="Times New Roman" w:hAnsi="Times New Roman"/>
          <w:sz w:val="18"/>
          <w:szCs w:val="18"/>
          <w:color w:val="auto"/>
        </w:rPr>
        <w:t>In early March 2024, the Audit Committee of Autodesk’s Board of Directors commenced an internal investigation with the assistance of outside counsel and advisors regarding the Company’s free cash flow and non-GAAP operating margin practices (the “Internal Investigation”). On March 8, 2024, the Company voluntarily contacted the U.S. Securities and Exchange Commission (“SEC”) to inform it of the Internal Investigation. On April 3, 2024, the United States Attorney’s Office for the Northern District of California (“USAO”) contacted the Company regarding the Internal Investigation. The Company voluntarily provided the SEC and USAO with certain documents relating to the Internal Investigation and will continue to cooperate with the SEC and USAO. At this stage, the Company cannot reasonably estimate the amount of any possible financial loss that could result from this matter.</w:t>
      </w:r>
    </w:p>
    <w:p>
      <w:pPr>
        <w:spacing w:after="0" w:line="210" w:lineRule="exact"/>
        <w:rPr>
          <w:sz w:val="20"/>
          <w:szCs w:val="20"/>
          <w:color w:val="auto"/>
        </w:rPr>
      </w:pPr>
    </w:p>
    <w:p>
      <w:pPr>
        <w:ind w:firstLine="434"/>
        <w:spacing w:after="0" w:line="231" w:lineRule="auto"/>
        <w:rPr>
          <w:sz w:val="20"/>
          <w:szCs w:val="20"/>
          <w:color w:val="auto"/>
        </w:rPr>
      </w:pPr>
      <w:r>
        <w:rPr>
          <w:rFonts w:ascii="Times New Roman" w:cs="Times New Roman" w:eastAsia="Times New Roman" w:hAnsi="Times New Roman"/>
          <w:sz w:val="18"/>
          <w:szCs w:val="18"/>
          <w:color w:val="auto"/>
        </w:rPr>
        <w:t>On April 24, 2024, plaintiff Michael Barkasi filed a purported federal securities class action complaint in the Northern District of California against the Company, our Chief Executive Officer Andrew Anagnost, and our former Chief Financial Officer, Deborah L. Clifford. The action is captioned Michael Barkasi v. Autodesk, Inc. et al., 3:24-cv-02431. The complaint, which was filed shortly after the Company’s announcement of the Audit Committee of the Board of Directors’ internal investigation regarding the Company’s free cash flow and non-GAAP operating margin practices, generally alleges that the defendants made false and misleading statements in violation of Sections 10(b) and 20(a) of the Securities Exchange Act of 1934, and Rule 10b-5 promulgated thereunder. The action purports to be brought on behalf of those who purchased or otherwise acquired the Company’s publicly traded securities between June 1, 2023 and April 16, 2024, and seeks unspecified damages and other relief. The case is in its early stages and a lead plaintiff has yet to be appointed. At this stage, the Company cannot reasonably estimate the amount of any possible financial loss that could result from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18. Stockholders' Equity</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stockholders' equity by component, net of tax, as of April 30, 2024,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3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 and additional paid-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1"/>
        </w:trPr>
        <w:tc>
          <w:tcPr>
            <w:tcW w:w="48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Total stockholders'</w:t>
            </w:r>
          </w:p>
        </w:tc>
      </w:tr>
      <w:tr>
        <w:trPr>
          <w:trHeight w:val="191"/>
        </w:trPr>
        <w:tc>
          <w:tcPr>
            <w:tcW w:w="480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280" w:type="dxa"/>
            <w:vAlign w:val="bottom"/>
          </w:tcPr>
          <w:p>
            <w:pPr>
              <w:spacing w:after="0"/>
              <w:rPr>
                <w:sz w:val="16"/>
                <w:szCs w:val="16"/>
                <w:color w:val="auto"/>
              </w:rPr>
            </w:pPr>
          </w:p>
        </w:tc>
        <w:tc>
          <w:tcPr>
            <w:tcW w:w="10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2024</w:t>
            </w: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Settlement of liability-classified restricted common shares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0"/>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April 30, 2024</w:t>
            </w: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215</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00" w:type="dxa"/>
            <w:vAlign w:val="bottom"/>
          </w:tcPr>
          <w:p>
            <w:pPr>
              <w:spacing w:after="0"/>
              <w:rPr>
                <w:sz w:val="17"/>
                <w:szCs w:val="17"/>
                <w:color w:val="auto"/>
              </w:rPr>
            </w:pPr>
          </w:p>
        </w:tc>
        <w:tc>
          <w:tcPr>
            <w:tcW w:w="520" w:type="dxa"/>
            <w:vAlign w:val="bottom"/>
            <w:tcBorders>
              <w:top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w:t>
            </w:r>
          </w:p>
        </w:tc>
      </w:tr>
    </w:tbl>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right="660" w:hanging="395"/>
        <w:spacing w:after="0" w:line="269" w:lineRule="auto"/>
        <w:tabs>
          <w:tab w:leader="none" w:pos="4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April 30, 2024, Autodesk repurchased 33 thousand shares at an average repurchase price of $254.81 per share. At April 30, 2024, $4.73 billion remained available for repurchase under the November 2022 repurchase program approved by the Board of Directors.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stockholders' equity by component, net of tax, as of April 30, 2023,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3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 and additional paid-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91"/>
        </w:trPr>
        <w:tc>
          <w:tcPr>
            <w:tcW w:w="48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7"/>
              </w:rPr>
              <w:t>Total stockholders'</w:t>
            </w:r>
          </w:p>
        </w:tc>
      </w:tr>
      <w:tr>
        <w:trPr>
          <w:trHeight w:val="191"/>
        </w:trPr>
        <w:tc>
          <w:tcPr>
            <w:tcW w:w="488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4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2023</w:t>
            </w: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Settlement of liability-classified restricted common shares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200"/>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April 30, 2023</w:t>
            </w: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3,368</w:t>
            </w:r>
          </w:p>
        </w:tc>
        <w:tc>
          <w:tcPr>
            <w:tcW w:w="100" w:type="dxa"/>
            <w:vAlign w:val="bottom"/>
          </w:tcPr>
          <w:p>
            <w:pPr>
              <w:spacing w:after="0"/>
              <w:rPr>
                <w:sz w:val="17"/>
                <w:szCs w:val="17"/>
                <w:color w:val="auto"/>
              </w:rPr>
            </w:pPr>
          </w:p>
        </w:tc>
        <w:tc>
          <w:tcPr>
            <w:tcW w:w="520" w:type="dxa"/>
            <w:vAlign w:val="bottom"/>
            <w:tcBorders>
              <w:top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r>
    </w:tbl>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right="80" w:hanging="395"/>
        <w:spacing w:after="0" w:line="255" w:lineRule="auto"/>
        <w:tabs>
          <w:tab w:leader="none" w:pos="4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April 30, 2023, Autodesk repurchased 2,666 thousand shares at an average repurchase price of $199.36 per share. At April 30, 2023, 2 thousand shares and $5 billion remained available for repurchase under the September 2016 and November 2022 repurchase program approved by the Board of Directors,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19. Accumulated Other Comprehensive Loss</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Accumulated other comprehensive loss, net of taxes, consisted of the following at April 30, 2024:</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0" w:type="dxa"/>
            <w:vAlign w:val="bottom"/>
            <w:gridSpan w:val="3"/>
          </w:tcPr>
          <w:p>
            <w:pPr>
              <w:jc w:val="center"/>
              <w:ind w:right="100"/>
              <w:spacing w:after="0" w:line="132"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Defined Benefit</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22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Available-for-</w:t>
            </w: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Sale Debt</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Pension</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60" w:type="dxa"/>
            <w:vAlign w:val="bottom"/>
          </w:tcPr>
          <w:p>
            <w:pPr>
              <w:spacing w:after="0"/>
              <w:rPr>
                <w:sz w:val="12"/>
                <w:szCs w:val="12"/>
                <w:color w:val="auto"/>
              </w:rPr>
            </w:pPr>
          </w:p>
        </w:tc>
        <w:tc>
          <w:tcPr>
            <w:tcW w:w="84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center"/>
              <w:ind w:left="583"/>
              <w:spacing w:after="0"/>
              <w:rPr>
                <w:sz w:val="20"/>
                <w:szCs w:val="20"/>
                <w:color w:val="auto"/>
              </w:rPr>
            </w:pPr>
            <w:r>
              <w:rPr>
                <w:rFonts w:ascii="Times New Roman" w:cs="Times New Roman" w:eastAsia="Times New Roman" w:hAnsi="Times New Roman"/>
                <w:sz w:val="16"/>
                <w:szCs w:val="16"/>
                <w:color w:val="auto"/>
                <w:w w:val="97"/>
              </w:rPr>
              <w:t>(24)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left="483"/>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gains reclassified from accumulated other comprehensive loss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483"/>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center"/>
              <w:ind w:left="483"/>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center"/>
              <w:ind w:left="603"/>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April 30,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center"/>
              <w:ind w:left="583"/>
              <w:spacing w:after="0"/>
              <w:rPr>
                <w:sz w:val="20"/>
                <w:szCs w:val="20"/>
                <w:color w:val="auto"/>
              </w:rPr>
            </w:pPr>
            <w:r>
              <w:rPr>
                <w:rFonts w:ascii="Times New Roman" w:cs="Times New Roman" w:eastAsia="Times New Roman" w:hAnsi="Times New Roman"/>
                <w:sz w:val="16"/>
                <w:szCs w:val="16"/>
                <w:color w:val="auto"/>
                <w:w w:val="97"/>
              </w:rPr>
              <w:t>(24)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Accumulated other comprehensive loss, net of taxes, consisted of the following at April 30,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Net Unrealized</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Defined Benefit</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22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Gains (Losses) on</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Available-for-</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Sale Debt</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40" w:type="dxa"/>
            <w:vAlign w:val="bottom"/>
          </w:tcPr>
          <w:p>
            <w:pPr>
              <w:spacing w:after="0"/>
              <w:rPr>
                <w:sz w:val="11"/>
                <w:szCs w:val="11"/>
                <w:color w:val="auto"/>
              </w:rPr>
            </w:pPr>
          </w:p>
        </w:tc>
        <w:tc>
          <w:tcPr>
            <w:tcW w:w="86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Instruments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center"/>
              <w:ind w:left="563"/>
              <w:spacing w:after="0"/>
              <w:rPr>
                <w:sz w:val="20"/>
                <w:szCs w:val="20"/>
                <w:color w:val="auto"/>
              </w:rPr>
            </w:pPr>
            <w:r>
              <w:rPr>
                <w:rFonts w:ascii="Times New Roman" w:cs="Times New Roman" w:eastAsia="Times New Roman" w:hAnsi="Times New Roman"/>
                <w:sz w:val="16"/>
                <w:szCs w:val="16"/>
                <w:color w:val="auto"/>
                <w:w w:val="97"/>
              </w:rPr>
              <w:t>(19)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left="503"/>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gains reclassified from accumulated other comprehensive loss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503"/>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w:t>
            </w:r>
          </w:p>
        </w:tc>
        <w:tc>
          <w:tcPr>
            <w:tcW w:w="10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center"/>
              <w:ind w:left="503"/>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4"/>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center"/>
              <w:ind w:left="603"/>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April 30, 2023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center"/>
              <w:ind w:left="563"/>
              <w:spacing w:after="0"/>
              <w:rPr>
                <w:sz w:val="20"/>
                <w:szCs w:val="20"/>
                <w:color w:val="auto"/>
              </w:rPr>
            </w:pPr>
            <w:r>
              <w:rPr>
                <w:rFonts w:ascii="Times New Roman" w:cs="Times New Roman" w:eastAsia="Times New Roman" w:hAnsi="Times New Roman"/>
                <w:sz w:val="16"/>
                <w:szCs w:val="16"/>
                <w:color w:val="auto"/>
                <w:w w:val="97"/>
              </w:rPr>
              <w:t>(19)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right="340" w:firstLine="395"/>
        <w:spacing w:after="0" w:line="256" w:lineRule="auto"/>
        <w:rPr>
          <w:sz w:val="20"/>
          <w:szCs w:val="20"/>
          <w:color w:val="auto"/>
        </w:rPr>
      </w:pPr>
      <w:r>
        <w:rPr>
          <w:rFonts w:ascii="Times New Roman" w:cs="Times New Roman" w:eastAsia="Times New Roman" w:hAnsi="Times New Roman"/>
          <w:sz w:val="18"/>
          <w:szCs w:val="18"/>
          <w:color w:val="auto"/>
        </w:rPr>
        <w:t>Reclassifications related to gains and losses on available-for-sale debt securities are included in “Interest and other income, net.” Refer to Note 16, “Derivative Instruments,” for the amount and location of reclassifications related to derivative instruments. Reclassifications of the defined benefit pension components of net periodic benefit cost are included in “Interest and other income, net.”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Net Income Per Share</w:t>
      </w:r>
    </w:p>
    <w:p>
      <w:pPr>
        <w:spacing w:after="0" w:line="244" w:lineRule="exact"/>
        <w:rPr>
          <w:sz w:val="20"/>
          <w:szCs w:val="20"/>
          <w:color w:val="auto"/>
        </w:rPr>
      </w:pPr>
    </w:p>
    <w:p>
      <w:pPr>
        <w:ind w:right="260" w:firstLine="434"/>
        <w:spacing w:after="0" w:line="252"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Diluted net income per share is computed using the weighted average number of shares of common stock outstanding for the period and potentially dilutive common shares, including the effect of restricted stock units, performance share awards, and stock options using the treasury stock method. The following table sets forth the computation of the numerators and denominators used in the basic and diluted net income per share amounts: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40" w:type="dxa"/>
            <w:vAlign w:val="bottom"/>
          </w:tcPr>
          <w:p>
            <w:pPr>
              <w:spacing w:after="0"/>
              <w:rPr>
                <w:sz w:val="16"/>
                <w:szCs w:val="16"/>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5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5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5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Denominator:</w:t>
            </w: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Denominator for basic net income per share—weighted average shares</w:t>
            </w:r>
          </w:p>
        </w:tc>
        <w:tc>
          <w:tcPr>
            <w:tcW w:w="8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2"/>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8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2"/>
        </w:trPr>
        <w:tc>
          <w:tcPr>
            <w:tcW w:w="8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Denominator for dilutive net income per share</w:t>
            </w:r>
          </w:p>
        </w:tc>
        <w:tc>
          <w:tcPr>
            <w:tcW w:w="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6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40" w:type="dxa"/>
            <w:vAlign w:val="bottom"/>
            <w:vMerge w:val="continue"/>
          </w:tcPr>
          <w:p>
            <w:pPr>
              <w:spacing w:after="0"/>
              <w:rPr>
                <w:sz w:val="15"/>
                <w:szCs w:val="15"/>
                <w:color w:val="auto"/>
              </w:rPr>
            </w:pPr>
          </w:p>
        </w:tc>
        <w:tc>
          <w:tcPr>
            <w:tcW w:w="86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0" w:type="dxa"/>
            <w:vAlign w:val="bottom"/>
          </w:tcPr>
          <w:p>
            <w:pPr>
              <w:spacing w:after="0"/>
              <w:rPr>
                <w:sz w:val="1"/>
                <w:szCs w:val="1"/>
                <w:color w:val="auto"/>
              </w:rPr>
            </w:pPr>
          </w:p>
        </w:tc>
      </w:tr>
      <w:tr>
        <w:trPr>
          <w:trHeight w:val="21"/>
        </w:trPr>
        <w:tc>
          <w:tcPr>
            <w:tcW w:w="8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360" w:firstLine="434"/>
        <w:spacing w:after="0" w:line="256" w:lineRule="auto"/>
        <w:rPr>
          <w:sz w:val="20"/>
          <w:szCs w:val="20"/>
          <w:color w:val="auto"/>
        </w:rPr>
      </w:pPr>
      <w:r>
        <w:rPr>
          <w:rFonts w:ascii="Times New Roman" w:cs="Times New Roman" w:eastAsia="Times New Roman" w:hAnsi="Times New Roman"/>
          <w:sz w:val="18"/>
          <w:szCs w:val="18"/>
          <w:color w:val="auto"/>
        </w:rPr>
        <w:t>The computation of diluted net income per share does not include shares that are anti-dilutive under the treasury stock method because their exercise prices are higher than the average market value of Autodesk’s stock during the periods. For the three months ended April 30, 2024 and 2023, there were 48 thousand and 588 thousand anti-dilutive shares excluded from the computation of diluted net income per share,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 Segments</w:t>
      </w:r>
    </w:p>
    <w:p>
      <w:pPr>
        <w:spacing w:after="0" w:line="244"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Autodesk operates in one operating segment and accordingly, all required financial segment information is included in the condensed consolidated financial statements. Operating segments are defined as components of an enterprise for which separate financial information is evaluated regularly by the chief operating decision makers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Company’s CODM allocates resources and assesses the operating performance of the Company as a whole.</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Information regarding Autodesk’s long-lived assets by geographic area is as follows: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4"/>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Long-lived assets (1):</w:t>
            </w: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86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Americas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U.S.</w:t>
            </w:r>
          </w:p>
        </w:tc>
        <w:tc>
          <w:tcPr>
            <w:tcW w:w="1260" w:type="dxa"/>
            <w:vAlign w:val="bottom"/>
          </w:tcPr>
          <w:p>
            <w:pPr>
              <w:jc w:val="right"/>
              <w:ind w:right="1084"/>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210</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Americas</w:t>
            </w:r>
          </w:p>
        </w:tc>
        <w:tc>
          <w:tcPr>
            <w:tcW w:w="12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2"/>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12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9"/>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Asia Pacific</w:t>
            </w: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long-lived assets</w:t>
            </w:r>
          </w:p>
        </w:tc>
        <w:tc>
          <w:tcPr>
            <w:tcW w:w="1260" w:type="dxa"/>
            <w:vAlign w:val="bottom"/>
            <w:tcBorders>
              <w:bottom w:val="single" w:sz="8" w:color="auto"/>
            </w:tcBorders>
            <w:shd w:val="clear" w:color="auto" w:fill="CCEEFF"/>
          </w:tcPr>
          <w:p>
            <w:pPr>
              <w:jc w:val="right"/>
              <w:ind w:right="1084"/>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Long-lived assets exclude deferred tax assets, marketable securities, goodwill, and intangible assets.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 Subsequent Events</w:t>
      </w:r>
    </w:p>
    <w:p>
      <w:pPr>
        <w:spacing w:after="0" w:line="244"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On May 20, 2024, Autodesk acquired Aether Media, Inc., a provider of a cloud-based artificial intelligence pipeline for creating computer-generated 3D characters into live-action scenes, for preliminary purchase consideration of $131 million, net of cash acquired. This acquisition will enhance artificial intelligence capabilities for Autodesk’s VFX creation tools and democratize high end VFX work on Autodesk’s Flow platform. We are currently in the process of determining the initial purchase accounting for this transaction. Based on the timing of the acquisition and lack of available information, we determined it to be impracticable to disclose a preliminary purchase price allocation at this time.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0" w:name="page31"/>
    <w:bookmarkEnd w:id="30"/>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40" w:lineRule="exact"/>
        <w:rPr>
          <w:sz w:val="20"/>
          <w:szCs w:val="20"/>
          <w:color w:val="auto"/>
        </w:rPr>
      </w:pPr>
    </w:p>
    <w:p>
      <w:pPr>
        <w:ind w:firstLine="175"/>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The discussion in our MD&amp;A and elsewhere in this Quarterly Report on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“Overview of the Three Months Ended April 30, 2024,” and in </w:t>
      </w:r>
      <w:r>
        <w:rPr>
          <w:rFonts w:ascii="Times New Roman" w:cs="Times New Roman" w:eastAsia="Times New Roman" w:hAnsi="Times New Roman"/>
          <w:sz w:val="18"/>
          <w:szCs w:val="18"/>
          <w:i w:val="1"/>
          <w:iCs w:val="1"/>
          <w:color w:val="212529"/>
        </w:rPr>
        <w:t>“Results of Operations-Overview.”</w:t>
      </w:r>
      <w:r>
        <w:rPr>
          <w:rFonts w:ascii="Times New Roman" w:cs="Times New Roman" w:eastAsia="Times New Roman" w:hAnsi="Times New Roman"/>
          <w:sz w:val="18"/>
          <w:szCs w:val="18"/>
          <w:i w:val="1"/>
          <w:iCs w:val="1"/>
          <w:color w:val="auto"/>
        </w:rPr>
        <w:t xml:space="preserve"> Examples of such forward-looking statements may relate to items such as future net revenue, operating expenses, recurring revenue, net revenue retention rate, cash flow, remaining performance obligations, and other future financial results (by product type and geography); the transition to annual billings for multi-year contracts; the implementation of new transaction models; the effectiveness of our efforts to successfully manage transitions to new markets; our ability to increase our subscription base; expected market trends, including the growth of cloud and mobile computing; the availability of credit; the effect of unemployment; the effects of global economic conditions, including from an economic downturn or recession in the United States or in other countries around the world; the effects of revenue recognition; the effects of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past acquisitions, including our integration efforts and expected synergies;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anticipated benefits of our products;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glossary of terms used in this Quarterly Report on Form 10-Q appears at the end of this Item 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42"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Autodesk is changing how the world is designed and made. Our technology spans architecture, engineering, construction, product design, manufacturing, media and entertainment, empowering innovators everywhere to solve challenges big and small. From greener buildings to smarter products to more mesmerizing blockbusters, Autodesk technology helps our customers to design and make a better world for all.</w:t>
      </w:r>
    </w:p>
    <w:p>
      <w:pPr>
        <w:spacing w:after="0" w:line="206"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Our strategy is to deliver a trusted design and make platform that connects people through automation, data, and insights to help them achieve better outcomes for their businesses and the world. To drive the execution of our strategy, we are focused on three strategic priorities: build the platform of choice for Design and Make, accelerate adoption of Fusion, Forma, and Flow, and transform how customers experience Autodesk.</w:t>
      </w:r>
    </w:p>
    <w:p>
      <w:pPr>
        <w:spacing w:after="0" w:line="206"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Evolution</w:t>
      </w:r>
    </w:p>
    <w:p>
      <w:pPr>
        <w:spacing w:after="0" w:line="242"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We offer subscriptions for individual products and Industry Collections, enterprise business arrangements (“EBAs”), and cloud service offerings (collectively referred to as “subscription plans”). Subscription plans are designed to give our customers more flexibility with how they use our offerings and to attract a broader range of customers, such as project-based users and small businesses.</w:t>
      </w:r>
    </w:p>
    <w:p>
      <w:pPr>
        <w:spacing w:after="0" w:line="206" w:lineRule="exact"/>
        <w:rPr>
          <w:sz w:val="20"/>
          <w:szCs w:val="20"/>
          <w:color w:val="auto"/>
        </w:rPr>
      </w:pPr>
    </w:p>
    <w:p>
      <w:pPr>
        <w:ind w:right="620" w:firstLine="395"/>
        <w:spacing w:after="0" w:line="268" w:lineRule="auto"/>
        <w:rPr>
          <w:sz w:val="20"/>
          <w:szCs w:val="20"/>
          <w:color w:val="auto"/>
        </w:rPr>
      </w:pPr>
      <w:r>
        <w:rPr>
          <w:rFonts w:ascii="Times New Roman" w:cs="Times New Roman" w:eastAsia="Times New Roman" w:hAnsi="Times New Roman"/>
          <w:sz w:val="18"/>
          <w:szCs w:val="18"/>
          <w:color w:val="auto"/>
        </w:rPr>
        <w:t>Our subscription plans represent a hybrid of desktop software and cloud functionality, which provides a device-independent, collaborative design workflow for designers and their stakeholders. Our cloud offerings, for example, Autodesk</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31" w:name="page32"/>
    <w:bookmarkEnd w:id="31"/>
    <w:p>
      <w:pPr>
        <w:ind w:right="40"/>
        <w:spacing w:after="0" w:line="252" w:lineRule="auto"/>
        <w:rPr>
          <w:sz w:val="20"/>
          <w:szCs w:val="20"/>
          <w:color w:val="auto"/>
        </w:rPr>
      </w:pPr>
      <w:r>
        <w:rPr>
          <w:rFonts w:ascii="Times New Roman" w:cs="Times New Roman" w:eastAsia="Times New Roman" w:hAnsi="Times New Roman"/>
          <w:sz w:val="18"/>
          <w:szCs w:val="18"/>
          <w:color w:val="auto"/>
        </w:rPr>
        <w:t>Construction Cloud, Autodesk Build, Fusion, Flow Production Tracking, AutoCAD web app, and AutoCAD mobile app, provide tools, including mobile and collaboration capabilities, to streamline design, collaboration, building and manufacturing, and data management processes. We believe that customer adoption of these latest offerings will continue to grow as customers across a range of industries begin to take advantage of the scalable computing power and flexibility provided through these services.</w:t>
      </w:r>
    </w:p>
    <w:p>
      <w:pPr>
        <w:spacing w:after="0" w:line="210"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Industry Collections provide our customers with access to a broader selection of Autodesk solutions and services, simplifying the customers’ ability to benefit from a complete set of tools for their industry.</w:t>
      </w:r>
    </w:p>
    <w:p>
      <w:pPr>
        <w:spacing w:after="0" w:line="196" w:lineRule="exact"/>
        <w:rPr>
          <w:sz w:val="20"/>
          <w:szCs w:val="20"/>
          <w:color w:val="auto"/>
        </w:rPr>
      </w:pPr>
    </w:p>
    <w:p>
      <w:pPr>
        <w:ind w:right="60" w:firstLine="395"/>
        <w:spacing w:after="0" w:line="246" w:lineRule="auto"/>
        <w:rPr>
          <w:sz w:val="20"/>
          <w:szCs w:val="20"/>
          <w:color w:val="auto"/>
        </w:rPr>
      </w:pPr>
      <w:r>
        <w:rPr>
          <w:rFonts w:ascii="Times New Roman" w:cs="Times New Roman" w:eastAsia="Times New Roman" w:hAnsi="Times New Roman"/>
          <w:sz w:val="18"/>
          <w:szCs w:val="18"/>
          <w:color w:val="auto"/>
        </w:rPr>
        <w:t>To support our strategic priority of digital transformation in Architecture, Engineering, and Construction (“AEC”), we are strengthening our AEC solutions’ foundation with both organic and inorganic investments. In the first quarter of fiscal 2025, we acquired Payapps Limited (“Payapps”), a leading cloud-based software platform for managing construction-related payments. This acquisition will deepen Autodesk Construction Cloud’s footprint and provide a robust payment management offering to serve the needs of general contractors and trade contractors. Through automating the application of the payment process, Payapps’ solution provides greater transparency, reduces risk and helps accelerate time-to-payment. In fiscal 2024, we launched the first set of capabilities in Autodesk Forma, an industry cloud that unifies workflows across the teams that design, build, and operate the built environment. Autodesk Forma’s initial capabilities enable the early-stage planning and design process with automation and AI-powered insights that simplify the exploration of design concepts, offload repetitive tasks, and help evaluate environmental qualities surrounding a building site. In fiscal 2023, we acquired a cloud-connected, extended reality (XR) platform enabling AEC professionals to present, collaborate and review projects in immersive and interactive experiences, from anywhere and at any time. This acquisition enables Autodesk to meet increasing needs for augmented reality (AR) and virtual reality (VR) technology advancements within the AEC industry and further support AEC customers throughout the project delivery lifecycle.</w:t>
      </w:r>
    </w:p>
    <w:p>
      <w:pPr>
        <w:spacing w:after="0" w:line="219"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color w:val="auto"/>
        </w:rPr>
        <w:t>In manufacturing, our strategy is to combine organic and acquired software in existing and adjacent verticals to create end-to-end, cloud-based solutions for our customers that drive efficiency and sustainability. We continue to attract global manufacturing leaders and disruptive startups with our generative design and cloud-based Fusion that converges the design process with manufacturing. In fiscal 2024, we acquired a provider of simulation technology that enables factory and logistics center operators to optimize their processes. In fiscal 2023, we acquired a maker of software for optimizing manufacturing processes with automation and digitization from the shop floor upward that provides a real-time system of record for data collection, management, and analysis.</w:t>
      </w:r>
    </w:p>
    <w:p>
      <w:pPr>
        <w:spacing w:after="0" w:line="182"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anticipate that we will continue to acquire products, technology, and businesses as compelling opportunities become available.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Reach</w:t>
      </w:r>
    </w:p>
    <w:p>
      <w:pPr>
        <w:spacing w:after="0" w:line="242"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We sell our products and services globally, through a combination of direct and indirect channels. Our direct channels include, but are not limited to, internal sales resources focused on selling our highly specialized solutions in our largest accounts, Solution Providers focused on serving certain Flex and subscription customers through our new transaction model, and business transacted through our online Autodesk branded store. Our indirect channels primarily include value added distributors, value added resellers, direct market resellers, volume channel partners, and product-specific resellers. During fiscal 2023, we entered into transition agreements with certain of our distributors, including TD Synnex and Ingram Micro, to provide transition distribution activities for a one-to-two-year period, with potential extensions. In connection with the transition agreements, Autodesk intends to increase its selling efforts with value-added resellers and Solution Providers. We introduced a new transaction model for our token-based Flex offering in North America, and certain countries in EMEA and APAC, and for most of our subscription offerings in Australia during fiscal 2024, whereby Solution Providers provide a quote to customers but the actual transaction occurs directly between Autodesk and the customer. We intend to transition our indirect business to the new transaction model in our major markets globally in fiscal 2025 and fiscal 2026. We expect the change in recognition of sales incentives to indirect channels from contra revenue to operating costs under the new transaction model to positively impact calculated revenue growth, while being broadly neutral to calculated operating profit and free cash flow dollars, and to result in a calculated negative impact to operating margin. See Part I, Item 1, “Financial Statements,” Note 3, “Revenue Recognition” in the Notes to the Condensed Consolidated Financial Statements for further detail on the results of our indirect and direct channel sales for the three months ended April 30, 2024 and 2023.</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32" w:name="page33"/>
    <w:bookmarkEnd w:id="32"/>
    <w:p>
      <w:pPr>
        <w:ind w:firstLine="395"/>
        <w:spacing w:after="0" w:line="234" w:lineRule="auto"/>
        <w:rPr>
          <w:sz w:val="20"/>
          <w:szCs w:val="20"/>
          <w:color w:val="auto"/>
        </w:rPr>
      </w:pPr>
      <w:r>
        <w:rPr>
          <w:rFonts w:ascii="Times New Roman" w:cs="Times New Roman" w:eastAsia="Times New Roman" w:hAnsi="Times New Roman"/>
          <w:sz w:val="18"/>
          <w:szCs w:val="18"/>
          <w:color w:val="auto"/>
        </w:rPr>
        <w:t>We anticipate that our channel mix will continue to change as we scale our business. With the continued growth of our online Autodesk branded store, the transition to annual billings for multi-year contracts and our new token-based Flex model, and the introduction of our new transaction model, we are transacting directly with more end customers, rather than through distributors, without substantial disruption to our revenue. We expect our indirect channel will continue to transact and support a considerable portion of our customers. We also expect our transition to annual billings for multi-year contracts to impact the timing of our billings and cash collections. We employ a variety of incentive programs and promotions to align our direct and indirect channels with our business strategies.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Platform Capabilities</w:t>
      </w:r>
    </w:p>
    <w:p>
      <w:pPr>
        <w:spacing w:after="0" w:line="216" w:lineRule="exact"/>
        <w:rPr>
          <w:sz w:val="20"/>
          <w:szCs w:val="20"/>
          <w:color w:val="auto"/>
        </w:rPr>
      </w:pPr>
    </w:p>
    <w:p>
      <w:pPr>
        <w:ind w:right="60" w:firstLine="395"/>
        <w:spacing w:after="0" w:line="315" w:lineRule="auto"/>
        <w:rPr>
          <w:sz w:val="20"/>
          <w:szCs w:val="20"/>
          <w:color w:val="auto"/>
        </w:rPr>
      </w:pPr>
      <w:r>
        <w:rPr>
          <w:rFonts w:ascii="Times New Roman" w:cs="Times New Roman" w:eastAsia="Times New Roman" w:hAnsi="Times New Roman"/>
          <w:sz w:val="16"/>
          <w:szCs w:val="16"/>
          <w:color w:val="auto"/>
        </w:rPr>
        <w:t>We are building a trusted, outcome-focused platform for critical customer workflows that enables end-to-end digital transformation for our customers and partners within and between the industries we serve. We aim to accelerate these customer workloads by providing granular, interoperable and accessible data.</w:t>
      </w:r>
    </w:p>
    <w:p>
      <w:pPr>
        <w:spacing w:after="0" w:line="149" w:lineRule="exact"/>
        <w:rPr>
          <w:sz w:val="20"/>
          <w:szCs w:val="20"/>
          <w:color w:val="auto"/>
        </w:rPr>
      </w:pPr>
    </w:p>
    <w:p>
      <w:pPr>
        <w:ind w:right="100" w:firstLine="395"/>
        <w:spacing w:after="0" w:line="241" w:lineRule="auto"/>
        <w:rPr>
          <w:sz w:val="20"/>
          <w:szCs w:val="20"/>
          <w:color w:val="auto"/>
        </w:rPr>
      </w:pPr>
      <w:r>
        <w:rPr>
          <w:rFonts w:ascii="Times New Roman" w:cs="Times New Roman" w:eastAsia="Times New Roman" w:hAnsi="Times New Roman"/>
          <w:sz w:val="18"/>
          <w:szCs w:val="18"/>
          <w:color w:val="auto"/>
        </w:rPr>
        <w:t>We plan to do this by focusing on building the next generation of technology and services as trusted, shared capabilities. We aim to centralize critical and duplicative capabilities across key offerings. These include foundational capabilities to make our offers safer, faster, easier, and globally scalable, as well as capabilities that can accelerate new sources of value for our customers.</w:t>
      </w:r>
    </w:p>
    <w:p>
      <w:pPr>
        <w:spacing w:after="0" w:line="205" w:lineRule="exact"/>
        <w:rPr>
          <w:sz w:val="20"/>
          <w:szCs w:val="20"/>
          <w:color w:val="auto"/>
        </w:rPr>
      </w:pPr>
    </w:p>
    <w:p>
      <w:pPr>
        <w:ind w:right="280" w:firstLine="395"/>
        <w:spacing w:after="0" w:line="253" w:lineRule="auto"/>
        <w:rPr>
          <w:sz w:val="20"/>
          <w:szCs w:val="20"/>
          <w:color w:val="auto"/>
        </w:rPr>
      </w:pPr>
      <w:r>
        <w:rPr>
          <w:rFonts w:ascii="Times New Roman" w:cs="Times New Roman" w:eastAsia="Times New Roman" w:hAnsi="Times New Roman"/>
          <w:sz w:val="18"/>
          <w:szCs w:val="18"/>
          <w:color w:val="auto"/>
        </w:rPr>
        <w:t>One example of these shared capabilities is Autodesk AI. We have been investing in AI for over a decade. Our focus is on building AI capabilities that add value to our customers’ workloads through augmentation, automation and analysis.</w:t>
      </w:r>
    </w:p>
    <w:p>
      <w:pPr>
        <w:spacing w:after="0" w:line="208"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One of our key strategies is to maintain an API based architecture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Platform Services to support innovators that build solutions to facilitate the development of a single connected ecosystem for the future of how things are designed, made, and used.</w:t>
      </w:r>
    </w:p>
    <w:p>
      <w:pPr>
        <w:spacing w:after="0" w:line="212" w:lineRule="exact"/>
        <w:rPr>
          <w:sz w:val="20"/>
          <w:szCs w:val="20"/>
          <w:color w:val="auto"/>
        </w:rPr>
      </w:pPr>
    </w:p>
    <w:p>
      <w:pPr>
        <w:ind w:right="80" w:firstLine="395"/>
        <w:spacing w:after="0" w:line="249" w:lineRule="auto"/>
        <w:rPr>
          <w:sz w:val="20"/>
          <w:szCs w:val="20"/>
          <w:color w:val="auto"/>
        </w:rPr>
      </w:pPr>
      <w:r>
        <w:rPr>
          <w:rFonts w:ascii="Times New Roman" w:cs="Times New Roman" w:eastAsia="Times New Roman" w:hAnsi="Times New Roman"/>
          <w:sz w:val="18"/>
          <w:szCs w:val="18"/>
          <w:color w:val="auto"/>
        </w:rPr>
        <w:t>In addition to the competitive advantages afforded by our technology, our large global network of distributors, resellers, Solution Providers, third-party developers, customers, educators, educational institutions, learning partners, and students is a key competitive advantage that has been cultivated over an extensive period. This network of partners and relationships provides us with a broad and deep reach into volume markets worldwide. Our distributor, reseller and Solution Provider network is extensive and provides our customers with the resources to purchase, deploy, learn, and support our solutions quickly and easily. We have a significant number of registered third-party developers who create products that work well with our solutions and extend them to a variety of specialized applications.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at Autodesk</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Autodesk is committed to advancing a more sustainable, resilient, and inclusive world. We don’t believe in waiting for progress, we believe in making it.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take action as a business and support our employees, customers, and communities in our collective opportunity to design and make a better world for all.</w:t>
      </w:r>
    </w:p>
    <w:p>
      <w:pPr>
        <w:spacing w:after="0" w:line="246" w:lineRule="exact"/>
        <w:rPr>
          <w:sz w:val="20"/>
          <w:szCs w:val="20"/>
          <w:color w:val="auto"/>
        </w:rPr>
      </w:pPr>
    </w:p>
    <w:p>
      <w:pPr>
        <w:ind w:right="40" w:firstLine="395"/>
        <w:spacing w:after="0" w:line="303" w:lineRule="auto"/>
        <w:rPr>
          <w:sz w:val="20"/>
          <w:szCs w:val="20"/>
          <w:color w:val="auto"/>
        </w:rPr>
      </w:pPr>
      <w:r>
        <w:rPr>
          <w:rFonts w:ascii="Times New Roman" w:cs="Times New Roman" w:eastAsia="Times New Roman" w:hAnsi="Times New Roman"/>
          <w:sz w:val="16"/>
          <w:szCs w:val="16"/>
          <w:color w:val="auto"/>
        </w:rPr>
        <w:t>We focus our efforts to advance positive outcomes across three primary areas: energy and materials, health and resilience, and work and prosperity. These impact opportunity areas are derived from the UN Sustainable Development Goals (“SDGs”) and have been focused through a multi-pronged process to align the top needs of our stakeholders, the important issues of our business, and the areas we are best placed to accelerate positive impact at scale.</w:t>
      </w:r>
    </w:p>
    <w:p>
      <w:pPr>
        <w:spacing w:after="0" w:line="172"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These opportunities manifest as outcomes through how our customers leverage our technology to design and make net-zero carbon buildings, resilient infrastructure, more sustainable products, and a thriving workforce. We complement these opportunities through powering our business with 100% renewable energy, neutralizing greenhouse gas emissions and developing an inclusive culture. We advance these opportunities with industry innovators through collaboration, philanthropic capital, software donations, and training.</w:t>
      </w:r>
    </w:p>
    <w:p>
      <w:pPr>
        <w:spacing w:after="0" w:line="210" w:lineRule="exact"/>
        <w:rPr>
          <w:sz w:val="20"/>
          <w:szCs w:val="20"/>
          <w:color w:val="auto"/>
        </w:rPr>
      </w:pPr>
    </w:p>
    <w:p>
      <w:pPr>
        <w:ind w:right="40" w:firstLine="395"/>
        <w:spacing w:after="0" w:line="293" w:lineRule="auto"/>
        <w:rPr>
          <w:sz w:val="20"/>
          <w:szCs w:val="20"/>
          <w:color w:val="auto"/>
        </w:rPr>
      </w:pPr>
      <w:r>
        <w:rPr>
          <w:rFonts w:ascii="Times New Roman" w:cs="Times New Roman" w:eastAsia="Times New Roman" w:hAnsi="Times New Roman"/>
          <w:sz w:val="16"/>
          <w:szCs w:val="16"/>
          <w:color w:val="auto"/>
        </w:rPr>
        <w:t>The Autodesk Foundation (the “Foundation”), a privately funded 501(c)(3) charity organization established and solely funded by us, leads our philanthropic efforts. The purpose of the Foundation is twofold: to support employees to create a better world at work, at home, and in the community by matching employees’ volunteer time and donations to nonprofit organizations; and to support organizations using design and make solutions to drive positive social and environmental impact. On our behalf, the Foundation also administers a discounted software donation program to nonprofit organizations, social and</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environmental entrepreneurs, and others who are developing design solutions that will transform industries and help shape a better world for all.</w:t>
      </w:r>
    </w:p>
    <w:p>
      <w:pPr>
        <w:spacing w:after="0" w:line="240" w:lineRule="exact"/>
        <w:rPr>
          <w:sz w:val="20"/>
          <w:szCs w:val="20"/>
          <w:color w:val="auto"/>
        </w:rPr>
      </w:pPr>
    </w:p>
    <w:p>
      <w:pPr>
        <w:ind w:right="1060" w:firstLine="395"/>
        <w:spacing w:after="0" w:line="332" w:lineRule="auto"/>
        <w:rPr>
          <w:sz w:val="20"/>
          <w:szCs w:val="20"/>
          <w:color w:val="auto"/>
        </w:rPr>
      </w:pPr>
      <w:r>
        <w:rPr>
          <w:rFonts w:ascii="Times New Roman" w:cs="Times New Roman" w:eastAsia="Times New Roman" w:hAnsi="Times New Roman"/>
          <w:sz w:val="16"/>
          <w:szCs w:val="16"/>
          <w:color w:val="auto"/>
        </w:rPr>
        <w:t>Additional information about our environmental, social, and governance program is available in our annual impact report on our website at www.autodesk.com. Information contained on or accessible through our website is not part of or incorporated by reference into this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 Behind Our Strategy</w:t>
      </w:r>
    </w:p>
    <w:p>
      <w:pPr>
        <w:spacing w:after="0" w:line="242" w:lineRule="exact"/>
        <w:rPr>
          <w:sz w:val="20"/>
          <w:szCs w:val="20"/>
          <w:color w:val="auto"/>
        </w:rPr>
      </w:pPr>
    </w:p>
    <w:p>
      <w:pPr>
        <w:ind w:right="40" w:firstLine="434"/>
        <w:spacing w:after="0" w:line="250" w:lineRule="auto"/>
        <w:rPr>
          <w:sz w:val="20"/>
          <w:szCs w:val="20"/>
          <w:color w:val="auto"/>
        </w:rPr>
      </w:pPr>
      <w:r>
        <w:rPr>
          <w:rFonts w:ascii="Times New Roman" w:cs="Times New Roman" w:eastAsia="Times New Roman" w:hAnsi="Times New Roman"/>
          <w:sz w:val="18"/>
          <w:szCs w:val="18"/>
          <w:color w:val="auto"/>
        </w:rPr>
        <w:t>Our strategy depends upon many assumptions, including: making our technology available to mainstream markets; leveraging our large global network of distributors, resellers, Solution Providers, third-party developers, customers, educators, educational institutions, learning partners, and students; improving the performance and functionality of our products and platform;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Part II, Item 1A, “Risk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2"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 Our significant accounting policies are described in Item 8, “Financial Statements and Supplementary Data,” Note 1, “Business and Summary of Significant Accounting Policies,” in the Notes to Consolidated Financial Statements in our Annual Report on Form 10-K for the fiscal year ended January 31, 2024.</w:t>
      </w:r>
    </w:p>
    <w:p>
      <w:pPr>
        <w:spacing w:after="0" w:line="213"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highlighted those policies that involve a higher degree of judgment and complexity with further discussion in Item 7, “Management’s Discussion and Analysis of Financial Condition and Results of Operations,” in our Annual Report on Form 10-K. There have been no material changes to our critical accounting policies and estimates during the three months ended April 30, 2024, as compared to those disclosed in our Annual Report on Form 10-K for the fiscal year ended January 31, 2024. We believe these policies are the most critical to aid in fully understanding and evaluating our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Three Months Ended April 30, 2024</w:t>
      </w:r>
    </w:p>
    <w:p>
      <w:pPr>
        <w:spacing w:after="0" w:line="190" w:lineRule="exact"/>
        <w:rPr>
          <w:sz w:val="20"/>
          <w:szCs w:val="20"/>
          <w:color w:val="auto"/>
        </w:rPr>
      </w:pPr>
    </w:p>
    <w:p>
      <w:pPr>
        <w:ind w:left="640" w:hanging="319"/>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net revenue increased 12%, to $1.42 billion, during the three months ended April 30, 2024, compared to the same period in the prior fiscal year.</w:t>
      </w:r>
    </w:p>
    <w:p>
      <w:pPr>
        <w:spacing w:after="0" w:line="79"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as a percentage of net revenue was 97% and 98% for the three months ended April 30, 2024 and 2023, respectively.</w:t>
      </w:r>
    </w:p>
    <w:p>
      <w:pPr>
        <w:spacing w:after="0" w:line="56" w:lineRule="exact"/>
        <w:rPr>
          <w:rFonts w:ascii="Times New Roman" w:cs="Times New Roman" w:eastAsia="Times New Roman" w:hAnsi="Times New Roman"/>
          <w:sz w:val="18"/>
          <w:szCs w:val="18"/>
          <w:color w:val="auto"/>
        </w:rPr>
      </w:pPr>
    </w:p>
    <w:p>
      <w:pPr>
        <w:ind w:left="640" w:right="16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retention rate (“NR3”) was within the range of 100% and 110%, on a constant currency basis, for both the three months ended April 30, 2024 and 2023.</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$3.96 billion, a decrease of 7% compared to the fourth quarter in the prior fiscal year.</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performance obligations (short-term and long-term deferred revenue plus unbilled deferred revenue) (“RPO”) was $5.89 billion, a decrease of 4% compared to the fourth quarter in the prior fiscal year.</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remaining performance obligations was $3.92 billion, a decrease of 1% compared to the fourth quarter in the prior fiscal year.</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 Analysis</w:t>
      </w:r>
    </w:p>
    <w:p>
      <w:pPr>
        <w:spacing w:after="0" w:line="229" w:lineRule="exact"/>
        <w:rPr>
          <w:sz w:val="20"/>
          <w:szCs w:val="20"/>
          <w:color w:val="auto"/>
        </w:rPr>
      </w:pPr>
    </w:p>
    <w:p>
      <w:pPr>
        <w:ind w:right="340" w:firstLine="395"/>
        <w:spacing w:after="0" w:line="253" w:lineRule="auto"/>
        <w:rPr>
          <w:sz w:val="20"/>
          <w:szCs w:val="20"/>
          <w:color w:val="auto"/>
        </w:rPr>
      </w:pPr>
      <w:r>
        <w:rPr>
          <w:rFonts w:ascii="Times New Roman" w:cs="Times New Roman" w:eastAsia="Times New Roman" w:hAnsi="Times New Roman"/>
          <w:sz w:val="18"/>
          <w:szCs w:val="18"/>
          <w:color w:val="auto"/>
        </w:rPr>
        <w:t>Net revenue increased 12% during the three months ended April 30, 2024, as compared to the same period in the prior fiscal year, primarily due to an 11% increase in subscription revenue.</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further discussion of the drivers of these results, see below under the heading “Results of Operations.”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34" w:name="page35"/>
    <w:bookmarkEnd w:id="34"/>
    <w:p>
      <w:pPr>
        <w:ind w:right="120" w:firstLine="395"/>
        <w:spacing w:after="0" w:line="247" w:lineRule="auto"/>
        <w:rPr>
          <w:sz w:val="20"/>
          <w:szCs w:val="20"/>
          <w:color w:val="auto"/>
        </w:rPr>
      </w:pPr>
      <w:r>
        <w:rPr>
          <w:rFonts w:ascii="Times New Roman" w:cs="Times New Roman" w:eastAsia="Times New Roman" w:hAnsi="Times New Roman"/>
          <w:sz w:val="18"/>
          <w:szCs w:val="18"/>
          <w:color w:val="auto"/>
        </w:rPr>
        <w:t>We rely significantly upon major distributors and resellers in both the U.S. and international regions, including TD Synnex Corporation and its global affiliates (collectively, “TD Synnex”). Total revenue from TD Synnex accounted for 38% and 40% of our total net revenue for the three months ended April 30, 2024 and 2023, respectively. Our customers through TD Synnex are the resellers and end users who purchase our software subscriptions and services. During fiscal 2023, we entered into transition agreements with certain of our distributors, including TD Synnex and Ingram Micro Inc., to provide transition distribution activities for a one-to-two-year period, with potential extensions. In connection with the transition agreements, we intend to increase our selling efforts with value-added resellers and Solution Providers in connection with our new transaction model. Consequently, we believe our business is not substantially dependent on TD Synnex.</w:t>
      </w:r>
    </w:p>
    <w:p>
      <w:pPr>
        <w:ind w:left="240"/>
        <w:spacing w:after="0"/>
        <w:rPr>
          <w:sz w:val="20"/>
          <w:szCs w:val="20"/>
          <w:color w:val="auto"/>
        </w:rPr>
      </w:pPr>
      <w:r>
        <w:rPr>
          <w:rFonts w:ascii="Times New Roman" w:cs="Times New Roman" w:eastAsia="Times New Roman" w:hAnsi="Times New Roman"/>
          <w:sz w:val="18"/>
          <w:szCs w:val="18"/>
          <w:i w:val="1"/>
          <w:iCs w:val="1"/>
          <w:color w:val="auto"/>
        </w:rPr>
        <w:t>Recurring Revenue and Net Revenue Retention Rate</w:t>
      </w:r>
    </w:p>
    <w:p>
      <w:pPr>
        <w:spacing w:after="0" w:line="223"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In order to help better understand our financial performance, we use several key performance metrics including recurring revenue and NR3. 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Please refer to the Glossary of Terms for the definitions of these metrics.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outlines our recurring revenue metric for the three months ended April 30, 2024 and 2023:</w:t>
      </w:r>
    </w:p>
    <w:p>
      <w:pPr>
        <w:spacing w:after="0" w:line="144"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Change compared to</w:t>
      </w: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prior fiscal year</w:t>
      </w:r>
    </w:p>
    <w:tbl>
      <w:tblPr>
        <w:tblLayout w:type="fixed"/>
        <w:tblInd w:w="40" w:type="dxa"/>
        <w:tblCellMar>
          <w:top w:w="0" w:type="dxa"/>
          <w:left w:w="0" w:type="dxa"/>
          <w:bottom w:w="0" w:type="dxa"/>
          <w:right w:w="0" w:type="dxa"/>
        </w:tblCellMar>
      </w:tblPr>
      <w:tr>
        <w:trPr>
          <w:trHeight w:val="30"/>
        </w:trPr>
        <w:tc>
          <w:tcPr>
            <w:tcW w:w="5300" w:type="dxa"/>
            <w:vAlign w:val="bottom"/>
          </w:tcPr>
          <w:p>
            <w:pPr>
              <w:spacing w:after="0"/>
              <w:rPr>
                <w:sz w:val="2"/>
                <w:szCs w:val="2"/>
                <w:color w:val="auto"/>
              </w:rPr>
            </w:pPr>
          </w:p>
        </w:tc>
        <w:tc>
          <w:tcPr>
            <w:tcW w:w="1540" w:type="dxa"/>
            <w:vAlign w:val="bottom"/>
            <w:gridSpan w:val="3"/>
            <w:vMerge w:val="restart"/>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vMerge w:val="restart"/>
          </w:tcPr>
          <w:p>
            <w:pPr>
              <w:jc w:val="right"/>
              <w:ind w:right="4"/>
              <w:spacing w:after="0" w:line="13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85"/>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 data)</w:t>
            </w:r>
          </w:p>
        </w:tc>
        <w:tc>
          <w:tcPr>
            <w:tcW w:w="154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7"/>
                <w:szCs w:val="7"/>
                <w:color w:val="auto"/>
              </w:rPr>
            </w:pPr>
          </w:p>
        </w:tc>
        <w:tc>
          <w:tcPr>
            <w:tcW w:w="1440" w:type="dxa"/>
            <w:vAlign w:val="bottom"/>
            <w:vMerge w:val="restart"/>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3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 revenue (1)</w:t>
            </w:r>
          </w:p>
        </w:tc>
        <w:tc>
          <w:tcPr>
            <w:tcW w:w="20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1,381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1,244</w:t>
            </w:r>
          </w:p>
        </w:tc>
        <w:tc>
          <w:tcPr>
            <w:tcW w:w="0" w:type="dxa"/>
            <w:vAlign w:val="bottom"/>
          </w:tcPr>
          <w:p>
            <w:pPr>
              <w:spacing w:after="0"/>
              <w:rPr>
                <w:sz w:val="1"/>
                <w:szCs w:val="1"/>
                <w:color w:val="auto"/>
              </w:rPr>
            </w:pPr>
          </w:p>
        </w:tc>
      </w:tr>
      <w:tr>
        <w:trPr>
          <w:trHeight w:val="20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N/A</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right="240" w:hanging="395"/>
        <w:spacing w:after="0" w:line="269" w:lineRule="auto"/>
        <w:tabs>
          <w:tab w:leader="none" w:pos="4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a business may cause variability in the comparison of recurring revenue in this table above and recurring revenue derived from the revenue reported in the Condensed Consolidated Statements of Operations.</w:t>
      </w:r>
    </w:p>
    <w:p>
      <w:pPr>
        <w:spacing w:after="0" w:line="188"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NR3 was within the range of 100% and 110%, on a constant currency basis, for both the three months ended April 30, 2024 and 2023.</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Currency Analysis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generate a significant amount of our revenue in the United States, Japan, Germany, the United Kingdom and Finland.</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shows the impact of foreign exchange rate changes on our net revenue and total spend:</w:t>
      </w:r>
    </w:p>
    <w:p>
      <w:pPr>
        <w:spacing w:after="0" w:line="37"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4740" w:type="dxa"/>
            <w:vAlign w:val="bottom"/>
            <w:gridSpan w:val="5"/>
          </w:tcPr>
          <w:p>
            <w:pPr>
              <w:ind w:left="1440"/>
              <w:spacing w:after="0"/>
              <w:rPr>
                <w:sz w:val="20"/>
                <w:szCs w:val="20"/>
                <w:color w:val="auto"/>
              </w:rPr>
            </w:pPr>
            <w:r>
              <w:rPr>
                <w:rFonts w:ascii="Times New Roman" w:cs="Times New Roman" w:eastAsia="Times New Roman" w:hAnsi="Times New Roman"/>
                <w:sz w:val="14"/>
                <w:szCs w:val="14"/>
                <w:b w:val="1"/>
                <w:bCs w:val="1"/>
                <w:color w:val="auto"/>
              </w:rPr>
              <w:t>Three Months Ended April 30, 2024</w:t>
            </w:r>
          </w:p>
        </w:tc>
        <w:tc>
          <w:tcPr>
            <w:tcW w:w="0" w:type="dxa"/>
            <w:vAlign w:val="bottom"/>
          </w:tcPr>
          <w:p>
            <w:pPr>
              <w:spacing w:after="0"/>
              <w:rPr>
                <w:sz w:val="1"/>
                <w:szCs w:val="1"/>
                <w:color w:val="auto"/>
              </w:rPr>
            </w:pPr>
          </w:p>
        </w:tc>
      </w:tr>
      <w:tr>
        <w:trPr>
          <w:trHeight w:val="24"/>
        </w:trPr>
        <w:tc>
          <w:tcPr>
            <w:tcW w:w="6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200" w:type="dxa"/>
            <w:vAlign w:val="bottom"/>
          </w:tcPr>
          <w:p>
            <w:pPr>
              <w:spacing w:after="0"/>
              <w:rPr>
                <w:sz w:val="11"/>
                <w:szCs w:val="11"/>
                <w:color w:val="auto"/>
              </w:rPr>
            </w:pPr>
          </w:p>
        </w:tc>
        <w:tc>
          <w:tcPr>
            <w:tcW w:w="1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74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8"/>
              </w:rPr>
              <w:t>Constant Currency</w:t>
            </w: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Positive/Negative/Ne</w:t>
            </w:r>
          </w:p>
        </w:tc>
        <w:tc>
          <w:tcPr>
            <w:tcW w:w="0" w:type="dxa"/>
            <w:vAlign w:val="bottom"/>
          </w:tcPr>
          <w:p>
            <w:pPr>
              <w:spacing w:after="0"/>
              <w:rPr>
                <w:sz w:val="1"/>
                <w:szCs w:val="1"/>
                <w:color w:val="auto"/>
              </w:rPr>
            </w:pPr>
          </w:p>
        </w:tc>
      </w:tr>
      <w:tr>
        <w:trPr>
          <w:trHeight w:val="143"/>
        </w:trPr>
        <w:tc>
          <w:tcPr>
            <w:tcW w:w="6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7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200" w:type="dxa"/>
            <w:vAlign w:val="bottom"/>
          </w:tcPr>
          <w:p>
            <w:pPr>
              <w:spacing w:after="0"/>
              <w:rPr>
                <w:sz w:val="12"/>
                <w:szCs w:val="12"/>
                <w:color w:val="auto"/>
              </w:rPr>
            </w:pPr>
          </w:p>
        </w:tc>
        <w:tc>
          <w:tcPr>
            <w:tcW w:w="17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7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2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impact from forei</w:t>
            </w:r>
          </w:p>
        </w:tc>
        <w:tc>
          <w:tcPr>
            <w:tcW w:w="0" w:type="dxa"/>
            <w:vAlign w:val="bottom"/>
          </w:tcPr>
          <w:p>
            <w:pPr>
              <w:spacing w:after="0"/>
              <w:rPr>
                <w:sz w:val="1"/>
                <w:szCs w:val="1"/>
                <w:color w:val="auto"/>
              </w:rPr>
            </w:pPr>
          </w:p>
        </w:tc>
      </w:tr>
      <w:tr>
        <w:trPr>
          <w:trHeight w:val="191"/>
        </w:trPr>
        <w:tc>
          <w:tcPr>
            <w:tcW w:w="620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prior fiscal year (1)</w:t>
            </w:r>
          </w:p>
        </w:tc>
        <w:tc>
          <w:tcPr>
            <w:tcW w:w="1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exchange rate chan</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206"/>
              <w:spacing w:after="0"/>
              <w:rPr>
                <w:sz w:val="20"/>
                <w:szCs w:val="20"/>
                <w:color w:val="auto"/>
              </w:rPr>
            </w:pPr>
            <w:r>
              <w:rPr>
                <w:rFonts w:ascii="Times New Roman" w:cs="Times New Roman" w:eastAsia="Times New Roman" w:hAnsi="Times New Roman"/>
                <w:sz w:val="16"/>
                <w:szCs w:val="16"/>
                <w:color w:val="auto"/>
              </w:rPr>
              <w:t>Negative</w:t>
            </w:r>
          </w:p>
        </w:tc>
        <w:tc>
          <w:tcPr>
            <w:tcW w:w="0" w:type="dxa"/>
            <w:vAlign w:val="bottom"/>
          </w:tcPr>
          <w:p>
            <w:pPr>
              <w:spacing w:after="0"/>
              <w:rPr>
                <w:sz w:val="1"/>
                <w:szCs w:val="1"/>
                <w:color w:val="auto"/>
              </w:rPr>
            </w:pPr>
          </w:p>
        </w:tc>
      </w:tr>
      <w:tr>
        <w:trPr>
          <w:trHeight w:val="20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spend</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tcPr>
          <w:p>
            <w:pPr>
              <w:spacing w:after="0"/>
              <w:rPr>
                <w:sz w:val="17"/>
                <w:szCs w:val="17"/>
                <w:color w:val="auto"/>
              </w:rPr>
            </w:pPr>
          </w:p>
        </w:tc>
        <w:tc>
          <w:tcPr>
            <w:tcW w:w="1260" w:type="dxa"/>
            <w:vAlign w:val="bottom"/>
          </w:tcPr>
          <w:p>
            <w:pPr>
              <w:jc w:val="center"/>
              <w:ind w:left="226"/>
              <w:spacing w:after="0"/>
              <w:rPr>
                <w:sz w:val="20"/>
                <w:szCs w:val="20"/>
                <w:color w:val="auto"/>
              </w:rPr>
            </w:pPr>
            <w:r>
              <w:rPr>
                <w:rFonts w:ascii="Times New Roman" w:cs="Times New Roman" w:eastAsia="Times New Roman" w:hAnsi="Times New Roman"/>
                <w:sz w:val="16"/>
                <w:szCs w:val="16"/>
                <w:color w:val="auto"/>
                <w:w w:val="99"/>
              </w:rPr>
              <w:t>Neutral</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hanging="395"/>
        <w:spacing w:after="0"/>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refer to the Glossary of Terms for the definitions of our constant currency growth rates.</w:t>
      </w:r>
    </w:p>
    <w:p>
      <w:pPr>
        <w:spacing w:after="0" w:line="219"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08" w:right="239" w:bottom="1440" w:gutter="0" w:footer="0" w:header="0"/>
        </w:sectPr>
      </w:pPr>
    </w:p>
    <w:bookmarkStart w:id="35" w:name="page36"/>
    <w:bookmarkEnd w:id="35"/>
    <w:p>
      <w:pPr>
        <w:ind w:left="24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42"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RPO represents deferred revenue and contractually stated or committed orders under early renewal and multi-year billing plans for subscription, services, license, and maintenance for which the associated deferred revenue has not yet been recognized. Unbilled deferred revenue is not included as a receivable or deferred revenue on our Condensed Consolidated Balance Sheets. See Part I, Item 1, “Financial Statements,” Note 3, “Revenue Recognition,” for more details on Autodesk's performance obligations.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40" w:type="dxa"/>
            <w:vAlign w:val="bottom"/>
          </w:tcPr>
          <w:p>
            <w:pPr>
              <w:spacing w:after="0"/>
              <w:rPr>
                <w:sz w:val="16"/>
                <w:szCs w:val="16"/>
                <w:color w:val="auto"/>
              </w:rPr>
            </w:pPr>
          </w:p>
        </w:tc>
        <w:tc>
          <w:tcPr>
            <w:tcW w:w="130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4"/>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3,962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w:t>
            </w:r>
          </w:p>
        </w:tc>
      </w:tr>
      <w:tr>
        <w:trPr>
          <w:trHeight w:val="209"/>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Unbilled deferred revenue</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w:t>
            </w:r>
          </w:p>
        </w:tc>
      </w:tr>
      <w:tr>
        <w:trPr>
          <w:trHeight w:val="231"/>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RPO</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5,893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RPO consisted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60" w:type="dxa"/>
            <w:vAlign w:val="bottom"/>
          </w:tcPr>
          <w:p>
            <w:pPr>
              <w:spacing w:after="0"/>
              <w:rPr>
                <w:sz w:val="16"/>
                <w:szCs w:val="16"/>
                <w:color w:val="auto"/>
              </w:rPr>
            </w:pPr>
          </w:p>
        </w:tc>
        <w:tc>
          <w:tcPr>
            <w:tcW w:w="13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4"/>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RPO</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w:t>
            </w:r>
          </w:p>
        </w:tc>
      </w:tr>
      <w:tr>
        <w:trPr>
          <w:trHeight w:val="209"/>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Non-current RPO</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2,132</w:t>
            </w:r>
          </w:p>
        </w:tc>
      </w:tr>
      <w:tr>
        <w:trPr>
          <w:trHeight w:val="231"/>
        </w:trPr>
        <w:tc>
          <w:tcPr>
            <w:tcW w:w="8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RPO</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220" w:firstLine="395"/>
        <w:spacing w:after="0" w:line="248" w:lineRule="auto"/>
        <w:rPr>
          <w:sz w:val="20"/>
          <w:szCs w:val="20"/>
          <w:color w:val="auto"/>
        </w:rPr>
      </w:pPr>
      <w:r>
        <w:rPr>
          <w:rFonts w:ascii="Times New Roman" w:cs="Times New Roman" w:eastAsia="Times New Roman" w:hAnsi="Times New Roman"/>
          <w:sz w:val="18"/>
          <w:szCs w:val="18"/>
          <w:color w:val="auto"/>
        </w:rPr>
        <w:t>We expect that the amount of RPO will change from quarter to quarter for several reasons, including the specific timing, duration, and size of customer subscription and support agreements, the specific timing of customer renewals, and foreign currency fluctuations. Historically, we have had increased EBA sales activity in our fourth fiscal quarter and this seasonality may affect the relative value of our billings, RPO, and collections in the fourth and first fiscal quarters. As customers transition from multi-year subscription contracts billed upfront to annual billing installments, some customers may choose annual contracts instead. If this were to occur, we would expect it to proportionately reduce the unbilled portion of our total remaining performance obligations and would expect it to impact total RPO growth rates negatively. Deferred revenue, billings, current RPO, revenue, Non-GAAP operating margin, and free cash flow would remain broadly unchanged in this scenario.</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Balance Sheet and Cash Flow Items</w:t>
      </w:r>
    </w:p>
    <w:p>
      <w:pPr>
        <w:spacing w:after="0" w:line="242"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At April 30, 2024, we had $2.23 billion in cash, cash equivalents, and marketable securities. Our cash flow from operations decreased to $494 million for the three months ended April 30, 2024, compared to $723 million for the three months ended April 30, 2023. We repurchased 33 thousand shares of our common stock for $9 million during the three months ended April 30, 2024. Comparatively, we repurchased 2.7 million shares of our common stock for $534 million during the three months ended April 30, 2023. See further discussion regarding the balance sheet and cash flow activities under the heading “Liquidity and Capital Resources.”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242" w:lineRule="exact"/>
        <w:rPr>
          <w:sz w:val="20"/>
          <w:szCs w:val="20"/>
          <w:color w:val="auto"/>
        </w:rPr>
      </w:pPr>
    </w:p>
    <w:p>
      <w:pPr>
        <w:ind w:right="20" w:firstLine="395"/>
        <w:spacing w:after="0" w:line="286" w:lineRule="auto"/>
        <w:rPr>
          <w:sz w:val="20"/>
          <w:szCs w:val="20"/>
          <w:color w:val="auto"/>
        </w:rPr>
      </w:pPr>
      <w:r>
        <w:rPr>
          <w:rFonts w:ascii="Times New Roman" w:cs="Times New Roman" w:eastAsia="Times New Roman" w:hAnsi="Times New Roman"/>
          <w:sz w:val="16"/>
          <w:szCs w:val="16"/>
          <w:color w:val="auto"/>
        </w:rPr>
        <w:t>We believe our investment in cloud products and a subscription business model, backed by a strong balance sheet, give us a robust foundation to successfully navigate complex geopolitical and global macro-economic challenges. However, material scarcity, supply chain disruption and resulting inflationary pressures, higher interest rates, a global labor shortage, the ongoing wars between Ukraine and Russia and between Israel and Hamas, and foreign exchange rate fluctuations, may impact our outlook. We also expect our transition to annual billings for multi-year contracts to impact the timing of our billings and cash collections. The extent of the impact of these risks on our business in the remainder of fiscal 2025 and beyond will depend on several factors, some of which are out of our control. Further discussion of the potential impacts of these risks on our business can be found in Part II, Item 1A, “Risk Factors.”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36" w:name="page37"/>
    <w:bookmarkEnd w:id="36"/>
    <w:p>
      <w:pPr>
        <w:ind w:right="240" w:firstLine="395"/>
        <w:spacing w:after="0" w:line="252" w:lineRule="auto"/>
        <w:rPr>
          <w:sz w:val="20"/>
          <w:szCs w:val="20"/>
          <w:color w:val="auto"/>
        </w:rPr>
      </w:pPr>
      <w:r>
        <w:rPr>
          <w:rFonts w:ascii="Times New Roman" w:cs="Times New Roman" w:eastAsia="Times New Roman" w:hAnsi="Times New Roman"/>
          <w:sz w:val="18"/>
          <w:szCs w:val="18"/>
          <w:color w:val="auto"/>
        </w:rPr>
        <w:t>We introduced a new transaction model for our token-based Flex offering in North America, and certain countries in EMEA, and APAC, and for most of our subscription offerings in Australia during fiscal 2024. In this new transaction model, Solution Providers provide customers with a quote, however, the actual transaction occurs directly between Autodesk and the customer. We intend to transition our indirect business to the new transaction model in our major markets globally in fiscal 2025 and fiscal 2026.</w:t>
      </w:r>
    </w:p>
    <w:p>
      <w:pPr>
        <w:spacing w:after="0" w:line="210" w:lineRule="exact"/>
        <w:rPr>
          <w:sz w:val="20"/>
          <w:szCs w:val="20"/>
          <w:color w:val="auto"/>
        </w:rPr>
      </w:pPr>
    </w:p>
    <w:p>
      <w:pPr>
        <w:ind w:right="240" w:firstLine="395"/>
        <w:spacing w:after="0" w:line="281" w:lineRule="auto"/>
        <w:rPr>
          <w:sz w:val="20"/>
          <w:szCs w:val="20"/>
          <w:color w:val="auto"/>
        </w:rPr>
      </w:pPr>
      <w:r>
        <w:rPr>
          <w:rFonts w:ascii="Times New Roman" w:cs="Times New Roman" w:eastAsia="Times New Roman" w:hAnsi="Times New Roman"/>
          <w:sz w:val="16"/>
          <w:szCs w:val="16"/>
          <w:color w:val="auto"/>
        </w:rPr>
        <w:t>Our sales incentives to Solution Providers will be recorded as operating expenses under the new transaction model as we will contract directly with end customers. Accordingly, we expect sales incentives paid to resellers recorded as a reduction of transaction price and subsequently recognized as a reduction to subscription revenue over the contract period will decrease as we transition to the new transaction model. Most of the sales incentives payments to Solution Providers in our new transaction model, will be considered incremental and recoverable costs of obtaining a contract with a customer and will be capitalized and included in “Prepaid expenses and other current assets” and “Long-term other assets” on the Condensed Consolidated Balance Sheets. The deferred costs will then be amortized over the period of benefit and recorded to “Sales and Marketing” on the Condensed Consolidated Statement of Operations. The sales incentives not qualifying for capitalization will be recorded to “Sales and Marketing” on the Condensed Consolidated Statement of Operations as the costs are incurred under the incentive program requirements. In the near term, we expect the change in recognition of sales incentives to indirect channels from contra revenue to operating expenses under the new transaction model to positively impact calculated revenue growth, while being broadly neutral to calculated operating profit and free cash flow dollars, and to result in a calculated negative impact to operating margin.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w:t>
      </w: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Net Revenue by Income Statement Presentation</w:t>
      </w:r>
    </w:p>
    <w:p>
      <w:pPr>
        <w:spacing w:after="0" w:line="242" w:lineRule="exact"/>
        <w:rPr>
          <w:sz w:val="20"/>
          <w:szCs w:val="20"/>
          <w:color w:val="auto"/>
        </w:rPr>
      </w:pPr>
    </w:p>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Subscription revenue consists of our term-based product subscriptions, cloud service offerings, and flexible EBAs. Revenue from these arrangements is predominately recognized ratably over the contract term commencing with the date our service is made available to customers and when all other revenue recognition criteria have been satisfied.</w:t>
      </w:r>
    </w:p>
    <w:p>
      <w:pPr>
        <w:spacing w:after="0" w:line="206" w:lineRule="exact"/>
        <w:rPr>
          <w:sz w:val="20"/>
          <w:szCs w:val="20"/>
          <w:color w:val="auto"/>
        </w:rPr>
      </w:pPr>
    </w:p>
    <w:p>
      <w:pPr>
        <w:jc w:val="both"/>
        <w:ind w:right="280" w:firstLine="434"/>
        <w:spacing w:after="0" w:line="256" w:lineRule="auto"/>
        <w:rPr>
          <w:sz w:val="20"/>
          <w:szCs w:val="20"/>
          <w:color w:val="auto"/>
        </w:rPr>
      </w:pPr>
      <w:r>
        <w:rPr>
          <w:rFonts w:ascii="Times New Roman" w:cs="Times New Roman" w:eastAsia="Times New Roman" w:hAnsi="Times New Roman"/>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206" w:lineRule="exact"/>
        <w:rPr>
          <w:sz w:val="20"/>
          <w:szCs w:val="20"/>
          <w:color w:val="auto"/>
        </w:rPr>
      </w:pPr>
    </w:p>
    <w:p>
      <w:pPr>
        <w:ind w:right="580" w:firstLine="434"/>
        <w:spacing w:after="0" w:line="268" w:lineRule="auto"/>
        <w:rPr>
          <w:sz w:val="20"/>
          <w:szCs w:val="20"/>
          <w:color w:val="auto"/>
        </w:rPr>
      </w:pPr>
      <w:r>
        <w:rPr>
          <w:rFonts w:ascii="Times New Roman" w:cs="Times New Roman" w:eastAsia="Times New Roman" w:hAnsi="Times New Roman"/>
          <w:sz w:val="18"/>
          <w:szCs w:val="18"/>
          <w:color w:val="auto"/>
        </w:rPr>
        <w:t>Other revenue consists of revenue from consulting and other products and services, and is recognized as the products are delivered and services are performed.</w:t>
      </w:r>
    </w:p>
    <w:p>
      <w:pPr>
        <w:spacing w:after="0" w:line="25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120" w:type="dxa"/>
            <w:vAlign w:val="bottom"/>
          </w:tcPr>
          <w:p>
            <w:pPr>
              <w:spacing w:after="0"/>
              <w:rPr>
                <w:sz w:val="13"/>
                <w:szCs w:val="13"/>
                <w:color w:val="auto"/>
              </w:rPr>
            </w:pPr>
          </w:p>
        </w:tc>
        <w:tc>
          <w:tcPr>
            <w:tcW w:w="192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Compared to Prior</w:t>
            </w:r>
          </w:p>
        </w:tc>
        <w:tc>
          <w:tcPr>
            <w:tcW w:w="120" w:type="dxa"/>
            <w:vAlign w:val="bottom"/>
          </w:tcPr>
          <w:p>
            <w:pPr>
              <w:spacing w:after="0"/>
              <w:rPr>
                <w:sz w:val="13"/>
                <w:szCs w:val="13"/>
                <w:color w:val="auto"/>
              </w:rPr>
            </w:pPr>
          </w:p>
        </w:tc>
        <w:tc>
          <w:tcPr>
            <w:tcW w:w="74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45"/>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40" w:type="dxa"/>
            <w:vAlign w:val="bottom"/>
          </w:tcPr>
          <w:p>
            <w:pPr>
              <w:spacing w:after="0"/>
              <w:rPr>
                <w:sz w:val="13"/>
                <w:szCs w:val="13"/>
                <w:color w:val="auto"/>
              </w:rPr>
            </w:pPr>
          </w:p>
        </w:tc>
        <w:tc>
          <w:tcPr>
            <w:tcW w:w="8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120" w:type="dxa"/>
            <w:vAlign w:val="bottom"/>
          </w:tcPr>
          <w:p>
            <w:pPr>
              <w:spacing w:after="0"/>
              <w:rPr>
                <w:sz w:val="13"/>
                <w:szCs w:val="13"/>
                <w:color w:val="auto"/>
              </w:rPr>
            </w:pPr>
          </w:p>
        </w:tc>
        <w:tc>
          <w:tcPr>
            <w:tcW w:w="74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65"/>
              <w:spacing w:after="0" w:line="158" w:lineRule="exact"/>
              <w:rPr>
                <w:sz w:val="20"/>
                <w:szCs w:val="20"/>
                <w:color w:val="auto"/>
              </w:rPr>
            </w:pPr>
            <w:r>
              <w:rPr>
                <w:rFonts w:ascii="Times New Roman" w:cs="Times New Roman" w:eastAsia="Times New Roman" w:hAnsi="Times New Roman"/>
                <w:sz w:val="14"/>
                <w:szCs w:val="14"/>
                <w:b w:val="1"/>
                <w:bCs w:val="1"/>
                <w:color w:val="auto"/>
                <w:w w:val="98"/>
              </w:rPr>
              <w:t>April 30,</w:t>
            </w:r>
          </w:p>
        </w:tc>
        <w:tc>
          <w:tcPr>
            <w:tcW w:w="100" w:type="dxa"/>
            <w:vAlign w:val="bottom"/>
          </w:tcPr>
          <w:p>
            <w:pPr>
              <w:spacing w:after="0"/>
              <w:rPr>
                <w:sz w:val="13"/>
                <w:szCs w:val="13"/>
                <w:color w:val="auto"/>
              </w:rPr>
            </w:pPr>
          </w:p>
        </w:tc>
        <w:tc>
          <w:tcPr>
            <w:tcW w:w="320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37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78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w:t>
            </w: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5"/>
              <w:spacing w:after="0" w:line="158" w:lineRule="exact"/>
              <w:rPr>
                <w:sz w:val="20"/>
                <w:szCs w:val="20"/>
                <w:color w:val="auto"/>
              </w:rPr>
            </w:pPr>
            <w:r>
              <w:rPr>
                <w:rFonts w:ascii="Times New Roman" w:cs="Times New Roman" w:eastAsia="Times New Roman" w:hAnsi="Times New Roman"/>
                <w:sz w:val="16"/>
                <w:szCs w:val="16"/>
                <w:color w:val="auto"/>
              </w:rPr>
              <w:t>1,330</w:t>
            </w:r>
          </w:p>
        </w:tc>
        <w:tc>
          <w:tcPr>
            <w:tcW w:w="10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5"/>
              <w:spacing w:after="0" w:line="158" w:lineRule="exact"/>
              <w:rPr>
                <w:sz w:val="20"/>
                <w:szCs w:val="20"/>
                <w:color w:val="auto"/>
              </w:rPr>
            </w:pPr>
            <w:r>
              <w:rPr>
                <w:rFonts w:ascii="Times New Roman" w:cs="Times New Roman" w:eastAsia="Times New Roman" w:hAnsi="Times New Roman"/>
                <w:sz w:val="16"/>
                <w:szCs w:val="16"/>
                <w:color w:val="auto"/>
              </w:rPr>
              <w:t>1,193</w:t>
            </w: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due to growth in subscription renewal</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revenue driven by expansion of subscriber base in</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prior periods. Also contributing to the growth was</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6"/>
              </w:rPr>
              <w:t>increase in revenue from EBA offerings and Cloud</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Offerings.</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Maintenance</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140" w:type="dxa"/>
            <w:vAlign w:val="bottom"/>
          </w:tcPr>
          <w:p>
            <w:pPr>
              <w:spacing w:after="0"/>
              <w:rPr>
                <w:sz w:val="17"/>
                <w:szCs w:val="17"/>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71" w:right="239" w:bottom="1440" w:gutter="0" w:footer="0" w:header="0"/>
        </w:sectPr>
      </w:pPr>
    </w:p>
    <w:bookmarkStart w:id="37" w:name="page38"/>
    <w:bookmarkEnd w:id="37"/>
    <w:p>
      <w:pPr>
        <w:ind w:left="240"/>
        <w:spacing w:after="0"/>
        <w:rPr>
          <w:sz w:val="20"/>
          <w:szCs w:val="20"/>
          <w:color w:val="auto"/>
        </w:rPr>
      </w:pPr>
      <w:r>
        <w:rPr>
          <w:rFonts w:ascii="Times New Roman" w:cs="Times New Roman" w:eastAsia="Times New Roman" w:hAnsi="Times New Roman"/>
          <w:sz w:val="18"/>
          <w:szCs w:val="18"/>
          <w:i w:val="1"/>
          <w:iCs w:val="1"/>
          <w:color w:val="auto"/>
        </w:rPr>
        <w:t>Net Revenue by Product Family</w:t>
      </w:r>
    </w:p>
    <w:p>
      <w:pPr>
        <w:spacing w:after="0" w:line="242"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Our product offerings are focused in four primary product families: Architecture, Engineering and Construction (“AEC”), AutoCAD and AutoCAD LT, Manufacturing (“MFG”), and Media and Entertainment (“M&amp;E”).</w:t>
      </w:r>
    </w:p>
    <w:p>
      <w:pPr>
        <w:spacing w:after="0" w:line="1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2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80" w:type="dxa"/>
            <w:vAlign w:val="bottom"/>
          </w:tcPr>
          <w:p>
            <w:pPr>
              <w:spacing w:after="0"/>
              <w:rPr>
                <w:sz w:val="13"/>
                <w:szCs w:val="13"/>
                <w:color w:val="auto"/>
              </w:rPr>
            </w:pPr>
          </w:p>
        </w:tc>
        <w:tc>
          <w:tcPr>
            <w:tcW w:w="354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3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AEC</w:t>
            </w: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674</w:t>
            </w:r>
          </w:p>
        </w:tc>
        <w:tc>
          <w:tcPr>
            <w:tcW w:w="120" w:type="dxa"/>
            <w:vAlign w:val="bottom"/>
          </w:tcPr>
          <w:p>
            <w:pPr>
              <w:spacing w:after="0"/>
              <w:rPr>
                <w:sz w:val="13"/>
                <w:szCs w:val="13"/>
                <w:color w:val="auto"/>
              </w:rPr>
            </w:pPr>
          </w:p>
        </w:tc>
        <w:tc>
          <w:tcPr>
            <w:tcW w:w="200" w:type="dxa"/>
            <w:vAlign w:val="bottom"/>
          </w:tcPr>
          <w:p>
            <w:pPr>
              <w:jc w:val="right"/>
              <w:ind w:right="41"/>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3"/>
                <w:szCs w:val="13"/>
                <w:color w:val="auto"/>
              </w:rPr>
            </w:pPr>
          </w:p>
        </w:tc>
        <w:tc>
          <w:tcPr>
            <w:tcW w:w="1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582</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7"/>
              </w:rPr>
              <w:t>Increase due to growth in revenue from AEC Collection</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EBA offerings, Revit, and Autodesk Build.</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AutoCAD and AutoCAD LT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376</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8 %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349</w:t>
            </w: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8"/>
              </w:rPr>
              <w:t>Increase due to growth in revenue from both AutoCAD</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AutoCAD LT.</w:t>
            </w: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MFG</w:t>
            </w:r>
          </w:p>
        </w:tc>
        <w:tc>
          <w:tcPr>
            <w:tcW w:w="12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246</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Increase due to growth in revenue from MFG Collectio</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Fusion, EBA offerings, and Inventor.</w:t>
            </w: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M&amp;E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Remained flat compared to the prior period.</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8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Net Revenue by Geographic Area</w:t>
      </w:r>
    </w:p>
    <w:p>
      <w:pPr>
        <w:spacing w:after="0" w:line="14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8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compared to prior fiscal</w:t>
            </w: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1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April</w:t>
            </w:r>
          </w:p>
        </w:tc>
        <w:tc>
          <w:tcPr>
            <w:tcW w:w="200" w:type="dxa"/>
            <w:vAlign w:val="bottom"/>
          </w:tcPr>
          <w:p>
            <w:pPr>
              <w:spacing w:after="0"/>
              <w:rPr>
                <w:sz w:val="16"/>
                <w:szCs w:val="16"/>
                <w:color w:val="auto"/>
              </w:rPr>
            </w:pPr>
          </w:p>
        </w:tc>
        <w:tc>
          <w:tcPr>
            <w:tcW w:w="18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40" w:type="dxa"/>
            <w:vAlign w:val="bottom"/>
          </w:tcPr>
          <w:p>
            <w:pPr>
              <w:spacing w:after="0"/>
              <w:rPr>
                <w:sz w:val="16"/>
                <w:szCs w:val="16"/>
                <w:color w:val="auto"/>
              </w:rPr>
            </w:pPr>
          </w:p>
        </w:tc>
        <w:tc>
          <w:tcPr>
            <w:tcW w:w="152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40"/>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860" w:type="dxa"/>
            <w:vAlign w:val="bottom"/>
            <w:gridSpan w:val="3"/>
            <w:vMerge w:val="continue"/>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720" w:type="dxa"/>
            <w:vAlign w:val="bottom"/>
            <w:tcBorders>
              <w:top w:val="single" w:sz="8" w:color="auto"/>
            </w:tcBorders>
            <w:vMerge w:val="restart"/>
          </w:tcPr>
          <w:p>
            <w:pPr>
              <w:jc w:val="right"/>
              <w:ind w:right="78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3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3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09"/>
        </w:trPr>
        <w:tc>
          <w:tcPr>
            <w:tcW w:w="3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Americas</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1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6"/>
        </w:trPr>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EMEA</w:t>
            </w:r>
          </w:p>
        </w:tc>
        <w:tc>
          <w:tcPr>
            <w:tcW w:w="36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474</w:t>
            </w: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APAC</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3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1,269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Constant currency data not provided at this level.</w:t>
      </w:r>
    </w:p>
    <w:p>
      <w:pPr>
        <w:spacing w:after="0" w:line="206" w:lineRule="exact"/>
        <w:rPr>
          <w:sz w:val="20"/>
          <w:szCs w:val="20"/>
          <w:color w:val="auto"/>
        </w:rPr>
      </w:pPr>
    </w:p>
    <w:p>
      <w:pPr>
        <w:ind w:right="160" w:firstLine="434"/>
        <w:spacing w:after="0" w:line="233" w:lineRule="auto"/>
        <w:rPr>
          <w:sz w:val="20"/>
          <w:szCs w:val="20"/>
          <w:color w:val="auto"/>
        </w:rPr>
      </w:pPr>
      <w:r>
        <w:rPr>
          <w:rFonts w:ascii="Times New Roman" w:cs="Times New Roman" w:eastAsia="Times New Roman" w:hAnsi="Times New Roman"/>
          <w:sz w:val="18"/>
          <w:szCs w:val="18"/>
          <w:color w:val="auto"/>
        </w:rPr>
        <w:t>We believe that international revenue will continue to comprise a majority of our net revenue. Unfavorable economic conditions, including in connection with the ongoing wars between Ukraine and Russia and between Israel and Hamas (and any related political or economic responses and counter-responses or otherwise by various global actors or the general effect on the global economy), in the countries that contribute a significant portion of our net revenue, including in emerging economies such as Brazil, India, and China, has had and may continue to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69"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Net Revenue by Sales Channel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vMerge w:val="restart"/>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0" w:type="dxa"/>
            <w:vAlign w:val="bottom"/>
          </w:tcPr>
          <w:p>
            <w:pPr>
              <w:spacing w:after="0"/>
              <w:rPr>
                <w:sz w:val="1"/>
                <w:szCs w:val="1"/>
                <w:color w:val="auto"/>
              </w:rPr>
            </w:pPr>
          </w:p>
        </w:tc>
      </w:tr>
      <w:tr>
        <w:trPr>
          <w:trHeight w:val="190"/>
        </w:trPr>
        <w:tc>
          <w:tcPr>
            <w:tcW w:w="632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33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April 30, 2024</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9"/>
              </w:rPr>
              <w:t>April 30, 2023</w:t>
            </w:r>
          </w:p>
        </w:tc>
        <w:tc>
          <w:tcPr>
            <w:tcW w:w="0" w:type="dxa"/>
            <w:vAlign w:val="bottom"/>
          </w:tcPr>
          <w:p>
            <w:pPr>
              <w:spacing w:after="0"/>
              <w:rPr>
                <w:sz w:val="1"/>
                <w:szCs w:val="1"/>
                <w:color w:val="auto"/>
              </w:rPr>
            </w:pPr>
          </w:p>
        </w:tc>
      </w:tr>
      <w:tr>
        <w:trPr>
          <w:trHeight w:val="24"/>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Indirect</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Pr>
          <w:p>
            <w:pPr>
              <w:spacing w:after="0"/>
              <w:rPr>
                <w:sz w:val="18"/>
                <w:szCs w:val="18"/>
                <w:color w:val="auto"/>
              </w:rPr>
            </w:pP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Direct</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0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anticipate that our revenue by direct sales channel will continue to increase as a percentage of total net revenue. With the continued growth of our online Autodesk branded store and the introduction of our new transaction model, we will be decreasing our sales through value-added resellers and distributors and transacting directly with more end customers. We expect our indirect channel will continue to transact and support a considerable portion of our customers, particularly in emerging regions. See further discussion regarding our new transaction model under the heading “Strategy.”</w:t>
      </w: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Net Revenue by Product Type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960" w:type="dxa"/>
            <w:vAlign w:val="bottom"/>
          </w:tcPr>
          <w:p>
            <w:pPr>
              <w:spacing w:after="0"/>
              <w:rPr>
                <w:sz w:val="16"/>
                <w:szCs w:val="16"/>
                <w:color w:val="auto"/>
              </w:rPr>
            </w:pP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540" w:type="dxa"/>
            <w:vAlign w:val="bottom"/>
            <w:gridSpan w:val="3"/>
            <w:vMerge w:val="continue"/>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32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line="20" w:lineRule="exact"/>
              <w:rPr>
                <w:sz w:val="1"/>
                <w:szCs w:val="1"/>
                <w:color w:val="auto"/>
              </w:rPr>
            </w:pPr>
          </w:p>
        </w:tc>
      </w:tr>
      <w:tr>
        <w:trPr>
          <w:trHeight w:val="191"/>
        </w:trPr>
        <w:tc>
          <w:tcPr>
            <w:tcW w:w="2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April 30, 2024</w:t>
            </w: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00" w:type="dxa"/>
            <w:vAlign w:val="bottom"/>
          </w:tcPr>
          <w:p>
            <w:pPr>
              <w:spacing w:after="0"/>
              <w:rPr>
                <w:sz w:val="16"/>
                <w:szCs w:val="16"/>
                <w:color w:val="auto"/>
              </w:rPr>
            </w:pP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96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Design</w:t>
            </w:r>
          </w:p>
        </w:tc>
        <w:tc>
          <w:tcPr>
            <w:tcW w:w="200" w:type="dxa"/>
            <w:vAlign w:val="bottom"/>
          </w:tcPr>
          <w:p>
            <w:pPr>
              <w:jc w:val="right"/>
              <w:ind w:right="24"/>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1,196</w:t>
            </w:r>
          </w:p>
        </w:tc>
        <w:tc>
          <w:tcPr>
            <w:tcW w:w="120" w:type="dxa"/>
            <w:vAlign w:val="bottom"/>
          </w:tcPr>
          <w:p>
            <w:pPr>
              <w:spacing w:after="0"/>
              <w:rPr>
                <w:sz w:val="13"/>
                <w:szCs w:val="13"/>
                <w:color w:val="auto"/>
              </w:rPr>
            </w:pPr>
          </w:p>
        </w:tc>
        <w:tc>
          <w:tcPr>
            <w:tcW w:w="180" w:type="dxa"/>
            <w:vAlign w:val="bottom"/>
          </w:tcPr>
          <w:p>
            <w:pPr>
              <w:jc w:val="right"/>
              <w:ind w:right="21"/>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110</w:t>
            </w:r>
          </w:p>
        </w:tc>
        <w:tc>
          <w:tcPr>
            <w:tcW w:w="11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3"/>
                <w:szCs w:val="13"/>
                <w:color w:val="auto"/>
              </w:rPr>
            </w:pPr>
          </w:p>
        </w:tc>
        <w:tc>
          <w:tcPr>
            <w:tcW w:w="18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1,086</w:t>
            </w:r>
          </w:p>
        </w:tc>
        <w:tc>
          <w:tcPr>
            <w:tcW w:w="100" w:type="dxa"/>
            <w:vAlign w:val="bottom"/>
          </w:tcPr>
          <w:p>
            <w:pPr>
              <w:spacing w:after="0"/>
              <w:rPr>
                <w:sz w:val="13"/>
                <w:szCs w:val="13"/>
                <w:color w:val="auto"/>
              </w:rPr>
            </w:pPr>
          </w:p>
        </w:tc>
        <w:tc>
          <w:tcPr>
            <w:tcW w:w="32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growth in AEC</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collections, AutoCAD Family, and EBA offerings.</w:t>
            </w:r>
          </w:p>
        </w:tc>
        <w:tc>
          <w:tcPr>
            <w:tcW w:w="0" w:type="dxa"/>
            <w:vAlign w:val="bottom"/>
          </w:tcPr>
          <w:p>
            <w:pPr>
              <w:spacing w:after="0"/>
              <w:rPr>
                <w:sz w:val="1"/>
                <w:szCs w:val="1"/>
                <w:color w:val="auto"/>
              </w:rPr>
            </w:pPr>
          </w:p>
        </w:tc>
      </w:tr>
      <w:tr>
        <w:trPr>
          <w:trHeight w:val="160"/>
        </w:trPr>
        <w:tc>
          <w:tcPr>
            <w:tcW w:w="296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Make</w:t>
            </w: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24</w:t>
            </w:r>
          </w:p>
        </w:tc>
        <w:tc>
          <w:tcPr>
            <w:tcW w:w="1140" w:type="dxa"/>
            <w:vAlign w:val="bottom"/>
            <w:gridSpan w:val="2"/>
            <w:shd w:val="clear" w:color="auto" w:fill="CCEEFF"/>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3"/>
                <w:szCs w:val="13"/>
                <w:color w:val="auto"/>
              </w:rPr>
            </w:pPr>
          </w:p>
        </w:tc>
        <w:tc>
          <w:tcPr>
            <w:tcW w:w="32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primarily due to growth in revenue from</w:t>
            </w: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Autodesk Construction Cloud and Fusion.</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1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Cost of Revenue and Operating Expenses</w:t>
      </w:r>
    </w:p>
    <w:p>
      <w:pPr>
        <w:spacing w:after="0" w:line="242"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Cost of subscription and maintenance revenue includes the labor costs of providing product support to our subscription and maintenance customers, SaaS vendor costs and allocated IT costs, facilities costs, professional services fees related to operating our network and cloud infrastructure, royalties, depreciation expense and operating lease payments associated with computer equipment, data center costs, salaries, related expenses of network operations, stock-based compensation expense, and gains and losses on our operating expense cash flow hedges.</w:t>
      </w:r>
    </w:p>
    <w:p>
      <w:pPr>
        <w:spacing w:after="0" w:line="210"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Cost of other revenue includes labor costs associated with product setup,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w:t>
      </w:r>
    </w:p>
    <w:p>
      <w:pPr>
        <w:spacing w:after="0" w:line="206"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Cost of revenue, at least over the near term, is affected by labor costs, hosting costs for our cloud offerings,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spacing w:after="0" w:line="206"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Marketing and sales expenses include salaries, bonuses, benefits, and stock-based compensation expense for our marketing and sales employees, the expense of travel, entertainment, and training for such personnel, sales and dealer commissions, and the costs of programs aimed at increasing revenue, such as advertising, trade shows and expositions, and various sales and promotional programs. Marketing and sales expenses also include SaaS vendor costs and allocated IT costs,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9" w:name="page40"/>
    <w:bookmarkEnd w:id="39"/>
    <w:p>
      <w:pPr>
        <w:ind w:right="480"/>
        <w:spacing w:after="0" w:line="268" w:lineRule="auto"/>
        <w:rPr>
          <w:sz w:val="20"/>
          <w:szCs w:val="20"/>
          <w:color w:val="auto"/>
        </w:rPr>
      </w:pPr>
      <w:r>
        <w:rPr>
          <w:rFonts w:ascii="Times New Roman" w:cs="Times New Roman" w:eastAsia="Times New Roman" w:hAnsi="Times New Roman"/>
          <w:sz w:val="18"/>
          <w:szCs w:val="18"/>
          <w:color w:val="auto"/>
        </w:rPr>
        <w:t>payment processing fees, the cost of supplies and equipment, gains and losses on our operating expense cash flow hedges, facilities costs, and labor costs associated with sales and order management.</w:t>
      </w:r>
    </w:p>
    <w:p>
      <w:pPr>
        <w:spacing w:after="0" w:line="196" w:lineRule="exact"/>
        <w:rPr>
          <w:sz w:val="20"/>
          <w:szCs w:val="20"/>
          <w:color w:val="auto"/>
        </w:rPr>
      </w:pPr>
    </w:p>
    <w:p>
      <w:pPr>
        <w:ind w:right="100" w:firstLine="434"/>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SaaS vendor costs and allocated IT costs, gains and losses on our operating expense cash flow hedges, and facilities costs.</w:t>
      </w:r>
    </w:p>
    <w:p>
      <w:pPr>
        <w:spacing w:after="0" w:line="210" w:lineRule="exact"/>
        <w:rPr>
          <w:sz w:val="20"/>
          <w:szCs w:val="20"/>
          <w:color w:val="auto"/>
        </w:rPr>
      </w:pP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include salaries, bonuses, benefits, and stock-based compensation expense for our CEO, finance, human resources, and legal employees, as well as professional fees for legal and accounting services, SaaS vendor costs and net IT costs, certain foreign business taxes, gains and losses on our operating expense cash flow hedges, expense of travel, entertainment, and training, facilities costs, acquisition-related costs, and the cost of supplies and equipment.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120" w:type="dxa"/>
            <w:vAlign w:val="bottom"/>
          </w:tcPr>
          <w:p>
            <w:pPr>
              <w:spacing w:after="0"/>
              <w:rPr>
                <w:sz w:val="13"/>
                <w:szCs w:val="13"/>
                <w:color w:val="auto"/>
              </w:rPr>
            </w:pPr>
          </w:p>
        </w:tc>
        <w:tc>
          <w:tcPr>
            <w:tcW w:w="15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40" w:type="dxa"/>
            <w:vAlign w:val="bottom"/>
          </w:tcPr>
          <w:p>
            <w:pPr>
              <w:spacing w:after="0"/>
              <w:rPr>
                <w:sz w:val="13"/>
                <w:szCs w:val="13"/>
                <w:color w:val="auto"/>
              </w:rPr>
            </w:pPr>
          </w:p>
        </w:tc>
        <w:tc>
          <w:tcPr>
            <w:tcW w:w="7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64"/>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40" w:type="dxa"/>
            <w:vAlign w:val="bottom"/>
          </w:tcPr>
          <w:p>
            <w:pPr>
              <w:spacing w:after="0"/>
              <w:rPr>
                <w:sz w:val="13"/>
                <w:szCs w:val="13"/>
                <w:color w:val="auto"/>
              </w:rPr>
            </w:pPr>
          </w:p>
        </w:tc>
        <w:tc>
          <w:tcPr>
            <w:tcW w:w="8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120" w:type="dxa"/>
            <w:vAlign w:val="bottom"/>
          </w:tcPr>
          <w:p>
            <w:pPr>
              <w:spacing w:after="0"/>
              <w:rPr>
                <w:sz w:val="13"/>
                <w:szCs w:val="13"/>
                <w:color w:val="auto"/>
              </w:rPr>
            </w:pPr>
          </w:p>
        </w:tc>
        <w:tc>
          <w:tcPr>
            <w:tcW w:w="600" w:type="dxa"/>
            <w:vAlign w:val="bottom"/>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64"/>
              <w:spacing w:after="0" w:line="158"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120" w:type="dxa"/>
            <w:vAlign w:val="bottom"/>
          </w:tcPr>
          <w:p>
            <w:pPr>
              <w:spacing w:after="0"/>
              <w:rPr>
                <w:sz w:val="13"/>
                <w:szCs w:val="13"/>
                <w:color w:val="auto"/>
              </w:rPr>
            </w:pPr>
          </w:p>
        </w:tc>
        <w:tc>
          <w:tcPr>
            <w:tcW w:w="482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2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4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 and maintenance</w:t>
            </w: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6"/>
                <w:szCs w:val="16"/>
                <w:color w:val="auto"/>
              </w:rPr>
              <w:t>4</w:t>
            </w:r>
          </w:p>
        </w:tc>
        <w:tc>
          <w:tcPr>
            <w:tcW w:w="8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4 %</w:t>
            </w:r>
          </w:p>
        </w:tc>
        <w:tc>
          <w:tcPr>
            <w:tcW w:w="10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employee related costs driven by higher</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headcount.</w:t>
            </w:r>
          </w:p>
        </w:tc>
        <w:tc>
          <w:tcPr>
            <w:tcW w:w="0" w:type="dxa"/>
            <w:vAlign w:val="bottom"/>
          </w:tcPr>
          <w:p>
            <w:pPr>
              <w:spacing w:after="0"/>
              <w:rPr>
                <w:sz w:val="1"/>
                <w:szCs w:val="1"/>
                <w:color w:val="auto"/>
              </w:rPr>
            </w:pPr>
          </w:p>
        </w:tc>
      </w:tr>
      <w:tr>
        <w:trPr>
          <w:trHeight w:val="212"/>
        </w:trPr>
        <w:tc>
          <w:tcPr>
            <w:tcW w:w="2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Amortization of developed</w:t>
            </w: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6"/>
                <w:szCs w:val="16"/>
                <w:color w:val="auto"/>
              </w:rPr>
              <w:t>6</w:t>
            </w:r>
          </w:p>
        </w:tc>
        <w:tc>
          <w:tcPr>
            <w:tcW w:w="8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55 %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is primarily due to amortization of acquired developed</w:t>
            </w:r>
          </w:p>
        </w:tc>
        <w:tc>
          <w:tcPr>
            <w:tcW w:w="0" w:type="dxa"/>
            <w:vAlign w:val="bottom"/>
          </w:tcPr>
          <w:p>
            <w:pPr>
              <w:spacing w:after="0"/>
              <w:rPr>
                <w:sz w:val="1"/>
                <w:szCs w:val="1"/>
                <w:color w:val="auto"/>
              </w:rPr>
            </w:pPr>
          </w:p>
        </w:tc>
      </w:tr>
      <w:tr>
        <w:trPr>
          <w:trHeight w:val="158"/>
        </w:trPr>
        <w:tc>
          <w:tcPr>
            <w:tcW w:w="2820" w:type="dxa"/>
            <w:vAlign w:val="bottom"/>
          </w:tcPr>
          <w:p>
            <w:pPr>
              <w:ind w:left="500"/>
              <w:spacing w:after="0" w:line="158" w:lineRule="exact"/>
              <w:rPr>
                <w:sz w:val="20"/>
                <w:szCs w:val="20"/>
                <w:color w:val="auto"/>
              </w:rPr>
            </w:pPr>
            <w:r>
              <w:rPr>
                <w:rFonts w:ascii="Times New Roman" w:cs="Times New Roman" w:eastAsia="Times New Roman" w:hAnsi="Times New Roman"/>
                <w:sz w:val="16"/>
                <w:szCs w:val="16"/>
                <w:color w:val="auto"/>
              </w:rPr>
              <w:t>technologies</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technologies related to acquisitions in fiscal 2024 and the first quarter of</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fiscal 2025.</w:t>
            </w:r>
          </w:p>
        </w:tc>
        <w:tc>
          <w:tcPr>
            <w:tcW w:w="0" w:type="dxa"/>
            <w:vAlign w:val="bottom"/>
          </w:tcPr>
          <w:p>
            <w:pPr>
              <w:spacing w:after="0"/>
              <w:rPr>
                <w:sz w:val="1"/>
                <w:szCs w:val="1"/>
                <w:color w:val="auto"/>
              </w:rPr>
            </w:pPr>
          </w:p>
        </w:tc>
      </w:tr>
      <w:tr>
        <w:trPr>
          <w:trHeight w:val="231"/>
        </w:trPr>
        <w:tc>
          <w:tcPr>
            <w:tcW w:w="28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cost of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Marketing and sales</w:t>
            </w: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6"/>
                <w:szCs w:val="16"/>
                <w:color w:val="auto"/>
              </w:rPr>
              <w:t>13</w:t>
            </w:r>
          </w:p>
        </w:tc>
        <w:tc>
          <w:tcPr>
            <w:tcW w:w="8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456</w:t>
            </w: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due to employee related costs primarily related to internal sales</w:t>
            </w: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commissions, an increase in cloud hosting costs, as well as an increase in</w:t>
            </w: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sales commissions to Solution Providers due to the recognition of these</w:t>
            </w: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costs to marketing and sales expense under the new transaction model,</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partially offset by an increase in capitalized software costs.</w:t>
            </w:r>
          </w:p>
        </w:tc>
        <w:tc>
          <w:tcPr>
            <w:tcW w:w="0" w:type="dxa"/>
            <w:vAlign w:val="bottom"/>
          </w:tcPr>
          <w:p>
            <w:pPr>
              <w:spacing w:after="0"/>
              <w:rPr>
                <w:sz w:val="1"/>
                <w:szCs w:val="1"/>
                <w:color w:val="auto"/>
              </w:rPr>
            </w:pPr>
          </w:p>
        </w:tc>
      </w:tr>
      <w:tr>
        <w:trPr>
          <w:trHeight w:val="160"/>
        </w:trPr>
        <w:tc>
          <w:tcPr>
            <w:tcW w:w="28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
              <w:spacing w:after="0" w:line="160" w:lineRule="exact"/>
              <w:rPr>
                <w:sz w:val="20"/>
                <w:szCs w:val="20"/>
                <w:color w:val="auto"/>
              </w:rPr>
            </w:pPr>
            <w:r>
              <w:rPr>
                <w:rFonts w:ascii="Times New Roman" w:cs="Times New Roman" w:eastAsia="Times New Roman" w:hAnsi="Times New Roman"/>
                <w:sz w:val="16"/>
                <w:szCs w:val="16"/>
                <w:color w:val="auto"/>
              </w:rPr>
              <w:t>19</w:t>
            </w:r>
          </w:p>
        </w:tc>
        <w:tc>
          <w:tcPr>
            <w:tcW w:w="840" w:type="dxa"/>
            <w:vAlign w:val="bottom"/>
            <w:gridSpan w:val="2"/>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6 %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327</w:t>
            </w:r>
          </w:p>
        </w:tc>
        <w:tc>
          <w:tcPr>
            <w:tcW w:w="120" w:type="dxa"/>
            <w:vAlign w:val="bottom"/>
            <w:shd w:val="clear" w:color="auto" w:fill="CCEEFF"/>
          </w:tcPr>
          <w:p>
            <w:pPr>
              <w:spacing w:after="0"/>
              <w:rPr>
                <w:sz w:val="13"/>
                <w:szCs w:val="13"/>
                <w:color w:val="auto"/>
              </w:rPr>
            </w:pPr>
          </w:p>
        </w:tc>
        <w:tc>
          <w:tcPr>
            <w:tcW w:w="48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primarily due to employee-related costs driven by higher</w:t>
            </w:r>
          </w:p>
        </w:tc>
        <w:tc>
          <w:tcPr>
            <w:tcW w:w="0" w:type="dxa"/>
            <w:vAlign w:val="bottom"/>
          </w:tcPr>
          <w:p>
            <w:pPr>
              <w:spacing w:after="0"/>
              <w:rPr>
                <w:sz w:val="1"/>
                <w:szCs w:val="1"/>
                <w:color w:val="auto"/>
              </w:rPr>
            </w:pPr>
          </w:p>
        </w:tc>
      </w:tr>
      <w:tr>
        <w:trPr>
          <w:trHeight w:val="211"/>
        </w:trPr>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headcount and merit increases as well as an increase in cloud hosting costs.</w:t>
            </w:r>
          </w:p>
        </w:tc>
        <w:tc>
          <w:tcPr>
            <w:tcW w:w="0" w:type="dxa"/>
            <w:vAlign w:val="bottom"/>
          </w:tcPr>
          <w:p>
            <w:pPr>
              <w:spacing w:after="0"/>
              <w:rPr>
                <w:sz w:val="1"/>
                <w:szCs w:val="1"/>
                <w:color w:val="auto"/>
              </w:rPr>
            </w:pPr>
          </w:p>
        </w:tc>
      </w:tr>
      <w:tr>
        <w:trPr>
          <w:trHeight w:val="158"/>
        </w:trPr>
        <w:tc>
          <w:tcPr>
            <w:tcW w:w="28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6"/>
                <w:szCs w:val="16"/>
                <w:color w:val="auto"/>
              </w:rPr>
              <w:t>23</w:t>
            </w:r>
          </w:p>
        </w:tc>
        <w:tc>
          <w:tcPr>
            <w:tcW w:w="8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employee-related costs driven by higher</w:t>
            </w: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headcount as well as an increase in acquisition-related costs and cloud</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hosting costs.</w:t>
            </w:r>
          </w:p>
        </w:tc>
        <w:tc>
          <w:tcPr>
            <w:tcW w:w="0" w:type="dxa"/>
            <w:vAlign w:val="bottom"/>
          </w:tcPr>
          <w:p>
            <w:pPr>
              <w:spacing w:after="0"/>
              <w:rPr>
                <w:sz w:val="1"/>
                <w:szCs w:val="1"/>
                <w:color w:val="auto"/>
              </w:rPr>
            </w:pPr>
          </w:p>
        </w:tc>
      </w:tr>
      <w:tr>
        <w:trPr>
          <w:trHeight w:val="160"/>
        </w:trPr>
        <w:tc>
          <w:tcPr>
            <w:tcW w:w="28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Amortization of purchased intangibles</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
              <w:spacing w:after="0" w:line="160" w:lineRule="exact"/>
              <w:rPr>
                <w:sz w:val="20"/>
                <w:szCs w:val="20"/>
                <w:color w:val="auto"/>
              </w:rPr>
            </w:pPr>
            <w:r>
              <w:rPr>
                <w:rFonts w:ascii="Times New Roman" w:cs="Times New Roman" w:eastAsia="Times New Roman" w:hAnsi="Times New Roman"/>
                <w:sz w:val="16"/>
                <w:szCs w:val="16"/>
                <w:color w:val="auto"/>
              </w:rPr>
              <w:t>1</w:t>
            </w:r>
          </w:p>
        </w:tc>
        <w:tc>
          <w:tcPr>
            <w:tcW w:w="840" w:type="dxa"/>
            <w:vAlign w:val="bottom"/>
            <w:gridSpan w:val="2"/>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3"/>
                <w:szCs w:val="13"/>
                <w:color w:val="auto"/>
              </w:rPr>
            </w:pPr>
          </w:p>
        </w:tc>
        <w:tc>
          <w:tcPr>
            <w:tcW w:w="48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is primarily due to amortization of intangible assets related to</w:t>
            </w:r>
          </w:p>
        </w:tc>
        <w:tc>
          <w:tcPr>
            <w:tcW w:w="0" w:type="dxa"/>
            <w:vAlign w:val="bottom"/>
          </w:tcPr>
          <w:p>
            <w:pPr>
              <w:spacing w:after="0"/>
              <w:rPr>
                <w:sz w:val="1"/>
                <w:szCs w:val="1"/>
                <w:color w:val="auto"/>
              </w:rPr>
            </w:pPr>
          </w:p>
        </w:tc>
      </w:tr>
      <w:tr>
        <w:trPr>
          <w:trHeight w:val="158"/>
        </w:trPr>
        <w:tc>
          <w:tcPr>
            <w:tcW w:w="2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w w:val="99"/>
              </w:rPr>
              <w:t>acquisitions in the first quarter of fiscal 2025 offset by the full amortization</w:t>
            </w:r>
          </w:p>
        </w:tc>
        <w:tc>
          <w:tcPr>
            <w:tcW w:w="0" w:type="dxa"/>
            <w:vAlign w:val="bottom"/>
          </w:tcPr>
          <w:p>
            <w:pPr>
              <w:spacing w:after="0"/>
              <w:rPr>
                <w:sz w:val="1"/>
                <w:szCs w:val="1"/>
                <w:color w:val="auto"/>
              </w:rPr>
            </w:pPr>
          </w:p>
        </w:tc>
      </w:tr>
      <w:tr>
        <w:trPr>
          <w:trHeight w:val="211"/>
        </w:trPr>
        <w:tc>
          <w:tcPr>
            <w:tcW w:w="2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previously acquired intangible assets.</w:t>
            </w:r>
          </w:p>
        </w:tc>
        <w:tc>
          <w:tcPr>
            <w:tcW w:w="0" w:type="dxa"/>
            <w:vAlign w:val="bottom"/>
          </w:tcPr>
          <w:p>
            <w:pPr>
              <w:spacing w:after="0"/>
              <w:rPr>
                <w:sz w:val="1"/>
                <w:szCs w:val="1"/>
                <w:color w:val="auto"/>
              </w:rPr>
            </w:pPr>
          </w:p>
        </w:tc>
      </w:tr>
      <w:tr>
        <w:trPr>
          <w:trHeight w:val="202"/>
        </w:trPr>
        <w:tc>
          <w:tcPr>
            <w:tcW w:w="2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right="20"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highlights our expectation for the absolute dollar change and percent of revenue change between the second quarter of fiscal 2025, as compared to the second quarter of fiscal 2024:</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Absolute dollar impact</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 of net revenue impact</w:t>
            </w:r>
          </w:p>
        </w:tc>
      </w:tr>
      <w:tr>
        <w:trPr>
          <w:trHeight w:val="24"/>
        </w:trPr>
        <w:tc>
          <w:tcPr>
            <w:tcW w:w="66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0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Increase</w:t>
            </w:r>
          </w:p>
        </w:tc>
        <w:tc>
          <w:tcPr>
            <w:tcW w:w="14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Flat</w:t>
            </w: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Marketing and sales</w:t>
            </w: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Increase</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Decrease</w:t>
            </w:r>
          </w:p>
        </w:tc>
      </w:tr>
      <w:tr>
        <w:trPr>
          <w:trHeight w:val="212"/>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3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7"/>
              </w:rPr>
              <w:t>Increase</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Flat</w:t>
            </w: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Increase</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Flat</w:t>
            </w:r>
          </w:p>
        </w:tc>
      </w:tr>
      <w:tr>
        <w:trPr>
          <w:trHeight w:val="212"/>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23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6"/>
              </w:rPr>
              <w:t>Flat</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Flat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0" w:name="page41"/>
    <w:bookmarkEnd w:id="40"/>
    <w:p>
      <w:pPr>
        <w:ind w:left="240"/>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components of interest and other income (expense),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540" w:type="dxa"/>
            <w:vAlign w:val="bottom"/>
            <w:tcBorders>
              <w:bottom w:val="single" w:sz="8" w:color="auto"/>
            </w:tcBorders>
            <w:gridSpan w:val="4"/>
            <w:shd w:val="clear" w:color="auto" w:fill="CCEEFF"/>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84"/>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investment income, net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foreign currency</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2"/>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right="220" w:firstLine="395"/>
        <w:spacing w:after="0" w:line="256" w:lineRule="auto"/>
        <w:rPr>
          <w:sz w:val="20"/>
          <w:szCs w:val="20"/>
          <w:color w:val="auto"/>
        </w:rPr>
      </w:pPr>
      <w:r>
        <w:rPr>
          <w:rFonts w:ascii="Times New Roman" w:cs="Times New Roman" w:eastAsia="Times New Roman" w:hAnsi="Times New Roman"/>
          <w:sz w:val="18"/>
          <w:szCs w:val="18"/>
          <w:color w:val="auto"/>
        </w:rPr>
        <w:t>Interest and other income, net, increased by $6 million during the three months ended April 30, 2024, as compared to the same period in the prior fiscal year. The increase was primarily due to an increase in interest income and an increase in gains for investments in debt and equity securities that are held in a rabbi trust under non-qualified deferred compensation plans in the current period as compared to the prior period.</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Interest expense and investment income fluctuates based on average cash, marketable securities, debt balances, average maturities, and interest rates.</w:t>
      </w:r>
    </w:p>
    <w:p>
      <w:pPr>
        <w:spacing w:after="0" w:line="240"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4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93" w:lineRule="exact"/>
        <w:rPr>
          <w:sz w:val="20"/>
          <w:szCs w:val="20"/>
          <w:color w:val="auto"/>
        </w:rPr>
      </w:pPr>
    </w:p>
    <w:p>
      <w:pPr>
        <w:jc w:val="both"/>
        <w:ind w:right="160" w:firstLine="434"/>
        <w:spacing w:after="0" w:line="237" w:lineRule="auto"/>
        <w:rPr>
          <w:sz w:val="20"/>
          <w:szCs w:val="20"/>
          <w:color w:val="auto"/>
        </w:rPr>
      </w:pPr>
      <w:r>
        <w:rPr>
          <w:rFonts w:ascii="Times New Roman" w:cs="Times New Roman" w:eastAsia="Times New Roman" w:hAnsi="Times New Roman"/>
          <w:sz w:val="18"/>
          <w:szCs w:val="18"/>
          <w:color w:val="auto"/>
        </w:rPr>
        <w:t>We had an income tax expense of $57 million, relative to pre-tax income of $309 million for the three months ended April 30, 2024, and an income tax expense of $60 million, relative to pre-tax income of $221 million for the three months ended April 30, 2023. Income tax expense for the three months ended April 30, 2024, reflects U.S. and foreign tax expense, including withholding tax, reduced by tax-deductible stock-based compensation and the foreign derived intangibles tax benefit in the U.S.</w:t>
      </w:r>
    </w:p>
    <w:p>
      <w:pPr>
        <w:spacing w:after="0" w:line="209" w:lineRule="exact"/>
        <w:rPr>
          <w:sz w:val="20"/>
          <w:szCs w:val="20"/>
          <w:color w:val="auto"/>
        </w:rPr>
      </w:pPr>
    </w:p>
    <w:p>
      <w:pPr>
        <w:ind w:right="40" w:firstLine="434"/>
        <w:spacing w:after="0" w:line="241" w:lineRule="auto"/>
        <w:rPr>
          <w:sz w:val="20"/>
          <w:szCs w:val="20"/>
          <w:color w:val="auto"/>
        </w:rPr>
      </w:pPr>
      <w:r>
        <w:rPr>
          <w:rFonts w:ascii="Times New Roman" w:cs="Times New Roman" w:eastAsia="Times New Roman" w:hAnsi="Times New Roman"/>
          <w:sz w:val="18"/>
          <w:szCs w:val="18"/>
          <w:color w:val="auto"/>
        </w:rPr>
        <w:t>The U.S. Tax Cut and Jobs Act (“Tax Act”) enacted on December 22, 2017, eliminates the option to deduct research and development expenditures and requires taxpayers to capitalize and amortize such expenditures over five or fifteen years beginning in fiscal 2023. Although Congress is considering legislation that would defer the capitalization and amortization requirement, there is no assurance that the provision will be repealed or otherwise modified.</w:t>
      </w:r>
    </w:p>
    <w:p>
      <w:pPr>
        <w:spacing w:after="0" w:line="205" w:lineRule="exact"/>
        <w:rPr>
          <w:sz w:val="20"/>
          <w:szCs w:val="20"/>
          <w:color w:val="auto"/>
        </w:rPr>
      </w:pPr>
    </w:p>
    <w:p>
      <w:pPr>
        <w:ind w:firstLine="434"/>
        <w:spacing w:after="0" w:line="232" w:lineRule="auto"/>
        <w:rPr>
          <w:sz w:val="20"/>
          <w:szCs w:val="20"/>
          <w:color w:val="auto"/>
        </w:rPr>
      </w:pPr>
      <w:r>
        <w:rPr>
          <w:rFonts w:ascii="Times New Roman" w:cs="Times New Roman" w:eastAsia="Times New Roman" w:hAnsi="Times New Roman"/>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Autodesk continues to retain a valuation allowance against Portugal, New Zealand, California, Massachusetts, and Michigan deferred tax assets and deferred tax assets that will convert to a capital loss upon reversal in Australia and U.S., as we do not have sufficient income of the appropriate character to benefit these deferred tax assets. Autodesk also established a valuation allowance on the remaining deferred tax assets in Australia as it is more-likely-than-not that these deferred tax assets will not be realized.</w:t>
      </w:r>
    </w:p>
    <w:p>
      <w:pPr>
        <w:spacing w:after="0" w:line="221" w:lineRule="exact"/>
        <w:rPr>
          <w:sz w:val="20"/>
          <w:szCs w:val="20"/>
          <w:color w:val="auto"/>
        </w:rPr>
      </w:pPr>
    </w:p>
    <w:p>
      <w:pPr>
        <w:jc w:val="both"/>
        <w:ind w:right="80" w:firstLine="434"/>
        <w:spacing w:after="0" w:line="256" w:lineRule="auto"/>
        <w:rPr>
          <w:sz w:val="20"/>
          <w:szCs w:val="20"/>
          <w:color w:val="auto"/>
        </w:rPr>
      </w:pPr>
      <w:r>
        <w:rPr>
          <w:rFonts w:ascii="Times New Roman" w:cs="Times New Roman" w:eastAsia="Times New Roman" w:hAnsi="Times New Roman"/>
          <w:sz w:val="18"/>
          <w:szCs w:val="18"/>
          <w:color w:val="auto"/>
        </w:rPr>
        <w:t>As we continually strive to optimize our overall business model, tax planning strategies may become feasible and prudent allowing us to realize many of the deferred tax assets that are offset by a valuation allowance; therefore, we will continue to evaluate the ability to utilize the deferred tax assets each quarter, both in the U.S. and in foreign jurisdictions, based on all available evidence, both positive and negative.</w:t>
      </w:r>
    </w:p>
    <w:p>
      <w:pPr>
        <w:spacing w:after="0" w:line="206" w:lineRule="exact"/>
        <w:rPr>
          <w:sz w:val="20"/>
          <w:szCs w:val="20"/>
          <w:color w:val="auto"/>
        </w:rPr>
      </w:pPr>
    </w:p>
    <w:p>
      <w:pPr>
        <w:ind w:right="220" w:firstLine="395"/>
        <w:spacing w:after="0" w:line="256" w:lineRule="auto"/>
        <w:rPr>
          <w:sz w:val="20"/>
          <w:szCs w:val="20"/>
          <w:color w:val="auto"/>
        </w:rPr>
      </w:pPr>
      <w:r>
        <w:rPr>
          <w:rFonts w:ascii="Times New Roman" w:cs="Times New Roman" w:eastAsia="Times New Roman" w:hAnsi="Times New Roman"/>
          <w:sz w:val="18"/>
          <w:szCs w:val="18"/>
          <w:color w:val="auto"/>
        </w:rPr>
        <w:t>As of April 30, 2024, we had $267 million of gross unrecognized tax benefits, of which $224 million would impact the effective tax rate, if recognized. The remaining $43 million would reduce our valuation allowance, if recognized. The amount of unrecognized tax benefits will immaterially decrease in the next twelve months for statute lapse.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1" w:name="page42"/>
    <w:bookmarkEnd w:id="41"/>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We anticipate that the U.S. Department of Treasury will continue to interpret or issue guidance on how provisions of the Tax Act will be applied or otherwise administered. As future guidance is issued, we may adjust the amounts that we have previously recorded that may materially impact our financial statements.</w:t>
      </w:r>
    </w:p>
    <w:p>
      <w:pPr>
        <w:spacing w:after="0" w:line="206"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A significant amount of our earnings are generated by our European and Asia Pacific subsidiaries. Our future effective tax rates may be adversely affected to the extent earnings are lower than anticipated in countries where we have lower statutory tax rates.</w:t>
      </w:r>
    </w:p>
    <w:p>
      <w:pPr>
        <w:spacing w:after="0" w:line="212"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Signed into law on August 16, 2022 in the U.S., the Inflation Reduction Act contains many revisions to the Internal Revenue Code effective in taxable years beginning after December 31, 2022, including a 15% corporate alternative minimum tax. Autodesk continues to monitor the impact of the Inflation Reduction Act on our consolidated financial statements.</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Signed into law on December 18, 2023 in Ireland, the Finance (No. 2) Act 2023 provides legislation to implement tax principles arising from proposals</w:t>
      </w:r>
    </w:p>
    <w:p>
      <w:pPr>
        <w:spacing w:after="0" w:line="5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made by the Organization for Economic Co-operation and Development to establish a global minimum tax rate of 15%. Autodesk’s assessment of this legislation resulted in additional tax expense having a minimal impact to the consolidated financial statements. Other countries have enacted legislation or are actively considering changes to their tax law. Autodesk will continue to monitor proposed and enacted legislation for potential future impact on its consolidated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Information</w:t>
      </w:r>
    </w:p>
    <w:p>
      <w:pPr>
        <w:spacing w:after="0" w:line="242" w:lineRule="exact"/>
        <w:rPr>
          <w:sz w:val="20"/>
          <w:szCs w:val="20"/>
          <w:color w:val="auto"/>
        </w:rPr>
      </w:pPr>
    </w:p>
    <w:p>
      <w:pPr>
        <w:jc w:val="both"/>
        <w:ind w:right="180" w:firstLine="434"/>
        <w:spacing w:after="0" w:line="303" w:lineRule="auto"/>
        <w:rPr>
          <w:sz w:val="20"/>
          <w:szCs w:val="20"/>
          <w:color w:val="auto"/>
        </w:rPr>
      </w:pPr>
      <w:r>
        <w:rPr>
          <w:rFonts w:ascii="Times New Roman" w:cs="Times New Roman" w:eastAsia="Times New Roman" w:hAnsi="Times New Roman"/>
          <w:sz w:val="16"/>
          <w:szCs w:val="16"/>
          <w:color w:val="auto"/>
        </w:rPr>
        <w:t>In addition to our results determined under GAAP discussed above, we believe the following non-GAAP measures are useful to investors in evaluating our operating performance. For the three months ended April 30, 2024 and 2023, our gross profit, income from operations, operating margin, net income, and diluted net income per share on a GAAP and non-GAAP basis were as follows (in millions except for operating margin and per 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60" w:type="dxa"/>
            <w:vAlign w:val="bottom"/>
          </w:tcPr>
          <w:p>
            <w:pPr>
              <w:spacing w:after="0"/>
              <w:rPr>
                <w:sz w:val="16"/>
                <w:szCs w:val="16"/>
                <w:color w:val="auto"/>
              </w:rPr>
            </w:pP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80" w:type="dxa"/>
            <w:vAlign w:val="bottom"/>
          </w:tcPr>
          <w:p>
            <w:pPr>
              <w:spacing w:after="0"/>
              <w:rPr>
                <w:sz w:val="16"/>
                <w:szCs w:val="16"/>
                <w:color w:val="auto"/>
              </w:rPr>
            </w:pPr>
          </w:p>
        </w:tc>
      </w:tr>
      <w:tr>
        <w:trPr>
          <w:trHeight w:val="24"/>
        </w:trPr>
        <w:tc>
          <w:tcPr>
            <w:tcW w:w="8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4"/>
        </w:trPr>
        <w:tc>
          <w:tcPr>
            <w:tcW w:w="8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r>
      <w:tr>
        <w:trPr>
          <w:trHeight w:val="191"/>
        </w:trPr>
        <w:tc>
          <w:tcPr>
            <w:tcW w:w="8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2"/>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80" w:type="dxa"/>
            <w:vAlign w:val="bottom"/>
          </w:tcPr>
          <w:p>
            <w:pPr>
              <w:spacing w:after="0"/>
              <w:rPr>
                <w:sz w:val="16"/>
                <w:szCs w:val="16"/>
                <w:color w:val="auto"/>
              </w:rPr>
            </w:pPr>
          </w:p>
        </w:tc>
      </w:tr>
      <w:tr>
        <w:trPr>
          <w:trHeight w:val="21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6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4"/>
              </w:rPr>
              <w:t>1,280</w:t>
            </w:r>
          </w:p>
        </w:tc>
        <w:tc>
          <w:tcPr>
            <w:tcW w:w="104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1,142</w:t>
            </w:r>
          </w:p>
        </w:tc>
      </w:tr>
      <w:tr>
        <w:trPr>
          <w:trHeight w:val="209"/>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86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4"/>
              </w:rPr>
              <w:t>1,308</w:t>
            </w:r>
          </w:p>
        </w:tc>
        <w:tc>
          <w:tcPr>
            <w:tcW w:w="104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1,163</w:t>
            </w:r>
          </w:p>
        </w:tc>
      </w:tr>
      <w:tr>
        <w:trPr>
          <w:trHeight w:val="21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86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299</w:t>
            </w:r>
          </w:p>
        </w:tc>
        <w:tc>
          <w:tcPr>
            <w:tcW w:w="104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217</w:t>
            </w:r>
          </w:p>
        </w:tc>
      </w:tr>
      <w:tr>
        <w:trPr>
          <w:trHeight w:val="209"/>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86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490</w:t>
            </w:r>
          </w:p>
        </w:tc>
        <w:tc>
          <w:tcPr>
            <w:tcW w:w="104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404</w:t>
            </w:r>
          </w:p>
        </w:tc>
      </w:tr>
      <w:tr>
        <w:trPr>
          <w:trHeight w:val="21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09"/>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operating margin</w:t>
            </w: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1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252</w:t>
            </w:r>
          </w:p>
        </w:tc>
        <w:tc>
          <w:tcPr>
            <w:tcW w:w="104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161</w:t>
            </w:r>
          </w:p>
        </w:tc>
      </w:tr>
      <w:tr>
        <w:trPr>
          <w:trHeight w:val="209"/>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86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405</w:t>
            </w:r>
          </w:p>
        </w:tc>
        <w:tc>
          <w:tcPr>
            <w:tcW w:w="104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334</w:t>
            </w:r>
          </w:p>
        </w:tc>
      </w:tr>
      <w:tr>
        <w:trPr>
          <w:trHeight w:val="21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diluted net income per share</w:t>
            </w:r>
          </w:p>
        </w:tc>
        <w:tc>
          <w:tcPr>
            <w:tcW w:w="86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1.16</w:t>
            </w:r>
          </w:p>
        </w:tc>
        <w:tc>
          <w:tcPr>
            <w:tcW w:w="104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0.75</w:t>
            </w:r>
          </w:p>
        </w:tc>
      </w:tr>
      <w:tr>
        <w:trPr>
          <w:trHeight w:val="207"/>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diluted net income per share</w:t>
            </w:r>
          </w:p>
        </w:tc>
        <w:tc>
          <w:tcPr>
            <w:tcW w:w="86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1.87</w:t>
            </w:r>
          </w:p>
        </w:tc>
        <w:tc>
          <w:tcPr>
            <w:tcW w:w="104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1.55</w:t>
            </w:r>
          </w:p>
        </w:tc>
      </w:tr>
    </w:tbl>
    <w:p>
      <w:pPr>
        <w:spacing w:after="0" w:line="314"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For our internal budgeting and resource allocation process and as a means to provide consistency in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benefits, credits,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2" w:name="page43"/>
    <w:bookmarkEnd w:id="42"/>
    <w:p>
      <w:pPr>
        <w:ind w:firstLine="395"/>
        <w:spacing w:after="0" w:line="247" w:lineRule="auto"/>
        <w:rPr>
          <w:sz w:val="20"/>
          <w:szCs w:val="20"/>
          <w:color w:val="auto"/>
        </w:rPr>
      </w:pPr>
      <w:r>
        <w:rPr>
          <w:rFonts w:ascii="Times New Roman" w:cs="Times New Roman" w:eastAsia="Times New Roman" w:hAnsi="Times New Roman"/>
          <w:sz w:val="18"/>
          <w:szCs w:val="18"/>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15" w:lineRule="exact"/>
        <w:rPr>
          <w:sz w:val="20"/>
          <w:szCs w:val="20"/>
          <w:color w:val="auto"/>
        </w:rPr>
      </w:pPr>
    </w:p>
    <w:p>
      <w:pPr>
        <w:ind w:right="5280"/>
        <w:spacing w:after="0" w:line="455" w:lineRule="auto"/>
        <w:rPr>
          <w:sz w:val="20"/>
          <w:szCs w:val="20"/>
          <w:color w:val="auto"/>
        </w:rPr>
      </w:pPr>
      <w:r>
        <w:rPr>
          <w:rFonts w:ascii="Times New Roman" w:cs="Times New Roman" w:eastAsia="Times New Roman" w:hAnsi="Times New Roman"/>
          <w:sz w:val="18"/>
          <w:szCs w:val="18"/>
          <w:b w:val="1"/>
          <w:bCs w:val="1"/>
          <w:color w:val="auto"/>
        </w:rPr>
        <w:t xml:space="preserve">Reconciliation of GAAP Financial Measures to Non-GAAP Financial Measures </w:t>
      </w:r>
      <w:r>
        <w:rPr>
          <w:rFonts w:ascii="Times New Roman" w:cs="Times New Roman" w:eastAsia="Times New Roman" w:hAnsi="Times New Roman"/>
          <w:sz w:val="18"/>
          <w:szCs w:val="18"/>
          <w:color w:val="auto"/>
        </w:rPr>
        <w:t>(In millions except for operating margin and per share data):</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2920" w:type="dxa"/>
            <w:vAlign w:val="bottom"/>
            <w:gridSpan w:val="5"/>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4"/>
        </w:trPr>
        <w:tc>
          <w:tcPr>
            <w:tcW w:w="74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74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7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Pr>
          <w:p>
            <w:pPr>
              <w:spacing w:after="0"/>
              <w:rPr>
                <w:sz w:val="16"/>
                <w:szCs w:val="16"/>
                <w:color w:val="auto"/>
              </w:rPr>
            </w:pPr>
          </w:p>
        </w:tc>
      </w:tr>
      <w:tr>
        <w:trPr>
          <w:trHeight w:val="217"/>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4"/>
              </w:rPr>
              <w:t>1,280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1,142</w:t>
            </w:r>
          </w:p>
        </w:tc>
      </w:tr>
      <w:tr>
        <w:trPr>
          <w:trHeight w:val="209"/>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w:t>
            </w:r>
          </w:p>
        </w:tc>
      </w:tr>
      <w:tr>
        <w:trPr>
          <w:trHeight w:val="202"/>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Non-GAAP gross profit</w:t>
            </w:r>
          </w:p>
        </w:tc>
        <w:tc>
          <w:tcPr>
            <w:tcW w:w="8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4"/>
              </w:rPr>
              <w:t>1,308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1,163</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8"/>
        </w:trPr>
        <w:tc>
          <w:tcPr>
            <w:tcW w:w="7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r>
      <w:tr>
        <w:trPr>
          <w:trHeight w:val="212"/>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09"/>
        </w:trPr>
        <w:tc>
          <w:tcPr>
            <w:tcW w:w="74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29"/>
        </w:trPr>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gross margin (1)</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1"/>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217</w:t>
            </w:r>
          </w:p>
        </w:tc>
      </w:tr>
      <w:tr>
        <w:trPr>
          <w:trHeight w:val="209"/>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165</w:t>
            </w:r>
          </w:p>
        </w:tc>
      </w:tr>
      <w:tr>
        <w:trPr>
          <w:trHeight w:val="212"/>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w:t>
            </w:r>
          </w:p>
        </w:tc>
      </w:tr>
      <w:tr>
        <w:trPr>
          <w:trHeight w:val="209"/>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86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Acquisition-related costs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r>
      <w:tr>
        <w:trPr>
          <w:trHeight w:val="202"/>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8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404</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8"/>
        </w:trPr>
        <w:tc>
          <w:tcPr>
            <w:tcW w:w="7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2"/>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09"/>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2"/>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09"/>
        </w:trPr>
        <w:tc>
          <w:tcPr>
            <w:tcW w:w="74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Acquisition-related costs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29"/>
        </w:trPr>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margin (1)</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1"/>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161</w:t>
            </w:r>
          </w:p>
        </w:tc>
      </w:tr>
      <w:tr>
        <w:trPr>
          <w:trHeight w:val="209"/>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165</w:t>
            </w:r>
          </w:p>
        </w:tc>
      </w:tr>
      <w:tr>
        <w:trPr>
          <w:trHeight w:val="212"/>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w:t>
            </w:r>
          </w:p>
        </w:tc>
      </w:tr>
      <w:tr>
        <w:trPr>
          <w:trHeight w:val="209"/>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86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Acquisition-related costs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r>
      <w:tr>
        <w:trPr>
          <w:trHeight w:val="209"/>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Discrete tax provision items</w:t>
            </w:r>
          </w:p>
        </w:tc>
        <w:tc>
          <w:tcPr>
            <w:tcW w:w="860" w:type="dxa"/>
            <w:vAlign w:val="bottom"/>
          </w:tcPr>
          <w:p>
            <w:pPr>
              <w:spacing w:after="0"/>
              <w:rPr>
                <w:sz w:val="18"/>
                <w:szCs w:val="18"/>
                <w:color w:val="auto"/>
              </w:rPr>
            </w:pPr>
          </w:p>
        </w:tc>
        <w:tc>
          <w:tcPr>
            <w:tcW w:w="5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Establishment of valuation allowance on deferred tax assets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4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(8)</w:t>
            </w:r>
          </w:p>
        </w:tc>
      </w:tr>
      <w:tr>
        <w:trPr>
          <w:trHeight w:val="229"/>
        </w:trPr>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334</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43" w:name="page44"/>
    <w:bookmarkEnd w:id="43"/>
    <w:tbl>
      <w:tblPr>
        <w:tblLayout w:type="fixed"/>
        <w:tblInd w:w="46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20" w:type="dxa"/>
            <w:vAlign w:val="bottom"/>
          </w:tcPr>
          <w:p>
            <w:pPr>
              <w:spacing w:after="0"/>
              <w:rPr>
                <w:sz w:val="16"/>
                <w:szCs w:val="16"/>
                <w:color w:val="auto"/>
              </w:rPr>
            </w:pPr>
          </w:p>
        </w:tc>
      </w:tr>
      <w:tr>
        <w:trPr>
          <w:trHeight w:val="24"/>
        </w:trPr>
        <w:tc>
          <w:tcPr>
            <w:tcW w:w="76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4"/>
        </w:trPr>
        <w:tc>
          <w:tcPr>
            <w:tcW w:w="76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r>
      <w:tr>
        <w:trPr>
          <w:trHeight w:val="191"/>
        </w:trPr>
        <w:tc>
          <w:tcPr>
            <w:tcW w:w="7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40" w:type="dxa"/>
            <w:vAlign w:val="bottom"/>
            <w:gridSpan w:val="3"/>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tcPr>
          <w:p>
            <w:pPr>
              <w:spacing w:after="0"/>
              <w:rPr>
                <w:sz w:val="16"/>
                <w:szCs w:val="16"/>
                <w:color w:val="auto"/>
              </w:rPr>
            </w:pPr>
          </w:p>
        </w:tc>
      </w:tr>
      <w:tr>
        <w:trPr>
          <w:trHeight w:val="217"/>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4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2"/>
              </w:rPr>
              <w:t>1.16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r>
      <w:tr>
        <w:trPr>
          <w:trHeight w:val="209"/>
        </w:trPr>
        <w:tc>
          <w:tcPr>
            <w:tcW w:w="7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0.69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r>
      <w:tr>
        <w:trPr>
          <w:trHeight w:val="212"/>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2"/>
              </w:rPr>
              <w:t>0.07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09"/>
        </w:trPr>
        <w:tc>
          <w:tcPr>
            <w:tcW w:w="7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8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0.05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12"/>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Acquisition-related costs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2"/>
              </w:rPr>
              <w:t>0.07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09"/>
        </w:trPr>
        <w:tc>
          <w:tcPr>
            <w:tcW w:w="7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Establishment of valuation allowance on deferred tax assets</w:t>
            </w:r>
          </w:p>
        </w:tc>
        <w:tc>
          <w:tcPr>
            <w:tcW w:w="8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0.02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Discrete tax provision items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(0.06)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(0.03)</w:t>
            </w:r>
          </w:p>
        </w:tc>
      </w:tr>
      <w:tr>
        <w:trPr>
          <w:trHeight w:val="209"/>
        </w:trPr>
        <w:tc>
          <w:tcPr>
            <w:tcW w:w="7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(0.13)</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(0.04)</w:t>
            </w:r>
          </w:p>
        </w:tc>
      </w:tr>
      <w:tr>
        <w:trPr>
          <w:trHeight w:val="229"/>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net income per share</w:t>
            </w:r>
          </w:p>
        </w:tc>
        <w:tc>
          <w:tcPr>
            <w:tcW w:w="84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2"/>
              </w:rPr>
              <w:t>1.87</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may not sum due to rounding.</w:t>
      </w:r>
    </w:p>
    <w:p>
      <w:pPr>
        <w:spacing w:after="0" w:line="219"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non-GAAP financial measures may exclude the following, as applicable:</w:t>
      </w:r>
    </w:p>
    <w:p>
      <w:pPr>
        <w:spacing w:after="0" w:line="238"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expenses. </w:t>
      </w:r>
      <w:r>
        <w:rPr>
          <w:rFonts w:ascii="Times New Roman" w:cs="Times New Roman" w:eastAsia="Times New Roman" w:hAnsi="Times New Roman"/>
          <w:sz w:val="18"/>
          <w:szCs w:val="18"/>
          <w:color w:val="auto"/>
        </w:rPr>
        <w:t>We exclude stock-based compensation expenses from non-GAAP measures primarily because they are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212"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Amortization of developed technologies and purchased intangibles. </w:t>
      </w:r>
      <w:r>
        <w:rPr>
          <w:rFonts w:ascii="Times New Roman" w:cs="Times New Roman" w:eastAsia="Times New Roman" w:hAnsi="Times New Roman"/>
          <w:sz w:val="18"/>
          <w:szCs w:val="18"/>
          <w:color w:val="auto"/>
        </w:rPr>
        <w:t>We incur amortization of acquisition-related developed technologies and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212"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CEO transition costs. </w:t>
      </w:r>
      <w:r>
        <w:rPr>
          <w:rFonts w:ascii="Times New Roman" w:cs="Times New Roman" w:eastAsia="Times New Roman" w:hAnsi="Times New Roman"/>
          <w:sz w:val="18"/>
          <w:szCs w:val="18"/>
          <w:color w:val="auto"/>
        </w:rPr>
        <w:t>We exclude amounts paid to our former CEOs upon departure under the terms of their transition agreements, including severance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212" w:lineRule="exact"/>
        <w:rPr>
          <w:sz w:val="20"/>
          <w:szCs w:val="20"/>
          <w:color w:val="auto"/>
        </w:rPr>
      </w:pPr>
    </w:p>
    <w:p>
      <w:pPr>
        <w:jc w:val="both"/>
        <w:ind w:right="5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This is a non-cash charge to write down goodwill to fair value when there was an indication that the asset was impaired.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204" w:lineRule="exact"/>
        <w:rPr>
          <w:sz w:val="20"/>
          <w:szCs w:val="20"/>
          <w:color w:val="auto"/>
        </w:rPr>
      </w:pPr>
    </w:p>
    <w:p>
      <w:pPr>
        <w:ind w:right="100"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Restructuring and other exit costs, net. </w:t>
      </w:r>
      <w:r>
        <w:rPr>
          <w:rFonts w:ascii="Times New Roman" w:cs="Times New Roman" w:eastAsia="Times New Roman" w:hAnsi="Times New Roman"/>
          <w:sz w:val="16"/>
          <w:szCs w:val="16"/>
          <w:color w:val="auto"/>
        </w:rPr>
        <w:t>These expenses are associated with realigning our business strategies based on current economic conditions.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64" w:lineRule="exact"/>
        <w:rPr>
          <w:sz w:val="20"/>
          <w:szCs w:val="20"/>
          <w:color w:val="auto"/>
        </w:rPr>
      </w:pPr>
    </w:p>
    <w:p>
      <w:pPr>
        <w:ind w:firstLine="395"/>
        <w:spacing w:after="0" w:line="236" w:lineRule="auto"/>
        <w:rPr>
          <w:sz w:val="20"/>
          <w:szCs w:val="20"/>
          <w:color w:val="auto"/>
        </w:rPr>
      </w:pPr>
      <w:r>
        <w:rPr>
          <w:rFonts w:ascii="Times New Roman" w:cs="Times New Roman" w:eastAsia="Times New Roman" w:hAnsi="Times New Roman"/>
          <w:sz w:val="18"/>
          <w:szCs w:val="18"/>
          <w:i w:val="1"/>
          <w:iCs w:val="1"/>
          <w:color w:val="auto"/>
        </w:rPr>
        <w:t>Lease-related asset impairments and other charges. </w:t>
      </w:r>
      <w:r>
        <w:rPr>
          <w:rFonts w:ascii="Times New Roman" w:cs="Times New Roman" w:eastAsia="Times New Roman" w:hAnsi="Times New Roman"/>
          <w:sz w:val="18"/>
          <w:szCs w:val="18"/>
          <w:color w:val="auto"/>
        </w:rPr>
        <w:t> These charges are associated with the optimization of our facilities costs related to leases for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have vacated as a result of our one-time move to a more hybrid remote workforce. In connection with these facility leases, we recognize costs related to the impairment or abandonment of operating lease right-of-use assets, computer equipment, furniture, and leasehold improvements, and other costs. We exclude these charges because these expenses are not reflective of ongoing business and operating results. We believe it is useful for investors to understand the effects of these items on our total operating expenses.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44" w:name="page45"/>
    <w:bookmarkEnd w:id="44"/>
    <w:p>
      <w:pPr>
        <w:jc w:val="both"/>
        <w:ind w:right="8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Acquisition-related costs. </w:t>
      </w:r>
      <w:r>
        <w:rPr>
          <w:rFonts w:ascii="Times New Roman" w:cs="Times New Roman" w:eastAsia="Times New Roman" w:hAnsi="Times New Roman"/>
          <w:sz w:val="18"/>
          <w:szCs w:val="18"/>
          <w:color w:val="auto"/>
        </w:rPr>
        <w:t>We exclude certain acquisition-related costs, including due diligence costs, professional fees in connection with an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financing costs, and certain integration-related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 We believe excluding acquisition-related costs facilitates the comparison of our financial results to our historical operating results and to other companies in our industry.</w:t>
      </w:r>
    </w:p>
    <w:p>
      <w:pPr>
        <w:spacing w:after="0" w:line="212" w:lineRule="exact"/>
        <w:rPr>
          <w:sz w:val="20"/>
          <w:szCs w:val="20"/>
          <w:color w:val="auto"/>
        </w:rPr>
      </w:pPr>
    </w:p>
    <w:p>
      <w:pPr>
        <w:ind w:right="20" w:firstLine="395"/>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Loss (gain) on strategic investments and dispositions. </w:t>
      </w:r>
      <w:r>
        <w:rPr>
          <w:rFonts w:ascii="Times New Roman" w:cs="Times New Roman" w:eastAsia="Times New Roman" w:hAnsi="Times New Roman"/>
          <w:sz w:val="16"/>
          <w:szCs w:val="16"/>
          <w:color w:val="auto"/>
        </w:rPr>
        <w:t>We exclude gains and losses related to our strategic investments and dispositions of strategic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investments, purchased intangibles, and businesses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gain and loss on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85" w:lineRule="exact"/>
        <w:rPr>
          <w:sz w:val="20"/>
          <w:szCs w:val="20"/>
          <w:color w:val="auto"/>
        </w:rPr>
      </w:pPr>
    </w:p>
    <w:p>
      <w:pPr>
        <w:ind w:right="140" w:firstLine="395"/>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Discrete tax provision items. </w:t>
      </w:r>
      <w:r>
        <w:rPr>
          <w:rFonts w:ascii="Times New Roman" w:cs="Times New Roman" w:eastAsia="Times New Roman" w:hAnsi="Times New Roman"/>
          <w:sz w:val="16"/>
          <w:szCs w:val="16"/>
          <w:color w:val="auto"/>
        </w:rPr>
        <w:t>We exclude the GAAP tax provision, including discrete items, from the non-GAAP measure of net income (loss),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spacing w:after="0" w:line="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210" w:lineRule="exact"/>
        <w:rPr>
          <w:sz w:val="20"/>
          <w:szCs w:val="20"/>
          <w:color w:val="auto"/>
        </w:rPr>
      </w:pPr>
    </w:p>
    <w:p>
      <w:pPr>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Establishment (release) of a valuation allowance on certain net deferred tax assets. </w:t>
      </w:r>
      <w:r>
        <w:rPr>
          <w:rFonts w:ascii="Times New Roman" w:cs="Times New Roman" w:eastAsia="Times New Roman" w:hAnsi="Times New Roman"/>
          <w:sz w:val="18"/>
          <w:szCs w:val="18"/>
          <w:color w:val="auto"/>
        </w:rPr>
        <w:t>This is a non-cash charge to record or to release a valuation allowance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certain deferred tax assets. As explained above, management finds it useful to exclude certain non-cash charges to assess the appropriate level of various cash expenses to assist in budgeting, planning, and forecasting future periods.</w:t>
      </w:r>
    </w:p>
    <w:p>
      <w:pPr>
        <w:spacing w:after="0" w:line="204" w:lineRule="exact"/>
        <w:rPr>
          <w:sz w:val="20"/>
          <w:szCs w:val="20"/>
          <w:color w:val="auto"/>
        </w:rPr>
      </w:pPr>
    </w:p>
    <w:p>
      <w:pPr>
        <w:ind w:right="3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effects on the difference between GAAP and non-GAAP costs and expenses. </w:t>
      </w:r>
      <w:r>
        <w:rPr>
          <w:rFonts w:ascii="Times New Roman" w:cs="Times New Roman" w:eastAsia="Times New Roman" w:hAnsi="Times New Roman"/>
          <w:sz w:val="18"/>
          <w:szCs w:val="18"/>
          <w:color w:val="auto"/>
        </w:rPr>
        <w:t>The income tax effects that are excluded from the non-GAAP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relate to the tax impact on the difference between GAAP and non-GAAP expenses, primarily due to stock-based compensation, amortization of purchased intangibles, and restructuring charges and other exit costs (benefits) for GAAP and non-GAAP measures.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2"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Long-term cash requirements for items other than normal operating expenses are anticipated for the following: the acquisition of businesses, software products, or technologies complementary to our business; repayment of debt; common stock repurchases; and capital expenditures, including the purchase and implementation of internal-use software applications.</w:t>
      </w:r>
    </w:p>
    <w:p>
      <w:pPr>
        <w:spacing w:after="0" w:line="212" w:lineRule="exact"/>
        <w:rPr>
          <w:sz w:val="20"/>
          <w:szCs w:val="20"/>
          <w:color w:val="auto"/>
        </w:rPr>
      </w:pPr>
    </w:p>
    <w:p>
      <w:pPr>
        <w:ind w:right="80" w:firstLine="395"/>
        <w:spacing w:after="0" w:line="303" w:lineRule="auto"/>
        <w:rPr>
          <w:sz w:val="20"/>
          <w:szCs w:val="20"/>
          <w:color w:val="auto"/>
        </w:rPr>
      </w:pPr>
      <w:r>
        <w:rPr>
          <w:rFonts w:ascii="Times New Roman" w:cs="Times New Roman" w:eastAsia="Times New Roman" w:hAnsi="Times New Roman"/>
          <w:sz w:val="16"/>
          <w:szCs w:val="16"/>
          <w:color w:val="auto"/>
        </w:rPr>
        <w:t>At April 30, 2024, our principal sources of liquidity were cash, cash equivalents, and marketable securities totaling $2.23 billion and net accounts receivable of $353 million. In connection with the acquisition of a provider of a cloud-based artificial intelligence pipeline for creating computer-generated 3D characters into live-action scenes in the second quarter fiscal 2025, we used approximately $131 million, net of cash acquired, in readily available cash.</w:t>
      </w:r>
    </w:p>
    <w:p>
      <w:pPr>
        <w:spacing w:after="0" w:line="158" w:lineRule="exact"/>
        <w:rPr>
          <w:sz w:val="20"/>
          <w:szCs w:val="20"/>
          <w:color w:val="auto"/>
        </w:rPr>
      </w:pPr>
    </w:p>
    <w:p>
      <w:pPr>
        <w:ind w:firstLine="395"/>
        <w:spacing w:after="0" w:line="267" w:lineRule="auto"/>
        <w:rPr>
          <w:sz w:val="20"/>
          <w:szCs w:val="20"/>
          <w:color w:val="auto"/>
        </w:rPr>
      </w:pPr>
      <w:r>
        <w:rPr>
          <w:rFonts w:ascii="Times New Roman" w:cs="Times New Roman" w:eastAsia="Times New Roman" w:hAnsi="Times New Roman"/>
          <w:sz w:val="16"/>
          <w:szCs w:val="16"/>
          <w:color w:val="auto"/>
        </w:rPr>
        <w:t>In November 2022, Autodesk entered into an amended and restated credit agreement (“Credit Agreement”) by and among Autodesk, the lenders party thereto, and Citibank, N.A., as agent, that provides for a revolving credit facility in the aggregate principal amount of $1.5 billion with an option to be increased up to $2.0 billion. The revolving credit facility is available for working capital or other business needs. The maturity date on the Credit Agreement is September 30, 2026. At April 30, 2024, Autodesk had no outstanding borrowings under the Credit Agreement. Additionally, as of June 10, 2024, we have no amounts outstanding under the Credit Agreement. See Part I, Item 1, “Financial Statements,” Note 14, “Borrowing Arrangements,” in the Notes to Condensed Consolidated Financial Statements for further discussion on our covenant requirements and recent amendments to the Credit Agreement. If we are unable to remain in compliance with the covenants under the Credit Agreement, we will not be able to draw on our revolving credit facility.</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5" w:name="page46"/>
    <w:bookmarkEnd w:id="45"/>
    <w:p>
      <w:pPr>
        <w:ind w:right="620" w:firstLine="395"/>
        <w:spacing w:after="0" w:line="253" w:lineRule="auto"/>
        <w:rPr>
          <w:sz w:val="20"/>
          <w:szCs w:val="20"/>
          <w:color w:val="auto"/>
        </w:rPr>
      </w:pPr>
      <w:r>
        <w:rPr>
          <w:rFonts w:ascii="Times New Roman" w:cs="Times New Roman" w:eastAsia="Times New Roman" w:hAnsi="Times New Roman"/>
          <w:sz w:val="18"/>
          <w:szCs w:val="18"/>
          <w:color w:val="auto"/>
        </w:rPr>
        <w:t>As of April 30, 2024, we have $2.30 billion aggregate principal amount of notes outstanding. See Part I, Item 1, “Financial Statements,” Note 14, “Borrowing Arrangements,” in the Notes to Condensed Consolidated Financial Statements for further discussion.</w:t>
      </w:r>
    </w:p>
    <w:p>
      <w:pPr>
        <w:spacing w:after="0" w:line="208"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$1.5 billion revolving credit facility.</w:t>
      </w:r>
    </w:p>
    <w:p>
      <w:pPr>
        <w:spacing w:after="0" w:line="206" w:lineRule="exact"/>
        <w:rPr>
          <w:sz w:val="20"/>
          <w:szCs w:val="20"/>
          <w:color w:val="auto"/>
        </w:rPr>
      </w:pPr>
    </w:p>
    <w:p>
      <w:pPr>
        <w:ind w:right="120" w:firstLine="395"/>
        <w:spacing w:after="0" w:line="248" w:lineRule="auto"/>
        <w:rPr>
          <w:sz w:val="20"/>
          <w:szCs w:val="20"/>
          <w:color w:val="auto"/>
        </w:rPr>
      </w:pPr>
      <w:r>
        <w:rPr>
          <w:rFonts w:ascii="Times New Roman" w:cs="Times New Roman" w:eastAsia="Times New Roman" w:hAnsi="Times New Roman"/>
          <w:sz w:val="18"/>
          <w:szCs w:val="18"/>
          <w:color w:val="auto"/>
        </w:rPr>
        <w:t>Our cash and cash equivalents balances are concentrated in a few locations around the world, with substantial amounts held outside of the United States. As of April 30, 2024, approximately 71% of our total cash or cash equivalents are located in foreign jurisdictions and that percentage will fluctuate subject to business needs. There are several factors that can impact our ability to utilize foreign cash balances, such as foreign exchange restrictions, foreign regulatory restrictions, or adverse tax costs. Earnings in foreign jurisdictions are generally available for distribution to the United States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213"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Cash from operations could also be affected by various risks and uncertainties, including, but not limited to, the risks detailed in Part II, Item 1A titled “Risk Factors.” Based on our current business plan and revenue prospects, we believe that our existing cash and cash equivalents, our anticipated cash flows from operations, and our available revolving credit facility will be sufficient to meet our working capital and operating resource expenditure requirements for at least the next 12 months.</w:t>
      </w:r>
    </w:p>
    <w:p>
      <w:pPr>
        <w:spacing w:after="0" w:line="210"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4"/>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5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center"/>
              <w:ind w:left="563"/>
              <w:spacing w:after="0"/>
              <w:rPr>
                <w:sz w:val="20"/>
                <w:szCs w:val="20"/>
                <w:color w:val="auto"/>
              </w:rPr>
            </w:pPr>
            <w:r>
              <w:rPr>
                <w:rFonts w:ascii="Times New Roman" w:cs="Times New Roman" w:eastAsia="Times New Roman" w:hAnsi="Times New Roman"/>
                <w:sz w:val="16"/>
                <w:szCs w:val="16"/>
                <w:color w:val="auto"/>
                <w:w w:val="99"/>
              </w:rPr>
              <w:t>723</w:t>
            </w:r>
          </w:p>
        </w:tc>
        <w:tc>
          <w:tcPr>
            <w:tcW w:w="0" w:type="dxa"/>
            <w:vAlign w:val="bottom"/>
          </w:tcPr>
          <w:p>
            <w:pPr>
              <w:spacing w:after="0"/>
              <w:rPr>
                <w:sz w:val="1"/>
                <w:szCs w:val="1"/>
                <w:color w:val="auto"/>
              </w:rPr>
            </w:pP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ind w:left="523"/>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523"/>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of $494 million for the three months ended April 30, 2024, primarily consisted of $252 million of our net income adjusted for $223 million non-cash items such as stock-based compensation expense, and depreciation, amortization, and accretion expense, and deferred income tax. The increase in working capital is primarily due to the change in accounts receivable of $526 million due to the seasonality of our billings in the fourth fiscal quarter and timing of cash collections from customers partially offset by a decrease in deferred revenue of $305 million due to the timing of our billing installments and seasonality of billings in the fourth fiscal quarter.</w:t>
      </w:r>
    </w:p>
    <w:p>
      <w:pPr>
        <w:spacing w:after="0" w:line="212"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Net cash provided by operating activities of $723 million for the three months ended April 30, 2023, primarily consisted of $161 million of our net income adjusted for $187 million non-cash items such as stock-based compensation expense, and depreciation, amortization, and accretion expense, and deferred income tax. Cash provided by working capital increased due to the change in accounts receivable of $630 million due to the seasonality of our billings in the fourth fiscal quarter and timing of cash collections from customers offset in part by the change in accounts payable and other liabilities of $157 million primarily due to the timing of payments related to employee compensation and related costs and a decrease in deferred revenue of $98 million due to the timing of our billing installments and seasonality of billings in the fourth fiscal quarter.</w:t>
      </w:r>
    </w:p>
    <w:p>
      <w:pPr>
        <w:spacing w:after="0" w:line="212"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Net cash used in investing activities was $638 million for the three months ended April 30, 2024, primarily due to business combinations, net of cash acquired, and purchases of marketable securities partially offset by the sales and maturities of marketable securities. Net cash used in investing activities was $230 million for the three months ended April 30, 2023, primarily due to purchases of marketable securities partially offset by the sales and maturities of marketable securities.</w:t>
      </w:r>
    </w:p>
    <w:p>
      <w:pPr>
        <w:spacing w:after="0" w:line="21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was $61 million for the three months ended April 30, 2024, primarily due to taxes paid related to net share settlement of equity awards partially offset by proceeds from issuance of common stock, net of issuance costs and $523 million for the three months ended April 30, 2023, primarily due to repurchases of common stock.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2" w:lineRule="exact"/>
        <w:rPr>
          <w:sz w:val="20"/>
          <w:szCs w:val="20"/>
          <w:color w:val="auto"/>
        </w:rPr>
      </w:pPr>
    </w:p>
    <w:p>
      <w:pPr>
        <w:ind w:right="100" w:firstLine="395"/>
        <w:spacing w:after="0" w:line="248" w:lineRule="auto"/>
        <w:rPr>
          <w:sz w:val="20"/>
          <w:szCs w:val="20"/>
          <w:color w:val="auto"/>
        </w:rPr>
      </w:pPr>
      <w:r>
        <w:rPr>
          <w:rFonts w:ascii="Times New Roman" w:cs="Times New Roman" w:eastAsia="Times New Roman" w:hAnsi="Times New Roman"/>
          <w:sz w:val="18"/>
          <w:szCs w:val="18"/>
          <w:color w:val="auto"/>
        </w:rPr>
        <w:t>Autodesk's stock repurchase programs provide Autodesk with the ability to offset the dilution from the issuance of stock under our employee stock plans and reduce shares outstanding over time, and has the effect of returning excess cash generated from our business to stockholders. Under the share repurchase programs, Autodesk may repurchase shares from time to time in open market transactions, privately negotiated transactions, accelerated share repurchase programs, tender offers, or by other means. The share repurchase programs do not have an expiration date and the pace and timing of repurchases will depend on factors such as cash generation from operations, available surplus, the volume of employee stock plan activity, remaining shares or dollar amount available in the authorized pool, cash requirements for acquisitions, cash requirements to retire outstanding debt, economic and market conditions, stock price, and legal and regulatory requirements.</w:t>
      </w:r>
    </w:p>
    <w:p>
      <w:pPr>
        <w:spacing w:after="0" w:line="213" w:lineRule="exact"/>
        <w:rPr>
          <w:sz w:val="20"/>
          <w:szCs w:val="20"/>
          <w:color w:val="auto"/>
        </w:rPr>
      </w:pPr>
    </w:p>
    <w:p>
      <w:pPr>
        <w:ind w:right="34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provides information about the repurchase of common stock in open-market transactions during the three months ended April 30,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20" w:type="dxa"/>
            <w:vAlign w:val="bottom"/>
          </w:tcPr>
          <w:p>
            <w:pPr>
              <w:spacing w:after="0"/>
              <w:rPr>
                <w:sz w:val="13"/>
                <w:szCs w:val="13"/>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Approximate Dollar Value of Shares</w:t>
            </w:r>
          </w:p>
        </w:tc>
        <w:tc>
          <w:tcPr>
            <w:tcW w:w="0" w:type="dxa"/>
            <w:vAlign w:val="bottom"/>
          </w:tcPr>
          <w:p>
            <w:pPr>
              <w:spacing w:after="0"/>
              <w:rPr>
                <w:sz w:val="1"/>
                <w:szCs w:val="1"/>
                <w:color w:val="auto"/>
              </w:rPr>
            </w:pPr>
          </w:p>
        </w:tc>
      </w:tr>
      <w:tr>
        <w:trPr>
          <w:trHeight w:val="145"/>
        </w:trPr>
        <w:tc>
          <w:tcPr>
            <w:tcW w:w="4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2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2"/>
          </w:tcPr>
          <w:p>
            <w:pPr>
              <w:jc w:val="right"/>
              <w:ind w:right="3"/>
              <w:spacing w:after="0" w:line="145" w:lineRule="exact"/>
              <w:rPr>
                <w:sz w:val="20"/>
                <w:szCs w:val="20"/>
                <w:color w:val="auto"/>
              </w:rPr>
            </w:pPr>
            <w:r>
              <w:rPr>
                <w:rFonts w:ascii="Times New Roman" w:cs="Times New Roman" w:eastAsia="Times New Roman" w:hAnsi="Times New Roman"/>
                <w:sz w:val="14"/>
                <w:szCs w:val="14"/>
                <w:b w:val="1"/>
                <w:bCs w:val="1"/>
                <w:color w:val="auto"/>
              </w:rPr>
              <w:t>that May Yet Be Purchased Under</w:t>
            </w:r>
          </w:p>
        </w:tc>
        <w:tc>
          <w:tcPr>
            <w:tcW w:w="0" w:type="dxa"/>
            <w:vAlign w:val="bottom"/>
          </w:tcPr>
          <w:p>
            <w:pPr>
              <w:spacing w:after="0"/>
              <w:rPr>
                <w:sz w:val="1"/>
                <w:szCs w:val="1"/>
                <w:color w:val="auto"/>
              </w:rPr>
            </w:pPr>
          </w:p>
        </w:tc>
      </w:tr>
      <w:tr>
        <w:trPr>
          <w:trHeight w:val="14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13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Purchased as Part of Publicly</w:t>
            </w:r>
          </w:p>
        </w:tc>
        <w:tc>
          <w:tcPr>
            <w:tcW w:w="120" w:type="dxa"/>
            <w:vAlign w:val="bottom"/>
          </w:tcPr>
          <w:p>
            <w:pPr>
              <w:spacing w:after="0"/>
              <w:rPr>
                <w:sz w:val="12"/>
                <w:szCs w:val="12"/>
                <w:color w:val="auto"/>
              </w:rPr>
            </w:pPr>
          </w:p>
        </w:tc>
        <w:tc>
          <w:tcPr>
            <w:tcW w:w="22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 xml:space="preserve">the Plans or Programs </w:t>
            </w:r>
            <w:r>
              <w:rPr>
                <w:rFonts w:ascii="Times New Roman" w:cs="Times New Roman" w:eastAsia="Times New Roman" w:hAnsi="Times New Roman"/>
                <w:sz w:val="14"/>
                <w:szCs w:val="14"/>
                <w:b w:val="1"/>
                <w:bCs w:val="1"/>
                <w:i w:val="1"/>
                <w:iCs w:val="1"/>
                <w:color w:val="auto"/>
              </w:rPr>
              <w:t>(in millions)</w:t>
            </w:r>
          </w:p>
        </w:tc>
        <w:tc>
          <w:tcPr>
            <w:tcW w:w="0" w:type="dxa"/>
            <w:vAlign w:val="bottom"/>
          </w:tcPr>
          <w:p>
            <w:pPr>
              <w:spacing w:after="0"/>
              <w:rPr>
                <w:sz w:val="1"/>
                <w:szCs w:val="1"/>
                <w:color w:val="auto"/>
              </w:rPr>
            </w:pPr>
          </w:p>
        </w:tc>
      </w:tr>
      <w:tr>
        <w:trPr>
          <w:trHeight w:val="192"/>
        </w:trPr>
        <w:tc>
          <w:tcPr>
            <w:tcW w:w="4180" w:type="dxa"/>
            <w:vAlign w:val="bottom"/>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 (1)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tcPr>
          <w:p>
            <w:pPr>
              <w:jc w:val="right"/>
              <w:ind w:right="943"/>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1 - February 29</w:t>
            </w:r>
          </w:p>
        </w:tc>
        <w:tc>
          <w:tcPr>
            <w:tcW w:w="13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254.81</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w:t>
            </w:r>
          </w:p>
        </w:tc>
        <w:tc>
          <w:tcPr>
            <w:tcW w:w="0" w:type="dxa"/>
            <w:vAlign w:val="bottom"/>
          </w:tcPr>
          <w:p>
            <w:pPr>
              <w:spacing w:after="0"/>
              <w:rPr>
                <w:sz w:val="1"/>
                <w:szCs w:val="1"/>
                <w:color w:val="auto"/>
              </w:rPr>
            </w:pPr>
          </w:p>
        </w:tc>
      </w:tr>
      <w:tr>
        <w:trPr>
          <w:trHeight w:val="209"/>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1 - March 31</w:t>
            </w:r>
          </w:p>
        </w:tc>
        <w:tc>
          <w:tcPr>
            <w:tcW w:w="13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4,730</w:t>
            </w: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 April 30</w:t>
            </w:r>
          </w:p>
        </w:tc>
        <w:tc>
          <w:tcPr>
            <w:tcW w:w="13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w:t>
            </w:r>
          </w:p>
        </w:tc>
        <w:tc>
          <w:tcPr>
            <w:tcW w:w="0" w:type="dxa"/>
            <w:vAlign w:val="bottom"/>
          </w:tcPr>
          <w:p>
            <w:pPr>
              <w:spacing w:after="0"/>
              <w:rPr>
                <w:sz w:val="1"/>
                <w:szCs w:val="1"/>
                <w:color w:val="auto"/>
              </w:rPr>
            </w:pPr>
          </w:p>
        </w:tc>
      </w:tr>
      <w:tr>
        <w:trPr>
          <w:trHeight w:val="20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254.81</w:t>
            </w:r>
          </w:p>
        </w:tc>
        <w:tc>
          <w:tcPr>
            <w:tcW w:w="120" w:type="dxa"/>
            <w:vAlign w:val="bottom"/>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hanging="395"/>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shares purchased in open-market transactions under the stock repurchase plan approved by the Board of Directors in November 2022.</w:t>
      </w:r>
    </w:p>
    <w:p>
      <w:pPr>
        <w:spacing w:after="0" w:line="4" w:lineRule="exact"/>
        <w:rPr>
          <w:rFonts w:ascii="Times New Roman" w:cs="Times New Roman" w:eastAsia="Times New Roman" w:hAnsi="Times New Roman"/>
          <w:sz w:val="16"/>
          <w:szCs w:val="16"/>
          <w:color w:val="auto"/>
        </w:rPr>
      </w:pPr>
    </w:p>
    <w:p>
      <w:pPr>
        <w:ind w:left="400" w:right="120" w:hanging="395"/>
        <w:spacing w:after="0" w:line="251" w:lineRule="auto"/>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correspond to the plan publicly announced and approved by the Board of Directors in November 2022 that authorized the repurchase of $5 billion. At April 30, 2024, $4.73 billion remained available for repurchase under the November 2022 repurchase program. The plan does not have a fixed expiration date. See Part I, Item 1, “Financial Statements,” Note 18, “Stockholders' Equity,” in the Notes to the Condensed Consolidated Financial Statements for further discussion.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Billings: </w:t>
      </w:r>
      <w:r>
        <w:rPr>
          <w:rFonts w:ascii="Times New Roman" w:cs="Times New Roman" w:eastAsia="Times New Roman" w:hAnsi="Times New Roman"/>
          <w:sz w:val="18"/>
          <w:szCs w:val="18"/>
          <w:color w:val="auto"/>
        </w:rPr>
        <w:t>Total revenue plus the net change in deferred revenue from the beginning to the end of the period.</w:t>
      </w:r>
    </w:p>
    <w:p>
      <w:pPr>
        <w:spacing w:after="0" w:line="240" w:lineRule="exact"/>
        <w:rPr>
          <w:sz w:val="20"/>
          <w:szCs w:val="20"/>
          <w:color w:val="auto"/>
        </w:rPr>
      </w:pPr>
    </w:p>
    <w:p>
      <w:pPr>
        <w:ind w:right="900"/>
        <w:spacing w:after="0" w:line="271" w:lineRule="auto"/>
        <w:rPr>
          <w:sz w:val="20"/>
          <w:szCs w:val="20"/>
          <w:color w:val="auto"/>
        </w:rPr>
      </w:pPr>
      <w:r>
        <w:rPr>
          <w:rFonts w:ascii="Times New Roman" w:cs="Times New Roman" w:eastAsia="Times New Roman" w:hAnsi="Times New Roman"/>
          <w:sz w:val="18"/>
          <w:szCs w:val="18"/>
          <w:i w:val="1"/>
          <w:iCs w:val="1"/>
          <w:color w:val="auto"/>
        </w:rPr>
        <w:t>Cloud Service Offerings</w:t>
      </w:r>
      <w:r>
        <w:rPr>
          <w:rFonts w:ascii="Times New Roman" w:cs="Times New Roman" w:eastAsia="Times New Roman" w:hAnsi="Times New Roman"/>
          <w:sz w:val="18"/>
          <w:szCs w:val="18"/>
          <w:color w:val="auto"/>
        </w:rPr>
        <w:t>: Represents individual term-based offerings deployed through web browser technologies or in a hybrid software and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configuration. Cloud service offerings that are bundled with other product offerings are not captured as a separate cloud service offering.</w:t>
      </w:r>
    </w:p>
    <w:p>
      <w:pPr>
        <w:spacing w:after="0" w:line="190"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Constant Currency (CC) Growth Rates: </w:t>
      </w:r>
      <w:r>
        <w:rPr>
          <w:rFonts w:ascii="Times New Roman" w:cs="Times New Roman" w:eastAsia="Times New Roman" w:hAnsi="Times New Roman"/>
          <w:sz w:val="18"/>
          <w:szCs w:val="18"/>
          <w:color w:val="auto"/>
        </w:rPr>
        <w:t>We attempt to represent the changes in the underlying business operations by eliminating fluctuations caused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206"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Design Business: </w:t>
      </w:r>
      <w:r>
        <w:rPr>
          <w:rFonts w:ascii="Times New Roman" w:cs="Times New Roman" w:eastAsia="Times New Roman" w:hAnsi="Times New Roman"/>
          <w:sz w:val="18"/>
          <w:szCs w:val="18"/>
          <w:color w:val="auto"/>
        </w:rPr>
        <w:t>Represents the combination of maintenance, product subscriptions, and all EBAs. Main products include, but are not limited to, AutoCAD,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AutoCAD LT, Industry Collections, Revit, Inventor, Maya and 3ds Max. Certain products, such as our computer aided manufacturing solutions, incorporate both Design and Make functionality and are classified as Design.</w:t>
      </w:r>
    </w:p>
    <w:p>
      <w:pPr>
        <w:spacing w:after="0" w:line="204" w:lineRule="exact"/>
        <w:rPr>
          <w:sz w:val="20"/>
          <w:szCs w:val="20"/>
          <w:color w:val="auto"/>
        </w:rPr>
      </w:pPr>
    </w:p>
    <w:p>
      <w:pPr>
        <w:jc w:val="both"/>
        <w:ind w:right="24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Enterprise Business Agreements (EBAs): </w:t>
      </w:r>
      <w:r>
        <w:rPr>
          <w:rFonts w:ascii="Times New Roman" w:cs="Times New Roman" w:eastAsia="Times New Roman" w:hAnsi="Times New Roman"/>
          <w:sz w:val="18"/>
          <w:szCs w:val="18"/>
          <w:color w:val="auto"/>
        </w:rPr>
        <w:t>Represents programs providing enterprise customers with token-based access to a broad pool of Autodesk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a defined contract term.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Flex: </w:t>
      </w:r>
      <w:r>
        <w:rPr>
          <w:rFonts w:ascii="Times New Roman" w:cs="Times New Roman" w:eastAsia="Times New Roman" w:hAnsi="Times New Roman"/>
          <w:sz w:val="18"/>
          <w:szCs w:val="18"/>
          <w:color w:val="auto"/>
        </w:rPr>
        <w:t>A pay-as-you-go consumption option to pre-purchase tokens to access any product available with Flex for a daily rate.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Cash flow from operating activities minus capital expenditures.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7" w:name="page48"/>
    <w:bookmarkEnd w:id="47"/>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Industry Collections: </w:t>
      </w:r>
      <w:r>
        <w:rPr>
          <w:rFonts w:ascii="Times New Roman" w:cs="Times New Roman" w:eastAsia="Times New Roman" w:hAnsi="Times New Roman"/>
          <w:sz w:val="18"/>
          <w:szCs w:val="18"/>
          <w:color w:val="auto"/>
        </w:rPr>
        <w:t>Autodesk Industry Collections are a combination of products and services that target a specific user objective and support a set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workflows for that objective. Our Industry Collections consist of: Autodesk Architecture, Engineering and Construction Collection, Autodesk Product Design and Manufacturing Collection, and Autodesk Media and Entertainment Collection.</w:t>
      </w:r>
    </w:p>
    <w:p>
      <w:pPr>
        <w:spacing w:after="0" w:line="204" w:lineRule="exact"/>
        <w:rPr>
          <w:sz w:val="20"/>
          <w:szCs w:val="20"/>
          <w:color w:val="auto"/>
        </w:rPr>
      </w:pPr>
    </w:p>
    <w:p>
      <w:pPr>
        <w:ind w:right="180"/>
        <w:spacing w:after="0" w:line="304" w:lineRule="auto"/>
        <w:rPr>
          <w:sz w:val="20"/>
          <w:szCs w:val="20"/>
          <w:color w:val="auto"/>
        </w:rPr>
      </w:pPr>
      <w:r>
        <w:rPr>
          <w:rFonts w:ascii="Times New Roman" w:cs="Times New Roman" w:eastAsia="Times New Roman" w:hAnsi="Times New Roman"/>
          <w:sz w:val="16"/>
          <w:szCs w:val="16"/>
          <w:i w:val="1"/>
          <w:iCs w:val="1"/>
          <w:color w:val="auto"/>
        </w:rPr>
        <w:t xml:space="preserve">Maintenance Plan: </w:t>
      </w:r>
      <w:r>
        <w:rPr>
          <w:rFonts w:ascii="Times New Roman" w:cs="Times New Roman" w:eastAsia="Times New Roman" w:hAnsi="Times New Roman"/>
          <w:sz w:val="16"/>
          <w:szCs w:val="16"/>
          <w:color w:val="auto"/>
        </w:rPr>
        <w:t>Our maintenance plans provide our customers with a cost effective and predictable budgetary option to obtain the productivity benefits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16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Make Business: </w:t>
      </w:r>
      <w:r>
        <w:rPr>
          <w:rFonts w:ascii="Times New Roman" w:cs="Times New Roman" w:eastAsia="Times New Roman" w:hAnsi="Times New Roman"/>
          <w:sz w:val="18"/>
          <w:szCs w:val="18"/>
          <w:color w:val="auto"/>
        </w:rPr>
        <w:t>Represents certain cloud-based product subscriptions. Main products include, but are not limited to, Assemble, Autodesk Build, BIM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Collaborate Pro, BuildingConnected, Fusion, and Flow Production Tracking. Certain products, such as Fusion, incorporate both Design and Make functionality and are classified as Make.</w:t>
      </w:r>
    </w:p>
    <w:p>
      <w:pPr>
        <w:spacing w:after="0" w:line="204"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Net Revenue Retention Rate (NR3): </w:t>
      </w:r>
      <w:r>
        <w:rPr>
          <w:rFonts w:ascii="Times New Roman" w:cs="Times New Roman" w:eastAsia="Times New Roman" w:hAnsi="Times New Roman"/>
          <w:sz w:val="16"/>
          <w:szCs w:val="16"/>
          <w:color w:val="auto"/>
        </w:rPr>
        <w:t>Measures the year-over-year change in Recurring Revenue for the population of customers that existed one year ago (“base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customers”). Net revenue retention rate is calculated by dividing the current quarter Recurring Revenue related to base customers by the total corresponding quarter Recurring Revenue from one year ago. Recurring Revenue is based on USD reported revenue, and fluctuations caused by changes in foreign currency exchange rates and hedge gains or losses have not been eliminated. Recurring Revenue related to acquired companies, one year after acquisition, has been captured as existing customers until such data conforms to the calculation methodology. This may cause variability in the comparison.</w:t>
      </w:r>
    </w:p>
    <w:p>
      <w:pPr>
        <w:spacing w:after="0" w:line="182" w:lineRule="exact"/>
        <w:rPr>
          <w:sz w:val="20"/>
          <w:szCs w:val="20"/>
          <w:color w:val="auto"/>
        </w:rPr>
      </w:pPr>
    </w:p>
    <w:p>
      <w:pPr>
        <w:ind w:right="76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Consists of revenue from consulting and other products and services, and is recognized as the products are delivered and services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w:t>
      </w:r>
    </w:p>
    <w:p>
      <w:pPr>
        <w:spacing w:after="0" w:line="19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Subscription: </w:t>
      </w:r>
      <w:r>
        <w:rPr>
          <w:rFonts w:ascii="Times New Roman" w:cs="Times New Roman" w:eastAsia="Times New Roman" w:hAnsi="Times New Roman"/>
          <w:sz w:val="18"/>
          <w:szCs w:val="18"/>
          <w:color w:val="auto"/>
        </w:rPr>
        <w:t>Provides customers a flexible, cost-effective way to access and manage 3D design, engineering, and entertainment software tools.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subscriptions currently represent a hybrid of desktop and cloud functionality, which provides a device-independent, collaborative design workflow for designers and their stakeholders.</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Recurring Revenue: </w:t>
      </w:r>
      <w:r>
        <w:rPr>
          <w:rFonts w:ascii="Times New Roman" w:cs="Times New Roman" w:eastAsia="Times New Roman" w:hAnsi="Times New Roman"/>
          <w:sz w:val="18"/>
          <w:szCs w:val="18"/>
          <w:color w:val="auto"/>
        </w:rPr>
        <w:t>Consists of the revenue for the period from our traditional maintenance plans, our subscription plan offerings, and certain Other revenue.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excludes subscription revenue related to third-party products. Recurring revenue acquired with the acquisition of a business is captured when total subscriptions are captured in our systems and may cause variability in the comparison of this calculation.</w:t>
      </w:r>
    </w:p>
    <w:p>
      <w:pPr>
        <w:spacing w:after="0" w:line="20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Remaining Performance Obligations (RPO): </w:t>
      </w:r>
      <w:r>
        <w:rPr>
          <w:rFonts w:ascii="Times New Roman" w:cs="Times New Roman" w:eastAsia="Times New Roman" w:hAnsi="Times New Roman"/>
          <w:sz w:val="18"/>
          <w:szCs w:val="18"/>
          <w:color w:val="auto"/>
        </w:rPr>
        <w:t>The sum of total short-term, long-term, and unbilled deferred revenue. Current remaining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the amount of revenue we expect to recognize in the next twelve months.</w:t>
      </w:r>
    </w:p>
    <w:p>
      <w:pPr>
        <w:spacing w:after="0" w:line="190"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8"/>
          <w:szCs w:val="18"/>
          <w:i w:val="1"/>
          <w:iCs w:val="1"/>
          <w:color w:val="auto"/>
        </w:rPr>
        <w:t>Solution Provider</w:t>
      </w:r>
      <w:r>
        <w:rPr>
          <w:rFonts w:ascii="Times New Roman" w:cs="Times New Roman" w:eastAsia="Times New Roman" w:hAnsi="Times New Roman"/>
          <w:sz w:val="18"/>
          <w:szCs w:val="18"/>
          <w:color w:val="auto"/>
        </w:rPr>
        <w:t>: Solution Provider is the name of our channel partners who primarily serve our new transaction model customers worldwide. 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may also be resellers in relation to Autodesk solutions.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Spend</w:t>
      </w:r>
      <w:r>
        <w:rPr>
          <w:rFonts w:ascii="Times New Roman" w:cs="Times New Roman" w:eastAsia="Times New Roman" w:hAnsi="Times New Roman"/>
          <w:sz w:val="18"/>
          <w:szCs w:val="18"/>
          <w:color w:val="auto"/>
        </w:rPr>
        <w:t>: The sum of cost of revenue and operating expenses.</w:t>
      </w:r>
    </w:p>
    <w:p>
      <w:pPr>
        <w:spacing w:after="0" w:line="24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Subscription Plan: </w:t>
      </w:r>
      <w:r>
        <w:rPr>
          <w:rFonts w:ascii="Times New Roman" w:cs="Times New Roman" w:eastAsia="Times New Roman" w:hAnsi="Times New Roman"/>
          <w:sz w:val="18"/>
          <w:szCs w:val="18"/>
          <w:color w:val="auto"/>
        </w:rPr>
        <w:t>Comprises our term-based product subscriptions, cloud service offerings, and EBAs. Subscriptions represent a combined hybrid offering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Includes our cloud-enabled term-based product subscriptions, cloud service offerings, and flexible EBAs.</w:t>
      </w:r>
    </w:p>
    <w:p>
      <w:pPr>
        <w:spacing w:after="0" w:line="240"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6"/>
          <w:szCs w:val="16"/>
          <w:i w:val="1"/>
          <w:iCs w:val="1"/>
          <w:color w:val="auto"/>
        </w:rPr>
        <w:t xml:space="preserve">Unbilled Deferred Revenue: </w:t>
      </w:r>
      <w:r>
        <w:rPr>
          <w:rFonts w:ascii="Times New Roman" w:cs="Times New Roman" w:eastAsia="Times New Roman" w:hAnsi="Times New Roman"/>
          <w:sz w:val="16"/>
          <w:szCs w:val="16"/>
          <w:color w:val="auto"/>
        </w:rPr>
        <w:t>Unbilled deferred revenue represents contractually stated or committed orders under early renewal and multi-year billing plans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subscription, services, and maintenance for which the associated deferred revenue has not been recognized. Under FASB Accounting Standards Codification ("ASC") Topic 606, unbilled deferred revenue is not included as a receivable or deferred revenue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8" w:name="page49"/>
    <w:bookmarkEnd w:id="48"/>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42" w:lineRule="exact"/>
        <w:rPr>
          <w:sz w:val="20"/>
          <w:szCs w:val="20"/>
          <w:color w:val="auto"/>
        </w:rPr>
      </w:pPr>
    </w:p>
    <w:p>
      <w:pPr>
        <w:ind w:right="140" w:firstLine="434"/>
        <w:spacing w:after="0" w:line="284" w:lineRule="auto"/>
        <w:rPr>
          <w:sz w:val="20"/>
          <w:szCs w:val="20"/>
          <w:color w:val="auto"/>
        </w:rPr>
      </w:pPr>
      <w:r>
        <w:rPr>
          <w:rFonts w:ascii="Times New Roman" w:cs="Times New Roman" w:eastAsia="Times New Roman" w:hAnsi="Times New Roman"/>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April 30, 2024, and January 31, 2024, we had open cash flow and balance sheet hedge contracts with future settlements generally within one to 12 months. Contracts were primarily denominated in Euros, British pounds, Japanese yen, Australian dollars, Norwegian krone, Canadian dollars, and Singapore dollars. We do not enter into foreign exchange derivative instruments for trading or speculative purposes.</w:t>
      </w:r>
    </w:p>
    <w:p>
      <w:pPr>
        <w:spacing w:after="0" w:line="187" w:lineRule="exact"/>
        <w:rPr>
          <w:sz w:val="20"/>
          <w:szCs w:val="20"/>
          <w:color w:val="auto"/>
        </w:rPr>
      </w:pPr>
    </w:p>
    <w:p>
      <w:pPr>
        <w:ind w:right="100" w:firstLine="434"/>
        <w:spacing w:after="0" w:line="263" w:lineRule="auto"/>
        <w:rPr>
          <w:sz w:val="20"/>
          <w:szCs w:val="20"/>
          <w:color w:val="auto"/>
        </w:rPr>
      </w:pPr>
      <w:r>
        <w:rPr>
          <w:rFonts w:ascii="Times New Roman" w:cs="Times New Roman" w:eastAsia="Times New Roman" w:hAnsi="Times New Roman"/>
          <w:sz w:val="18"/>
          <w:szCs w:val="18"/>
          <w:color w:val="auto"/>
        </w:rPr>
        <w:t>Our option and foreign exchange forward contracts outstanding as of the respective period-ends are summarized in U.S. dollar equivalents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3"/>
          </w:tcPr>
          <w:p>
            <w:pPr>
              <w:jc w:val="right"/>
              <w:ind w:right="665"/>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4"/>
          </w:tcPr>
          <w:p>
            <w:pPr>
              <w:jc w:val="right"/>
              <w:ind w:right="923"/>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4"/>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7"/>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Forward Contracts:</w:t>
            </w: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09"/>
        </w:trPr>
        <w:tc>
          <w:tcPr>
            <w:tcW w:w="5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20" w:type="dxa"/>
            <w:vAlign w:val="bottom"/>
          </w:tcPr>
          <w:p>
            <w:pPr>
              <w:spacing w:after="0"/>
              <w:rPr>
                <w:sz w:val="18"/>
                <w:szCs w:val="18"/>
                <w:color w:val="auto"/>
              </w:rPr>
            </w:pPr>
          </w:p>
        </w:tc>
        <w:tc>
          <w:tcPr>
            <w:tcW w:w="1100" w:type="dxa"/>
            <w:vAlign w:val="bottom"/>
          </w:tcPr>
          <w:p>
            <w:pPr>
              <w:jc w:val="right"/>
              <w:ind w:right="945"/>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Sold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 Contracts: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7"/>
        </w:trPr>
        <w:tc>
          <w:tcPr>
            <w:tcW w:w="5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Sold</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bl>
    <w:p>
      <w:pPr>
        <w:spacing w:after="0" w:line="314" w:lineRule="exact"/>
        <w:rPr>
          <w:sz w:val="20"/>
          <w:szCs w:val="20"/>
          <w:color w:val="auto"/>
        </w:rPr>
      </w:pPr>
    </w:p>
    <w:p>
      <w:pPr>
        <w:ind w:right="80" w:firstLine="434"/>
        <w:spacing w:after="0" w:line="252" w:lineRule="auto"/>
        <w:rPr>
          <w:sz w:val="20"/>
          <w:szCs w:val="20"/>
          <w:color w:val="auto"/>
        </w:rPr>
      </w:pPr>
      <w:r>
        <w:rPr>
          <w:rFonts w:ascii="Times New Roman" w:cs="Times New Roman" w:eastAsia="Times New Roman" w:hAnsi="Times New Roman"/>
          <w:sz w:val="18"/>
          <w:szCs w:val="18"/>
          <w:color w:val="auto"/>
        </w:rPr>
        <w:t>We use foreign currency contracts to reduce the exchange rate impact on the net revenue and operating expenses of certain anticipated transactions. A hypothetical 10% appreciation of the U.S. dollar from its value at April 30, 2024, and January 31, 2024, would increase the fair value of our foreign currency contracts by $128 million and $121 million, respectively. A hypothetical 10% depreciation of the dollar from its value at April 30, 2024, and January 31, 2024, would decrease the fair value of our foreign currency contracts by $74 million and $99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2" w:lineRule="exact"/>
        <w:rPr>
          <w:sz w:val="20"/>
          <w:szCs w:val="20"/>
          <w:color w:val="auto"/>
        </w:rPr>
      </w:pPr>
    </w:p>
    <w:p>
      <w:pPr>
        <w:ind w:right="140" w:firstLine="434"/>
        <w:spacing w:after="0" w:line="252" w:lineRule="auto"/>
        <w:rPr>
          <w:sz w:val="20"/>
          <w:szCs w:val="20"/>
          <w:color w:val="auto"/>
        </w:rPr>
      </w:pPr>
      <w:r>
        <w:rPr>
          <w:rFonts w:ascii="Times New Roman" w:cs="Times New Roman" w:eastAsia="Times New Roman" w:hAnsi="Times New Roman"/>
          <w:sz w:val="18"/>
          <w:szCs w:val="18"/>
          <w:color w:val="auto"/>
        </w:rPr>
        <w:t>Interest rate movements affect both the interest income we earn on our short-term investments and the market value of certain longer-term securities. At April 30, 2024, we had $1,521 million of cash equivalents and marketable securities, including $308 million classified as short-term marketable securities and $238 million classified as long-term marketable securities. If interest rates were to move up or down by 50 or 100 basis points over a 12-month period, the market value change of these securities would not have a material impact on our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Market Risk</w:t>
      </w:r>
    </w:p>
    <w:p>
      <w:pPr>
        <w:spacing w:after="0" w:line="242"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Part I, Item 1, “Financial Statements,” Note 5, “Financial Instruments,” in the Notes to Condensed Consolidated Financial Statements for further discussion regarding these strategic investments.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9" w:name="page50"/>
    <w:bookmarkEnd w:id="49"/>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2" w:lineRule="exact"/>
        <w:rPr>
          <w:sz w:val="20"/>
          <w:szCs w:val="20"/>
          <w:color w:val="auto"/>
        </w:rPr>
      </w:pPr>
    </w:p>
    <w:p>
      <w:pPr>
        <w:ind w:right="200" w:firstLine="395"/>
        <w:spacing w:after="0" w:line="286" w:lineRule="auto"/>
        <w:rPr>
          <w:sz w:val="20"/>
          <w:szCs w:val="20"/>
          <w:color w:val="auto"/>
        </w:rPr>
      </w:pPr>
      <w:r>
        <w:rPr>
          <w:rFonts w:ascii="Times New Roman" w:cs="Times New Roman" w:eastAsia="Times New Roman" w:hAnsi="Times New Roman"/>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firstLine="5"/>
        <w:spacing w:after="0" w:line="283" w:lineRule="auto"/>
        <w:tabs>
          <w:tab w:leader="none" w:pos="20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187"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00" w:firstLine="395"/>
        <w:spacing w:after="0" w:line="24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three months ended April 30, 2024,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42"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200" w:lineRule="exact"/>
        <w:rPr>
          <w:sz w:val="20"/>
          <w:szCs w:val="20"/>
          <w:color w:val="auto"/>
        </w:rPr>
      </w:pPr>
    </w:p>
    <w:p>
      <w:pPr>
        <w:ind w:right="100" w:firstLine="434"/>
        <w:spacing w:after="0" w:line="234" w:lineRule="auto"/>
        <w:rPr>
          <w:sz w:val="20"/>
          <w:szCs w:val="20"/>
          <w:color w:val="auto"/>
        </w:rPr>
      </w:pPr>
      <w:r>
        <w:rPr>
          <w:rFonts w:ascii="Times New Roman" w:cs="Times New Roman" w:eastAsia="Times New Roman" w:hAnsi="Times New Roman"/>
          <w:sz w:val="18"/>
          <w:szCs w:val="18"/>
          <w:color w:val="auto"/>
        </w:rPr>
        <w:t>In early March 2024, the Audit Committee of Autodesk’s Board of Directors commenced an internal investigation with the assistance of outside counsel and advisors regarding the Company’s free cash flow and non-GAAP operating margin practices (the “Internal Investigation”). On March 8, 2024, the Company voluntarily contacted the U.S. Securities and Exchange Commission (“SEC”) to inform it of the Internal Investigation. On April 3, 2024, the United States Attorney’s Office for the Northern District of California (“USAO”) contacted the Company regarding the Internal Investigation. The Company voluntarily provided the SEC and USAO with certain documents relating to the Internal Investigation and will continue to cooperate with the SEC and USAO. At this stage, the Company cannot reasonably estimate the amount of any possible financial loss that could result from this matter.</w:t>
      </w:r>
    </w:p>
    <w:p>
      <w:pPr>
        <w:spacing w:after="0" w:line="223" w:lineRule="exact"/>
        <w:rPr>
          <w:sz w:val="20"/>
          <w:szCs w:val="20"/>
          <w:color w:val="auto"/>
        </w:rPr>
      </w:pPr>
    </w:p>
    <w:p>
      <w:pPr>
        <w:ind w:right="40" w:firstLine="434"/>
        <w:spacing w:after="0" w:line="247" w:lineRule="auto"/>
        <w:rPr>
          <w:sz w:val="20"/>
          <w:szCs w:val="20"/>
          <w:color w:val="auto"/>
        </w:rPr>
      </w:pPr>
      <w:r>
        <w:rPr>
          <w:rFonts w:ascii="Times New Roman" w:cs="Times New Roman" w:eastAsia="Times New Roman" w:hAnsi="Times New Roman"/>
          <w:sz w:val="18"/>
          <w:szCs w:val="18"/>
          <w:color w:val="auto"/>
        </w:rPr>
        <w:t>On April 24, 2024, plaintiff Michael Barkasi filed a purported federal securities class action complaint in the Northern District of California against Autodesk, our Chief Executive Officer Andrew Anagnost, and our former Chief Financial Officer, Deborah L. Clifford. The action is captioned Michael Barkasi v. Autodesk, Inc. et al., 3:24-cv-02431. The complaint, which was filed shortly after Autodesk’s announcement of the Audit Committee of the Board of Directors’ internal investigation regarding Autodesk’s free cash flow and non-GAAP operating margin practices, generally alleges that the defendants made false and misleading statements in violation of Sections 10(b) and 20(a) of the Securities Exchange Act of 1934, and Rule 10b-5 promulgated thereunder. The action purports to be brought on behalf of those who purchased or otherwise acquired Autodesk’s publicly traded securities between June 1, 2023 and April 16, 2024, and seeks unspecified damages and other relief. The case is in its early stages and a lead plaintiff has yet to be appointed. At this stage, the Company cannot reasonably estimate the amount of any possible financial loss that could result from this matter.</w:t>
      </w:r>
    </w:p>
    <w:p>
      <w:pPr>
        <w:spacing w:after="0" w:line="204" w:lineRule="exact"/>
        <w:rPr>
          <w:sz w:val="20"/>
          <w:szCs w:val="20"/>
          <w:color w:val="auto"/>
        </w:rPr>
      </w:pPr>
    </w:p>
    <w:p>
      <w:pPr>
        <w:ind w:firstLine="434"/>
        <w:spacing w:after="0" w:line="236" w:lineRule="auto"/>
        <w:rPr>
          <w:sz w:val="20"/>
          <w:szCs w:val="20"/>
          <w:color w:val="auto"/>
        </w:rPr>
      </w:pPr>
      <w:r>
        <w:rPr>
          <w:rFonts w:ascii="Times New Roman" w:cs="Times New Roman" w:eastAsia="Times New Roman" w:hAnsi="Times New Roman"/>
          <w:sz w:val="18"/>
          <w:szCs w:val="18"/>
          <w:color w:val="auto"/>
        </w:rPr>
        <w:t>In addition, on June 7, 2024, a purported stockholder derivative complaint was filed in the United States District Court for the Northern District of California, naming our current directors and our Chief Strategy Officer as defendants and our company as a nominal defendant. The complaint generally alleges violations of Section 14(a) of the Exchange Act and breach of fiduciary duties, aiding and abetting breach of fiduciary duties, unjust enrichment, abuse of control, and waste of corporate assets, based on similar underlying allegations contained in the purported federal securities class action complaint described above.</w:t>
      </w:r>
    </w:p>
    <w:p>
      <w:pPr>
        <w:spacing w:after="0" w:line="2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42"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significant risks, a number of which are beyond our control. In addition to the other information contained in this Quarterly Report on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Quarterly Report on Form 10-Q and in the documents incorporated herein by reference. They could affect our actual results of operations, causing them to differ materially from those expressed in forward-looking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Risk Factors</w:t>
      </w:r>
    </w:p>
    <w:p>
      <w:pPr>
        <w:spacing w:after="0" w:line="242"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22" w:lineRule="exact"/>
        <w:rPr>
          <w:sz w:val="20"/>
          <w:szCs w:val="20"/>
          <w:color w:val="auto"/>
        </w:rPr>
      </w:pPr>
    </w:p>
    <w:p>
      <w:pPr>
        <w:ind w:left="640" w:right="600" w:hanging="319"/>
        <w:spacing w:after="0" w:line="234" w:lineRule="auto"/>
        <w:tabs>
          <w:tab w:leader="none" w:pos="63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Our strategy to develop and introduce new products and services, exposing us to risks such as limited customer acceptance (both with new and existing customers), costs related to product defects, and large expenditures.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Global economic and political conditions.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1" w:name="page52"/>
    <w:bookmarkEnd w:id="51"/>
    <w:p>
      <w:pPr>
        <w:ind w:left="640" w:hanging="319"/>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Costs and challenges associated with strategic acquisitions and investments.</w:t>
      </w:r>
    </w:p>
    <w:p>
      <w:pPr>
        <w:spacing w:after="0" w:line="21" w:lineRule="exact"/>
        <w:rPr>
          <w:rFonts w:ascii="Arial" w:cs="Arial" w:eastAsia="Arial" w:hAnsi="Arial"/>
          <w:sz w:val="21"/>
          <w:szCs w:val="21"/>
          <w:color w:val="auto"/>
        </w:rPr>
      </w:pPr>
    </w:p>
    <w:p>
      <w:pPr>
        <w:ind w:left="640" w:right="100" w:hanging="319"/>
        <w:spacing w:after="0" w:line="234"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Dependency on international revenue and operations, exposing us to significant international regulatory, economic, intellectual property, collections, currency exchange rate, taxation, political, and other risks.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Inability to predict subscription renewal rates and their impact on our future revenue and operating results.</w:t>
      </w:r>
    </w:p>
    <w:p>
      <w:pPr>
        <w:spacing w:after="0" w:line="21" w:lineRule="exact"/>
        <w:rPr>
          <w:rFonts w:ascii="Arial" w:cs="Arial" w:eastAsia="Arial" w:hAnsi="Arial"/>
          <w:sz w:val="21"/>
          <w:szCs w:val="21"/>
          <w:color w:val="auto"/>
        </w:rPr>
      </w:pPr>
    </w:p>
    <w:p>
      <w:pPr>
        <w:ind w:left="640" w:hanging="319"/>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Existing and increased competition and rapidly evolving technological changes.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 of our financial results, key metrics and other operating metrics.</w:t>
      </w:r>
    </w:p>
    <w:p>
      <w:pPr>
        <w:spacing w:after="0" w:line="20" w:lineRule="exact"/>
        <w:rPr>
          <w:rFonts w:ascii="Arial" w:cs="Arial" w:eastAsia="Arial" w:hAnsi="Arial"/>
          <w:sz w:val="21"/>
          <w:szCs w:val="21"/>
          <w:color w:val="auto"/>
        </w:rPr>
      </w:pPr>
    </w:p>
    <w:p>
      <w:pPr>
        <w:ind w:left="640" w:hanging="319"/>
        <w:spacing w:after="0"/>
        <w:tabs>
          <w:tab w:leader="none" w:pos="6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17"/>
          <w:szCs w:val="17"/>
          <w:color w:val="auto"/>
        </w:rPr>
        <w:t>Deriving a substantial portion of our net revenue from a small number of solutions, including our AutoCAD-based software products and collections.</w:t>
      </w:r>
    </w:p>
    <w:p>
      <w:pPr>
        <w:spacing w:after="0" w:line="16" w:lineRule="exact"/>
        <w:rPr>
          <w:rFonts w:ascii="Arial" w:cs="Arial" w:eastAsia="Arial" w:hAnsi="Arial"/>
          <w:sz w:val="20"/>
          <w:szCs w:val="20"/>
          <w:color w:val="auto"/>
        </w:rPr>
      </w:pPr>
    </w:p>
    <w:p>
      <w:pPr>
        <w:ind w:left="640" w:hanging="319"/>
        <w:spacing w:after="0" w:line="232"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Any failure to successfully execute and manage initiatives to realign or introduce new business and sales initiatives.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Net revenue, billings, earnings, cash flow, or subscriptions shortfalls or volatility of the market causing the market price of our stock to decline.</w:t>
      </w:r>
    </w:p>
    <w:p>
      <w:pPr>
        <w:spacing w:after="0" w:line="2" w:lineRule="exact"/>
        <w:rPr>
          <w:rFonts w:ascii="Arial" w:cs="Arial" w:eastAsia="Arial" w:hAnsi="Arial"/>
          <w:sz w:val="21"/>
          <w:szCs w:val="21"/>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relating to the proper management and governance of our use of AI in our offerings.</w:t>
      </w:r>
    </w:p>
    <w:p>
      <w:pPr>
        <w:spacing w:after="0" w:line="1" w:lineRule="exact"/>
        <w:rPr>
          <w:rFonts w:ascii="Times New Roman" w:cs="Times New Roman" w:eastAsia="Times New Roman" w:hAnsi="Times New Roman"/>
          <w:sz w:val="18"/>
          <w:szCs w:val="18"/>
          <w:color w:val="auto"/>
        </w:rPr>
      </w:pPr>
    </w:p>
    <w:p>
      <w:pPr>
        <w:ind w:left="640" w:hanging="319"/>
        <w:spacing w:after="0" w:line="235"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Security incidents compromising the integrity of our or our customers’ offerings, services, data, or intellectual property.</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Reliance on third parties to provide us with a number of operational and technical services as well as software.</w:t>
      </w:r>
    </w:p>
    <w:p>
      <w:pPr>
        <w:spacing w:after="0" w:line="21" w:lineRule="exact"/>
        <w:rPr>
          <w:rFonts w:ascii="Arial" w:cs="Arial" w:eastAsia="Arial" w:hAnsi="Arial"/>
          <w:sz w:val="21"/>
          <w:szCs w:val="21"/>
          <w:color w:val="auto"/>
        </w:rPr>
      </w:pPr>
    </w:p>
    <w:p>
      <w:pPr>
        <w:ind w:left="640" w:right="320" w:hanging="319"/>
        <w:spacing w:after="0" w:line="229"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Our highly complex software, which may contain undetected errors, defects, or vulnerabilities, and is subject to service disruptions, degradations, outages or other performance problems.</w:t>
      </w: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regulatory focus on privacy, data protection, and information security issues and expanding laws.</w:t>
      </w:r>
    </w:p>
    <w:p>
      <w:pPr>
        <w:spacing w:after="0" w:line="23" w:lineRule="exact"/>
        <w:rPr>
          <w:rFonts w:ascii="Times New Roman" w:cs="Times New Roman" w:eastAsia="Times New Roman" w:hAnsi="Times New Roman"/>
          <w:sz w:val="18"/>
          <w:szCs w:val="18"/>
          <w:color w:val="auto"/>
        </w:rPr>
      </w:pPr>
    </w:p>
    <w:p>
      <w:pPr>
        <w:ind w:left="640" w:right="200" w:hanging="319"/>
        <w:spacing w:after="0" w:line="234"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Governmental export and import controls that could impair our ability to compete in international markets or subject us to liability if we violate the controls.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Protection of our intellectual property rights and intellectual property infringement claims from others.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The government procurement process.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Fluctuations in currency exchange rates.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Our debt service obligations.</w:t>
      </w:r>
    </w:p>
    <w:p>
      <w:pPr>
        <w:spacing w:after="0" w:line="16" w:lineRule="exact"/>
        <w:rPr>
          <w:rFonts w:ascii="Arial" w:cs="Arial" w:eastAsia="Arial" w:hAnsi="Arial"/>
          <w:sz w:val="21"/>
          <w:szCs w:val="21"/>
          <w:color w:val="auto"/>
        </w:rPr>
      </w:pPr>
    </w:p>
    <w:p>
      <w:pPr>
        <w:ind w:left="640" w:right="220" w:hanging="319"/>
        <w:spacing w:after="0" w:line="230"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Our investment portfolio consisting of a variety of investment vehicles that are subject to interest rate trends, market volatility, and other economic factors.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Our Business and Strategy</w:t>
      </w:r>
    </w:p>
    <w:p>
      <w:pPr>
        <w:spacing w:after="0" w:line="227" w:lineRule="exact"/>
        <w:rPr>
          <w:sz w:val="20"/>
          <w:szCs w:val="20"/>
          <w:color w:val="auto"/>
        </w:rPr>
      </w:pPr>
    </w:p>
    <w:p>
      <w:pPr>
        <w:ind w:right="640"/>
        <w:spacing w:after="0" w:line="335" w:lineRule="auto"/>
        <w:rPr>
          <w:sz w:val="20"/>
          <w:szCs w:val="20"/>
          <w:color w:val="auto"/>
        </w:rPr>
      </w:pPr>
      <w:r>
        <w:rPr>
          <w:rFonts w:ascii="Times New Roman" w:cs="Times New Roman" w:eastAsia="Times New Roman" w:hAnsi="Times New Roman"/>
          <w:sz w:val="16"/>
          <w:szCs w:val="16"/>
          <w:i w:val="1"/>
          <w:iCs w:val="1"/>
          <w:color w:val="auto"/>
        </w:rPr>
        <w:t>Our strategy to develop and introduce new products and services exposes us to risks such as limited customer acceptance (both with new and existing customers), costs related to product defects, and large expenditures, each of which may result in no additional net revenue or decreased net revenue.</w:t>
      </w:r>
    </w:p>
    <w:p>
      <w:pPr>
        <w:spacing w:after="0" w:line="133" w:lineRule="exact"/>
        <w:rPr>
          <w:sz w:val="20"/>
          <w:szCs w:val="20"/>
          <w:color w:val="auto"/>
        </w:rPr>
      </w:pPr>
    </w:p>
    <w:p>
      <w:pPr>
        <w:ind w:firstLine="395"/>
        <w:spacing w:after="0" w:line="265" w:lineRule="auto"/>
        <w:rPr>
          <w:sz w:val="20"/>
          <w:szCs w:val="20"/>
          <w:color w:val="auto"/>
        </w:rPr>
      </w:pPr>
      <w:r>
        <w:rPr>
          <w:rFonts w:ascii="Times New Roman" w:cs="Times New Roman" w:eastAsia="Times New Roman" w:hAnsi="Times New Roman"/>
          <w:sz w:val="16"/>
          <w:szCs w:val="16"/>
          <w:color w:val="auto"/>
        </w:rPr>
        <w:t>The software industry is characterized by rapid technological changes as well as changes in customer requirements and preferences. In recent years, the industry has undergone a transition from developing and selling perpetual licenses and on-premises products to subscriptions and cloud-enabled technologies. Both new and existing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If we are unable to provide new features, enhancements to user experience, and modifications in a timely and cost-effective manner that achieve market acceptance, align with customer expectations, and that keep pace with rapid technological developments and changing regulatory landscapes, our business and operating results could be adversely affected. For example, AI and machine learning are propelling advancements in technology, but if they are not widely adopted and accepted or fail to operate as expected, our business and reputation may be harmed.</w:t>
      </w:r>
    </w:p>
    <w:p>
      <w:pPr>
        <w:spacing w:after="0" w:line="191"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In addition, we frequently introduce new business models or methods that require a considerable investment of technical and financial resources, such as our introduction of flexible subscription and service offerings and our transition of multi-subscription plans to named-user plans. It is uncertain whether these strategies, including our product and pricing changes, will accurately reflect customer demand or be successful, or whether we will be able to develop the necessary infrastructure and business models more quickly than our competitors. We make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new customers or existing customers, and either with respect to our software or the manner</w:t>
      </w: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897" w:right="419" w:bottom="1440" w:gutter="0" w:footer="0" w:header="0"/>
        </w:sectPr>
      </w:pPr>
    </w:p>
    <w:bookmarkStart w:id="52" w:name="page53"/>
    <w:bookmarkEnd w:id="52"/>
    <w:p>
      <w:pPr>
        <w:ind w:right="80"/>
        <w:spacing w:after="0" w:line="268" w:lineRule="auto"/>
        <w:rPr>
          <w:sz w:val="20"/>
          <w:szCs w:val="20"/>
          <w:color w:val="auto"/>
        </w:rPr>
      </w:pPr>
      <w:r>
        <w:rPr>
          <w:rFonts w:ascii="Times New Roman" w:cs="Times New Roman" w:eastAsia="Times New Roman" w:hAnsi="Times New Roman"/>
          <w:sz w:val="18"/>
          <w:szCs w:val="18"/>
          <w:color w:val="auto"/>
        </w:rPr>
        <w:t>in which we provide such products, or if we are not able to adapt our business model to meet our customers’ requirements, our business, financial condition, or results of operations may be adversely impacted.</w:t>
      </w:r>
    </w:p>
    <w:p>
      <w:pPr>
        <w:spacing w:after="0" w:line="196"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In particular, a critical component of our growth strategy is to have customers of our AutoCAD and AutoCAD LT products, as well as other individual Autodesk products, expand their portfolios to include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212"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Our executive management team must continuously act quickly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the strategy as market conditions evolve, we may fail to meet our customers’ expectations, be unable to compete with our competitors' products and technology, and lose the confidence of our channel partners and employees. This in turn could adversely affect our business and financial performance.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and political conditions may further impact our industries, business, and financial results.</w:t>
      </w:r>
    </w:p>
    <w:p>
      <w:pPr>
        <w:spacing w:after="0" w:line="229" w:lineRule="exact"/>
        <w:rPr>
          <w:sz w:val="20"/>
          <w:szCs w:val="20"/>
          <w:color w:val="auto"/>
        </w:rPr>
      </w:pPr>
    </w:p>
    <w:p>
      <w:pPr>
        <w:ind w:right="20" w:firstLine="395"/>
        <w:spacing w:after="0" w:line="260" w:lineRule="auto"/>
        <w:rPr>
          <w:sz w:val="20"/>
          <w:szCs w:val="20"/>
          <w:color w:val="auto"/>
        </w:rPr>
      </w:pPr>
      <w:r>
        <w:rPr>
          <w:rFonts w:ascii="Times New Roman" w:cs="Times New Roman" w:eastAsia="Times New Roman" w:hAnsi="Times New Roman"/>
          <w:sz w:val="16"/>
          <w:szCs w:val="16"/>
          <w:color w:val="auto"/>
        </w:rPr>
        <w:t>Our overall performance depends largely upon domestic and worldwide economic and political conditions. The United States and other countries’ economies have experienced cyclical downturns, in which economic activity was impacted by falling demand for a variety of goods and services, restricted credit, poor liquidity, decreased government spending, reduced corporate profitability, volatility in credit, equity, and foreign exchange markets, inflationary pressures and higher interest rates, bankruptcies, and overall uncertainty. These economic conditions can occur abruptly. For example, current geopolitical and global macro-economic challenges have caused uncertainty in the global economy, and an economic downturn or recession in the United States or in other countries may occur or has already occurred and may continue. The extent to which these challenges will impact our financial condition or results of operations is still uncertain and will continue to depend on developments such as the impact of these challenges on our customers, vendors, distributors, and resellers, such as the supply chain disruption and resulting inflationary pressures and global labor shortage that we have seen recently, material scarcity, as well as other factors; actions taken by governments, businesses, and consumers in response to these challenges; speed and timing of economic recovery, including in specific geographies; our billings and renewal rates, including new business close rates, rate of multi-year contracts, pace of closing larger transactions, and new unit volume growth; wars and armed conflicts, including the ongoing wars between Ukraine and Russia and between Israel and Hamas; foreign exchange rate fluctuations; and the effect of these challenges on margins and cash flow. All of these factors continue to evolve and remain uncertain at this time, and some of these factors are not within our control. If economic growth in countries where we do business slows or if such countries experience further economic recessions, customers may delay or reduce technology purchases, which we have seen recently in certain countries including China.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392" w:lineRule="exact"/>
        <w:rPr>
          <w:sz w:val="20"/>
          <w:szCs w:val="20"/>
          <w:color w:val="auto"/>
        </w:rPr>
      </w:pPr>
    </w:p>
    <w:p>
      <w:pPr>
        <w:ind w:firstLine="395"/>
        <w:spacing w:after="0" w:line="230" w:lineRule="auto"/>
        <w:rPr>
          <w:sz w:val="20"/>
          <w:szCs w:val="20"/>
          <w:color w:val="auto"/>
        </w:rPr>
      </w:pPr>
      <w:r>
        <w:rPr>
          <w:rFonts w:ascii="Times New Roman" w:cs="Times New Roman" w:eastAsia="Times New Roman" w:hAnsi="Times New Roman"/>
          <w:sz w:val="18"/>
          <w:szCs w:val="18"/>
          <w:color w:val="auto"/>
        </w:rPr>
        <w:t>As described elsewhere in these risk factors, we are dependent on international revenue and operations and are subject to related risks of conducting business globally. Trends toward nationalism and protectionism and the weakening or dissolution of international trade pacts may increase the cost of, or otherwise interfere with, conducting business. These trends have increased political and economic unpredictability globally and may increase the volatility of global financial markets, and the impact of such developments on the global economy remains uncertain. Political instability or adverse political developments in any of the countries in which we do business could harm our business, results of operations, and financial condition. 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War, including the ongoing wars between Ukraine and Russia and between Israel and Hamas, and any related political or economic responses and counter-responses or otherwise by various global actors or the general effect on the global economy, could also affect our business. Any of these events could harm our business, results of operations, and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adversely impacted by the costs and challenges associated with strategic acquisitions and investments.</w:t>
      </w:r>
    </w:p>
    <w:p>
      <w:pPr>
        <w:spacing w:after="0" w:line="229" w:lineRule="exact"/>
        <w:rPr>
          <w:sz w:val="20"/>
          <w:szCs w:val="20"/>
          <w:color w:val="auto"/>
        </w:rPr>
      </w:pPr>
    </w:p>
    <w:p>
      <w:pPr>
        <w:ind w:right="60" w:firstLine="395"/>
        <w:spacing w:after="0" w:line="237" w:lineRule="auto"/>
        <w:rPr>
          <w:sz w:val="20"/>
          <w:szCs w:val="20"/>
          <w:color w:val="auto"/>
        </w:rPr>
      </w:pPr>
      <w:r>
        <w:rPr>
          <w:rFonts w:ascii="Times New Roman" w:cs="Times New Roman" w:eastAsia="Times New Roman" w:hAnsi="Times New Roman"/>
          <w:sz w:val="18"/>
          <w:szCs w:val="18"/>
          <w:color w:val="auto"/>
        </w:rPr>
        <w:t>We regularly acquire or invest in businesses, software solutions, and technologies that are complementary to our business through acquisitions, strategic alliances, or equity or debt investments, including several transactions in fiscal 2024 and the three months ended April 30, 2024. The risks associated with such acquisitions include the difficulty of integrating solutions, operations, and personnel; inheriting liabilities such as intellectual property infringement claims; failure to realize anticipated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3" w:name="page54"/>
    <w:bookmarkEnd w:id="53"/>
    <w:p>
      <w:pPr>
        <w:ind w:right="20"/>
        <w:spacing w:after="0" w:line="241" w:lineRule="auto"/>
        <w:rPr>
          <w:sz w:val="20"/>
          <w:szCs w:val="20"/>
          <w:color w:val="auto"/>
        </w:rPr>
      </w:pPr>
      <w:r>
        <w:rPr>
          <w:rFonts w:ascii="Times New Roman" w:cs="Times New Roman" w:eastAsia="Times New Roman" w:hAnsi="Times New Roman"/>
          <w:sz w:val="18"/>
          <w:szCs w:val="18"/>
          <w:color w:val="auto"/>
        </w:rPr>
        <w:t>revenue and cost projections and expected synergies; the requirement to test and assimilate the internal control processes of the acquired business in accordance with the requirements of Section 404 of the Sarbanes-Oxley Act of 2002; and diversion of management's time and attention. In addition, such acquisitions and investments involve other risks such as:</w:t>
      </w:r>
    </w:p>
    <w:p>
      <w:pPr>
        <w:spacing w:after="0" w:line="245" w:lineRule="exact"/>
        <w:rPr>
          <w:sz w:val="20"/>
          <w:szCs w:val="20"/>
          <w:color w:val="auto"/>
        </w:rPr>
      </w:pPr>
    </w:p>
    <w:p>
      <w:pPr>
        <w:ind w:left="640" w:hanging="319"/>
        <w:spacing w:after="0"/>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the inability to retain customers, key employees, vendors, distributors, business partners, and other entities associated with the acquired business;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the potential that due diligence of the acquired business or solution does not identify significant problems;</w:t>
      </w:r>
    </w:p>
    <w:p>
      <w:pPr>
        <w:spacing w:after="0" w:line="22" w:lineRule="exact"/>
        <w:rPr>
          <w:rFonts w:ascii="Arial" w:cs="Arial" w:eastAsia="Arial" w:hAnsi="Arial"/>
          <w:sz w:val="21"/>
          <w:szCs w:val="21"/>
          <w:color w:val="auto"/>
        </w:rPr>
      </w:pPr>
    </w:p>
    <w:p>
      <w:pPr>
        <w:ind w:left="640" w:right="120" w:hanging="319"/>
        <w:spacing w:after="0" w:line="234"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an acquisition, including claims from terminated employees, customers, or other third parties;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the potential for incompatible business cultures;</w:t>
      </w:r>
    </w:p>
    <w:p>
      <w:pPr>
        <w:spacing w:after="0" w:line="21" w:lineRule="exact"/>
        <w:rPr>
          <w:rFonts w:ascii="Arial" w:cs="Arial" w:eastAsia="Arial" w:hAnsi="Arial"/>
          <w:sz w:val="21"/>
          <w:szCs w:val="21"/>
          <w:color w:val="auto"/>
        </w:rPr>
      </w:pPr>
    </w:p>
    <w:p>
      <w:pPr>
        <w:ind w:left="640" w:hanging="319"/>
        <w:spacing w:after="0"/>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significantly higher than anticipated transaction or integration-related costs;</w:t>
      </w:r>
    </w:p>
    <w:p>
      <w:pPr>
        <w:spacing w:after="0" w:line="2" w:lineRule="exact"/>
        <w:rPr>
          <w:rFonts w:ascii="Arial" w:cs="Arial" w:eastAsia="Arial" w:hAnsi="Arial"/>
          <w:sz w:val="21"/>
          <w:szCs w:val="21"/>
          <w:color w:val="auto"/>
        </w:rPr>
      </w:pPr>
    </w:p>
    <w:p>
      <w:pPr>
        <w:ind w:left="640" w:right="120" w:hanging="319"/>
        <w:spacing w:after="0" w:line="243"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acquired businesses or businesses that we invest in may not have adequate controls, processes, and procedures to ensure compliance with laws and regulations, including with respect to data privacy, data protection, and data security, as well as anti-bribery and anti-corruption laws, export controls, sanctions and industry-specific-regulation;</w:t>
      </w:r>
    </w:p>
    <w:p>
      <w:pPr>
        <w:spacing w:after="0" w:line="22" w:lineRule="exact"/>
        <w:rPr>
          <w:rFonts w:ascii="Times New Roman" w:cs="Times New Roman" w:eastAsia="Times New Roman" w:hAnsi="Times New Roman"/>
          <w:sz w:val="18"/>
          <w:szCs w:val="18"/>
          <w:color w:val="auto"/>
        </w:rPr>
      </w:pPr>
    </w:p>
    <w:p>
      <w:pPr>
        <w:ind w:left="640" w:right="280" w:hanging="319"/>
        <w:spacing w:after="0" w:line="234"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potential additional exposure to economic, tax, currency, political, legal, and regulatory risks and liabilities, including risks associated with specific countries; and</w:t>
      </w:r>
    </w:p>
    <w:p>
      <w:pPr>
        <w:spacing w:after="0" w:line="21" w:lineRule="exact"/>
        <w:rPr>
          <w:rFonts w:ascii="Arial" w:cs="Arial" w:eastAsia="Arial" w:hAnsi="Arial"/>
          <w:sz w:val="21"/>
          <w:szCs w:val="21"/>
          <w:color w:val="auto"/>
        </w:rPr>
      </w:pPr>
    </w:p>
    <w:p>
      <w:pPr>
        <w:ind w:left="640" w:hanging="319"/>
        <w:spacing w:after="0"/>
        <w:tabs>
          <w:tab w:leader="none" w:pos="6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7"/>
          <w:szCs w:val="17"/>
          <w:color w:val="auto"/>
        </w:rPr>
        <w:t>the potential impact on relationships with existing customers, vendors, and distributors as business partners as a result of acquiring another business.</w:t>
      </w:r>
    </w:p>
    <w:p>
      <w:pPr>
        <w:spacing w:after="0" w:line="219"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We may not be successful in overcoming such risks, and such acquisitions and investments may negatively impact our business. In addition, if we do not complete an announced acquisition transaction or integrate an acquired business successfully and in a timely manner, we may not realize the benefits of the acquisition to the extent anticipated. Acquisitions and investments have in the past and may in the future contribute to fluctuations in our quarterly financial results. These fluctuations could arise from transaction-related costs and charges associated with eliminating redundant expenses or write-offs of impaired assets recorded in connection with acquisitions and investments, and could negatively impact our financial results.</w:t>
      </w:r>
    </w:p>
    <w:p>
      <w:pPr>
        <w:spacing w:after="0" w:line="210"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i w:val="1"/>
          <w:iCs w:val="1"/>
          <w:color w:val="auto"/>
        </w:rPr>
        <w:t>We are dependent on international revenue and operations, exposing us to significant international regulatory, economic, intellectual property, collections, currency exchange rate, taxation, political, and other risks, which could adversely impact our financial results.</w:t>
      </w:r>
    </w:p>
    <w:p>
      <w:pPr>
        <w:spacing w:after="0" w:line="179" w:lineRule="exact"/>
        <w:rPr>
          <w:sz w:val="20"/>
          <w:szCs w:val="20"/>
          <w:color w:val="auto"/>
        </w:rPr>
      </w:pPr>
    </w:p>
    <w:p>
      <w:pPr>
        <w:ind w:firstLine="395"/>
        <w:spacing w:after="0" w:line="234" w:lineRule="auto"/>
        <w:rPr>
          <w:sz w:val="20"/>
          <w:szCs w:val="20"/>
          <w:color w:val="auto"/>
        </w:rPr>
      </w:pPr>
      <w:r>
        <w:rPr>
          <w:rFonts w:ascii="Times New Roman" w:cs="Times New Roman" w:eastAsia="Times New Roman" w:hAnsi="Times New Roman"/>
          <w:sz w:val="18"/>
          <w:szCs w:val="18"/>
          <w:color w:val="auto"/>
        </w:rPr>
        <w:t>International net revenue represented 64% of our net revenue for both the three months ended April 30, 2024 and 2023. Our international revenue, some of which comes from emerging economies, is subject to economic and political conditions in foreign markets, including those resulting from economic and political conditions in the United States. For example, we have recently seen a deceleration in growth in certain geographies including China. Our total revenue is also impacted by the relative geographical and country mix of our revenue over time. Our dependency on international revenue makes us much more exposed to global economic and political trends, which can negatively impact our financial results even if our results in the United States are strong for a particular period.</w:t>
      </w:r>
    </w:p>
    <w:p>
      <w:pPr>
        <w:spacing w:after="0" w:line="223" w:lineRule="exact"/>
        <w:rPr>
          <w:sz w:val="20"/>
          <w:szCs w:val="20"/>
          <w:color w:val="auto"/>
        </w:rPr>
      </w:pPr>
    </w:p>
    <w:p>
      <w:pPr>
        <w:jc w:val="both"/>
        <w:ind w:right="220" w:firstLine="395"/>
        <w:spacing w:after="0" w:line="250" w:lineRule="auto"/>
        <w:rPr>
          <w:sz w:val="20"/>
          <w:szCs w:val="20"/>
          <w:color w:val="auto"/>
        </w:rPr>
      </w:pPr>
      <w:r>
        <w:rPr>
          <w:rFonts w:ascii="Times New Roman" w:cs="Times New Roman" w:eastAsia="Times New Roman" w:hAnsi="Times New Roman"/>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United States. Risks inherent in our international operations include:</w:t>
      </w:r>
    </w:p>
    <w:p>
      <w:pPr>
        <w:spacing w:after="0" w:line="11" w:lineRule="exact"/>
        <w:rPr>
          <w:sz w:val="20"/>
          <w:szCs w:val="20"/>
          <w:color w:val="auto"/>
        </w:rPr>
      </w:pPr>
    </w:p>
    <w:p>
      <w:pPr>
        <w:ind w:left="640" w:hanging="319"/>
        <w:spacing w:after="0"/>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economic volatility;</w:t>
      </w:r>
    </w:p>
    <w:p>
      <w:pPr>
        <w:spacing w:after="0" w:line="21" w:lineRule="exact"/>
        <w:rPr>
          <w:rFonts w:ascii="Arial" w:cs="Arial" w:eastAsia="Arial" w:hAnsi="Arial"/>
          <w:sz w:val="21"/>
          <w:szCs w:val="21"/>
          <w:color w:val="auto"/>
        </w:rPr>
      </w:pPr>
    </w:p>
    <w:p>
      <w:pPr>
        <w:ind w:left="640" w:right="200" w:hanging="319"/>
        <w:spacing w:after="0" w:line="255" w:lineRule="auto"/>
        <w:tabs>
          <w:tab w:leader="none" w:pos="635"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tariffs, quotas, and other trade barriers and restrictions, including any political or economic responses and counter-responses or otherwise by various global actors to the ongoing wars between Ukraine and Russia and between Israel and Hamas;</w:t>
      </w:r>
    </w:p>
    <w:p>
      <w:pPr>
        <w:spacing w:after="0" w:line="21" w:lineRule="exact"/>
        <w:rPr>
          <w:rFonts w:ascii="Times New Roman" w:cs="Times New Roman" w:eastAsia="Times New Roman" w:hAnsi="Times New Roman"/>
          <w:sz w:val="21"/>
          <w:szCs w:val="21"/>
          <w:color w:val="auto"/>
        </w:rPr>
      </w:pPr>
    </w:p>
    <w:p>
      <w:pPr>
        <w:ind w:left="640" w:hanging="319"/>
        <w:spacing w:after="0"/>
        <w:tabs>
          <w:tab w:leader="none" w:pos="6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17"/>
          <w:szCs w:val="17"/>
          <w:color w:val="auto"/>
        </w:rPr>
        <w:t>fluctuating currency exchange rates, including devaluations, currency controls, and inflation, and risks related to any hedging activities we undertake;</w:t>
      </w:r>
    </w:p>
    <w:p>
      <w:pPr>
        <w:spacing w:after="0" w:line="15" w:lineRule="exact"/>
        <w:rPr>
          <w:rFonts w:ascii="Arial" w:cs="Arial" w:eastAsia="Arial" w:hAnsi="Arial"/>
          <w:sz w:val="20"/>
          <w:szCs w:val="20"/>
          <w:color w:val="auto"/>
        </w:rPr>
      </w:pPr>
    </w:p>
    <w:p>
      <w:pPr>
        <w:ind w:left="640" w:hanging="319"/>
        <w:spacing w:after="0" w:line="232"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regulatory requirements and practices;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delays resulting from difficulty in obtaining export licenses for certain technology;</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different purchase patterns as compared to the developed world;</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operating in locations with a higher incidence of corruption and fraudulent business practices, particularly in emerging economies;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compliance with the U.S. Foreign Corrupt Practices Act, the U.K. Bribery Act, and other anti-corruption laws;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4" w:name="page55"/>
    <w:bookmarkEnd w:id="54"/>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difficulties in staffing and managing foreign sales and development operations;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local competition;</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longer collection cycles for accounts receivable;</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U.S. and foreign tax law changes and the complexities of tax reporting;</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laws regarding the free flow of data across international borders and management of and access to data and public networks;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possible future limitations upon foreign-owned businesses;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inadequate local infrastructure;</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greater difficulty in protecting intellectual property;</w:t>
      </w:r>
    </w:p>
    <w:p>
      <w:pPr>
        <w:spacing w:after="0" w:line="16" w:lineRule="exact"/>
        <w:rPr>
          <w:rFonts w:ascii="Arial" w:cs="Arial" w:eastAsia="Arial" w:hAnsi="Arial"/>
          <w:sz w:val="21"/>
          <w:szCs w:val="21"/>
          <w:color w:val="auto"/>
        </w:rPr>
      </w:pPr>
    </w:p>
    <w:p>
      <w:pPr>
        <w:ind w:left="640" w:hanging="319"/>
        <w:spacing w:after="0" w:line="221"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software piracy; and</w:t>
      </w:r>
    </w:p>
    <w:p>
      <w:pPr>
        <w:ind w:left="640" w:hanging="319"/>
        <w:spacing w:after="0" w:line="233"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our control, including popular uprisings, terrorism, war (including the ongoing wars between Ukraine and Russia and between Israel and Hamas, and any related political or economic responses and counter-responses or otherwise by various global actors or the general effect on the global economy), natural disasters, and diseases and pandemics, such as COVID-19.</w:t>
      </w:r>
    </w:p>
    <w:p>
      <w:pPr>
        <w:spacing w:after="0"/>
        <w:rPr>
          <w:sz w:val="20"/>
          <w:szCs w:val="20"/>
          <w:color w:val="auto"/>
        </w:rPr>
      </w:pPr>
      <w:r>
        <w:rPr>
          <w:rFonts w:ascii="Times New Roman" w:cs="Times New Roman" w:eastAsia="Times New Roman" w:hAnsi="Times New Roman"/>
          <w:sz w:val="18"/>
          <w:szCs w:val="18"/>
          <w:color w:val="auto"/>
        </w:rPr>
        <w:t>Some of our business partners also have international operations and are subject to the risks described above.</w:t>
      </w:r>
    </w:p>
    <w:p>
      <w:pPr>
        <w:spacing w:after="0" w:line="2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application of the Trade and Cooperation Agreement between the European Union, the European Atomic Energy Community, and the United</w:t>
      </w:r>
    </w:p>
    <w:p>
      <w:pPr>
        <w:spacing w:after="0" w:line="10"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8"/>
          <w:szCs w:val="18"/>
          <w:color w:val="auto"/>
        </w:rPr>
        <w:t>Kingdom signed in December 2020 (the “TCA”), which took effect January 1, 2021, could have adverse tax, tax treaty, banking, operational, legal, regulatory, or other impacts on our businesses in the region. The withdrawal could also, among other potential outcomes, create currency volatility; disrupt the free movement of goods, services, and people between the United Kingdom and the European Union; and significantly disrupt trade between the United Kingdom and the European Union and other parties. Uncertainty around these and related issues could lead to adverse effects on the United Kingdom economy, the European Union economies, and the other economies in which we operate.</w:t>
      </w:r>
    </w:p>
    <w:p>
      <w:pPr>
        <w:spacing w:after="0" w:line="207" w:lineRule="exact"/>
        <w:rPr>
          <w:sz w:val="20"/>
          <w:szCs w:val="20"/>
          <w:color w:val="auto"/>
        </w:rPr>
      </w:pPr>
    </w:p>
    <w:p>
      <w:pPr>
        <w:ind w:right="20" w:firstLine="474"/>
        <w:spacing w:after="0" w:line="232" w:lineRule="auto"/>
        <w:rPr>
          <w:sz w:val="20"/>
          <w:szCs w:val="20"/>
          <w:color w:val="auto"/>
        </w:rPr>
      </w:pPr>
      <w:r>
        <w:rPr>
          <w:rFonts w:ascii="Times New Roman" w:cs="Times New Roman" w:eastAsia="Times New Roman" w:hAnsi="Times New Roman"/>
          <w:sz w:val="18"/>
          <w:szCs w:val="18"/>
          <w:color w:val="auto"/>
        </w:rPr>
        <w:t>In addition, in recent years, the United States has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More recently, the United States and other global actors have imposed sanctions as a result of the war against Ukraine launched by Russia and the ongoing war between Israel and Hamas. New or increased tariffs and other changes in U.S. trade policy, including new sanctions, could trigger retaliatory actions by affected countries, including Russia. In addition, certain foreign governments, including the Chinese government, have instituted or considered imposing trade sanctions on certain U.S.-manufactured goods. The escalation of protectionist or retaliatory trade measures in either the United States or any other countries in which we do business, such as announcing sanctions, a change in tariff structures, export compliance, or other trade policies, may increase the cost of, or otherwise interfere with, the conduct of our business, and could have a material adverse effect on our operations and business outlook.</w:t>
      </w:r>
    </w:p>
    <w:p>
      <w:pPr>
        <w:spacing w:after="0" w:line="199" w:lineRule="exact"/>
        <w:rPr>
          <w:sz w:val="20"/>
          <w:szCs w:val="20"/>
          <w:color w:val="auto"/>
        </w:rPr>
      </w:pPr>
    </w:p>
    <w:p>
      <w:pPr>
        <w:ind w:right="120" w:firstLine="474"/>
        <w:spacing w:after="0" w:line="253" w:lineRule="auto"/>
        <w:rPr>
          <w:sz w:val="20"/>
          <w:szCs w:val="20"/>
          <w:color w:val="auto"/>
        </w:rPr>
      </w:pPr>
      <w:r>
        <w:rPr>
          <w:rFonts w:ascii="Times New Roman" w:cs="Times New Roman" w:eastAsia="Times New Roman" w:hAnsi="Times New Roman"/>
          <w:sz w:val="18"/>
          <w:szCs w:val="18"/>
          <w:color w:val="auto"/>
        </w:rPr>
        <w:t>Even if we are able to successfully manage the risks of international operations, our business may be adversely affected if our business partners are not able to successfully manage these risks.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predict subscription renewal rates and their impact on our future revenue and operating results.</w:t>
      </w:r>
    </w:p>
    <w:p>
      <w:pPr>
        <w:spacing w:after="0" w:line="242" w:lineRule="exact"/>
        <w:rPr>
          <w:sz w:val="20"/>
          <w:szCs w:val="20"/>
          <w:color w:val="auto"/>
        </w:rPr>
      </w:pPr>
    </w:p>
    <w:p>
      <w:pPr>
        <w:ind w:right="60" w:firstLine="395"/>
        <w:spacing w:after="0" w:line="289" w:lineRule="auto"/>
        <w:rPr>
          <w:sz w:val="20"/>
          <w:szCs w:val="20"/>
          <w:color w:val="auto"/>
        </w:rPr>
      </w:pPr>
      <w:r>
        <w:rPr>
          <w:rFonts w:ascii="Times New Roman" w:cs="Times New Roman" w:eastAsia="Times New Roman" w:hAnsi="Times New Roman"/>
          <w:sz w:val="16"/>
          <w:szCs w:val="16"/>
          <w:color w:val="auto"/>
        </w:rPr>
        <w:t>We are dependent on attracting new customers as well as renewing and expanding our business with existing customers. Our customers are not obligated to renew their subscriptions for our offerings, and they may elect not to renew, upgrade, or expand their subscriptions. We cannot assure renewal rates or the mix of subscriptions renewals. Customer renewal rates may decline or fluctuate due to a number of factors, including offering pricing; competitive offerings; customer satisfaction; and reductions in customer spending levels, customer activity, or number of users due to economic downturns or financial markets uncertainty. If our customers do not renew their subscriptions or if they renew on less favorable terms, our revenues may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Existing and increased competition and rapidly evolving technological changes may reduce our revenue and profits.</w:t>
      </w:r>
    </w:p>
    <w:p>
      <w:pPr>
        <w:spacing w:after="0" w:line="242" w:lineRule="exact"/>
        <w:rPr>
          <w:sz w:val="20"/>
          <w:szCs w:val="20"/>
          <w:color w:val="auto"/>
        </w:rPr>
      </w:pPr>
    </w:p>
    <w:p>
      <w:pPr>
        <w:ind w:right="20" w:firstLine="395"/>
        <w:spacing w:after="0" w:line="282" w:lineRule="auto"/>
        <w:rPr>
          <w:sz w:val="20"/>
          <w:szCs w:val="20"/>
          <w:color w:val="auto"/>
        </w:rPr>
      </w:pPr>
      <w:r>
        <w:rPr>
          <w:rFonts w:ascii="Times New Roman" w:cs="Times New Roman" w:eastAsia="Times New Roman" w:hAnsi="Times New Roman"/>
          <w:sz w:val="16"/>
          <w:szCs w:val="16"/>
          <w:color w:val="auto"/>
        </w:rPr>
        <w:t xml:space="preserve">The software industry has limited barriers to entry, and the availability of computing devices with continually expanding performance at progressively lower prices contributes to the ease of market entry. The industry has undergone a transition from developing and selling perpetual licenses and on-premises products to </w:t>
      </w:r>
      <w:r>
        <w:rPr>
          <w:rFonts w:ascii="Times New Roman" w:cs="Times New Roman" w:eastAsia="Times New Roman" w:hAnsi="Times New Roman"/>
          <w:sz w:val="16"/>
          <w:szCs w:val="16"/>
          <w:color w:val="212529"/>
        </w:rPr>
        <w:t>subscriptions and cloud-enabled technologies</w:t>
      </w:r>
      <w:r>
        <w:rPr>
          <w:rFonts w:ascii="Times New Roman" w:cs="Times New Roman" w:eastAsia="Times New Roman" w:hAnsi="Times New Roman"/>
          <w:sz w:val="16"/>
          <w:szCs w:val="16"/>
          <w:color w:val="auto"/>
        </w:rPr>
        <w:t>. This shift further lowers barriers to entry and poses a disruptive challenge to established software companies. The markets in which we operate are characterized by vigorous competition, both by entrants with innovative technologies and by consolidation of</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97" w:right="399" w:bottom="1440" w:gutter="0" w:footer="0" w:header="0"/>
        </w:sectPr>
      </w:pPr>
    </w:p>
    <w:bookmarkStart w:id="55" w:name="page56"/>
    <w:bookmarkEnd w:id="55"/>
    <w:p>
      <w:pPr>
        <w:spacing w:after="0" w:line="272" w:lineRule="auto"/>
        <w:rPr>
          <w:sz w:val="20"/>
          <w:szCs w:val="20"/>
          <w:color w:val="auto"/>
        </w:rPr>
      </w:pPr>
      <w:r>
        <w:rPr>
          <w:rFonts w:ascii="Times New Roman" w:cs="Times New Roman" w:eastAsia="Times New Roman" w:hAnsi="Times New Roman"/>
          <w:sz w:val="16"/>
          <w:szCs w:val="16"/>
          <w:color w:val="auto"/>
        </w:rPr>
        <w:t>companies with complementary offerings and technologies. Some of our competitors have greater financial, technical, sales and marketing, and other resources. Our competitors may also be able to develop and market new technologies that render our existing or future products less competitive. For example, disruptive technologies such as machine learning and other AI technologies may significantly alter the market for our products in unpredictable ways and reduce customer demand.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83"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i w:val="1"/>
          <w:iCs w:val="1"/>
          <w:color w:val="auto"/>
        </w:rPr>
        <w:t>Our financial results, key metrics, and other operating metrics fluctuate within each quarter and from quarter to quarter, making our future revenue and financial results difficult to predict.</w:t>
      </w:r>
    </w:p>
    <w:p>
      <w:pPr>
        <w:spacing w:after="0" w:line="192"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Our quarterly financial results, key metrics, and other operating metrics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risks described in these risk factors, some of the factors that could cause our financial results, key metrics, and other operating metrics to fluctuate include:</w:t>
      </w:r>
    </w:p>
    <w:p>
      <w:pPr>
        <w:spacing w:after="0" w:line="23" w:lineRule="exact"/>
        <w:rPr>
          <w:sz w:val="20"/>
          <w:szCs w:val="20"/>
          <w:color w:val="auto"/>
        </w:rPr>
      </w:pPr>
    </w:p>
    <w:p>
      <w:pPr>
        <w:ind w:left="640" w:right="300" w:hanging="319"/>
        <w:spacing w:after="0" w:line="234" w:lineRule="auto"/>
        <w:tabs>
          <w:tab w:leader="none" w:pos="6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general market, economic, business, and political conditions in Europe, APAC, and emerging economies, including from an economic downturn or recession in the United States or other countries;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produce sufficient revenue, billings, subscription, profitability, and cash flow growth;</w:t>
      </w:r>
    </w:p>
    <w:p>
      <w:pPr>
        <w:spacing w:after="0" w:line="34" w:lineRule="exact"/>
        <w:rPr>
          <w:rFonts w:ascii="Arial" w:cs="Arial" w:eastAsia="Arial" w:hAnsi="Arial"/>
          <w:sz w:val="21"/>
          <w:szCs w:val="21"/>
          <w:color w:val="auto"/>
        </w:rPr>
      </w:pPr>
    </w:p>
    <w:p>
      <w:pPr>
        <w:ind w:left="640" w:right="520" w:hanging="319"/>
        <w:spacing w:after="0" w:line="229" w:lineRule="auto"/>
        <w:tabs>
          <w:tab w:leader="none" w:pos="6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accurately predict the impact of acquired businesses or to identify and realize the anticipated benefits of acquisitions, and successfully integrate such acquired businesses and technologies;</w:t>
      </w:r>
    </w:p>
    <w:p>
      <w:pPr>
        <w:ind w:left="640" w:right="80" w:hanging="319"/>
        <w:spacing w:after="0" w:line="235"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 to named-user plans and annual billing of multi-year contracts, which impacted the timing of our billings and cash collections in fiscal year 2024 and which is expected to continue into fiscal year 2025;</w:t>
      </w:r>
    </w:p>
    <w:p>
      <w:pPr>
        <w:spacing w:after="0" w:line="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successfully introduce and expand new transaction models such as FLEX;</w:t>
      </w:r>
    </w:p>
    <w:p>
      <w:pPr>
        <w:spacing w:after="0" w:line="16"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potential goodwill impairment charges related to prior acquisitions;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manage spend;</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billings linearity;</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subscription mix, pricing pressure, or changes in subscription pricing;</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weak or negative growth in one or more of the industries we serve, including AEC, manufacturing, and digital media and entertainment markets;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the success of new business or sales initiatives;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security breaches, related reputational harm, and potential financial penalties to customers and government entities;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restructuring or other accounting charges and unexpected costs or other operating expenses;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additional investments in our technologies or deployment of our services;</w:t>
      </w:r>
    </w:p>
    <w:p>
      <w:pPr>
        <w:spacing w:after="0" w:line="21" w:lineRule="exact"/>
        <w:rPr>
          <w:rFonts w:ascii="Arial" w:cs="Arial" w:eastAsia="Arial" w:hAnsi="Arial"/>
          <w:sz w:val="21"/>
          <w:szCs w:val="21"/>
          <w:color w:val="auto"/>
        </w:rPr>
      </w:pPr>
    </w:p>
    <w:p>
      <w:pPr>
        <w:ind w:left="640" w:right="500" w:hanging="319"/>
        <w:spacing w:after="0" w:line="234" w:lineRule="auto"/>
        <w:tabs>
          <w:tab w:leader="none" w:pos="6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revenue recognition or other accounting guidelines employed by us and/or established by the Financial Accounting Standards Board, Securities and Exchange Commission, or other rulemaking bodies;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fluctuations in foreign currency exchange rates and the effectiveness of our hedging activity;</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dependence on and timing of large transactions;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adjustments arising from ongoing or future tax examinations;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the ability of governments around the world to adopt fiscal policies, meet their financial and debt obligations, and finance infrastructure projects;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expand our AutoCAD and AutoCAD LT customer base to related design products and services;</w:t>
      </w:r>
    </w:p>
    <w:p>
      <w:pPr>
        <w:spacing w:after="0" w:line="22" w:lineRule="exact"/>
        <w:rPr>
          <w:rFonts w:ascii="Arial" w:cs="Arial" w:eastAsia="Arial" w:hAnsi="Arial"/>
          <w:sz w:val="21"/>
          <w:szCs w:val="21"/>
          <w:color w:val="auto"/>
        </w:rPr>
      </w:pPr>
    </w:p>
    <w:p>
      <w:pPr>
        <w:ind w:left="640" w:right="280" w:hanging="319"/>
        <w:spacing w:after="0" w:line="234" w:lineRule="auto"/>
        <w:tabs>
          <w:tab w:leader="none" w:pos="6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rapidly adapt to technological and customer preference changes, including those related to cloud computing, mobile devices, and new computing platforms;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the introduction of new products by us or our competitors;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the financial and business condition of our reseller and distribution channels;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perceived or actual technical or other problems with a product or combination of subscriptions;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unexpected or negative outcomes of matters and expenses relating to litigation or regulatory inquiries;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increases in cloud functionality-related expenses;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releases and retirements of offerings;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6" w:name="page57"/>
    <w:bookmarkEnd w:id="56"/>
    <w:p>
      <w:pPr>
        <w:ind w:left="640" w:hanging="319"/>
        <w:spacing w:after="0"/>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tax laws or tax or accounting rules and regulations, such as increased use of fair value measures;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sales compensation practices;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effectively implement and maintain our copyright legalization programs, especially in developing countries;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renegotiation or termination of royalty or intellectual property arrangements;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interruptions or terminations in the business of our consultants or third-party developers;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timing and degree of expected investments in growth and efficiency opportunities;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achieve continued success in technology advancements;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catastrophic events, natural disasters, or public health events, such as pandemics and epidemics, including COVID-19;</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regulatory compliance costs; and</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appropriately estimate the scope of services under consulting arrangements.</w:t>
      </w:r>
    </w:p>
    <w:p>
      <w:pPr>
        <w:spacing w:after="0" w:line="207" w:lineRule="exact"/>
        <w:rPr>
          <w:sz w:val="20"/>
          <w:szCs w:val="20"/>
          <w:color w:val="auto"/>
        </w:rPr>
      </w:pPr>
    </w:p>
    <w:p>
      <w:pPr>
        <w:ind w:firstLine="395"/>
        <w:spacing w:after="0" w:line="236" w:lineRule="auto"/>
        <w:rPr>
          <w:sz w:val="20"/>
          <w:szCs w:val="20"/>
          <w:color w:val="auto"/>
        </w:rPr>
      </w:pPr>
      <w:r>
        <w:rPr>
          <w:rFonts w:ascii="Times New Roman" w:cs="Times New Roman" w:eastAsia="Times New Roman" w:hAnsi="Times New Roman"/>
          <w:sz w:val="18"/>
          <w:szCs w:val="18"/>
          <w:color w:val="auto"/>
        </w:rPr>
        <w:t>We have also experienced fluctuations in financial results in interim periods in certain geographic regions due to seasonality or regional economic or political conditions. In particular, our financial results, key metrics, or other operating metrics in Europe during our third quarter are usually affected by a slower summer period, and our APAC operations typically experience seasonal slowing in our fourth quarter. War, including the ongoing wars between Ukraine and Russia and between Israel and Hamas, and any related political or economic responses and counter-responses or otherwise by various global actors or the general effect on the global economy, could also affect our business.</w:t>
      </w:r>
    </w:p>
    <w:p>
      <w:pPr>
        <w:spacing w:after="0" w:line="206" w:lineRule="exact"/>
        <w:rPr>
          <w:sz w:val="20"/>
          <w:szCs w:val="20"/>
          <w:color w:val="auto"/>
        </w:rPr>
      </w:pPr>
    </w:p>
    <w:p>
      <w:pPr>
        <w:ind w:right="340" w:firstLine="395"/>
        <w:spacing w:after="0" w:line="256" w:lineRule="auto"/>
        <w:rPr>
          <w:sz w:val="20"/>
          <w:szCs w:val="20"/>
          <w:color w:val="auto"/>
        </w:rPr>
      </w:pPr>
      <w:r>
        <w:rPr>
          <w:rFonts w:ascii="Times New Roman" w:cs="Times New Roman" w:eastAsia="Times New Roman" w:hAnsi="Times New Roman"/>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204"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i w:val="1"/>
          <w:iCs w:val="1"/>
          <w:color w:val="auto"/>
        </w:rPr>
        <w:t>We derive a substantial portion of our net revenue from a small number of solutions, including our AutoCAD-based software products and collections, and if these offerings are not successful, our revenue would be adversely affected.</w:t>
      </w:r>
    </w:p>
    <w:p>
      <w:pPr>
        <w:spacing w:after="0" w:line="192" w:lineRule="exact"/>
        <w:rPr>
          <w:sz w:val="20"/>
          <w:szCs w:val="20"/>
          <w:color w:val="auto"/>
        </w:rPr>
      </w:pPr>
    </w:p>
    <w:p>
      <w:pPr>
        <w:ind w:right="120" w:firstLine="434"/>
        <w:spacing w:after="0" w:line="249" w:lineRule="auto"/>
        <w:rPr>
          <w:sz w:val="20"/>
          <w:szCs w:val="20"/>
          <w:color w:val="auto"/>
        </w:rPr>
      </w:pPr>
      <w:r>
        <w:rPr>
          <w:rFonts w:ascii="Times New Roman" w:cs="Times New Roman" w:eastAsia="Times New Roman" w:hAnsi="Times New Roman"/>
          <w:sz w:val="18"/>
          <w:szCs w:val="18"/>
          <w:color w:val="auto"/>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the three months ended April 30, 2024 and 2023, combined revenue from our AutoCAD and AutoCAD LT family products, not including collections having AutoCAD or AutoCAD LT as a component, represented 27% and 28% of our total net revenue, respectively.</w:t>
      </w:r>
    </w:p>
    <w:p>
      <w:pPr>
        <w:spacing w:after="0" w:line="210"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9" w:lineRule="exact"/>
        <w:rPr>
          <w:sz w:val="20"/>
          <w:szCs w:val="20"/>
          <w:color w:val="auto"/>
        </w:rPr>
      </w:pPr>
    </w:p>
    <w:p>
      <w:pPr>
        <w:ind w:right="20" w:firstLine="395"/>
        <w:spacing w:after="0" w:line="233" w:lineRule="auto"/>
        <w:rPr>
          <w:sz w:val="20"/>
          <w:szCs w:val="20"/>
          <w:color w:val="auto"/>
        </w:rPr>
      </w:pPr>
      <w:r>
        <w:rPr>
          <w:rFonts w:ascii="Times New Roman" w:cs="Times New Roman" w:eastAsia="Times New Roman" w:hAnsi="Times New Roman"/>
          <w:sz w:val="18"/>
          <w:szCs w:val="18"/>
          <w:color w:val="auto"/>
        </w:rPr>
        <w:t>As part of our effort to accommodate our customers’ needs and demands and the rapid evolution of technology, from time to time we evolve our business and sales initiatives, such as shifting to annual billing of multi-year contracts, introducing and expanding new business models such as the new transaction model and FLEX,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revenue, billings, earnings, cash flow, or subscriptions shortfalls or volatility of the market generally may cause the market price of our stock to decline.</w:t>
      </w:r>
    </w:p>
    <w:p>
      <w:pPr>
        <w:spacing w:after="0" w:line="265"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The market price for our common stock has experienced significant fluctuations and may continue to fluctuate significantly. The market price for our common stock may be affected by a number of factors, including the other risks described in these risk factors and the following:</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97" w:right="359" w:bottom="1440" w:gutter="0" w:footer="0" w:header="0"/>
        </w:sectPr>
      </w:pPr>
    </w:p>
    <w:bookmarkStart w:id="57" w:name="page58"/>
    <w:bookmarkEnd w:id="57"/>
    <w:p>
      <w:pPr>
        <w:ind w:left="640" w:right="20" w:hanging="319"/>
        <w:spacing w:after="0" w:line="237" w:lineRule="auto"/>
        <w:tabs>
          <w:tab w:leader="none" w:pos="63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shortfalls in our expected financial results, including net revenue, billings, earnings, and cash flow or key performance metrics, such as subscriptions, and how those results compare to securities analyst expectations, including whether those results fail to meet, exceed, or significantly exceed securities analyst expectations;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20" w:lineRule="exact"/>
        <w:rPr>
          <w:rFonts w:ascii="Arial" w:cs="Arial" w:eastAsia="Arial" w:hAnsi="Arial"/>
          <w:sz w:val="21"/>
          <w:szCs w:val="21"/>
          <w:color w:val="auto"/>
        </w:rPr>
      </w:pPr>
    </w:p>
    <w:p>
      <w:pPr>
        <w:ind w:left="640" w:hanging="319"/>
        <w:spacing w:after="0"/>
        <w:tabs>
          <w:tab w:leader="none" w:pos="6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17"/>
          <w:szCs w:val="17"/>
          <w:color w:val="auto"/>
        </w:rPr>
        <w:t>general socioeconomic, political, or market conditions, including from an economic downturn or recession in the United States or in other countries;</w:t>
      </w:r>
    </w:p>
    <w:p>
      <w:pPr>
        <w:spacing w:after="0" w:line="34" w:lineRule="exact"/>
        <w:rPr>
          <w:rFonts w:ascii="Arial" w:cs="Arial" w:eastAsia="Arial" w:hAnsi="Arial"/>
          <w:sz w:val="20"/>
          <w:szCs w:val="20"/>
          <w:color w:val="auto"/>
        </w:rPr>
      </w:pPr>
    </w:p>
    <w:p>
      <w:pPr>
        <w:ind w:left="640" w:right="20" w:hanging="319"/>
        <w:spacing w:after="0" w:line="234" w:lineRule="auto"/>
        <w:tabs>
          <w:tab w:leader="none" w:pos="63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forward-looking estimates of future results, how those estimates compare to securities analyst expectations, or changes in recommendations or confusion on the part of analysts and investors about the short- and long-term impact to our business;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uncertainty about certain governments’ abilities to repay debt or effect fiscal policy;</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announcements of new offerings or enhancements by us or our competitors;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unusual events such as significant acquisitions, divestitures, regulatory actions, and litigation;</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laws, rules, or regulations applicable to our business;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outstanding debt service obligations; and</w:t>
      </w:r>
    </w:p>
    <w:p>
      <w:pPr>
        <w:spacing w:after="0" w:line="21" w:lineRule="exact"/>
        <w:rPr>
          <w:rFonts w:ascii="Arial" w:cs="Arial" w:eastAsia="Arial" w:hAnsi="Arial"/>
          <w:sz w:val="21"/>
          <w:szCs w:val="21"/>
          <w:color w:val="auto"/>
        </w:rPr>
      </w:pPr>
    </w:p>
    <w:p>
      <w:pPr>
        <w:ind w:left="640" w:right="160" w:hanging="319"/>
        <w:spacing w:after="0" w:line="234" w:lineRule="auto"/>
        <w:tabs>
          <w:tab w:leader="none" w:pos="63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other factors, including factors unrelated to our operating performance, such as instability affecting the economy or the operating performance of our competitors.</w:t>
      </w:r>
    </w:p>
    <w:p>
      <w:pPr>
        <w:spacing w:after="0" w:line="221" w:lineRule="exact"/>
        <w:rPr>
          <w:sz w:val="20"/>
          <w:szCs w:val="20"/>
          <w:color w:val="auto"/>
        </w:rPr>
      </w:pPr>
    </w:p>
    <w:p>
      <w:pPr>
        <w:jc w:val="both"/>
        <w:ind w:right="200" w:firstLine="395"/>
        <w:spacing w:after="0" w:line="256" w:lineRule="auto"/>
        <w:rPr>
          <w:sz w:val="20"/>
          <w:szCs w:val="20"/>
          <w:color w:val="auto"/>
        </w:rPr>
      </w:pPr>
      <w:r>
        <w:rPr>
          <w:rFonts w:ascii="Times New Roman" w:cs="Times New Roman" w:eastAsia="Times New Roman" w:hAnsi="Times New Roman"/>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04"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9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We partner with certain independent firms and contractors to perform some of our product development activities. We believe our partnering strategy allows us to achieve efficiencies in developing new products and maintaining and enhancing existing product offerings. This strategy creates a dependency on independent developers. Independent developers, including those who currently develop solutions for us in the United States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11"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i w:val="1"/>
          <w:iCs w:val="1"/>
          <w:color w:val="auto"/>
        </w:rPr>
        <w:t>We incorporate AI into our offerings, and challenges with properly managing its use could result in competitive harm, reputational harm, or liability, and adversely affect our results of operations.</w:t>
      </w:r>
    </w:p>
    <w:p>
      <w:pPr>
        <w:spacing w:after="0" w:line="19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are increasingly building AI into many of our offerings. We expect to rely on AI technologies to help drive future growth in our business, but there can be no assurance that we will realize the desired or anticipated benefits from AI or at all. We may also fail to properly implement or market our AI offerings. As with many innovations, AI presents risks and challenges that could affect its adoption, and therefore our business. Our competitors or other third parties may incorporate AI into their products more quickly or more successfully than us, which could impair our ability to compete effectively and adversely affect our results of operations. Additionally, our offerings based on AI may expose us to additional lawsuits and regulatory investigations and subject us to legal liability as well as brand and reputational harm. For example, if the content, analyses, or recommendations that AI applications assist in producing are or are alleged to be deficient, inaccurate, or biased, our business, financial condition, and results of operations may be adversely affected. The use of AI applications has resulted in, and may in the future result in, cybersecurity incidents that implicate the personal data of end users of such applications. Any such cybersecurity incidents related to our use of AI applications could adversely affect our reputation and results of operations.</w:t>
      </w:r>
    </w:p>
    <w:p>
      <w:pPr>
        <w:spacing w:after="0" w:line="21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Social and ethical issues relating to the use of new and evolving technologies such as AI in our offerings, may result in reputational harm and liability, and may cause us to incur additional research and development costs to resolve such issues. AI presents emerging ethical issues and if we enable or offer solutions that draw controversy due to their perceived or actual impact on society, we may experience brand or reputational harm, competitive harm, or legal liability. Potential government regulation in the space of AI ethics may also increase the burden and cost of research and development in this area, subjecting us to brand or reputational harm, competitive harm, or legal liability. Failure to address AI ethics issues by us or others in our industry could undermine public confidence in AI and slow adoption of AI in our products and services.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58" w:name="page59"/>
    <w:bookmarkEnd w:id="58"/>
    <w:p>
      <w:pPr>
        <w:spacing w:after="0" w:line="271" w:lineRule="auto"/>
        <w:rPr>
          <w:sz w:val="20"/>
          <w:szCs w:val="20"/>
          <w:color w:val="auto"/>
        </w:rPr>
      </w:pPr>
      <w:r>
        <w:rPr>
          <w:rFonts w:ascii="Times New Roman" w:cs="Times New Roman" w:eastAsia="Times New Roman" w:hAnsi="Times New Roman"/>
          <w:sz w:val="18"/>
          <w:szCs w:val="18"/>
          <w:i w:val="1"/>
          <w:iCs w:val="1"/>
          <w:color w:val="auto"/>
        </w:rPr>
        <w:t>The Audit Committee internal investigation has been time-consuming and expensive, has resulted in the filing of a class action lawsuit, and may result in additional expense and/or litigation.</w:t>
      </w:r>
    </w:p>
    <w:p>
      <w:pPr>
        <w:spacing w:after="0" w:line="192" w:lineRule="exact"/>
        <w:rPr>
          <w:sz w:val="20"/>
          <w:szCs w:val="20"/>
          <w:color w:val="auto"/>
        </w:rPr>
      </w:pPr>
    </w:p>
    <w:p>
      <w:pPr>
        <w:ind w:right="120" w:firstLine="395"/>
        <w:spacing w:after="0" w:line="332" w:lineRule="auto"/>
        <w:rPr>
          <w:sz w:val="20"/>
          <w:szCs w:val="20"/>
          <w:color w:val="auto"/>
        </w:rPr>
      </w:pPr>
      <w:r>
        <w:rPr>
          <w:rFonts w:ascii="Times New Roman" w:cs="Times New Roman" w:eastAsia="Times New Roman" w:hAnsi="Times New Roman"/>
          <w:sz w:val="16"/>
          <w:szCs w:val="16"/>
          <w:color w:val="auto"/>
        </w:rPr>
        <w:t>As previously disclosed on April 1, 2024, the Audit Committee commenced an internal investigation with the assistance of outside counsel and advisors, regarding Autodesk’s free cash flow and non-GAAP operating margin practices. The results of that investigation were announced on May 31, 2024.</w:t>
      </w:r>
    </w:p>
    <w:p>
      <w:pPr>
        <w:spacing w:after="0" w:line="149"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We have incurred significant expenses, including audit, legal, consulting and other professional fees, in connection with the investigation, and we could be forced to incur additional time and expense as a result of the investigation. The incurrence of significant additional expense, or the requirement that management devote significant time that could reduce the time available to execute on our business strategies, could have an adverse effect on our business, results of operations and financial condition.</w:t>
      </w:r>
    </w:p>
    <w:p>
      <w:pPr>
        <w:spacing w:after="0" w:line="210" w:lineRule="exact"/>
        <w:rPr>
          <w:sz w:val="20"/>
          <w:szCs w:val="20"/>
          <w:color w:val="auto"/>
        </w:rPr>
      </w:pPr>
    </w:p>
    <w:p>
      <w:pPr>
        <w:ind w:right="60" w:firstLine="395"/>
        <w:spacing w:after="0" w:line="314" w:lineRule="auto"/>
        <w:rPr>
          <w:sz w:val="20"/>
          <w:szCs w:val="20"/>
          <w:color w:val="auto"/>
        </w:rPr>
      </w:pPr>
      <w:r>
        <w:rPr>
          <w:rFonts w:ascii="Times New Roman" w:cs="Times New Roman" w:eastAsia="Times New Roman" w:hAnsi="Times New Roman"/>
          <w:sz w:val="16"/>
          <w:szCs w:val="16"/>
          <w:color w:val="auto"/>
        </w:rPr>
        <w:t>Autodesk voluntarily contacted the Securities and Exchange Commission (the “SEC”) to advise it that an internal investigation was ongoing. Autodesk intends to cooperate with the SEC’s investigation. Furthermore, if the SEC commences legal action, we could be required to pay significant penalties and become subject to injunctions, a cease and desist order and other equitable remedies. The completion of the Audit Committee investigation and filing of any delinquent periodic reports will not automatically resolve the SEC investigation. In addition, the United States Attorney’s Office for the Northern District of California contacted us regarding the Audit Committee investigation. We cannot guarantee that we will not receive inquiries from other regulatory authorities regarding the investigation, or that we will not be subject to future claims, investigations or proceedings. Any future inquiries from the SEC or other regulatory authorities, or future claims or proceedings or any related regulatory investigation will, regardless of the outcome, likely consume a significant amount of our internal resources and result in additional legal and accounting costs. We can provide no assurances as to the outcome of any governmental investigation.</w:t>
      </w:r>
    </w:p>
    <w:p>
      <w:pPr>
        <w:spacing w:after="0" w:line="167"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In addition, we and certain of our officers and directors have been named in a purported shareholder class action arising out of our announcement of the investigation. For additional discussion, see Item 3. Legal Proceedings and Note 11 to our Consolidated Financial Statements. The pending litigation, and any future litigation, investigation or other actions that may be filed or initiated against us or our officers or directors, may be time consuming and expensive. We cannot predict what losses we may incur in these litigation matters, and contingencies related to our obligations under the federal and state securities laws, or in other legal proceedings or governmental investigations or proceedings related to these matters.</w:t>
      </w:r>
    </w:p>
    <w:p>
      <w:pPr>
        <w:spacing w:after="0" w:line="212" w:lineRule="exact"/>
        <w:rPr>
          <w:sz w:val="20"/>
          <w:szCs w:val="20"/>
          <w:color w:val="auto"/>
        </w:rPr>
      </w:pPr>
    </w:p>
    <w:p>
      <w:pPr>
        <w:ind w:right="180" w:firstLine="395"/>
        <w:spacing w:after="0" w:line="289" w:lineRule="auto"/>
        <w:rPr>
          <w:sz w:val="20"/>
          <w:szCs w:val="20"/>
          <w:color w:val="auto"/>
        </w:rPr>
      </w:pPr>
      <w:r>
        <w:rPr>
          <w:rFonts w:ascii="Times New Roman" w:cs="Times New Roman" w:eastAsia="Times New Roman" w:hAnsi="Times New Roman"/>
          <w:sz w:val="16"/>
          <w:szCs w:val="16"/>
          <w:color w:val="auto"/>
        </w:rPr>
        <w:t>Any legal proceedings, if decided adversely to us, could result in significant monetary damages, penalties and reputational harm, and will likely involve significant defense and other costs. We have entered into indemnification agreements with each of our directors and certain of our officers, and our bylaws require us to indemnify each of our directors and officers. Further, our insurance may not cover all claims that have been or may be brought against us, and insurance coverage may not continue to be available to us at a reasonable cost. As a result, we may be exposed to substantial uninsured liabilities, including pursuant to our indemnification obligations, which could adversely affect our business, prospects, results of operations and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Our Operations</w:t>
      </w:r>
    </w:p>
    <w:p>
      <w:pPr>
        <w:spacing w:after="0" w:line="24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i w:val="1"/>
          <w:iCs w:val="1"/>
          <w:color w:val="auto"/>
        </w:rPr>
        <w:t>Security breaches or incidents may compromise the integrity of our or our customers’ systems, solutions, offerings, services, applications, data, or intellectual property, harm our reputation, damage our competitiveness, create additional liability, and adversely impact our financial results.</w:t>
      </w:r>
    </w:p>
    <w:p>
      <w:pPr>
        <w:spacing w:after="0" w:line="179" w:lineRule="exact"/>
        <w:rPr>
          <w:sz w:val="20"/>
          <w:szCs w:val="20"/>
          <w:color w:val="auto"/>
        </w:rPr>
      </w:pPr>
    </w:p>
    <w:p>
      <w:pPr>
        <w:ind w:right="20" w:firstLine="395"/>
        <w:spacing w:after="0" w:line="231" w:lineRule="auto"/>
        <w:rPr>
          <w:sz w:val="20"/>
          <w:szCs w:val="20"/>
          <w:color w:val="auto"/>
        </w:rPr>
      </w:pPr>
      <w:r>
        <w:rPr>
          <w:rFonts w:ascii="Times New Roman" w:cs="Times New Roman" w:eastAsia="Times New Roman" w:hAnsi="Times New Roman"/>
          <w:sz w:val="18"/>
          <w:szCs w:val="18"/>
          <w:color w:val="auto"/>
        </w:rPr>
        <w:t>As we digitize Autodesk and use cloud- and web-based technologies to leverage customer data to deliver the total customer experience, we are exposed to increased security risks and the potential for unauthorized access to, or improper use, disclosure, or other processing of, our and our customers’ information. Like other software offerings and systems, ours are vulnerable to security breaches and incidents, including those from acquired companies. Also, our ability to mitigate the risk of security breaches and incidents may be impacted by our limited control over our customers or third-party technology providers and vendors, or the processing of data by third-party technology providers and vendors, which may not allow us to maintain the integrity or security of such transmissions or processing. We devote significant resources in an effort to maintain the security and integrity of our systems, offerings, services, and applications (online, mobile, and desktop). Despite these efforts, we may not prevent security breaches or incidents, and we may face delays or other difficulties in identifying, responding to, or remediating security breaches or incidents.</w:t>
      </w:r>
    </w:p>
    <w:p>
      <w:pPr>
        <w:spacing w:after="0" w:line="22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Hackers regularly have targeted our systems, offerings, services, and applications, and we expect them to do so in the future. To date, such identified security events have not been material or significant to us or our customers, including to our</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59" w:name="page60"/>
    <w:bookmarkEnd w:id="59"/>
    <w:p>
      <w:pPr>
        <w:jc w:val="both"/>
        <w:spacing w:after="0" w:line="278" w:lineRule="auto"/>
        <w:rPr>
          <w:sz w:val="20"/>
          <w:szCs w:val="20"/>
          <w:color w:val="auto"/>
        </w:rPr>
      </w:pPr>
      <w:r>
        <w:rPr>
          <w:rFonts w:ascii="Times New Roman" w:cs="Times New Roman" w:eastAsia="Times New Roman" w:hAnsi="Times New Roman"/>
          <w:sz w:val="16"/>
          <w:szCs w:val="16"/>
          <w:color w:val="auto"/>
        </w:rPr>
        <w:t>reputation or business operations, or had a material financial impact, but there can be no assurance that future cyberattacks will not be material or significant. Security breaches or incidents could disrupt the proper functioning of our systems, solutions, offerings, applications, or services; cause errors in the output of our customers’ work; allow unauthorized access to or unauthorized use, disclosure, modification, loss, unavailability, or destruction of, sensitive data or intellectual property, including proprietary or confidential information of ours or our customers; or cause other destructive or disruptive outcomes. The risk of a security incident, particularly through cyber-attack or cyber intrusion, including by computer hackers, foreign governments, and cyber terrorists, has increased as the number, intensity, and sophistication of attempted attacks and intrusions from around the world have increased. These threats include, among others, identity theft, unauthorized access, DNS attacks, wireless network attacks, viruses and worms, malware, bugs, vulnerabilities, advanced persistent threats, application-centric attacks, peer-to-peer attacks, social engineering, phishing, credential stuffing, malicious file uploads, backdoor trojans, supply chain attacks, ransomware attacks, and distributed denial of service attacks. In addition, third parties may attempt to fraudulently induce our employees, vendors, partners, customers, or users to disclose information to gain access to our data or our customers’ or users’ data and there is the risk of employee, contractor, or vendor error or malfeasance. These existing risks are compounded given the shift in recent years to work-from-home arrangements for a large population of employees and contractors, as well as employees and contractors of our third-party technology providers and vendors, and the risks could also be elevated in connection with the ongoing war between Ukraine and Russia as we and our third-party technology providers and vendors are vulnerable to a heightened risk of cyberattacks from or affiliated with nation-state actors, including retaliatory attacks from Russian actors against U.S.-based companies. Despite our significant efforts to create security barriers to such threats, we cannot entirely mitigate these risks, and there is no guarantee that inadvertent or unauthorized use or disclosure of such information will not occur or that third parties will not gain unauthorized access to such information.</w:t>
      </w:r>
    </w:p>
    <w:p>
      <w:pPr>
        <w:spacing w:after="0" w:line="396" w:lineRule="exact"/>
        <w:rPr>
          <w:sz w:val="20"/>
          <w:szCs w:val="20"/>
          <w:color w:val="auto"/>
        </w:rPr>
      </w:pPr>
    </w:p>
    <w:p>
      <w:pPr>
        <w:ind w:right="20" w:firstLine="395"/>
        <w:spacing w:after="0" w:line="231" w:lineRule="auto"/>
        <w:rPr>
          <w:sz w:val="20"/>
          <w:szCs w:val="20"/>
          <w:color w:val="auto"/>
        </w:rPr>
      </w:pPr>
      <w:r>
        <w:rPr>
          <w:rFonts w:ascii="Times New Roman" w:cs="Times New Roman" w:eastAsia="Times New Roman" w:hAnsi="Times New Roman"/>
          <w:sz w:val="18"/>
          <w:szCs w:val="18"/>
          <w:color w:val="auto"/>
        </w:rPr>
        <w:t>Many governments have enacted laws requiring companies to provide notice of security breaches or incidents involving certain types of personal data and personal information. We are also contractually required to notify certain customers of certain security breaches or incidents. Any security breach or incident suffered, or believed to have been suffered, by us or by our technology providers or vendors could result in harm to our reputation and competitive position, difficulty attracting new customers, retaining existing customers, and securing payment from customers, our expenditure of significant capital and other resources to evaluate and alleviate the security incident and to try to prevent further or additional incidents, and regulatory inquiries, investigations, and other proceedings, private claims, demands, and lawsuits, and other potential liability.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security breach or incident, and our financial performance could be negatively impacted.</w:t>
      </w:r>
    </w:p>
    <w:p>
      <w:pPr>
        <w:spacing w:after="0" w:line="22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cannot assure you that any limitations of liability provisions in our contracts would be enforceable or adequate or would otherwise protect us from any liabilities or damages with respect to any particular claim relating to a security incident. We also cannot be sure that our existing insurance coverage will continue to be available on acceptable terms or will be available in sufficient amounts to cover one or more large claims related to a security incident,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4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i w:val="1"/>
          <w:iCs w:val="1"/>
          <w:color w:val="auto"/>
        </w:rPr>
        <w:t>Our use of third-party open source software could negatively affect our ability to sell subscriptions to access our products and subject us to possible litigation and greater security risks.</w:t>
      </w:r>
    </w:p>
    <w:p>
      <w:pPr>
        <w:spacing w:after="0" w:line="192"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We use third-party open source software. From time to time, companies that use third-party open source software have faced claims challenging the use of such open source software and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distribute or make available across a network software and services that include open source software, to make publicly available or to license all or part of such software (which in some circumstances could include valuable proprietary code, such as modifications or derivative works created, based upon, incorporating, or using the open source software)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 applicable license, including claims of intellectual property rights infringement or for breach of contract. Furthermore, there exists today an increasing number of types of open source software licenses, almost none of which have been tested in courts of law to provide clarity on their proper legal interpretation. If we were to receive a claim of non-compliance with the terms of any of these open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0" w:name="page61"/>
    <w:bookmarkEnd w:id="60"/>
    <w:p>
      <w:pPr>
        <w:jc w:val="both"/>
        <w:spacing w:after="0" w:line="256" w:lineRule="auto"/>
        <w:rPr>
          <w:sz w:val="20"/>
          <w:szCs w:val="20"/>
          <w:color w:val="auto"/>
        </w:rPr>
      </w:pPr>
      <w:r>
        <w:rPr>
          <w:rFonts w:ascii="Times New Roman" w:cs="Times New Roman" w:eastAsia="Times New Roman" w:hAnsi="Times New Roman"/>
          <w:sz w:val="18"/>
          <w:szCs w:val="18"/>
          <w:color w:val="auto"/>
        </w:rPr>
        <w:t>source licenses, we may be required to publicly release certain portions of our proprietary source code. We could also be required to expend substantial time and resources to re-engineer some or all of our software. Any of the foregoing could materially adversely affect our business, financial condition, results of operations, and prospects.</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materially adversely affect our business, financial condition, results of operations, and prospects and could help our competitors develop products and services that are similar to or better than ours.</w:t>
      </w:r>
    </w:p>
    <w:p>
      <w:pPr>
        <w:spacing w:after="0" w:line="21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i w:val="1"/>
          <w:iCs w:val="1"/>
          <w:color w:val="auto"/>
        </w:rPr>
        <w:t>We rely on third parties to provide us with a number of operational and technical services; third-party security incidents could result in the loss of our or our customers’ data, expose us to liability, harm our reputation, damage our competitiveness, and adversely impact our financial results.</w:t>
      </w:r>
    </w:p>
    <w:p>
      <w:pPr>
        <w:spacing w:after="0" w:line="194" w:lineRule="exact"/>
        <w:rPr>
          <w:sz w:val="20"/>
          <w:szCs w:val="20"/>
          <w:color w:val="auto"/>
        </w:rPr>
      </w:pPr>
    </w:p>
    <w:p>
      <w:pPr>
        <w:ind w:firstLine="434"/>
        <w:spacing w:after="0" w:line="264" w:lineRule="auto"/>
        <w:rPr>
          <w:sz w:val="20"/>
          <w:szCs w:val="20"/>
          <w:color w:val="auto"/>
        </w:rPr>
      </w:pPr>
      <w:r>
        <w:rPr>
          <w:rFonts w:ascii="Times New Roman" w:cs="Times New Roman" w:eastAsia="Times New Roman" w:hAnsi="Times New Roman"/>
          <w:sz w:val="16"/>
          <w:szCs w:val="16"/>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Our ability to monitor such third parties’ security measures is limited. There have been and may continue to be significant supply chain attacks, and we cannot guarantee that our or our such third parties’ systems have not been breached or otherwise compromised or that they do not contain exploitable defects, bugs, or vulnerabilities that could result in an incident, breach, or other disruption to, our or these third parties’ systems. Any security breach or incident involving such third parties could compromise the</w:t>
      </w:r>
    </w:p>
    <w:p>
      <w:pPr>
        <w:spacing w:after="0" w:line="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integrity or availability of, or result in the theft or unauthorized use, modification, or other processing of, our and our customers’ data. In addition, our operations or the operations of our customers or partners could be negatively affected in the event of a security breach or incident and could be subject to the loss or theft of confidential or proprietary information, including source code. Unauthorized access to or other processing of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regulatory investigation, fines, and potential liability, and our financial results could be negatively impacted.</w:t>
      </w:r>
    </w:p>
    <w:p>
      <w:pPr>
        <w:spacing w:after="0" w:line="195"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i w:val="1"/>
          <w:iCs w:val="1"/>
          <w:color w:val="auto"/>
        </w:rPr>
        <w:t>Delays in service from third-party service providers could expose us to liability, harm our reputation, damage our competitiveness, and adversely impact our financial results.</w:t>
      </w:r>
    </w:p>
    <w:p>
      <w:pPr>
        <w:spacing w:after="0" w:line="179" w:lineRule="exact"/>
        <w:rPr>
          <w:sz w:val="20"/>
          <w:szCs w:val="20"/>
          <w:color w:val="auto"/>
        </w:rPr>
      </w:pPr>
    </w:p>
    <w:p>
      <w:pPr>
        <w:ind w:right="140" w:firstLine="434"/>
        <w:spacing w:after="0" w:line="232" w:lineRule="auto"/>
        <w:rPr>
          <w:sz w:val="20"/>
          <w:szCs w:val="20"/>
          <w:color w:val="auto"/>
        </w:rPr>
      </w:pPr>
      <w:r>
        <w:rPr>
          <w:rFonts w:ascii="Times New Roman" w:cs="Times New Roman" w:eastAsia="Times New Roman" w:hAnsi="Times New Roman"/>
          <w:sz w:val="18"/>
          <w:szCs w:val="18"/>
          <w:color w:val="auto"/>
        </w:rPr>
        <w:t>From time to time, we may rely on a single or limited number of suppliers, or upon suppliers in a single country, for the provision of services and materials that we use in the operation of our business and production of our solutions. Inability of such third parties to satisfy our requirements could disrupt our operations or make it more difficult for us to implement our strategy. If any of these situations were to occur, our reputation could be harmed, we could be subject to third-party liability, including under laws relating to privacy, data protection, and information security in certain jurisdictions, and our financial results could be negatively impacted.</w:t>
      </w:r>
    </w:p>
    <w:p>
      <w:pPr>
        <w:spacing w:after="0" w:line="221" w:lineRule="exact"/>
        <w:rPr>
          <w:sz w:val="20"/>
          <w:szCs w:val="20"/>
          <w:color w:val="auto"/>
        </w:rPr>
      </w:pPr>
    </w:p>
    <w:p>
      <w:pPr>
        <w:ind w:right="20"/>
        <w:spacing w:after="0" w:line="335" w:lineRule="auto"/>
        <w:rPr>
          <w:sz w:val="20"/>
          <w:szCs w:val="20"/>
          <w:color w:val="auto"/>
        </w:rPr>
      </w:pPr>
      <w:r>
        <w:rPr>
          <w:rFonts w:ascii="Times New Roman" w:cs="Times New Roman" w:eastAsia="Times New Roman" w:hAnsi="Times New Roman"/>
          <w:sz w:val="16"/>
          <w:szCs w:val="16"/>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146" w:lineRule="exact"/>
        <w:rPr>
          <w:sz w:val="20"/>
          <w:szCs w:val="20"/>
          <w:color w:val="auto"/>
        </w:rPr>
      </w:pPr>
    </w:p>
    <w:p>
      <w:pPr>
        <w:ind w:right="60" w:firstLine="395"/>
        <w:spacing w:after="0" w:line="284" w:lineRule="auto"/>
        <w:rPr>
          <w:sz w:val="20"/>
          <w:szCs w:val="20"/>
          <w:color w:val="auto"/>
        </w:rPr>
      </w:pPr>
      <w:r>
        <w:rPr>
          <w:rFonts w:ascii="Times New Roman" w:cs="Times New Roman" w:eastAsia="Times New Roman" w:hAnsi="Times New Roman"/>
          <w:sz w:val="16"/>
          <w:szCs w:val="16"/>
          <w:color w:val="auto"/>
        </w:rPr>
        <w:t>We rely on our network and data center infrastructure, technology systems, and websites for our development, marketing, operational, support, sales, accounting, and financial reporting activities. We continually invest resources to update and improve these systems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 Such improvements are often complex, costly, and time consuming. In addition, such improvements can be challenging to integrate with our existing technology systems, or may uncover problems with those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spacing w:after="0" w:line="18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i w:val="1"/>
          <w:iCs w:val="1"/>
          <w:color w:val="auto"/>
        </w:rPr>
        <w:t>Our software solutions are highly complex and may contain undetected errors, defects, or vulnerabilities, and are subject to service disruptions, degradations, outages or other performance problems, each of which could harm our business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1" w:name="page62"/>
    <w:bookmarkEnd w:id="61"/>
    <w:p>
      <w:pPr>
        <w:jc w:val="both"/>
        <w:ind w:right="40" w:firstLine="395"/>
        <w:spacing w:after="0" w:line="256" w:lineRule="auto"/>
        <w:rPr>
          <w:sz w:val="20"/>
          <w:szCs w:val="20"/>
          <w:color w:val="auto"/>
        </w:rPr>
      </w:pPr>
      <w:r>
        <w:rPr>
          <w:rFonts w:ascii="Times New Roman" w:cs="Times New Roman" w:eastAsia="Times New Roman" w:hAnsi="Times New Roman"/>
          <w:sz w:val="18"/>
          <w:szCs w:val="18"/>
          <w:color w:val="auto"/>
        </w:rPr>
        <w:t>The software solutions that we offer are complex and, despite extensive testing and quality control, may contain errors, defects, or vulnerabilities. Some errors, defects, or vulnerabilities in our software solutions may only be discovered after they have been released. In addition, we have experienced, and may in the future experience, service disruptions, degradations, outages, and other performance problems in connection with our software solutions.</w:t>
      </w:r>
    </w:p>
    <w:p>
      <w:pPr>
        <w:spacing w:after="0" w:line="206"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Any errors, defects, vulnerabilities, service disruptions, degradations, outages or other performance problems could result in the need for corrective releases to our software solutions, damage to our reputation, damage to our customers’ businesses, loss of revenue, an increase in subscription cancellations, or lack of market acceptance of our offerings, any of which would likely harm our business and financial performance.</w:t>
      </w:r>
    </w:p>
    <w:p>
      <w:pPr>
        <w:spacing w:after="0" w:line="204" w:lineRule="exact"/>
        <w:rPr>
          <w:sz w:val="20"/>
          <w:szCs w:val="20"/>
          <w:color w:val="auto"/>
        </w:rPr>
      </w:pPr>
    </w:p>
    <w:p>
      <w:pPr>
        <w:ind w:right="500"/>
        <w:spacing w:after="0" w:line="257" w:lineRule="auto"/>
        <w:rPr>
          <w:sz w:val="20"/>
          <w:szCs w:val="20"/>
          <w:color w:val="auto"/>
        </w:rPr>
      </w:pPr>
      <w:r>
        <w:rPr>
          <w:rFonts w:ascii="Times New Roman" w:cs="Times New Roman" w:eastAsia="Times New Roman" w:hAnsi="Times New Roman"/>
          <w:sz w:val="18"/>
          <w:szCs w:val="18"/>
          <w:i w:val="1"/>
          <w:iCs w:val="1"/>
          <w:color w:val="auto"/>
        </w:rPr>
        <w:t>If we do not maintain good relationships with the members of our distribution channel, or if our distribution channel suffers financial losses, becomes financially unstable or insolvent, or is not provided the right mix of incentives to sell our subscriptions, our ability to generate revenue will be adversely affected.</w:t>
      </w:r>
    </w:p>
    <w:p>
      <w:pPr>
        <w:spacing w:after="0" w:line="206" w:lineRule="exact"/>
        <w:rPr>
          <w:sz w:val="20"/>
          <w:szCs w:val="20"/>
          <w:color w:val="auto"/>
        </w:rPr>
      </w:pPr>
    </w:p>
    <w:p>
      <w:pPr>
        <w:ind w:right="40" w:firstLine="434"/>
        <w:spacing w:after="0" w:line="247" w:lineRule="auto"/>
        <w:rPr>
          <w:sz w:val="20"/>
          <w:szCs w:val="20"/>
          <w:color w:val="auto"/>
        </w:rPr>
      </w:pPr>
      <w:r>
        <w:rPr>
          <w:rFonts w:ascii="Times New Roman" w:cs="Times New Roman" w:eastAsia="Times New Roman" w:hAnsi="Times New Roman"/>
          <w:sz w:val="18"/>
          <w:szCs w:val="18"/>
          <w:color w:val="auto"/>
        </w:rPr>
        <w:t>We sell our software products both directly to end users and through a network of distributors and resellers. For the three months ended April 30, 2024 and 2023, approximately 62% and 65%, respectively, of our revenue was derived from indirect channel sales through distributors and resellers, and we expect that the majority of our revenue will continue to be derived from indirect channel sales in the near future. Our ability to effectively distribute our solutions depends in part upon the financial and business condition of our distributor and reseller network. Computer software distributors and resellers typically are not highly capitalized, and have previously experienced difficulties during times of economic contraction as well as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adjusting our incentives.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215" w:lineRule="exact"/>
        <w:rPr>
          <w:sz w:val="20"/>
          <w:szCs w:val="20"/>
          <w:color w:val="auto"/>
        </w:rPr>
      </w:pPr>
    </w:p>
    <w:p>
      <w:pPr>
        <w:ind w:right="40" w:firstLine="434"/>
        <w:spacing w:after="0" w:line="280" w:lineRule="auto"/>
        <w:rPr>
          <w:sz w:val="20"/>
          <w:szCs w:val="20"/>
          <w:color w:val="auto"/>
        </w:rPr>
      </w:pPr>
      <w:r>
        <w:rPr>
          <w:rFonts w:ascii="Times New Roman" w:cs="Times New Roman" w:eastAsia="Times New Roman" w:hAnsi="Times New Roman"/>
          <w:sz w:val="16"/>
          <w:szCs w:val="16"/>
          <w:color w:val="auto"/>
        </w:rPr>
        <w:t>We rely significantly upon major distributors and resellers in both the U.S. and international regions. Of our distributors, TD Synnex accounted for 38% and 40% of our total net revenue for the three months ended April 30, 2024 and 2023, respectively. During October 2022, we entered into a transition agreements with each of TD Synnex and Ingram Micro to provide transition distribution activities for a one-to-two-year period, with potential extensions. In connection with such transition agreements, we intend to increase our selling efforts with value-added resellers and agents. During the transition period, we believe the resellers and end users who currently purchase our products through TD Synnex and Ingram Micro will be able to continue to do so, and following the transition period, we believe such end users will be able to continue to purchase our products from certain value-added resellers or directly from Autodesk, in each case under substantially the same terms and without substantial disruption to our revenue. However, if during the transition period, TD Synnex or Ingram Micro were to experience a significant business disruption or if our relationship with either were to significantly deteriorate, it is possible that our ability to sell to end users would, at least temporarily, be negatively impacted. Also, if any of our assumptions about our end users, value added resellers,</w:t>
      </w:r>
    </w:p>
    <w:p>
      <w:pPr>
        <w:spacing w:after="0" w:line="2"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color w:val="auto"/>
        </w:rPr>
        <w:t>distributors, or agents or our direct selling capabilities proves incorrect, these changes could harm our business. This could, in turn, negatively impact our financial results.</w:t>
      </w:r>
    </w:p>
    <w:p>
      <w:pPr>
        <w:spacing w:after="0" w:line="196"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Over time, we have modified and especially during the transition process noted above,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software from third parties, and a failure to properly manage our use of third-party software could result in increased costs or loss of revenue.</w:t>
      </w:r>
    </w:p>
    <w:p>
      <w:pPr>
        <w:spacing w:after="0" w:line="242"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Many of our products are designed to include software licensed from third parties. Such third-party software includes software licensed from commercial suppliers and under public open source licenses. While we have internal processes to manage our use of such third-party software, if such processes are inadequate, we may be subject to copyright infringement or other third-party claims. If we are non-compliant with a license for commercial software, we may be required to pay penalties</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71" w:right="399" w:bottom="1440" w:gutter="0" w:footer="0" w:header="0"/>
        </w:sectPr>
      </w:pPr>
    </w:p>
    <w:bookmarkStart w:id="62" w:name="page63"/>
    <w:bookmarkEnd w:id="62"/>
    <w:p>
      <w:pPr>
        <w:ind w:right="40"/>
        <w:spacing w:after="0" w:line="303" w:lineRule="auto"/>
        <w:rPr>
          <w:sz w:val="20"/>
          <w:szCs w:val="20"/>
          <w:color w:val="auto"/>
        </w:rPr>
      </w:pPr>
      <w:r>
        <w:rPr>
          <w:rFonts w:ascii="Times New Roman" w:cs="Times New Roman" w:eastAsia="Times New Roman" w:hAnsi="Times New Roman"/>
          <w:sz w:val="16"/>
          <w:szCs w:val="16"/>
          <w:color w:val="auto"/>
        </w:rPr>
        <w:t>or undergo costly audits pursuant to the license agreement. In the case of open-source software licensed under certain “copyleft” licenses, the license itself, or a court-imposed remedy for non-compliant use of the open source software, may require that proprietary portions of our own software be publicly disclosed or licensed. This could result in a loss of intellectual property rights, increased costs, re-engineering of our software, damage to our reputation, or loss of revenue.</w:t>
      </w:r>
    </w:p>
    <w:p>
      <w:pPr>
        <w:spacing w:after="0" w:line="172"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 source software can lead to greater risks than use of third-party commercial software, as open source licensors generally do not provide warranties, support, indemnities, assurances of title or controls on origin of the software, or other contractual protections regarding infringement claims or the quality of the code. Likewise, some open source projects have known security and other vulnerabilities and architectural instabilities, or are otherwise subject to security attacks due to their wide availability, and are provided on an “as-is” basis.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adversely affected if we are unable to attract and retain key personnel.</w:t>
      </w:r>
    </w:p>
    <w:p>
      <w:pPr>
        <w:spacing w:after="0" w:line="242"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inability to retain and attract qualified employees in the future, or delays in hiring required personnel, particularly engineering and sales personnel, could make it difficult to meet key objectives, such as timely and effective product introductions and financial goals.</w:t>
      </w:r>
    </w:p>
    <w:p>
      <w:pPr>
        <w:spacing w:after="0" w:line="21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i w:val="1"/>
          <w:iCs w:val="1"/>
          <w:color w:val="auto"/>
        </w:rPr>
        <w:t>We rely on third-party technologies and if we are unable to use or integrate these technologies, our solutions and service development may be delayed and our financial results negatively impacted.</w:t>
      </w:r>
    </w:p>
    <w:p>
      <w:pPr>
        <w:spacing w:after="0" w:line="192" w:lineRule="exact"/>
        <w:rPr>
          <w:sz w:val="20"/>
          <w:szCs w:val="20"/>
          <w:color w:val="auto"/>
        </w:rPr>
      </w:pPr>
    </w:p>
    <w:p>
      <w:pPr>
        <w:jc w:val="both"/>
        <w:ind w:right="120" w:firstLine="395"/>
        <w:spacing w:after="0" w:line="250" w:lineRule="auto"/>
        <w:rPr>
          <w:sz w:val="20"/>
          <w:szCs w:val="20"/>
          <w:color w:val="auto"/>
        </w:rPr>
      </w:pPr>
      <w:r>
        <w:rPr>
          <w:rFonts w:ascii="Times New Roman" w:cs="Times New Roman" w:eastAsia="Times New Roman" w:hAnsi="Times New Roman"/>
          <w:sz w:val="18"/>
          <w:szCs w:val="18"/>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Disruptions in licensing relationships and with third-party developers could adversely impact our business.</w:t>
      </w:r>
    </w:p>
    <w:p>
      <w:pPr>
        <w:spacing w:after="0" w:line="242"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 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212"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Technology created by outsourced product development, whether outsourced to third parties or developed externally and transferred to us through business or technology acquisitions, involves additional risks such as effective integration into existing products, adequate transfer of technology know-how, and ownership and protection of transferred intellectual property.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Laws and Regulations</w:t>
      </w:r>
    </w:p>
    <w:p>
      <w:pPr>
        <w:spacing w:after="0" w:line="24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i w:val="1"/>
          <w:iCs w:val="1"/>
          <w:color w:val="auto"/>
        </w:rPr>
        <w:t>Increasing regulatory focus on privacy, data protection, and information security issues and new and expanding laws may impact our business and expose us to increased liability.</w:t>
      </w:r>
    </w:p>
    <w:p>
      <w:pPr>
        <w:spacing w:after="0" w:line="179" w:lineRule="exact"/>
        <w:rPr>
          <w:sz w:val="20"/>
          <w:szCs w:val="20"/>
          <w:color w:val="auto"/>
        </w:rPr>
      </w:pPr>
    </w:p>
    <w:p>
      <w:pPr>
        <w:ind w:firstLine="395"/>
        <w:spacing w:after="0" w:line="231" w:lineRule="auto"/>
        <w:rPr>
          <w:sz w:val="20"/>
          <w:szCs w:val="20"/>
          <w:color w:val="auto"/>
        </w:rPr>
      </w:pPr>
      <w:r>
        <w:rPr>
          <w:rFonts w:ascii="Times New Roman" w:cs="Times New Roman" w:eastAsia="Times New Roman" w:hAnsi="Times New Roman"/>
          <w:sz w:val="18"/>
          <w:szCs w:val="18"/>
          <w:color w:val="auto"/>
        </w:rPr>
        <w:t>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and personal information of users from different jurisdictions globally. We also collect and otherwise process personal data and personal information of our employees and contractors. As a result, federal, state, and global laws relating to privacy, data protection, and information security apply to Autodesk’s personal data and personal information processing activities. The scope of these laws and regulations is rapidly evolving, subject to differing interpretations, may be inconsistent among jurisdictions, or conflict with other rules and is likely to remain uncertain for the foreseeable future. We also expect that there will continue to be new laws, regulations, and industry standards concerning privacy, data protection, and information security proposed and enacted in various jurisdictions. Globally,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3" w:name="page64"/>
    <w:bookmarkEnd w:id="63"/>
    <w:p>
      <w:pPr>
        <w:ind w:right="20"/>
        <w:spacing w:after="0" w:line="261" w:lineRule="auto"/>
        <w:rPr>
          <w:sz w:val="20"/>
          <w:szCs w:val="20"/>
          <w:color w:val="auto"/>
        </w:rPr>
      </w:pPr>
      <w:r>
        <w:rPr>
          <w:rFonts w:ascii="Times New Roman" w:cs="Times New Roman" w:eastAsia="Times New Roman" w:hAnsi="Times New Roman"/>
          <w:sz w:val="16"/>
          <w:szCs w:val="16"/>
          <w:color w:val="auto"/>
        </w:rPr>
        <w:t>laws such as the General Data Protection Regulation (EU) 2016/679 (“GDPR”) in the European Union (“EU”) and the Personal Information Protection Law (“PIPL”) in China have been enacted, and numerous other countries have proposed or have enacted laws concerning privacy, data protection, and information security. In addition, new and emerging state laws in the United States governing privacy, data protection, and information security, such as the California Consumer Privacy Act (“CCPA”), the California Privacy Rights Act (“CPRA”), and numerous laws in other states, many of which provide for obligations similar to the CCPA and CPRA, have been enacted. These laws and regulations, as well as industry self-regulatory codes, industry standards, and other actual and asserted obligations to which we are or may be asserted to be subject, create new compliance obligations and substantially expand the scope of potential liability and provide greater penalties for non-compliance. For example, the GDPR provides for penalties of up to €20 million or 4% of a company’s annual global revenue, whichever is greater, the PIPL provides for penalties of up to 50 million renminbi or 5% of a company's annual revenue and disgorgement of all illegal gains, whichever is greater, and the CCPA provides for penalties of up to $7,500 per violation. These laws, regulations, and codes may also impact our innovation and business drivers in developing new and emerging technologies (e.g., AI and machine learning). These requirements, among others, may impact demand for our offerings and force us to bear the burden of expanded obligations in our contracts.</w:t>
      </w:r>
    </w:p>
    <w:p>
      <w:pPr>
        <w:spacing w:after="0" w:line="200" w:lineRule="exact"/>
        <w:rPr>
          <w:sz w:val="20"/>
          <w:szCs w:val="20"/>
          <w:color w:val="auto"/>
        </w:rPr>
      </w:pP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addition, there is continued instability of international personal data transfer legal mechanisms that are complex, uncertain, and subject to active</w:t>
      </w:r>
    </w:p>
    <w:p>
      <w:pPr>
        <w:spacing w:after="0" w:line="4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litigation and enforcement actions in a number of jurisdictions around the world. For example, on June 4, 2021, the European Commission published a new set of modular standard contractual clause (“SCCs”), providing for an 18-month implementation period, which became effective on June 29, 2021, and imposes on companies obligations relating to personal data transfers, including the obligation to conduct a transfer impact assessment and, depending on a party’s role in the transfer, to implement additional security measures and to update internal privacy practices. We may, in addition to other impacts, be required to expend significant time and resources to update our contractual arrangements and to comply with new obligations, and we face exposure to regulatory actions, substantial fines and injunctions in connection with transfers of personal data from the EU.</w:t>
      </w:r>
    </w:p>
    <w:p>
      <w:pPr>
        <w:spacing w:after="0" w:line="198" w:lineRule="exact"/>
        <w:rPr>
          <w:sz w:val="20"/>
          <w:szCs w:val="20"/>
          <w:color w:val="auto"/>
        </w:rPr>
      </w:pPr>
    </w:p>
    <w:p>
      <w:pPr>
        <w:ind w:firstLine="395"/>
        <w:spacing w:after="0" w:line="230" w:lineRule="auto"/>
        <w:rPr>
          <w:sz w:val="20"/>
          <w:szCs w:val="20"/>
          <w:color w:val="auto"/>
        </w:rPr>
      </w:pPr>
      <w:r>
        <w:rPr>
          <w:rFonts w:ascii="Times New Roman" w:cs="Times New Roman" w:eastAsia="Times New Roman" w:hAnsi="Times New Roman"/>
          <w:sz w:val="18"/>
          <w:szCs w:val="18"/>
          <w:color w:val="auto"/>
        </w:rPr>
        <w:t>In addition, the United Kingdom’s (“UK”) exit from the EU, and ongoing developments in the UK, have created uncertainty with regard to data protection regulation in the UK. Data processing in the UK is now governed by the UK General Data Protection Regulation and supplemented by other domestic data protection laws, such as the UK Data Protection Act 2018, which authorizes fines of up to £17.5 million or 4% of annual global revenue, whichever is higher. We are also exposed to potentially divergent enforcement actions for certain violations. Furthermore, the new SCCs apply only to the transfer of personal data outside the EU and not the UK. Although the European Commission adopted an adequacy decision for the UK on June 28, 2021, allowing the continued flow of personal data from the EU to the UK, this decision will be regularly reviewed going forward and may be revoked if the UK diverges from its current adequate data protection laws following its exit from the EU. On February 2, 2022, the UK’s Information Commissioner’s Office issued new standard contractual clauses to support personal data transfers out of the UK (“UK SCCs”), which became effective March 21, 2022. We may, in addition to other impacts, experience additional costs associated with increased compliance burdens and be required to engage in new contract negotiations with third parties that aid in processing personal data on our behalf or localize certain personal data. On March 25, 2022, the United States and EU announced an “agreement in principle” to replace the EU-U.S. Privacy Shield transfer framework with the Trans-Atlantic Data Privacy Framework (“EU-U.S. DPF”). On July 10, 2023, the European Commission adopted an adequacy decision in relation to the EU-U.S. DPF, allowing the EU-U.S. DPF to be utilized as a means of legitimizing EU-U.S. personal data transfers for participating entities. We are evaluating whether the EU-U.S. DPF will be appropriate for us to utilize. The EU-U.S. DPF may be subject to legal challenges from privacy advocacy groups or others, and the European Commission’s adequacy decision regarding the EU-U.S. DPF provides that the EU-U.S. DPF will be subject to future reviews and may be subject to suspension, amendment, repeal, or limitations to its scope by the European Commission.</w:t>
      </w:r>
    </w:p>
    <w:p>
      <w:pPr>
        <w:spacing w:after="0" w:line="208" w:lineRule="exact"/>
        <w:rPr>
          <w:sz w:val="20"/>
          <w:szCs w:val="20"/>
          <w:color w:val="auto"/>
        </w:rPr>
      </w:pPr>
    </w:p>
    <w:p>
      <w:pPr>
        <w:ind w:right="60" w:firstLine="395"/>
        <w:spacing w:after="0" w:line="237" w:lineRule="auto"/>
        <w:rPr>
          <w:sz w:val="20"/>
          <w:szCs w:val="20"/>
          <w:color w:val="auto"/>
        </w:rPr>
      </w:pPr>
      <w:r>
        <w:rPr>
          <w:rFonts w:ascii="Times New Roman" w:cs="Times New Roman" w:eastAsia="Times New Roman" w:hAnsi="Times New Roman"/>
          <w:sz w:val="18"/>
          <w:szCs w:val="18"/>
          <w:color w:val="auto"/>
        </w:rPr>
        <w:t>Further, several European data protection authorities recently indicated that the use of Google Analytics by European website operators involves the unlawful transfer of personal data to the United States. As the enforcement landscape further develops, and depending on the impacts of these rulings and other developments with respect to cross-border data transfer, we could suffer additional costs, complaints and/or regulatory investigations or fines, have to stop using certain tools and vendors, and make other operational changes.</w:t>
      </w:r>
    </w:p>
    <w:p>
      <w:pPr>
        <w:spacing w:after="0" w:line="209" w:lineRule="exact"/>
        <w:rPr>
          <w:sz w:val="20"/>
          <w:szCs w:val="20"/>
          <w:color w:val="auto"/>
        </w:rPr>
      </w:pPr>
    </w:p>
    <w:p>
      <w:pPr>
        <w:ind w:right="60" w:firstLine="395"/>
        <w:spacing w:after="0" w:line="232" w:lineRule="auto"/>
        <w:rPr>
          <w:sz w:val="20"/>
          <w:szCs w:val="20"/>
          <w:color w:val="auto"/>
        </w:rPr>
      </w:pPr>
      <w:r>
        <w:rPr>
          <w:rFonts w:ascii="Times New Roman" w:cs="Times New Roman" w:eastAsia="Times New Roman" w:hAnsi="Times New Roman"/>
          <w:sz w:val="18"/>
          <w:szCs w:val="18"/>
          <w:color w:val="auto"/>
        </w:rPr>
        <w:t>Several other countries, including China, Australia, New Zealand, Brazil, and Japan, have also established specific legal requirements for cross-border data transfers. There is also an increasing trend towards data localization policies. For example, in 2021, China introduced localization requirements for certain data. Other countries, such as India, also are considering data localization requirements. If this trend continues, and countries implement more restrictive regulations for cross-border personal data transfers (or do not permit personal data to leave the country of origin), it could affect the manner in which we provide our services, the geographical location or segregation of our relevant systems and operations, and our business, financial condition, and results of operations in those jurisdictions could be impacted.</w:t>
      </w:r>
    </w:p>
    <w:p>
      <w:pPr>
        <w:spacing w:after="0" w:line="207" w:lineRule="exact"/>
        <w:rPr>
          <w:sz w:val="20"/>
          <w:szCs w:val="20"/>
          <w:color w:val="auto"/>
        </w:rPr>
      </w:pPr>
    </w:p>
    <w:p>
      <w:pPr>
        <w:ind w:right="560" w:firstLine="395"/>
        <w:spacing w:after="0" w:line="253" w:lineRule="auto"/>
        <w:rPr>
          <w:sz w:val="20"/>
          <w:szCs w:val="20"/>
          <w:color w:val="auto"/>
        </w:rPr>
      </w:pPr>
      <w:r>
        <w:rPr>
          <w:rFonts w:ascii="Times New Roman" w:cs="Times New Roman" w:eastAsia="Times New Roman" w:hAnsi="Times New Roman"/>
          <w:sz w:val="18"/>
          <w:szCs w:val="18"/>
          <w:color w:val="auto"/>
        </w:rPr>
        <w:t>In addition, the CPRA and many of the other new state laws addressing privacy and information security, including those that have become or will become effective in 2024, provide for additional obligations such as data minimization and storage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limitations, granting additional rights to consumers such as correction of personal information and additional opt-out rights. The CPRA also created a new</w:t>
      </w:r>
    </w:p>
    <w:p>
      <w:pPr>
        <w:spacing w:after="0" w:line="3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agency to implement and enforce the law. These new state laws have required us to modify our data processing practices and policies and may cause us to make additional modifications, and to incur substantial costs and expenses, in our efforts to comply. Laws in all 50 states, and some of our contracts, require us to provide notice under certain circumstances to customers whose personal information has been disclosed as a result of a data breach. Also, if third parties we work with, such as suppliers, violate applicable data protection laws or regulations, such violations may also put our users’ information at risk and could materially adversely affect our business, financial condition, results of operations, and prospects. Additionally, in addition to government activity, privacy advocacy groups and technology and other industries are considering various new, additional, or different self-regulatory standards that may place, or be asserted to place, additional burdens on us. Evolving legislation and the interplay of federal and state laws may be subject to varying interpretations by courts and government agencies, creating complex compliance issues and have and may cause variation in requirements, increase restrictions and potential legal risk and impact strategies and the availability of previously useful data, potentially exposing us to additional expense, adverse publicity, and liability.</w:t>
      </w:r>
    </w:p>
    <w:p>
      <w:pPr>
        <w:spacing w:after="0" w:line="206" w:lineRule="exact"/>
        <w:rPr>
          <w:sz w:val="20"/>
          <w:szCs w:val="20"/>
          <w:color w:val="auto"/>
        </w:rPr>
      </w:pPr>
    </w:p>
    <w:p>
      <w:pPr>
        <w:ind w:right="140" w:firstLine="395"/>
        <w:spacing w:after="0" w:line="247" w:lineRule="auto"/>
        <w:rPr>
          <w:sz w:val="20"/>
          <w:szCs w:val="20"/>
          <w:color w:val="auto"/>
        </w:rPr>
      </w:pPr>
      <w:r>
        <w:rPr>
          <w:rFonts w:ascii="Times New Roman" w:cs="Times New Roman" w:eastAsia="Times New Roman" w:hAnsi="Times New Roman"/>
          <w:sz w:val="18"/>
          <w:szCs w:val="18"/>
          <w:color w:val="auto"/>
        </w:rPr>
        <w:t>In the EU and the UK, regulators are increasingly focusing on compliance with requirements in the online behavioral advertising ecosystem, and current national laws that implement the ePrivacy Directive are likely to be replaced by an EU regulation known as the ePrivacy Regulation, which is expected to significantly increase fines for non-compliance. While the text of the ePrivacy Regulation is under development, recent European case law and regulators’ recent guidance are driving increased attention to cookies and tracking technologies. This could lead to substantial costs, require significant system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our customers.</w:t>
      </w:r>
    </w:p>
    <w:p>
      <w:pPr>
        <w:spacing w:after="0" w:line="204" w:lineRule="exact"/>
        <w:rPr>
          <w:sz w:val="20"/>
          <w:szCs w:val="20"/>
          <w:color w:val="auto"/>
        </w:rPr>
      </w:pPr>
    </w:p>
    <w:p>
      <w:pPr>
        <w:ind w:right="20" w:firstLine="395"/>
        <w:spacing w:after="0" w:line="261" w:lineRule="auto"/>
        <w:rPr>
          <w:sz w:val="20"/>
          <w:szCs w:val="20"/>
          <w:color w:val="auto"/>
        </w:rPr>
      </w:pPr>
      <w:r>
        <w:rPr>
          <w:rFonts w:ascii="Times New Roman" w:cs="Times New Roman" w:eastAsia="Times New Roman" w:hAnsi="Times New Roman"/>
          <w:sz w:val="16"/>
          <w:szCs w:val="16"/>
          <w:color w:val="auto"/>
        </w:rPr>
        <w:t>Governments, regulators, plaintiffs’ attorneys, privacy advocates have increased their focus on how companies collect, process, use, store, share, and transmit personal data and personal information. Any perception of our practices, products, offerings, or services as a violation of individual privacy or data protection rights may subject us to public criticism, lawsuits, reputational harm, or investigations, claims, demands, or other proceedings by regulators, industry groups or other third parties, all of which could disrupt or adversely impact our business and expose us to increased liability. Moreover, because the interpretation and application of many laws, regulations, and other actual and asserted obligations relating to privacy, data protection, and information security are uncertain, it is possible that these laws, regulations, and obligations may be interpreted and applied in a manner that is inconsistent with our existing data management practices or the features of our products, offerings, and services. We could be required to fundamentally change our business activities and practices or modify our offerings and services, any of which could require significant additional expense and adversely affect our business, including impacting our ability to innovate, delaying our development roadmap and adversely affecting our relationships with customers and our ability to compete. If we are obligated to fundamentally change our business activities and practices or modify our products, offerings, or services, we may be unable to make such changes and modifications in a commercially reasonable manner, or at all, and our ability to develop new products, offerings, and services could be limited.</w:t>
      </w:r>
    </w:p>
    <w:p>
      <w:pPr>
        <w:spacing w:after="0" w:line="200" w:lineRule="exact"/>
        <w:rPr>
          <w:sz w:val="20"/>
          <w:szCs w:val="20"/>
          <w:color w:val="auto"/>
        </w:rPr>
      </w:pPr>
    </w:p>
    <w:p>
      <w:pPr>
        <w:spacing w:after="0" w:line="205"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i w:val="1"/>
          <w:iCs w:val="1"/>
          <w:color w:val="auto"/>
        </w:rPr>
        <w:t>We are subject to governmental export and import controls that could impair our ability to compete in international markets or subject us to liability if we violate the controls.</w:t>
      </w:r>
    </w:p>
    <w:p>
      <w:pPr>
        <w:spacing w:after="0" w:line="192"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Our offerings are subject to export controls and economic sanctions laws and regulations that prohibit the delivery of certain solutions and services without the required export authorizations or export to locations, governments, and persons targeted by applicable sanctions. While we have processes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212" w:lineRule="exact"/>
        <w:rPr>
          <w:sz w:val="20"/>
          <w:szCs w:val="20"/>
          <w:color w:val="auto"/>
        </w:rPr>
      </w:pPr>
    </w:p>
    <w:p>
      <w:pPr>
        <w:ind w:right="120" w:firstLine="395"/>
        <w:spacing w:after="0" w:line="293" w:lineRule="auto"/>
        <w:rPr>
          <w:sz w:val="20"/>
          <w:szCs w:val="20"/>
          <w:color w:val="auto"/>
        </w:rPr>
      </w:pPr>
      <w:r>
        <w:rPr>
          <w:rFonts w:ascii="Times New Roman" w:cs="Times New Roman" w:eastAsia="Times New Roman" w:hAnsi="Times New Roman"/>
          <w:sz w:val="16"/>
          <w:szCs w:val="16"/>
          <w:color w:val="auto"/>
        </w:rPr>
        <w:t>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 Violations of applicable sanctions or export control laws can result in fines or penalties.</w:t>
      </w:r>
    </w:p>
    <w:p>
      <w:pPr>
        <w:spacing w:after="0" w:line="167" w:lineRule="exact"/>
        <w:rPr>
          <w:sz w:val="20"/>
          <w:szCs w:val="20"/>
          <w:color w:val="auto"/>
        </w:rPr>
      </w:pPr>
    </w:p>
    <w:p>
      <w:pPr>
        <w:ind w:right="560" w:firstLine="395"/>
        <w:spacing w:after="0" w:line="253" w:lineRule="auto"/>
        <w:rPr>
          <w:sz w:val="20"/>
          <w:szCs w:val="20"/>
          <w:color w:val="auto"/>
        </w:rPr>
      </w:pPr>
      <w:r>
        <w:rPr>
          <w:rFonts w:ascii="Times New Roman" w:cs="Times New Roman" w:eastAsia="Times New Roman" w:hAnsi="Times New Roman"/>
          <w:sz w:val="18"/>
          <w:szCs w:val="18"/>
          <w:color w:val="auto"/>
        </w:rPr>
        <w:t>For additional risks regarding sanctions and trade protectionism, please see the risk factor entitled “We are dependent on international revenue and operations . . .” earlier in this section.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If we are not able to adequately protect our proprietary rights, our business could be harmed.</w:t>
      </w:r>
    </w:p>
    <w:p>
      <w:pPr>
        <w:spacing w:after="0" w:line="242"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We rely on a combination of patent, copyright, and trademark laws, trade secret protections, confidentiality procedures, and contractual provisions to protect our proprietary rights. However, the steps we take to protect our intellectual property rights may be inadequate. While we have patent applications pending in the United States and throughout the world, we may be unable to obtain patent protection for the technology covered in our patent applications. In addition, any patents issued to us in the future may not provide us with competitive advantages or may be successfully challenged by third parties. Furthermore, legal standards relating to the validity, enforceability, and scope of protection of intellectual property rights are uncertain. Despite our efforts to protect our proprietary rights, unauthorized parties from time to time have copied or reverse engineered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w:t>
      </w:r>
    </w:p>
    <w:p>
      <w:pPr>
        <w:spacing w:after="0" w:line="192" w:lineRule="exact"/>
        <w:rPr>
          <w:sz w:val="20"/>
          <w:szCs w:val="20"/>
          <w:color w:val="auto"/>
        </w:rPr>
      </w:pPr>
    </w:p>
    <w:p>
      <w:pPr>
        <w:ind w:right="140" w:firstLine="395"/>
        <w:spacing w:after="0" w:line="286" w:lineRule="auto"/>
        <w:rPr>
          <w:sz w:val="20"/>
          <w:szCs w:val="20"/>
          <w:color w:val="auto"/>
        </w:rPr>
      </w:pPr>
      <w:r>
        <w:rPr>
          <w:rFonts w:ascii="Times New Roman" w:cs="Times New Roman" w:eastAsia="Times New Roman" w:hAnsi="Times New Roman"/>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Unauthorized disclosure of our source code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face intellectual property infringement claims that could be costly to defend and result in the loss of significant rights.</w:t>
      </w:r>
    </w:p>
    <w:p>
      <w:pPr>
        <w:spacing w:after="0" w:line="242"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Our competitors, as well as a number of other entities and individuals, may own or claim to own intellectual property relating to our business. Third parties may claim that we are infringing upon or misappropriating their intellectual property rights, and we may be found to be infringing upon such rights, even if we are unaware of the intellectual property rights claimed against us. As more software patents are granted worldwide, the number of offerings and competitors in our industries grows, and the functionality of products in different industries overlaps, we expect that software developers will be increasingly subject to infringement claims. Additionally, certain patent assertion entities have become more aggressive in threatening and pursuing litigation in attempts to obtain fees for licensing the right to use patents.</w:t>
      </w:r>
    </w:p>
    <w:p>
      <w:pPr>
        <w:spacing w:after="0" w:line="21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Any claims or threats of infringement or misappropriation, whether with or without merit, have been and could in the future be time-consuming to defend, result in costly litigation and diversion of resources, cause product delays, require us to change our products or business practices, prevent us from offering our software and services, or require us to enter into royalty or licensing agreements. In addition, such royalty or license agreements, if required, may not be available on acceptable terms, if at all, which would likely harm our business. We may also be obligated to indemnify our customers or business partners or pay substantial settlement costs, including royalty payments, in connection with any such claim or litigation and to obtain licenses, modify applications, or refund fees, which could be costly. Furthermore, from time to time we may introduce or acquire new products, including in areas where we historically have not competed, which could increase our exposure to patent and other intellectual property claims.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Contracting with government entities exposes us to additional risks inherent in the government procurement process.</w:t>
      </w:r>
    </w:p>
    <w:p>
      <w:pPr>
        <w:spacing w:after="0" w:line="242"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We provide products and services, directly and indirectly, to a variety of government entities. Risks associated with licensing and selling products and services to government entities include extended sales and collection cycles, varying governmental budgeting processes, and adherence to complex procurement regulations and other government-specific contractual requirements. We may be subject to audits and investigations relating to our government contracts and any violations could result in civil and criminal penalties and administrative sanctions, including termination of contracts, payment of fines, and suspension or debarment from future government business, as well as harm to our reputation and financial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Financial Developments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exposed to fluctuations in currency exchange rates that could negatively impact our financial results and cash flows.</w:t>
      </w:r>
    </w:p>
    <w:p>
      <w:pPr>
        <w:spacing w:after="0" w:line="242"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Because we conduct a substantial portion of our business outside the United States, we face exposure to adverse movements in foreign currency exchange rates, which could have a material adverse impact on our financial results and cash</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6" w:name="page67"/>
    <w:bookmarkEnd w:id="66"/>
    <w:p>
      <w:pPr>
        <w:spacing w:after="0" w:line="249" w:lineRule="auto"/>
        <w:rPr>
          <w:sz w:val="20"/>
          <w:szCs w:val="20"/>
          <w:color w:val="auto"/>
        </w:rPr>
      </w:pPr>
      <w:r>
        <w:rPr>
          <w:rFonts w:ascii="Times New Roman" w:cs="Times New Roman" w:eastAsia="Times New Roman" w:hAnsi="Times New Roman"/>
          <w:sz w:val="18"/>
          <w:szCs w:val="18"/>
          <w:color w:val="auto"/>
        </w:rPr>
        <w:t>flows. These exposures may change over time as business practices evolve and economic conditions change. We use derivative instruments to manage a portion of our cash flow, revenue and expense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may have maturities that extend for one to 18 months in the future and provide us with some protection against currency exposures. However, our attempts to hedge against these risks may not be completely successful, resulting in an adverse impact on our financial results.</w:t>
      </w:r>
    </w:p>
    <w:p>
      <w:pPr>
        <w:spacing w:after="0" w:line="212"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The fluctuations of currencies in which we conduct business can both increase and decrease our overall revenue and expenses for any given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97" w:lineRule="exact"/>
        <w:rPr>
          <w:sz w:val="20"/>
          <w:szCs w:val="20"/>
          <w:color w:val="auto"/>
        </w:rPr>
      </w:pPr>
    </w:p>
    <w:p>
      <w:pPr>
        <w:ind w:right="120" w:firstLine="395"/>
        <w:spacing w:after="0" w:line="236" w:lineRule="auto"/>
        <w:rPr>
          <w:sz w:val="20"/>
          <w:szCs w:val="20"/>
          <w:color w:val="auto"/>
        </w:rPr>
      </w:pPr>
      <w:r>
        <w:rPr>
          <w:rFonts w:ascii="Times New Roman" w:cs="Times New Roman" w:eastAsia="Times New Roman" w:hAnsi="Times New Roman"/>
          <w:sz w:val="18"/>
          <w:szCs w:val="18"/>
          <w:color w:val="auto"/>
        </w:rPr>
        <w:t>In addition, global events, including the sudden and unexpected effects of the COVID-19 pandemic as well as geopolitical and economic developments, may contribute to volatility in foreign exchange markets,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service obligations may adversely affect our financial condition and cash flows from operations.</w:t>
      </w:r>
    </w:p>
    <w:p>
      <w:pPr>
        <w:spacing w:after="0" w:line="229" w:lineRule="exact"/>
        <w:rPr>
          <w:sz w:val="20"/>
          <w:szCs w:val="20"/>
          <w:color w:val="auto"/>
        </w:rPr>
      </w:pPr>
    </w:p>
    <w:p>
      <w:pPr>
        <w:ind w:right="120" w:firstLine="395"/>
        <w:spacing w:after="0" w:line="234" w:lineRule="auto"/>
        <w:rPr>
          <w:sz w:val="20"/>
          <w:szCs w:val="20"/>
          <w:color w:val="auto"/>
        </w:rPr>
      </w:pPr>
      <w:r>
        <w:rPr>
          <w:rFonts w:ascii="Times New Roman" w:cs="Times New Roman" w:eastAsia="Times New Roman" w:hAnsi="Times New Roman"/>
          <w:sz w:val="18"/>
          <w:szCs w:val="18"/>
          <w:color w:val="auto"/>
        </w:rPr>
        <w:t>We have $2.30 billion of principal debt, consisting of notes due at various times from June 2025 to December 2031, as of April 30, 2024, as described in Part I, Item 1. We also entered into a credit agreement that provides for an unsecured revolving loan facility in the aggregate principal amount of $1.5 billion, with an option to be increased up to $2.0 billion, as described in Part I, Item 1. Maintenance of our indebtedness, contractual restrictions, and additional issuances of indebtedness could:</w:t>
      </w:r>
    </w:p>
    <w:p>
      <w:pPr>
        <w:spacing w:after="0" w:line="219" w:lineRule="exact"/>
        <w:rPr>
          <w:sz w:val="20"/>
          <w:szCs w:val="20"/>
          <w:color w:val="auto"/>
        </w:rPr>
      </w:pPr>
    </w:p>
    <w:p>
      <w:pPr>
        <w:ind w:left="640" w:hanging="319"/>
        <w:spacing w:after="0"/>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cause us to dedicate a substantial portion of our cash flows from operations towards debt service obligations and principal repayments;</w:t>
      </w:r>
    </w:p>
    <w:p>
      <w:pPr>
        <w:spacing w:after="0" w:line="16"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increase our vulnerability to adverse changes in general economic, industry, and competitive conditions;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16"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impair our ability to obtain future financing for working capital, capital expenditures, acquisitions, general corporate, or other purposes; and</w:t>
      </w:r>
    </w:p>
    <w:p>
      <w:pPr>
        <w:spacing w:after="0" w:line="16" w:lineRule="exact"/>
        <w:rPr>
          <w:rFonts w:ascii="Arial" w:cs="Arial" w:eastAsia="Arial" w:hAnsi="Arial"/>
          <w:sz w:val="21"/>
          <w:szCs w:val="21"/>
          <w:color w:val="auto"/>
        </w:rPr>
      </w:pPr>
    </w:p>
    <w:p>
      <w:pPr>
        <w:ind w:left="640" w:right="20" w:hanging="319"/>
        <w:spacing w:after="0" w:line="235" w:lineRule="auto"/>
        <w:tabs>
          <w:tab w:leader="none" w:pos="635"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219"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We are required to comply with the covenants set forth in our credit agreement. If we breach any of the covenants and do not obtain a waiver from the note holders or lenders, then, subject to applicable cure periods, we would not be able to incur additional indebtedness under the credit agreement described in Part I, Item 1, and any outstanding indebtedness under the credit agreement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credit agreement could increase. Downgrades in our credit ratings could also restrict our ability to obtain additional financing in the future and could affect the terms of any such financing.</w:t>
      </w:r>
    </w:p>
    <w:p>
      <w:pPr>
        <w:spacing w:after="0" w:line="210" w:lineRule="exact"/>
        <w:rPr>
          <w:sz w:val="20"/>
          <w:szCs w:val="20"/>
          <w:color w:val="auto"/>
        </w:rPr>
      </w:pPr>
    </w:p>
    <w:p>
      <w:pPr>
        <w:ind w:right="220"/>
        <w:spacing w:after="0" w:line="304" w:lineRule="auto"/>
        <w:rPr>
          <w:sz w:val="20"/>
          <w:szCs w:val="20"/>
          <w:color w:val="auto"/>
        </w:rPr>
      </w:pPr>
      <w:r>
        <w:rPr>
          <w:rFonts w:ascii="Times New Roman" w:cs="Times New Roman" w:eastAsia="Times New Roman" w:hAnsi="Times New Roman"/>
          <w:sz w:val="16"/>
          <w:szCs w:val="16"/>
          <w:i w:val="1"/>
          <w:iCs w:val="1"/>
          <w:color w:val="auto"/>
        </w:rPr>
        <w:t>Our investment portfolio consists of a variety of investment vehicles that are subject to interest rate trends, market volatility, and other economic factors. If general economic conditions decline, this could cause the credit ratings of our investments to deteriorate and illiquidity in the financial marketplace, and we may experience a decline in interest income and an inability to sell our investments, leading to impairment in the value of our investments.</w:t>
      </w:r>
    </w:p>
    <w:p>
      <w:pPr>
        <w:spacing w:after="0" w:line="171"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or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reduce our investment income or result in material charges, which in turn could impact our overall net income (loss) and earnings (loss) per share.</w:t>
      </w:r>
    </w:p>
    <w:p>
      <w:pPr>
        <w:spacing w:after="0" w:line="240"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Investments in privately held companies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 loss on any of our investments may cause us to record an other-than-temporary impairment charge. The effect of this charge could impact our overall</w:t>
      </w:r>
    </w:p>
    <w:p>
      <w:pPr>
        <w:spacing w:after="0" w:line="4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net income and earnings per share</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In any of these scenarios, our liquidity may be negatively impacted, which in turn may prohibit us from making investments in our business, taking advantage of opportunities, and potentially meeting our financial obligations as they come due.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tax rules and regulations, and uncertainties in interpretation and application, could materially affect our tax obligations and effective tax rate.</w:t>
      </w:r>
    </w:p>
    <w:p>
      <w:pPr>
        <w:spacing w:after="0" w:line="242" w:lineRule="exact"/>
        <w:rPr>
          <w:sz w:val="20"/>
          <w:szCs w:val="20"/>
          <w:color w:val="auto"/>
        </w:rPr>
      </w:pPr>
    </w:p>
    <w:p>
      <w:pPr>
        <w:ind w:right="200" w:firstLine="395"/>
        <w:spacing w:after="0" w:line="249" w:lineRule="auto"/>
        <w:rPr>
          <w:sz w:val="20"/>
          <w:szCs w:val="20"/>
          <w:color w:val="auto"/>
        </w:rPr>
      </w:pPr>
      <w:r>
        <w:rPr>
          <w:rFonts w:ascii="Times New Roman" w:cs="Times New Roman" w:eastAsia="Times New Roman" w:hAnsi="Times New Roman"/>
          <w:sz w:val="18"/>
          <w:szCs w:val="18"/>
          <w:color w:val="auto"/>
        </w:rPr>
        <w:t>We are a U.S.-based multinational company subject to tax in multiple U.S. and foreign tax jurisdictions. Our effective tax rate is primarily based on our geographic mix of earnings; statutory rates; stock-based compensation; intercompany arrangements, including the manner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challenged by tax authorities and may have a significant impact on our effective tax rate and cash taxes.</w:t>
      </w:r>
    </w:p>
    <w:p>
      <w:pPr>
        <w:spacing w:after="0" w:line="198" w:lineRule="exact"/>
        <w:rPr>
          <w:sz w:val="20"/>
          <w:szCs w:val="20"/>
          <w:color w:val="auto"/>
        </w:rPr>
      </w:pPr>
    </w:p>
    <w:p>
      <w:pPr>
        <w:ind w:right="20" w:firstLine="395"/>
        <w:spacing w:after="0" w:line="266" w:lineRule="auto"/>
        <w:rPr>
          <w:sz w:val="20"/>
          <w:szCs w:val="20"/>
          <w:color w:val="auto"/>
        </w:rPr>
      </w:pPr>
      <w:r>
        <w:rPr>
          <w:rFonts w:ascii="Times New Roman" w:cs="Times New Roman" w:eastAsia="Times New Roman" w:hAnsi="Times New Roman"/>
          <w:sz w:val="16"/>
          <w:szCs w:val="16"/>
          <w:color w:val="auto"/>
        </w:rPr>
        <w:t>Tax laws in the United States and in foreign tax jurisdictions are dynamic and subject to change as new laws are passed and new interpretations of the law are issued or applied. For example, the U.S. government enacted significant tax law changes in December 2017, the Tax Act, which impacted our tax obligations and effective tax rate beginning in our fiscal 2018 tax year, and significant tax legislation was included in the March 2020 CARES Act and subsequent Consolidated Appropriations Act in December 2020. Due to the complexity and varying interpretations of the Tax Act and the CARES Act, the U.S. Department of Treasury and other standard-setting bodies have been issuing and will continue to issue regulations and interpretative guidance that could significantly impact how we will apply the law and the ultimate effect on our results of operations from both the Tax Act and the CARES Act, including for our</w:t>
      </w:r>
    </w:p>
    <w:p>
      <w:pPr>
        <w:ind w:right="440"/>
        <w:spacing w:after="0" w:line="253" w:lineRule="auto"/>
        <w:rPr>
          <w:sz w:val="20"/>
          <w:szCs w:val="20"/>
          <w:color w:val="auto"/>
        </w:rPr>
      </w:pPr>
      <w:r>
        <w:rPr>
          <w:rFonts w:ascii="Times New Roman" w:cs="Times New Roman" w:eastAsia="Times New Roman" w:hAnsi="Times New Roman"/>
          <w:sz w:val="18"/>
          <w:szCs w:val="18"/>
          <w:color w:val="auto"/>
        </w:rPr>
        <w:t>prior tax years. In addition, increases in corporate tax rates, could increase our effective tax rate, cash taxes and have an adverse effect on our results from operations.</w:t>
      </w:r>
    </w:p>
    <w:p>
      <w:pPr>
        <w:spacing w:after="0" w:line="208"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Signed into law on August 16, 2022, the Inflation Reduction Act contains many provisions that may impact Autodesk, including the corporate alternative minimum tax and excise tax on stock buybacks. We are monitoring these impacts on our consolidated financial statements.</w:t>
      </w:r>
    </w:p>
    <w:p>
      <w:pPr>
        <w:spacing w:after="0" w:line="196" w:lineRule="exact"/>
        <w:rPr>
          <w:sz w:val="20"/>
          <w:szCs w:val="20"/>
          <w:color w:val="auto"/>
        </w:rPr>
      </w:pPr>
    </w:p>
    <w:p>
      <w:pPr>
        <w:ind w:right="200" w:firstLine="395"/>
        <w:spacing w:after="0" w:line="293" w:lineRule="auto"/>
        <w:rPr>
          <w:sz w:val="20"/>
          <w:szCs w:val="20"/>
          <w:color w:val="auto"/>
        </w:rPr>
      </w:pPr>
      <w:r>
        <w:rPr>
          <w:rFonts w:ascii="Times New Roman" w:cs="Times New Roman" w:eastAsia="Times New Roman" w:hAnsi="Times New Roman"/>
          <w:sz w:val="16"/>
          <w:szCs w:val="16"/>
          <w:color w:val="auto"/>
        </w:rPr>
        <w:t>For tax years beginning after December 31, 2021, the Tax Act required taxpayers to capitalize and amortize research and development costs pursuant to Internal Revenue Code Section 174. Section 174 required taxpayers to capitalize research and development costs and amortize them over 5 years for expenditures attributed to domestic research and 15 years for expenditures attributed to foreign research. Although Congress is considering legislation that would reinstate and extend Section 174 expensing for certain research and experimental expenditures, the possibility that this will happen is uncertain.</w:t>
      </w:r>
    </w:p>
    <w:p>
      <w:pPr>
        <w:spacing w:after="0" w:line="181"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Increasingly, tax authorities are reviewing existing corporate tax regulatory and legal regimes. Many countries are actively considering or implementing new taxing regimes and changes to existing tax laws. This could include U.S. and foreign tax law developments related to changes to long-standing tax principles arising from proposals made by the Organization for Economic Co-operation and Development that seek to allocate greater taxing rights to countries where customers are located and establish a global minimum tax rate of 15%. If U.S. or foreign tax authorities change applicable tax laws or successfully challenge how or where our profits are currently recognized, our overall taxes could increase, and our business, financial condition, or results of operations may be adversely impacted.</w:t>
      </w:r>
    </w:p>
    <w:p>
      <w:pPr>
        <w:spacing w:after="0" w:line="21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8" w:name="page69"/>
    <w:bookmarkEnd w:id="68"/>
    <w:p>
      <w:pPr>
        <w:ind w:firstLine="395"/>
        <w:spacing w:after="0" w:line="287" w:lineRule="auto"/>
        <w:rPr>
          <w:sz w:val="20"/>
          <w:szCs w:val="20"/>
          <w:color w:val="auto"/>
        </w:rPr>
      </w:pPr>
      <w:r>
        <w:rPr>
          <w:rFonts w:ascii="Times New Roman" w:cs="Times New Roman" w:eastAsia="Times New Roman" w:hAnsi="Times New Roman"/>
          <w:sz w:val="16"/>
          <w:szCs w:val="16"/>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adversely affecting our results of operations. Our deferred tax assets include net operating loss, amortizable tax assets, and tax credit carryforwards that can be used to offset taxable income and reduce income taxes payable in future periods. Each quarter, we assess the need for a valuation allowance,</w:t>
      </w:r>
    </w:p>
    <w:p>
      <w:pPr>
        <w:spacing w:after="0" w:line="2"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considering both positive and negative evidence to determine whether all or a portion of the deferred tax assets are more likely than not to be realized. We continue to have a valuation allowance against certain U.S. and foreign deferred tax assets. Changes in the amount of the U.S. and foreign jurisdictions valuation allowance could also result in a material non-cash expense or benefit in the period in which the valuation allowance is adjusted, and our results of operations could be materially affected. We will continue to perform these tests on our worldwide deferred tax assets, and any future adjustments to the realizability of our deferred tax assets may have a material effect on our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Risk Factors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may be significantly disrupted upon the occurrence of a catastrophic event.</w:t>
      </w:r>
    </w:p>
    <w:p>
      <w:pPr>
        <w:spacing w:after="0" w:line="229" w:lineRule="exact"/>
        <w:rPr>
          <w:sz w:val="20"/>
          <w:szCs w:val="20"/>
          <w:color w:val="auto"/>
        </w:rPr>
      </w:pPr>
    </w:p>
    <w:p>
      <w:pPr>
        <w:ind w:firstLine="395"/>
        <w:spacing w:after="0" w:line="230" w:lineRule="auto"/>
        <w:rPr>
          <w:sz w:val="20"/>
          <w:szCs w:val="20"/>
          <w:color w:val="auto"/>
        </w:rPr>
      </w:pPr>
      <w:r>
        <w:rPr>
          <w:rFonts w:ascii="Times New Roman" w:cs="Times New Roman" w:eastAsia="Times New Roman" w:hAnsi="Times New Roman"/>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(including the ongoing wars between Ukraine and Russia and between Israel and Hamas, and any related political or economic responses and counter-responses or otherwise by various global actors or the general effect on the global economy), or business interruption from epidemics or pandemics, or the fear of such events, could adversely impact our business, financial results, and financial condition. For example, our corporate headquarters and executive offices are located near major seismic faults in the San Francisco Bay Area and face annual periods of wildfire danger, which increase the probability of power outages and may impact employees’ abilities to commute to work or to work from home.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negatively impacting our financial results.</w:t>
      </w:r>
    </w:p>
    <w:p>
      <w:pPr>
        <w:spacing w:after="0" w:line="223"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206" w:lineRule="exact"/>
        <w:rPr>
          <w:sz w:val="20"/>
          <w:szCs w:val="20"/>
          <w:color w:val="auto"/>
        </w:rPr>
      </w:pPr>
    </w:p>
    <w:p>
      <w:pPr>
        <w:ind w:right="40" w:firstLine="395"/>
        <w:spacing w:after="0" w:line="282" w:lineRule="auto"/>
        <w:rPr>
          <w:sz w:val="20"/>
          <w:szCs w:val="20"/>
          <w:color w:val="auto"/>
        </w:rPr>
      </w:pPr>
      <w:r>
        <w:rPr>
          <w:rFonts w:ascii="Times New Roman" w:cs="Times New Roman" w:eastAsia="Times New Roman" w:hAnsi="Times New Roman"/>
          <w:sz w:val="16"/>
          <w:szCs w:val="16"/>
          <w:color w:val="auto"/>
        </w:rPr>
        <w:t>We are involved in legal proceedings and receive inquiries from regulatory agencies. As the global economy has changed and our business has evolved, we have seen an increase in litigation activity and regulatory inquiries. Like many other technology companies, the number and frequency of inquiries from U.S. and foreign regulatory agencies we have received regarding our business and our business practices, as well as the business practices of others in our industry, have increased in recent years. In the event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high defense costs, damage awards, injunctive relief, increased costs of business, fines or orders to change certain business practices, significant dedication of management time, diversion of operational resources, or otherwise harm our business. In any such event, our financial results, results of operations, cash flows, or trading prices for our securities could be negatively impacted.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existing financial accounting standards or practices, or taxation rules or practices may adversely affect our results of operations.</w:t>
      </w:r>
    </w:p>
    <w:p>
      <w:pPr>
        <w:spacing w:after="0" w:line="242" w:lineRule="exact"/>
        <w:rPr>
          <w:sz w:val="20"/>
          <w:szCs w:val="20"/>
          <w:color w:val="auto"/>
        </w:rPr>
      </w:pPr>
    </w:p>
    <w:p>
      <w:pPr>
        <w:jc w:val="both"/>
        <w:ind w:right="400" w:firstLine="395"/>
        <w:spacing w:after="0" w:line="256" w:lineRule="auto"/>
        <w:rPr>
          <w:sz w:val="20"/>
          <w:szCs w:val="20"/>
          <w:color w:val="auto"/>
        </w:rPr>
      </w:pPr>
      <w:r>
        <w:rPr>
          <w:rFonts w:ascii="Times New Roman" w:cs="Times New Roman" w:eastAsia="Times New Roman" w:hAnsi="Times New Roman"/>
          <w:sz w:val="18"/>
          <w:szCs w:val="18"/>
          <w:color w:val="auto"/>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69" w:name="page70"/>
    <w:bookmarkEnd w:id="69"/>
    <w:p>
      <w:pPr>
        <w:ind w:right="240"/>
        <w:spacing w:after="0" w:line="271" w:lineRule="auto"/>
        <w:rPr>
          <w:sz w:val="20"/>
          <w:szCs w:val="20"/>
          <w:color w:val="auto"/>
        </w:rPr>
      </w:pPr>
      <w:r>
        <w:rPr>
          <w:rFonts w:ascii="Times New Roman" w:cs="Times New Roman" w:eastAsia="Times New Roman" w:hAnsi="Times New Roman"/>
          <w:sz w:val="18"/>
          <w:szCs w:val="18"/>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9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 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spacing w:after="0" w:line="211"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92" w:lineRule="exact"/>
        <w:rPr>
          <w:sz w:val="20"/>
          <w:szCs w:val="20"/>
          <w:color w:val="auto"/>
        </w:rPr>
      </w:pPr>
    </w:p>
    <w:p>
      <w:pPr>
        <w:ind w:right="140" w:firstLine="395"/>
        <w:spacing w:after="0" w:line="284" w:lineRule="auto"/>
        <w:rPr>
          <w:sz w:val="20"/>
          <w:szCs w:val="20"/>
          <w:color w:val="auto"/>
        </w:rPr>
      </w:pPr>
      <w:r>
        <w:rPr>
          <w:rFonts w:ascii="Times New Roman" w:cs="Times New Roman" w:eastAsia="Times New Roman" w:hAnsi="Times New Roman"/>
          <w:sz w:val="16"/>
          <w:szCs w:val="16"/>
          <w:color w:val="auto"/>
        </w:rPr>
        <w:t>We make assumptions, judgments, and estimates for a number of items, including revenue recognition for product subscriptions and enterprise business arrangements (“EBAs”), the determination of the fair value of acquired assets and liabilities, goodwill, financial instruments including strategic investments, long-lived assets, and intangible assets, the realizability of deferred tax assets, and the fair value of stock awards. We also make assumptions, judgments, and estimates in determining the accruals for uncertain tax positions, variable compensation, partner incentive programs, allowances for credit losses, asset retirement obligations, legal contingencies, and operating lease liabilities.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sales of unregistered securities during the three months ended April 30, 2024.</w:t>
      </w:r>
    </w:p>
    <w:p>
      <w:pPr>
        <w:spacing w:after="0" w:line="227" w:lineRule="exact"/>
        <w:rPr>
          <w:sz w:val="20"/>
          <w:szCs w:val="20"/>
          <w:color w:val="auto"/>
        </w:rPr>
      </w:pPr>
    </w:p>
    <w:p>
      <w:pPr>
        <w:jc w:val="both"/>
        <w:ind w:right="140" w:firstLine="434"/>
        <w:spacing w:after="0" w:line="248" w:lineRule="auto"/>
        <w:rPr>
          <w:sz w:val="20"/>
          <w:szCs w:val="20"/>
          <w:color w:val="auto"/>
        </w:rPr>
      </w:pPr>
      <w:r>
        <w:rPr>
          <w:rFonts w:ascii="Times New Roman" w:cs="Times New Roman" w:eastAsia="Times New Roman" w:hAnsi="Times New Roman"/>
          <w:sz w:val="18"/>
          <w:szCs w:val="18"/>
          <w:color w:val="auto"/>
        </w:rPr>
        <w:t>The information concerning issuer purchases of equity securities required by this Item is incorporated by reference herein to the section of this Report entitled "Issuer Purchases of Equity Securities" in Part I, Item 2, “Management's Discussion and Analysis of Financial Condition and Results of Operations,” above.</w:t>
      </w:r>
    </w:p>
    <w:p>
      <w:pPr>
        <w:spacing w:after="0" w:line="19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right="220" w:firstLine="632"/>
        <w:spacing w:after="0" w:line="253" w:lineRule="auto"/>
        <w:rPr>
          <w:sz w:val="20"/>
          <w:szCs w:val="20"/>
          <w:color w:val="auto"/>
        </w:rPr>
      </w:pPr>
      <w:r>
        <w:rPr>
          <w:rFonts w:ascii="Times New Roman" w:cs="Times New Roman" w:eastAsia="Times New Roman" w:hAnsi="Times New Roman"/>
          <w:sz w:val="18"/>
          <w:szCs w:val="18"/>
          <w:color w:val="auto"/>
        </w:rPr>
        <w:t>During our fiscal quarter ended April 30, 2024, no directors and officers, as defined in Rule 16a-1(f), adopted or terminated a “Rule 10b5-1 trading arrangement” or a “non-Rule 10b5-1 trading arrangement,” each as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70" w:name="page71"/>
    <w:bookmarkEnd w:id="70"/>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Exhibits listed below are filed or incorporated by reference as part of this Quarterly Report on Form 10-Q.</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800" w:type="dxa"/>
            <w:vAlign w:val="bottom"/>
          </w:tcPr>
          <w:p>
            <w:pPr>
              <w:spacing w:after="0"/>
              <w:rPr>
                <w:sz w:val="17"/>
                <w:szCs w:val="17"/>
                <w:color w:val="auto"/>
              </w:rPr>
            </w:pPr>
          </w:p>
        </w:tc>
        <w:tc>
          <w:tcPr>
            <w:tcW w:w="7680" w:type="dxa"/>
            <w:vAlign w:val="bottom"/>
            <w:gridSpan w:val="4"/>
          </w:tcPr>
          <w:p>
            <w:pPr>
              <w:ind w:left="2740"/>
              <w:spacing w:after="0"/>
              <w:rPr>
                <w:sz w:val="20"/>
                <w:szCs w:val="20"/>
                <w:color w:val="auto"/>
              </w:rPr>
            </w:pPr>
            <w:r>
              <w:rPr>
                <w:rFonts w:ascii="Times New Roman" w:cs="Times New Roman" w:eastAsia="Times New Roman" w:hAnsi="Times New Roman"/>
                <w:sz w:val="16"/>
                <w:szCs w:val="16"/>
                <w:color w:val="auto"/>
              </w:rPr>
              <w:t>Description</w:t>
            </w:r>
          </w:p>
        </w:tc>
      </w:tr>
      <w:tr>
        <w:trPr>
          <w:trHeight w:val="204"/>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31.1</w:t>
            </w:r>
          </w:p>
        </w:tc>
        <w:tc>
          <w:tcPr>
            <w:tcW w:w="540" w:type="dxa"/>
            <w:vAlign w:val="bottom"/>
          </w:tcPr>
          <w:p>
            <w:pPr>
              <w:spacing w:after="0"/>
              <w:rPr>
                <w:sz w:val="17"/>
                <w:szCs w:val="17"/>
                <w:color w:val="auto"/>
              </w:rPr>
            </w:pP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of the Securities Exchange Act of 1934</w:t>
            </w:r>
          </w:p>
        </w:tc>
      </w:tr>
      <w:tr>
        <w:trPr>
          <w:trHeight w:val="296"/>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540" w:type="dxa"/>
            <w:vAlign w:val="bottom"/>
          </w:tcPr>
          <w:p>
            <w:pPr>
              <w:spacing w:after="0"/>
              <w:rPr>
                <w:sz w:val="24"/>
                <w:szCs w:val="24"/>
                <w:color w:val="auto"/>
              </w:rPr>
            </w:pPr>
          </w:p>
        </w:tc>
        <w:tc>
          <w:tcPr>
            <w:tcW w:w="67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8"/>
              </w:rPr>
              <w:t>Certification of Chief Financial Officer pursuant to Rule 13a-14(a) of the Securities Exchange Act of 1934</w:t>
            </w:r>
          </w:p>
        </w:tc>
        <w:tc>
          <w:tcPr>
            <w:tcW w:w="2700" w:type="dxa"/>
            <w:vAlign w:val="bottom"/>
            <w:gridSpan w:val="2"/>
          </w:tcPr>
          <w:p>
            <w:pPr>
              <w:spacing w:after="0"/>
              <w:rPr>
                <w:sz w:val="24"/>
                <w:szCs w:val="24"/>
                <w:color w:val="auto"/>
              </w:rPr>
            </w:pPr>
          </w:p>
        </w:tc>
      </w:tr>
      <w:tr>
        <w:trPr>
          <w:trHeight w:val="20"/>
        </w:trPr>
        <w:tc>
          <w:tcPr>
            <w:tcW w:w="1220" w:type="dxa"/>
            <w:vAlign w:val="bottom"/>
            <w:gridSpan w:val="2"/>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6"/>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32.1 †</w:t>
            </w: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and Chief Financial Officer pursuant to 18 U.S.C. Section 1350, as adopted pursuant to Section 906 of the</w:t>
            </w: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80" w:type="dxa"/>
            <w:vAlign w:val="bottom"/>
            <w:tcBorders>
              <w:top w:val="single" w:sz="8" w:color="0000FF"/>
            </w:tcBorders>
            <w:gridSpan w:val="4"/>
          </w:tcPr>
          <w:p>
            <w:pPr>
              <w:spacing w:after="0" w:line="138" w:lineRule="exact"/>
              <w:rPr>
                <w:sz w:val="20"/>
                <w:szCs w:val="20"/>
                <w:color w:val="auto"/>
              </w:rPr>
            </w:pPr>
            <w:r>
              <w:rPr>
                <w:rFonts w:ascii="Times New Roman" w:cs="Times New Roman" w:eastAsia="Times New Roman" w:hAnsi="Times New Roman"/>
                <w:sz w:val="15"/>
                <w:szCs w:val="15"/>
                <w:color w:val="0000FF"/>
              </w:rPr>
              <w:t>Sarbanes-Oxley Act of 2002</w:t>
            </w:r>
          </w:p>
        </w:tc>
        <w:tc>
          <w:tcPr>
            <w:tcW w:w="200" w:type="dxa"/>
            <w:vAlign w:val="bottom"/>
          </w:tcPr>
          <w:p>
            <w:pPr>
              <w:spacing w:after="0"/>
              <w:rPr>
                <w:sz w:val="11"/>
                <w:szCs w:val="11"/>
                <w:color w:val="auto"/>
              </w:rPr>
            </w:pPr>
          </w:p>
        </w:tc>
      </w:tr>
      <w:tr>
        <w:trPr>
          <w:trHeight w:val="20"/>
        </w:trPr>
        <w:tc>
          <w:tcPr>
            <w:tcW w:w="1220" w:type="dxa"/>
            <w:vAlign w:val="bottom"/>
            <w:gridSpan w:val="2"/>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680" w:type="dxa"/>
            <w:vAlign w:val="bottom"/>
            <w:gridSpan w:val="4"/>
          </w:tcPr>
          <w:p>
            <w:pPr>
              <w:spacing w:after="0" w:line="20" w:lineRule="exact"/>
              <w:rPr>
                <w:sz w:val="1"/>
                <w:szCs w:val="1"/>
                <w:color w:val="auto"/>
              </w:rPr>
            </w:pPr>
          </w:p>
        </w:tc>
      </w:tr>
      <w:tr>
        <w:trPr>
          <w:trHeight w:val="230"/>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 ††</w:t>
            </w: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8"/>
              </w:rPr>
              <w:t>Inline XBRL Instance Document - the instance document does not appear in the Interactive Data File because its XBRL tags are embedded within the</w:t>
            </w:r>
          </w:p>
        </w:tc>
      </w:tr>
      <w:tr>
        <w:trPr>
          <w:trHeight w:val="207"/>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62"/>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 ††</w:t>
            </w: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 ††</w:t>
            </w: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 ††</w:t>
            </w: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Definition Linkbase</w:t>
            </w: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 ††</w:t>
            </w: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 ††</w:t>
            </w: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r>
        <w:trPr>
          <w:trHeight w:val="267"/>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 ††</w:t>
            </w: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9"/>
              </w:rPr>
              <w:t>Cover Page Interactive Data File - the cover page interactive date is embedded within the Inline XBRL document or included within the Exhibit 101</w:t>
            </w:r>
          </w:p>
        </w:tc>
      </w:tr>
      <w:tr>
        <w:trPr>
          <w:trHeight w:val="207"/>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attachments</w:t>
            </w:r>
          </w:p>
        </w:tc>
      </w:tr>
    </w:tbl>
    <w:p>
      <w:pPr>
        <w:spacing w:after="0" w:line="254" w:lineRule="exact"/>
        <w:rPr>
          <w:sz w:val="20"/>
          <w:szCs w:val="20"/>
          <w:color w:val="auto"/>
        </w:rPr>
      </w:pPr>
    </w:p>
    <w:p>
      <w:pPr>
        <w:ind w:left="680" w:hanging="657"/>
        <w:spacing w:after="0"/>
        <w:tabs>
          <w:tab w:leader="none" w:pos="6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 management contract or compensatory plan or arrangement.</w:t>
      </w:r>
    </w:p>
    <w:p>
      <w:pPr>
        <w:spacing w:after="0" w:line="27" w:lineRule="exact"/>
        <w:rPr>
          <w:sz w:val="20"/>
          <w:szCs w:val="20"/>
          <w:color w:val="auto"/>
        </w:rPr>
      </w:pPr>
    </w:p>
    <w:p>
      <w:pPr>
        <w:ind w:left="680" w:hanging="657"/>
        <w:spacing w:after="0" w:line="227" w:lineRule="auto"/>
        <w:tabs>
          <w:tab w:leader="none" w:pos="6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57" w:lineRule="exact"/>
        <w:rPr>
          <w:sz w:val="20"/>
          <w:szCs w:val="20"/>
          <w:color w:val="auto"/>
        </w:rPr>
      </w:pPr>
    </w:p>
    <w:p>
      <w:pPr>
        <w:ind w:left="680" w:hanging="657"/>
        <w:spacing w:after="0"/>
        <w:tabs>
          <w:tab w:leader="none" w:pos="6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information contained in these XBRL documents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71" w:name="page72"/>
    <w:bookmarkEnd w:id="71"/>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2"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10, 2024</w:t>
      </w:r>
    </w:p>
    <w:p>
      <w:pPr>
        <w:spacing w:after="0" w:line="200" w:lineRule="exact"/>
        <w:rPr>
          <w:sz w:val="20"/>
          <w:szCs w:val="20"/>
          <w:color w:val="auto"/>
        </w:rPr>
      </w:pPr>
    </w:p>
    <w:p>
      <w:pPr>
        <w:spacing w:after="0" w:line="3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AUTODESK, INC.</w:t>
      </w:r>
    </w:p>
    <w:p>
      <w:pPr>
        <w:spacing w:after="0" w:line="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(Registrant)</w:t>
      </w:r>
    </w:p>
    <w:p>
      <w:pPr>
        <w:spacing w:after="0" w:line="275"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color w:val="auto"/>
        </w:rPr>
        <w:t>/s/ STEPHEN W. HOPE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13970</wp:posOffset>
            </wp:positionV>
            <wp:extent cx="36182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18230" cy="8255"/>
                    </a:xfrm>
                    <a:prstGeom prst="rect">
                      <a:avLst/>
                    </a:prstGeom>
                    <a:noFill/>
                  </pic:spPr>
                </pic:pic>
              </a:graphicData>
            </a:graphic>
          </wp:anchor>
        </w:drawing>
      </w:r>
    </w:p>
    <w:p>
      <w:pPr>
        <w:spacing w:after="0" w:line="4"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Stephen W. Hope</w:t>
      </w:r>
    </w:p>
    <w:p>
      <w:pPr>
        <w:spacing w:after="0" w:line="36"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Senior Vice President and Chief Accounting Officer</w:t>
      </w:r>
    </w:p>
    <w:p>
      <w:pPr>
        <w:spacing w:after="0" w:line="36"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460"/>
          </w:cols>
          <w:pgMar w:left="320" w:top="869" w:right="11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Anagnost, certify that:</w:t>
      </w:r>
    </w:p>
    <w:p>
      <w:pPr>
        <w:spacing w:after="0" w:line="96" w:lineRule="exact"/>
        <w:rPr>
          <w:sz w:val="20"/>
          <w:szCs w:val="20"/>
          <w:color w:val="auto"/>
        </w:rPr>
      </w:pPr>
    </w:p>
    <w:p>
      <w:pPr>
        <w:ind w:left="320" w:hanging="315"/>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Autodesk, Inc.;</w:t>
      </w:r>
    </w:p>
    <w:p>
      <w:pPr>
        <w:spacing w:after="0" w:line="82" w:lineRule="exact"/>
        <w:rPr>
          <w:rFonts w:ascii="Times New Roman" w:cs="Times New Roman" w:eastAsia="Times New Roman" w:hAnsi="Times New Roman"/>
          <w:sz w:val="18"/>
          <w:szCs w:val="18"/>
          <w:color w:val="auto"/>
        </w:rPr>
      </w:pPr>
    </w:p>
    <w:p>
      <w:pPr>
        <w:ind w:left="320" w:right="220" w:hanging="315"/>
        <w:spacing w:after="0" w:line="332"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Times New Roman" w:cs="Times New Roman" w:eastAsia="Times New Roman" w:hAnsi="Times New Roman"/>
          <w:sz w:val="16"/>
          <w:szCs w:val="16"/>
          <w:color w:val="auto"/>
        </w:rPr>
      </w:pPr>
    </w:p>
    <w:p>
      <w:pPr>
        <w:ind w:left="320" w:right="20" w:hanging="315"/>
        <w:spacing w:after="0" w:line="268" w:lineRule="auto"/>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ind w:left="320" w:right="160" w:hanging="315"/>
        <w:spacing w:after="0" w:line="256" w:lineRule="auto"/>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3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2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2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320" w:right="600" w:hanging="315"/>
        <w:spacing w:after="0" w:line="268" w:lineRule="auto"/>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640" w:right="180" w:hanging="319"/>
        <w:spacing w:after="0" w:line="268" w:lineRule="auto"/>
        <w:tabs>
          <w:tab w:leader="none" w:pos="62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2024</w:t>
      </w:r>
    </w:p>
    <w:p>
      <w:pPr>
        <w:spacing w:after="0" w:line="135" w:lineRule="exact"/>
        <w:rPr>
          <w:sz w:val="20"/>
          <w:szCs w:val="20"/>
          <w:color w:val="auto"/>
        </w:rPr>
      </w:pPr>
    </w:p>
    <w:p>
      <w:pPr>
        <w:ind w:left="7540"/>
        <w:spacing w:after="0"/>
        <w:tabs>
          <w:tab w:leader="none" w:pos="78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13970</wp:posOffset>
            </wp:positionV>
            <wp:extent cx="31584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2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ind w:left="778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ectPr>
          <w:pgSz w:w="11900" w:h="16838" w:orient="portrait"/>
          <w:cols w:equalWidth="0" w:num="1">
            <w:col w:w="11240"/>
          </w:cols>
          <w:pgMar w:left="320" w:top="96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Elizabeth Rafael, certify that:</w:t>
      </w:r>
    </w:p>
    <w:p>
      <w:pPr>
        <w:spacing w:after="0" w:line="96" w:lineRule="exact"/>
        <w:rPr>
          <w:sz w:val="20"/>
          <w:szCs w:val="20"/>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Autodesk, Inc.;</w:t>
      </w:r>
    </w:p>
    <w:p>
      <w:pPr>
        <w:spacing w:after="0" w:line="82" w:lineRule="exact"/>
        <w:rPr>
          <w:rFonts w:ascii="Times New Roman" w:cs="Times New Roman" w:eastAsia="Times New Roman" w:hAnsi="Times New Roman"/>
          <w:sz w:val="18"/>
          <w:szCs w:val="18"/>
          <w:color w:val="auto"/>
        </w:rPr>
      </w:pPr>
    </w:p>
    <w:p>
      <w:pPr>
        <w:ind w:left="320" w:right="220" w:hanging="315"/>
        <w:spacing w:after="0" w:line="332" w:lineRule="auto"/>
        <w:tabs>
          <w:tab w:leader="none" w:pos="3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Times New Roman" w:cs="Times New Roman" w:eastAsia="Times New Roman" w:hAnsi="Times New Roman"/>
          <w:sz w:val="16"/>
          <w:szCs w:val="16"/>
          <w:color w:val="auto"/>
        </w:rPr>
      </w:pPr>
    </w:p>
    <w:p>
      <w:pPr>
        <w:ind w:left="320" w:right="20" w:hanging="315"/>
        <w:spacing w:after="0" w:line="268"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ind w:left="320" w:right="160" w:hanging="315"/>
        <w:spacing w:after="0" w:line="256"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3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320" w:right="600" w:hanging="315"/>
        <w:spacing w:after="0" w:line="268"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640" w:right="180" w:hanging="319"/>
        <w:spacing w:after="0" w:line="268" w:lineRule="auto"/>
        <w:tabs>
          <w:tab w:leader="none" w:pos="6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2024</w:t>
      </w:r>
    </w:p>
    <w:p>
      <w:pPr>
        <w:spacing w:after="0" w:line="135"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color w:val="auto"/>
        </w:rPr>
        <w:t>/s/ ELIZABETH RAFAEL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13970</wp:posOffset>
            </wp:positionV>
            <wp:extent cx="36429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70"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6"/>
          <w:szCs w:val="16"/>
          <w:b w:val="1"/>
          <w:bCs w:val="1"/>
          <w:color w:val="auto"/>
        </w:rPr>
        <w:t>Elizabeth Rafael</w:t>
      </w:r>
    </w:p>
    <w:p>
      <w:pPr>
        <w:spacing w:after="0" w:line="8"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jc w:val="center"/>
        <w:ind w:left="54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96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7" w:lineRule="exact"/>
        <w:rPr>
          <w:sz w:val="20"/>
          <w:szCs w:val="20"/>
          <w:color w:val="auto"/>
        </w:rPr>
      </w:pPr>
    </w:p>
    <w:p>
      <w:pPr>
        <w:ind w:right="120" w:firstLine="316"/>
        <w:spacing w:after="0" w:line="252" w:lineRule="auto"/>
        <w:rPr>
          <w:sz w:val="20"/>
          <w:szCs w:val="20"/>
          <w:color w:val="auto"/>
        </w:rPr>
      </w:pPr>
      <w:r>
        <w:rPr>
          <w:rFonts w:ascii="Times New Roman" w:cs="Times New Roman" w:eastAsia="Times New Roman" w:hAnsi="Times New Roman"/>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April 30, 2024,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10, 2024</w:t>
      </w:r>
    </w:p>
    <w:p>
      <w:pPr>
        <w:spacing w:after="0" w:line="135" w:lineRule="exact"/>
        <w:rPr>
          <w:sz w:val="20"/>
          <w:szCs w:val="20"/>
          <w:color w:val="auto"/>
        </w:rPr>
      </w:pPr>
    </w:p>
    <w:p>
      <w:pPr>
        <w:ind w:left="7320"/>
        <w:spacing w:after="0"/>
        <w:tabs>
          <w:tab w:leader="none" w:pos="76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13970</wp:posOffset>
            </wp:positionV>
            <wp:extent cx="3451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51225" cy="8255"/>
                    </a:xfrm>
                    <a:prstGeom prst="rect">
                      <a:avLst/>
                    </a:prstGeom>
                    <a:noFill/>
                  </pic:spPr>
                </pic:pic>
              </a:graphicData>
            </a:graphic>
          </wp:anchor>
        </w:drawing>
      </w:r>
    </w:p>
    <w:p>
      <w:pPr>
        <w:spacing w:after="0" w:line="1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200" w:lineRule="exact"/>
        <w:rPr>
          <w:sz w:val="20"/>
          <w:szCs w:val="20"/>
          <w:color w:val="auto"/>
        </w:rPr>
      </w:pPr>
    </w:p>
    <w:p>
      <w:pPr>
        <w:spacing w:after="0" w:line="219" w:lineRule="exact"/>
        <w:rPr>
          <w:sz w:val="20"/>
          <w:szCs w:val="20"/>
          <w:color w:val="auto"/>
        </w:rPr>
      </w:pPr>
    </w:p>
    <w:p>
      <w:pPr>
        <w:ind w:right="40" w:firstLine="316"/>
        <w:spacing w:after="0" w:line="252" w:lineRule="auto"/>
        <w:rPr>
          <w:sz w:val="20"/>
          <w:szCs w:val="20"/>
          <w:color w:val="auto"/>
        </w:rPr>
      </w:pPr>
      <w:r>
        <w:rPr>
          <w:rFonts w:ascii="Times New Roman" w:cs="Times New Roman" w:eastAsia="Times New Roman" w:hAnsi="Times New Roman"/>
          <w:sz w:val="18"/>
          <w:szCs w:val="18"/>
          <w:color w:val="auto"/>
        </w:rPr>
        <w:t>Based on my knowledge, I, Elizabeth Rafael, certify, pursuant to 18 U.S.C. Section 1350, as adopted pursuant to Section 906 of the Sarbanes-Oxley Act of 2002, that the Quarterly Report of Autodesk, Inc. on Form 10-Q for the quarterly period ended April 30, 2024,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10, 2024</w:t>
      </w:r>
    </w:p>
    <w:p>
      <w:pPr>
        <w:spacing w:after="0" w:line="135"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/s/ ELIZABETH RAFAEL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13970</wp:posOffset>
            </wp:positionV>
            <wp:extent cx="3451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51225" cy="8255"/>
                    </a:xfrm>
                    <a:prstGeom prst="rect">
                      <a:avLst/>
                    </a:prstGeom>
                    <a:noFill/>
                  </pic:spPr>
                </pic:pic>
              </a:graphicData>
            </a:graphic>
          </wp:anchor>
        </w:drawing>
      </w:r>
    </w:p>
    <w:p>
      <w:pPr>
        <w:spacing w:after="0" w:line="170"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Elizabeth Rafael</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Interim Chief Financial Officer</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sectPr>
      <w:pgSz w:w="11900" w:h="16838" w:orient="portrait"/>
      <w:cols w:equalWidth="0" w:num="1">
        <w:col w:w="11240"/>
      </w:cols>
      <w:pgMar w:left="320" w:top="9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6"/>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lowerRoman"/>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2024-06-10T15:35:28Z</dcterms:created>
  <dcterms:modified xsi:type="dcterms:W3CDTF">2024-06-10T15:35:28Z</dcterms:modified>
</cp:coreProperties>
</file>